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31C51">
      <w:pPr>
        <w:rPr>
          <w:rFonts w:ascii="仿宋_GB2312" w:hAnsi="仿宋_GB2312" w:eastAsia="仿宋_GB2312" w:cs="仿宋_GB2312"/>
          <w:color w:val="auto"/>
          <w:sz w:val="36"/>
          <w:szCs w:val="36"/>
        </w:rPr>
      </w:pPr>
    </w:p>
    <w:p w14:paraId="760BF097">
      <w:pPr>
        <w:rPr>
          <w:rFonts w:ascii="仿宋_GB2312" w:hAnsi="仿宋_GB2312" w:eastAsia="仿宋_GB2312" w:cs="仿宋_GB2312"/>
          <w:color w:val="auto"/>
          <w:sz w:val="36"/>
          <w:szCs w:val="36"/>
        </w:rPr>
      </w:pPr>
    </w:p>
    <w:p w14:paraId="6B43287E">
      <w:pPr>
        <w:rPr>
          <w:rFonts w:ascii="仿宋_GB2312" w:hAnsi="仿宋_GB2312" w:eastAsia="仿宋_GB2312" w:cs="仿宋_GB2312"/>
          <w:color w:val="auto"/>
          <w:sz w:val="36"/>
          <w:szCs w:val="36"/>
        </w:rPr>
      </w:pPr>
    </w:p>
    <w:p w14:paraId="1EDC5F59">
      <w:pPr>
        <w:rPr>
          <w:rFonts w:hint="eastAsia" w:ascii="仿宋_GB2312" w:hAnsi="仿宋_GB2312" w:eastAsia="仿宋_GB2312" w:cs="仿宋_GB2312"/>
          <w:color w:val="auto"/>
          <w:sz w:val="36"/>
          <w:szCs w:val="36"/>
        </w:rPr>
      </w:pPr>
    </w:p>
    <w:p w14:paraId="313F555E">
      <w:pPr>
        <w:adjustRightInd w:val="0"/>
        <w:snapToGrid w:val="0"/>
        <w:jc w:val="center"/>
        <w:outlineLvl w:val="9"/>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416E054D">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7C627392">
      <w:pPr>
        <w:adjustRightInd w:val="0"/>
        <w:snapToGrid w:val="0"/>
        <w:spacing w:before="192" w:beforeLines="80"/>
        <w:jc w:val="center"/>
        <w:rPr>
          <w:rFonts w:hint="eastAsia" w:ascii="楷体_GB2312" w:eastAsia="楷体_GB2312"/>
          <w:bCs/>
          <w:color w:val="auto"/>
          <w:sz w:val="48"/>
          <w:szCs w:val="48"/>
          <w:lang w:eastAsia="zh-CN"/>
        </w:rPr>
      </w:pPr>
      <w:r>
        <w:rPr>
          <w:rFonts w:hint="eastAsia" w:ascii="楷体_GB2312" w:eastAsia="楷体_GB2312"/>
          <w:bCs/>
          <w:color w:val="auto"/>
          <w:sz w:val="48"/>
          <w:szCs w:val="48"/>
          <w:lang w:eastAsia="zh-CN"/>
        </w:rPr>
        <w:t>（</w:t>
      </w:r>
      <w:r>
        <w:rPr>
          <w:rFonts w:hint="eastAsia" w:ascii="楷体_GB2312" w:eastAsia="楷体_GB2312"/>
          <w:bCs/>
          <w:color w:val="auto"/>
          <w:sz w:val="48"/>
          <w:szCs w:val="48"/>
          <w:lang w:val="en-US" w:eastAsia="zh-CN"/>
        </w:rPr>
        <w:t>报批稿</w:t>
      </w:r>
      <w:r>
        <w:rPr>
          <w:rFonts w:hint="eastAsia" w:ascii="楷体_GB2312" w:eastAsia="楷体_GB2312"/>
          <w:bCs/>
          <w:color w:val="auto"/>
          <w:sz w:val="48"/>
          <w:szCs w:val="48"/>
          <w:lang w:eastAsia="zh-CN"/>
        </w:rPr>
        <w:t>）</w:t>
      </w:r>
    </w:p>
    <w:p w14:paraId="35C0A572">
      <w:pPr>
        <w:jc w:val="center"/>
        <w:rPr>
          <w:rFonts w:eastAsia="仿宋"/>
          <w:color w:val="auto"/>
          <w:sz w:val="52"/>
          <w:szCs w:val="52"/>
        </w:rPr>
      </w:pPr>
    </w:p>
    <w:p w14:paraId="5A9A106F">
      <w:pPr>
        <w:jc w:val="center"/>
        <w:rPr>
          <w:rFonts w:eastAsia="仿宋"/>
          <w:color w:val="auto"/>
          <w:sz w:val="44"/>
          <w:szCs w:val="44"/>
        </w:rPr>
      </w:pPr>
    </w:p>
    <w:p w14:paraId="44A87B27">
      <w:pPr>
        <w:jc w:val="center"/>
        <w:rPr>
          <w:rFonts w:eastAsia="仿宋"/>
          <w:color w:val="auto"/>
          <w:sz w:val="44"/>
          <w:szCs w:val="44"/>
        </w:rPr>
      </w:pPr>
    </w:p>
    <w:p w14:paraId="6198FEA1">
      <w:pPr>
        <w:jc w:val="center"/>
        <w:rPr>
          <w:rFonts w:eastAsia="仿宋"/>
          <w:color w:val="auto"/>
          <w:sz w:val="44"/>
          <w:szCs w:val="44"/>
        </w:rPr>
      </w:pPr>
    </w:p>
    <w:p w14:paraId="2CE8B651">
      <w:pPr>
        <w:jc w:val="center"/>
        <w:rPr>
          <w:rFonts w:eastAsia="仿宋"/>
          <w:color w:val="auto"/>
          <w:sz w:val="44"/>
          <w:szCs w:val="44"/>
        </w:rPr>
      </w:pPr>
    </w:p>
    <w:p w14:paraId="1B022B83">
      <w:pPr>
        <w:keepNext w:val="0"/>
        <w:keepLines w:val="0"/>
        <w:widowControl/>
        <w:suppressLineNumbers w:val="0"/>
        <w:jc w:val="center"/>
        <w:rPr>
          <w:rFonts w:hint="eastAsia" w:ascii="Times New Roman" w:hAnsi="Times New Roman" w:eastAsia="仿宋_GB2312" w:cs="Times New Roman"/>
          <w:color w:val="auto"/>
          <w:sz w:val="32"/>
          <w:szCs w:val="32"/>
          <w:u w:val="single"/>
          <w:lang w:eastAsia="zh-CN"/>
        </w:rPr>
      </w:pPr>
      <w:bookmarkStart w:id="0" w:name="_Hlk57884087"/>
      <w:r>
        <w:rPr>
          <w:rFonts w:hint="eastAsia" w:ascii="仿宋_GB2312" w:eastAsia="仿宋_GB2312"/>
          <w:color w:val="auto"/>
          <w:spacing w:val="-11"/>
          <w:sz w:val="32"/>
          <w:szCs w:val="32"/>
        </w:rPr>
        <w:t>项目名称：</w:t>
      </w:r>
      <w:r>
        <w:rPr>
          <w:rFonts w:hint="eastAsia" w:ascii="仿宋_GB2312" w:hAnsi="Times New Roman" w:eastAsia="仿宋_GB2312" w:cs="Times New Roman"/>
          <w:color w:val="auto"/>
          <w:spacing w:val="-11"/>
          <w:sz w:val="32"/>
          <w:szCs w:val="32"/>
          <w:u w:val="single"/>
          <w:lang w:val="en-US" w:eastAsia="zh-CN"/>
        </w:rPr>
        <w:t>江西捷报频传药业有限公司卫生材料生产项目</w:t>
      </w:r>
    </w:p>
    <w:p w14:paraId="029F819B">
      <w:pPr>
        <w:keepNext w:val="0"/>
        <w:keepLines w:val="0"/>
        <w:pageBreakBefore w:val="0"/>
        <w:widowControl/>
        <w:suppressLineNumbers w:val="0"/>
        <w:kinsoku/>
        <w:wordWrap/>
        <w:bidi w:val="0"/>
        <w:spacing w:beforeAutospacing="0" w:afterAutospacing="0"/>
        <w:jc w:val="center"/>
        <w:rPr>
          <w:color w:val="auto"/>
          <w:sz w:val="32"/>
          <w:szCs w:val="32"/>
          <w:u w:val="single"/>
        </w:rPr>
      </w:pPr>
      <w:r>
        <w:rPr>
          <w:rFonts w:hint="default" w:ascii="Times New Roman" w:hAnsi="Times New Roman" w:eastAsia="仿宋_GB2312" w:cs="Times New Roman"/>
          <w:color w:val="auto"/>
          <w:sz w:val="32"/>
          <w:szCs w:val="32"/>
        </w:rPr>
        <w:t>建设单位（盖章）：</w:t>
      </w:r>
      <w:r>
        <w:rPr>
          <w:rFonts w:hint="eastAsia" w:ascii="仿宋_GB2312" w:hAnsi="Times New Roman" w:eastAsia="仿宋_GB2312" w:cs="Times New Roman"/>
          <w:color w:val="auto"/>
          <w:spacing w:val="-11"/>
          <w:sz w:val="32"/>
          <w:szCs w:val="32"/>
          <w:u w:val="single"/>
          <w:lang w:val="en-US" w:eastAsia="zh-CN"/>
        </w:rPr>
        <w:t>江西捷报频传药业有限公司</w:t>
      </w:r>
    </w:p>
    <w:p w14:paraId="31022BD1">
      <w:pPr>
        <w:pageBreakBefore w:val="0"/>
        <w:kinsoku/>
        <w:wordWrap/>
        <w:bidi w:val="0"/>
        <w:adjustRightInd w:val="0"/>
        <w:snapToGrid w:val="0"/>
        <w:spacing w:beforeAutospacing="0" w:afterAutospacing="0" w:line="288" w:lineRule="auto"/>
        <w:jc w:val="center"/>
        <w:rPr>
          <w:rFonts w:ascii="仿宋_GB2312" w:eastAsia="仿宋_GB2312"/>
          <w:color w:val="auto"/>
          <w:sz w:val="36"/>
          <w:szCs w:val="36"/>
          <w:u w:val="single"/>
        </w:rPr>
      </w:pPr>
      <w:r>
        <w:rPr>
          <w:rFonts w:hint="default" w:ascii="Times New Roman" w:hAnsi="Times New Roman" w:eastAsia="仿宋_GB2312" w:cs="Times New Roman"/>
          <w:color w:val="auto"/>
          <w:sz w:val="32"/>
          <w:szCs w:val="32"/>
        </w:rPr>
        <w:t>编制日期：</w:t>
      </w:r>
      <w:r>
        <w:rPr>
          <w:rFonts w:hint="default" w:ascii="Times New Roman" w:hAnsi="Times New Roman" w:eastAsia="仿宋_GB2312" w:cs="Times New Roman"/>
          <w:color w:val="auto"/>
          <w:sz w:val="32"/>
          <w:szCs w:val="32"/>
          <w:u w:val="single"/>
          <w:lang w:val="en-US" w:eastAsia="zh-CN"/>
        </w:rPr>
        <w:t>202</w:t>
      </w:r>
      <w:r>
        <w:rPr>
          <w:rFonts w:hint="eastAsia" w:ascii="Times New Roman" w:hAnsi="Times New Roman" w:eastAsia="仿宋_GB2312" w:cs="Times New Roman"/>
          <w:color w:val="auto"/>
          <w:sz w:val="32"/>
          <w:szCs w:val="32"/>
          <w:u w:val="single"/>
          <w:lang w:val="en-US" w:eastAsia="zh-CN"/>
        </w:rPr>
        <w:t>4</w:t>
      </w:r>
      <w:r>
        <w:rPr>
          <w:rFonts w:hint="default" w:ascii="Times New Roman" w:hAnsi="Times New Roman" w:eastAsia="仿宋_GB2312" w:cs="Times New Roman"/>
          <w:color w:val="auto"/>
          <w:sz w:val="32"/>
          <w:szCs w:val="32"/>
          <w:u w:val="single"/>
          <w:lang w:val="en-US" w:eastAsia="zh-CN"/>
        </w:rPr>
        <w:t>年</w:t>
      </w:r>
      <w:r>
        <w:rPr>
          <w:rFonts w:hint="eastAsia" w:eastAsia="仿宋_GB2312" w:cs="Times New Roman"/>
          <w:color w:val="auto"/>
          <w:sz w:val="32"/>
          <w:szCs w:val="32"/>
          <w:u w:val="single"/>
          <w:lang w:val="en-US" w:eastAsia="zh-CN"/>
        </w:rPr>
        <w:t>8</w:t>
      </w:r>
      <w:r>
        <w:rPr>
          <w:rFonts w:hint="default" w:ascii="Times New Roman" w:hAnsi="Times New Roman" w:eastAsia="仿宋_GB2312" w:cs="Times New Roman"/>
          <w:color w:val="auto"/>
          <w:sz w:val="32"/>
          <w:szCs w:val="32"/>
          <w:u w:val="single"/>
          <w:lang w:val="en-US" w:eastAsia="zh-CN"/>
        </w:rPr>
        <w:t>月</w:t>
      </w:r>
    </w:p>
    <w:p w14:paraId="33C53F6F">
      <w:pPr>
        <w:adjustRightInd w:val="0"/>
        <w:snapToGrid w:val="0"/>
        <w:spacing w:line="288" w:lineRule="auto"/>
        <w:jc w:val="center"/>
        <w:rPr>
          <w:rFonts w:ascii="仿宋_GB2312" w:eastAsia="仿宋_GB2312"/>
          <w:color w:val="auto"/>
          <w:sz w:val="36"/>
          <w:szCs w:val="36"/>
        </w:rPr>
      </w:pPr>
    </w:p>
    <w:p w14:paraId="3A1D9B75">
      <w:pPr>
        <w:adjustRightInd w:val="0"/>
        <w:snapToGrid w:val="0"/>
        <w:spacing w:line="288" w:lineRule="auto"/>
        <w:jc w:val="center"/>
        <w:rPr>
          <w:rFonts w:ascii="仿宋_GB2312" w:eastAsia="仿宋_GB2312"/>
          <w:color w:val="auto"/>
          <w:sz w:val="36"/>
          <w:szCs w:val="36"/>
        </w:rPr>
      </w:pPr>
    </w:p>
    <w:p w14:paraId="0B94DC48">
      <w:pPr>
        <w:adjustRightInd w:val="0"/>
        <w:snapToGrid w:val="0"/>
        <w:spacing w:line="288" w:lineRule="auto"/>
        <w:jc w:val="center"/>
        <w:rPr>
          <w:rFonts w:hint="eastAsia" w:ascii="仿宋_GB2312" w:eastAsia="仿宋_GB2312"/>
          <w:color w:val="auto"/>
          <w:sz w:val="36"/>
          <w:szCs w:val="36"/>
        </w:rPr>
      </w:pPr>
    </w:p>
    <w:p w14:paraId="78021D51">
      <w:pPr>
        <w:pStyle w:val="8"/>
        <w:jc w:val="center"/>
        <w:rPr>
          <w:rFonts w:hint="eastAsia"/>
          <w:color w:val="auto"/>
        </w:rPr>
      </w:pPr>
    </w:p>
    <w:p w14:paraId="3BD9E8E8">
      <w:pPr>
        <w:adjustRightInd w:val="0"/>
        <w:snapToGrid w:val="0"/>
        <w:spacing w:line="288" w:lineRule="auto"/>
        <w:jc w:val="center"/>
        <w:rPr>
          <w:rFonts w:hint="eastAsia" w:ascii="仿宋_GB2312" w:eastAsia="仿宋_GB2312"/>
          <w:color w:val="auto"/>
          <w:sz w:val="36"/>
          <w:szCs w:val="36"/>
        </w:rPr>
      </w:pPr>
    </w:p>
    <w:p w14:paraId="5224AAB1">
      <w:pPr>
        <w:adjustRightInd w:val="0"/>
        <w:snapToGrid w:val="0"/>
        <w:spacing w:line="288" w:lineRule="auto"/>
        <w:jc w:val="center"/>
        <w:rPr>
          <w:rFonts w:hint="eastAsia" w:ascii="仿宋_GB2312" w:eastAsia="仿宋_GB2312"/>
          <w:color w:val="auto"/>
          <w:sz w:val="36"/>
          <w:szCs w:val="36"/>
        </w:rPr>
      </w:pPr>
    </w:p>
    <w:bookmarkEnd w:id="0"/>
    <w:p w14:paraId="3C1644AD">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0E898387">
      <w:pPr>
        <w:adjustRightInd w:val="0"/>
        <w:snapToGrid w:val="0"/>
        <w:spacing w:line="288" w:lineRule="auto"/>
        <w:ind w:firstLine="1040"/>
        <w:rPr>
          <w:rFonts w:ascii="仿宋_GB2312" w:eastAsia="仿宋_GB2312"/>
          <w:color w:val="auto"/>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60F32304">
      <w:pPr>
        <w:spacing w:before="0" w:beforeLines="0" w:after="0" w:afterLines="0" w:line="240" w:lineRule="auto"/>
        <w:ind w:left="0" w:leftChars="0" w:right="0" w:rightChars="0" w:firstLine="0" w:firstLineChars="0"/>
        <w:jc w:val="center"/>
        <w:rPr>
          <w:rFonts w:ascii="宋体" w:hAnsi="宋体" w:eastAsia="宋体"/>
          <w:b/>
          <w:bCs/>
          <w:color w:val="auto"/>
          <w:sz w:val="28"/>
          <w:szCs w:val="28"/>
          <w:highlight w:val="none"/>
        </w:rPr>
      </w:pPr>
      <w:r>
        <w:rPr>
          <w:rFonts w:ascii="宋体" w:hAnsi="宋体" w:eastAsia="宋体"/>
          <w:b/>
          <w:bCs/>
          <w:color w:val="auto"/>
          <w:sz w:val="28"/>
          <w:szCs w:val="28"/>
          <w:highlight w:val="none"/>
        </w:rPr>
        <w:t>目录</w:t>
      </w:r>
    </w:p>
    <w:p w14:paraId="23319393">
      <w:pPr>
        <w:spacing w:before="0" w:beforeLines="0" w:after="0" w:afterLines="0" w:line="240" w:lineRule="auto"/>
        <w:ind w:left="0" w:leftChars="0" w:right="0" w:rightChars="0" w:firstLine="0" w:firstLineChars="0"/>
        <w:jc w:val="center"/>
        <w:rPr>
          <w:rFonts w:ascii="宋体" w:hAnsi="宋体" w:eastAsia="宋体"/>
          <w:b/>
          <w:bCs/>
          <w:color w:val="auto"/>
          <w:sz w:val="28"/>
          <w:szCs w:val="28"/>
          <w:highlight w:val="none"/>
        </w:rPr>
      </w:pPr>
    </w:p>
    <w:p w14:paraId="750910D4">
      <w:pPr>
        <w:pStyle w:val="18"/>
        <w:keepNext w:val="0"/>
        <w:keepLines w:val="0"/>
        <w:pageBreakBefore w:val="0"/>
        <w:widowControl w:val="0"/>
        <w:tabs>
          <w:tab w:val="right" w:leader="dot" w:pos="8844"/>
        </w:tabs>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TOC \o "1-1" \h \u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_Toc32224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_Toc32224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2F303765">
      <w:pPr>
        <w:pStyle w:val="18"/>
        <w:keepNext w:val="0"/>
        <w:keepLines w:val="0"/>
        <w:pageBreakBefore w:val="0"/>
        <w:widowControl w:val="0"/>
        <w:tabs>
          <w:tab w:val="right" w:leader="dot" w:pos="8844"/>
        </w:tabs>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_Toc22231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_Toc22231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60D3B08F">
      <w:pPr>
        <w:pStyle w:val="18"/>
        <w:keepNext w:val="0"/>
        <w:keepLines w:val="0"/>
        <w:pageBreakBefore w:val="0"/>
        <w:widowControl w:val="0"/>
        <w:tabs>
          <w:tab w:val="right" w:leader="dot" w:pos="8844"/>
        </w:tabs>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_Toc6893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_Toc6893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27706185">
      <w:pPr>
        <w:pStyle w:val="18"/>
        <w:keepNext w:val="0"/>
        <w:keepLines w:val="0"/>
        <w:pageBreakBefore w:val="0"/>
        <w:widowControl w:val="0"/>
        <w:tabs>
          <w:tab w:val="right" w:leader="dot" w:pos="8844"/>
        </w:tabs>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_Toc15010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_Toc15010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10E2F8AD">
      <w:pPr>
        <w:pStyle w:val="18"/>
        <w:keepNext w:val="0"/>
        <w:keepLines w:val="0"/>
        <w:pageBreakBefore w:val="0"/>
        <w:widowControl w:val="0"/>
        <w:tabs>
          <w:tab w:val="right" w:leader="dot" w:pos="8844"/>
        </w:tabs>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_Toc25393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_Toc25393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44529A89">
      <w:pPr>
        <w:pStyle w:val="18"/>
        <w:keepNext w:val="0"/>
        <w:keepLines w:val="0"/>
        <w:pageBreakBefore w:val="0"/>
        <w:widowControl w:val="0"/>
        <w:tabs>
          <w:tab w:val="right" w:leader="dot" w:pos="8844"/>
        </w:tabs>
        <w:kinsoku/>
        <w:wordWrap/>
        <w:overflowPunct/>
        <w:topLinePunct w:val="0"/>
        <w:autoSpaceDE/>
        <w:autoSpaceDN/>
        <w:bidi w:val="0"/>
        <w:adjustRightInd/>
        <w:snapToGrid/>
        <w:spacing w:line="288"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_Toc31841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_Toc31841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6F4E5EB8">
      <w:pPr>
        <w:pStyle w:val="18"/>
        <w:keepNext w:val="0"/>
        <w:keepLines w:val="0"/>
        <w:pageBreakBefore w:val="0"/>
        <w:widowControl w:val="0"/>
        <w:tabs>
          <w:tab w:val="right" w:leader="dot" w:pos="8844"/>
        </w:tabs>
        <w:kinsoku/>
        <w:wordWrap/>
        <w:overflowPunct/>
        <w:topLinePunct w:val="0"/>
        <w:autoSpaceDE/>
        <w:autoSpaceDN/>
        <w:bidi w:val="0"/>
        <w:adjustRightInd/>
        <w:snapToGrid/>
        <w:spacing w:line="288" w:lineRule="auto"/>
        <w:textAlignment w:val="auto"/>
        <w:rPr>
          <w:color w:val="auto"/>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HYPERLINK \l _Toc8621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snapToGrid w:val="0"/>
          <w:color w:val="auto"/>
          <w:sz w:val="24"/>
          <w:szCs w:val="24"/>
          <w:highlight w:val="none"/>
        </w:rPr>
        <w:t>建设项目污染物排放量汇总表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_Toc8621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highlight w:val="none"/>
        </w:rPr>
        <w:fldChar w:fldCharType="end"/>
      </w:r>
    </w:p>
    <w:p w14:paraId="1CA1E179">
      <w:pPr>
        <w:keepNext w:val="0"/>
        <w:keepLines w:val="0"/>
        <w:pageBreakBefore w:val="0"/>
        <w:widowControl w:val="0"/>
        <w:kinsoku/>
        <w:wordWrap/>
        <w:overflowPunct/>
        <w:topLinePunct w:val="0"/>
        <w:autoSpaceDE/>
        <w:autoSpaceDN/>
        <w:bidi w:val="0"/>
        <w:adjustRightInd/>
        <w:snapToGrid/>
        <w:spacing w:line="288" w:lineRule="auto"/>
        <w:textAlignment w:val="auto"/>
        <w:rPr>
          <w:rFonts w:ascii="仿宋_GB2312" w:eastAsia="仿宋_GB2312"/>
          <w:color w:val="auto"/>
          <w:sz w:val="24"/>
          <w:szCs w:val="24"/>
          <w:highlight w:val="none"/>
        </w:rPr>
      </w:pPr>
      <w:r>
        <w:rPr>
          <w:rFonts w:hint="default" w:ascii="Times New Roman" w:hAnsi="Times New Roman" w:eastAsia="宋体" w:cs="Times New Roman"/>
          <w:color w:val="auto"/>
          <w:szCs w:val="24"/>
          <w:highlight w:val="none"/>
        </w:rPr>
        <w:fldChar w:fldCharType="end"/>
      </w:r>
      <w:bookmarkStart w:id="1" w:name="_Toc17229"/>
      <w:r>
        <w:rPr>
          <w:rFonts w:hint="eastAsia" w:ascii="Times New Roman" w:hAnsi="Times New Roman" w:eastAsia="宋体" w:cs="Times New Roman"/>
          <w:b/>
          <w:bCs/>
          <w:color w:val="auto"/>
          <w:kern w:val="2"/>
          <w:sz w:val="24"/>
          <w:szCs w:val="24"/>
          <w:highlight w:val="none"/>
          <w:lang w:val="en-US" w:eastAsia="zh-CN" w:bidi="ar-SA"/>
        </w:rPr>
        <w:t>附图</w:t>
      </w:r>
      <w:bookmarkEnd w:id="1"/>
    </w:p>
    <w:p w14:paraId="4F5741BF">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eastAsia="zh-CN"/>
        </w:rPr>
        <w:t>附图一</w:t>
      </w:r>
      <w:r>
        <w:rPr>
          <w:rFonts w:hint="default"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w:t>
      </w:r>
      <w:r>
        <w:rPr>
          <w:rFonts w:hint="default" w:ascii="宋体" w:hAnsi="宋体" w:eastAsia="宋体" w:cs="宋体"/>
          <w:color w:val="auto"/>
          <w:sz w:val="24"/>
          <w:szCs w:val="24"/>
          <w:highlight w:val="none"/>
          <w:lang w:eastAsia="zh-CN"/>
        </w:rPr>
        <w:t>项目地理位置图</w:t>
      </w:r>
    </w:p>
    <w:p w14:paraId="29698D78">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eastAsia="zh-CN"/>
        </w:rPr>
        <w:t>附图二</w:t>
      </w:r>
      <w:r>
        <w:rPr>
          <w:rFonts w:hint="eastAsia" w:ascii="宋体" w:hAnsi="宋体" w:eastAsia="宋体" w:cs="宋体"/>
          <w:color w:val="auto"/>
          <w:sz w:val="24"/>
          <w:szCs w:val="24"/>
          <w:highlight w:val="none"/>
          <w:lang w:val="en-US" w:eastAsia="zh-CN"/>
        </w:rPr>
        <w:t xml:space="preserve">  </w:t>
      </w:r>
      <w:r>
        <w:rPr>
          <w:rFonts w:hint="default" w:ascii="宋体" w:hAnsi="宋体" w:eastAsia="宋体" w:cs="宋体"/>
          <w:color w:val="auto"/>
          <w:sz w:val="24"/>
          <w:szCs w:val="24"/>
          <w:highlight w:val="none"/>
          <w:lang w:val="en-US" w:eastAsia="zh-CN"/>
        </w:rPr>
        <w:t>项目四周环境现状图</w:t>
      </w:r>
      <w:r>
        <w:rPr>
          <w:rFonts w:hint="eastAsia" w:ascii="宋体" w:hAnsi="宋体" w:eastAsia="宋体" w:cs="宋体"/>
          <w:color w:val="auto"/>
          <w:sz w:val="24"/>
          <w:szCs w:val="24"/>
          <w:highlight w:val="none"/>
          <w:lang w:val="en-US" w:eastAsia="zh-CN"/>
        </w:rPr>
        <w:t>及工程师踏勘现场照片</w:t>
      </w:r>
    </w:p>
    <w:p w14:paraId="60A45CFC">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eastAsia="zh-CN"/>
        </w:rPr>
        <w:t>附图</w:t>
      </w:r>
      <w:r>
        <w:rPr>
          <w:rFonts w:hint="eastAsia" w:ascii="宋体" w:hAnsi="宋体" w:eastAsia="宋体" w:cs="宋体"/>
          <w:color w:val="auto"/>
          <w:sz w:val="24"/>
          <w:szCs w:val="24"/>
          <w:highlight w:val="none"/>
          <w:lang w:val="en-US" w:eastAsia="zh-CN"/>
        </w:rPr>
        <w:t xml:space="preserve">三 </w:t>
      </w:r>
      <w:r>
        <w:rPr>
          <w:rFonts w:hint="default"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项目所在地环境保护目标示意图</w:t>
      </w:r>
    </w:p>
    <w:p w14:paraId="28F10FD4">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eastAsia="zh-CN"/>
        </w:rPr>
        <w:t>附图</w:t>
      </w:r>
      <w:r>
        <w:rPr>
          <w:rFonts w:hint="eastAsia" w:ascii="宋体" w:hAnsi="宋体" w:eastAsia="宋体" w:cs="宋体"/>
          <w:color w:val="auto"/>
          <w:sz w:val="24"/>
          <w:szCs w:val="24"/>
          <w:highlight w:val="none"/>
          <w:lang w:val="en-US" w:eastAsia="zh-CN"/>
        </w:rPr>
        <w:t xml:space="preserve">四 </w:t>
      </w:r>
      <w:r>
        <w:rPr>
          <w:rFonts w:hint="default"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项目卫生防护距离包络线图</w:t>
      </w:r>
    </w:p>
    <w:p w14:paraId="61742472">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附图五  一楼</w:t>
      </w:r>
      <w:r>
        <w:rPr>
          <w:rFonts w:hint="default" w:ascii="宋体" w:hAnsi="宋体" w:eastAsia="宋体" w:cs="宋体"/>
          <w:color w:val="auto"/>
          <w:sz w:val="24"/>
          <w:szCs w:val="24"/>
          <w:highlight w:val="none"/>
          <w:lang w:val="en-US" w:eastAsia="zh-CN"/>
        </w:rPr>
        <w:t>总</w:t>
      </w:r>
      <w:r>
        <w:rPr>
          <w:rFonts w:hint="default" w:ascii="宋体" w:hAnsi="宋体" w:eastAsia="宋体" w:cs="宋体"/>
          <w:b w:val="0"/>
          <w:bCs w:val="0"/>
          <w:color w:val="auto"/>
          <w:sz w:val="24"/>
          <w:szCs w:val="24"/>
          <w:highlight w:val="none"/>
          <w:lang w:val="en-US" w:eastAsia="zh-CN"/>
        </w:rPr>
        <w:t>平面布置</w:t>
      </w:r>
      <w:r>
        <w:rPr>
          <w:rFonts w:hint="eastAsia" w:ascii="宋体" w:hAnsi="宋体" w:eastAsia="宋体" w:cs="宋体"/>
          <w:b w:val="0"/>
          <w:bCs w:val="0"/>
          <w:color w:val="auto"/>
          <w:sz w:val="24"/>
          <w:szCs w:val="24"/>
          <w:highlight w:val="none"/>
          <w:lang w:val="en-US" w:eastAsia="zh-CN"/>
        </w:rPr>
        <w:t>图</w:t>
      </w:r>
    </w:p>
    <w:p w14:paraId="13316EF8">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附图六  二楼</w:t>
      </w:r>
      <w:r>
        <w:rPr>
          <w:rFonts w:hint="default" w:ascii="宋体" w:hAnsi="宋体" w:eastAsia="宋体" w:cs="宋体"/>
          <w:b w:val="0"/>
          <w:bCs w:val="0"/>
          <w:color w:val="auto"/>
          <w:sz w:val="24"/>
          <w:szCs w:val="24"/>
          <w:highlight w:val="none"/>
          <w:lang w:val="en-US" w:eastAsia="zh-CN"/>
        </w:rPr>
        <w:t>总平面布置</w:t>
      </w:r>
      <w:r>
        <w:rPr>
          <w:rFonts w:hint="eastAsia" w:ascii="宋体" w:hAnsi="宋体" w:eastAsia="宋体" w:cs="宋体"/>
          <w:b w:val="0"/>
          <w:bCs w:val="0"/>
          <w:color w:val="auto"/>
          <w:sz w:val="24"/>
          <w:szCs w:val="24"/>
          <w:highlight w:val="none"/>
          <w:lang w:val="en-US" w:eastAsia="zh-CN"/>
        </w:rPr>
        <w:t>图</w:t>
      </w:r>
    </w:p>
    <w:p w14:paraId="6D2D655B">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附图</w:t>
      </w:r>
      <w:r>
        <w:rPr>
          <w:rFonts w:hint="eastAsia" w:ascii="宋体" w:hAnsi="宋体" w:eastAsia="宋体" w:cs="宋体"/>
          <w:b w:val="0"/>
          <w:bCs w:val="0"/>
          <w:color w:val="auto"/>
          <w:sz w:val="24"/>
          <w:szCs w:val="24"/>
          <w:highlight w:val="none"/>
          <w:lang w:val="en-US" w:eastAsia="zh-CN"/>
        </w:rPr>
        <w:t>七</w:t>
      </w:r>
      <w:r>
        <w:rPr>
          <w:rFonts w:hint="default" w:ascii="宋体" w:hAnsi="宋体" w:eastAsia="宋体" w:cs="宋体"/>
          <w:b w:val="0"/>
          <w:bCs w:val="0"/>
          <w:color w:val="auto"/>
          <w:sz w:val="24"/>
          <w:szCs w:val="24"/>
          <w:highlight w:val="none"/>
          <w:lang w:val="en-US" w:eastAsia="zh-CN"/>
        </w:rPr>
        <w:t xml:space="preserve">  </w:t>
      </w:r>
      <w:r>
        <w:rPr>
          <w:rFonts w:hint="default" w:ascii="Times New Roman" w:hAnsi="Times New Roman" w:eastAsia="宋体" w:cs="Times New Roman"/>
          <w:b w:val="0"/>
          <w:bCs w:val="0"/>
          <w:sz w:val="24"/>
          <w:szCs w:val="24"/>
          <w:highlight w:val="none"/>
          <w:lang w:val="en-US" w:eastAsia="zh-CN"/>
        </w:rPr>
        <w:t>项目</w:t>
      </w:r>
      <w:r>
        <w:rPr>
          <w:rFonts w:hint="eastAsia" w:ascii="Times New Roman" w:hAnsi="Times New Roman" w:eastAsia="宋体" w:cs="Times New Roman"/>
          <w:b w:val="0"/>
          <w:bCs w:val="0"/>
          <w:sz w:val="24"/>
          <w:szCs w:val="24"/>
          <w:highlight w:val="none"/>
          <w:lang w:val="en-US" w:eastAsia="zh-CN"/>
        </w:rPr>
        <w:t>一楼分区防渗</w:t>
      </w:r>
      <w:r>
        <w:rPr>
          <w:rFonts w:hint="default" w:ascii="Times New Roman" w:hAnsi="Times New Roman" w:eastAsia="宋体" w:cs="Times New Roman"/>
          <w:b w:val="0"/>
          <w:bCs w:val="0"/>
          <w:sz w:val="24"/>
          <w:szCs w:val="24"/>
          <w:highlight w:val="none"/>
          <w:lang w:val="en-US" w:eastAsia="zh-CN"/>
        </w:rPr>
        <w:t>图</w:t>
      </w:r>
    </w:p>
    <w:p w14:paraId="66539782">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附图八  </w:t>
      </w:r>
      <w:r>
        <w:rPr>
          <w:rFonts w:hint="default" w:ascii="Times New Roman" w:hAnsi="Times New Roman" w:eastAsia="宋体" w:cs="Times New Roman"/>
          <w:b w:val="0"/>
          <w:bCs w:val="0"/>
          <w:sz w:val="24"/>
          <w:szCs w:val="24"/>
          <w:highlight w:val="none"/>
          <w:lang w:val="en-US" w:eastAsia="zh-CN"/>
        </w:rPr>
        <w:t>项目</w:t>
      </w:r>
      <w:r>
        <w:rPr>
          <w:rFonts w:hint="eastAsia" w:cs="Times New Roman"/>
          <w:b w:val="0"/>
          <w:bCs w:val="0"/>
          <w:sz w:val="24"/>
          <w:szCs w:val="24"/>
          <w:highlight w:val="none"/>
          <w:lang w:val="en-US" w:eastAsia="zh-CN"/>
        </w:rPr>
        <w:t>二</w:t>
      </w:r>
      <w:r>
        <w:rPr>
          <w:rFonts w:hint="eastAsia" w:ascii="Times New Roman" w:hAnsi="Times New Roman" w:eastAsia="宋体" w:cs="Times New Roman"/>
          <w:b w:val="0"/>
          <w:bCs w:val="0"/>
          <w:sz w:val="24"/>
          <w:szCs w:val="24"/>
          <w:highlight w:val="none"/>
          <w:lang w:val="en-US" w:eastAsia="zh-CN"/>
        </w:rPr>
        <w:t>楼分区防渗</w:t>
      </w:r>
      <w:r>
        <w:rPr>
          <w:rFonts w:hint="default" w:ascii="Times New Roman" w:hAnsi="Times New Roman" w:eastAsia="宋体" w:cs="Times New Roman"/>
          <w:b w:val="0"/>
          <w:bCs w:val="0"/>
          <w:sz w:val="24"/>
          <w:szCs w:val="24"/>
          <w:highlight w:val="none"/>
          <w:lang w:val="en-US" w:eastAsia="zh-CN"/>
        </w:rPr>
        <w:t>图</w:t>
      </w:r>
    </w:p>
    <w:p w14:paraId="09BDF548">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附图</w:t>
      </w:r>
      <w:r>
        <w:rPr>
          <w:rFonts w:hint="eastAsia" w:ascii="宋体" w:hAnsi="宋体" w:cs="宋体"/>
          <w:b w:val="0"/>
          <w:bCs w:val="0"/>
          <w:color w:val="auto"/>
          <w:sz w:val="24"/>
          <w:szCs w:val="24"/>
          <w:highlight w:val="none"/>
          <w:lang w:val="en-US" w:eastAsia="zh-CN"/>
        </w:rPr>
        <w:t>九</w:t>
      </w:r>
      <w:r>
        <w:rPr>
          <w:rFonts w:hint="default"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lang w:val="en-US" w:eastAsia="zh-CN"/>
        </w:rPr>
        <w:t>废水排放口位置图</w:t>
      </w:r>
    </w:p>
    <w:p w14:paraId="3B6D23C4">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附图</w:t>
      </w:r>
      <w:r>
        <w:rPr>
          <w:rFonts w:hint="eastAsia" w:ascii="宋体" w:hAnsi="宋体" w:cs="宋体"/>
          <w:color w:val="auto"/>
          <w:sz w:val="24"/>
          <w:szCs w:val="24"/>
          <w:highlight w:val="none"/>
          <w:lang w:val="en-US" w:eastAsia="zh-CN"/>
        </w:rPr>
        <w:t>十</w:t>
      </w:r>
      <w:r>
        <w:rPr>
          <w:rFonts w:hint="eastAsia" w:ascii="宋体" w:hAnsi="宋体" w:eastAsia="宋体" w:cs="宋体"/>
          <w:color w:val="auto"/>
          <w:sz w:val="24"/>
          <w:szCs w:val="24"/>
          <w:highlight w:val="none"/>
          <w:lang w:val="en-US" w:eastAsia="zh-CN"/>
        </w:rPr>
        <w:t xml:space="preserve">  </w:t>
      </w:r>
      <w:r>
        <w:rPr>
          <w:rFonts w:hint="default" w:ascii="宋体" w:hAnsi="宋体" w:eastAsia="宋体" w:cs="宋体"/>
          <w:color w:val="auto"/>
          <w:sz w:val="24"/>
          <w:szCs w:val="24"/>
          <w:highlight w:val="none"/>
          <w:lang w:val="en-US" w:eastAsia="zh-CN"/>
        </w:rPr>
        <w:t>园区土地利用现状图</w:t>
      </w:r>
    </w:p>
    <w:p w14:paraId="145837C7">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附图</w:t>
      </w:r>
      <w:r>
        <w:rPr>
          <w:rFonts w:hint="eastAsia" w:ascii="宋体" w:hAnsi="宋体" w:cs="宋体"/>
          <w:color w:val="auto"/>
          <w:sz w:val="24"/>
          <w:szCs w:val="24"/>
          <w:highlight w:val="none"/>
          <w:lang w:val="en-US" w:eastAsia="zh-CN"/>
        </w:rPr>
        <w:t>十一</w:t>
      </w:r>
      <w:r>
        <w:rPr>
          <w:rFonts w:hint="eastAsia" w:ascii="宋体" w:hAnsi="宋体" w:eastAsia="宋体" w:cs="宋体"/>
          <w:color w:val="auto"/>
          <w:sz w:val="24"/>
          <w:szCs w:val="24"/>
          <w:highlight w:val="none"/>
          <w:lang w:val="en-US" w:eastAsia="zh-CN"/>
        </w:rPr>
        <w:t xml:space="preserve">  园区产业布局规划图</w:t>
      </w:r>
    </w:p>
    <w:p w14:paraId="4F9C965C">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附图</w:t>
      </w:r>
      <w:r>
        <w:rPr>
          <w:rFonts w:hint="eastAsia" w:ascii="宋体" w:hAnsi="宋体" w:eastAsia="宋体" w:cs="宋体"/>
          <w:color w:val="auto"/>
          <w:sz w:val="24"/>
          <w:szCs w:val="24"/>
          <w:highlight w:val="none"/>
          <w:lang w:val="en-US" w:eastAsia="zh-CN"/>
        </w:rPr>
        <w:t>十</w:t>
      </w:r>
      <w:r>
        <w:rPr>
          <w:rFonts w:hint="eastAsia" w:ascii="宋体" w:hAnsi="宋体" w:cs="宋体"/>
          <w:color w:val="auto"/>
          <w:sz w:val="24"/>
          <w:szCs w:val="24"/>
          <w:highlight w:val="none"/>
          <w:lang w:val="en-US" w:eastAsia="zh-CN"/>
        </w:rPr>
        <w:t>二</w:t>
      </w:r>
      <w:r>
        <w:rPr>
          <w:rFonts w:hint="default"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庐山工业园区与庐山市生态红线衔接图</w:t>
      </w:r>
    </w:p>
    <w:p w14:paraId="21BDF1A0">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附图十</w:t>
      </w:r>
      <w:r>
        <w:rPr>
          <w:rFonts w:hint="eastAsia" w:ascii="宋体" w:hAnsi="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九江市环境管控单元分类图</w:t>
      </w:r>
      <w:r>
        <w:rPr>
          <w:rFonts w:hint="default" w:ascii="宋体" w:hAnsi="宋体" w:eastAsia="宋体" w:cs="宋体"/>
          <w:color w:val="auto"/>
          <w:sz w:val="24"/>
          <w:szCs w:val="24"/>
          <w:highlight w:val="none"/>
          <w:lang w:val="en-US" w:eastAsia="zh-CN"/>
        </w:rPr>
        <mc:AlternateContent>
          <mc:Choice Requires="wps">
            <w:drawing>
              <wp:anchor distT="0" distB="0" distL="114300" distR="114300" simplePos="0" relativeHeight="251659264" behindDoc="0" locked="0" layoutInCell="1" allowOverlap="1">
                <wp:simplePos x="0" y="0"/>
                <wp:positionH relativeFrom="column">
                  <wp:posOffset>8382000</wp:posOffset>
                </wp:positionH>
                <wp:positionV relativeFrom="paragraph">
                  <wp:posOffset>7552690</wp:posOffset>
                </wp:positionV>
                <wp:extent cx="152400" cy="171450"/>
                <wp:effectExtent l="12700" t="12700" r="25400" b="25400"/>
                <wp:wrapNone/>
                <wp:docPr id="5" name="五角星 5"/>
                <wp:cNvGraphicFramePr/>
                <a:graphic xmlns:a="http://schemas.openxmlformats.org/drawingml/2006/main">
                  <a:graphicData uri="http://schemas.microsoft.com/office/word/2010/wordprocessingShape">
                    <wps:wsp>
                      <wps:cNvSpPr/>
                      <wps:spPr>
                        <a:xfrm>
                          <a:off x="6115050" y="7457440"/>
                          <a:ext cx="152400" cy="171450"/>
                        </a:xfrm>
                        <a:prstGeom prst="star5">
                          <a:avLst/>
                        </a:prstGeom>
                        <a:solidFill>
                          <a:srgbClr val="FF0000"/>
                        </a:solidFill>
                        <a:ln w="25400" cap="flat" cmpd="sng" algn="ctr">
                          <a:solidFill>
                            <a:srgbClr val="000000"/>
                          </a:solidFill>
                          <a:prstDash val="solid"/>
                        </a:ln>
                        <a:effectLst/>
                      </wps:spPr>
                      <wps:txbx>
                        <w:txbxContent>
                          <w:p w14:paraId="45D5AAD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60pt;margin-top:594.7pt;height:13.5pt;width:12pt;z-index:251659264;v-text-anchor:middle;mso-width-relative:page;mso-height-relative:page;" fillcolor="#FF0000" filled="t" stroked="t" coordsize="152400,171450" o:gfxdata="UEsDBAoAAAAAAIdO4kAAAAAAAAAAAAAAAAAEAAAAZHJzL1BLAwQUAAAACACHTuJARO68w9oAAAAP&#10;AQAADwAAAGRycy9kb3ducmV2LnhtbE2PzU7DMBCE70i8g7VI3KiT1FRtiFOhSpHKsT8P4MRuErDX&#10;Ueykhadne4LbzO5o9ttie3OWzWYMvUcJ6SIBZrDxusdWwvlUvayBhahQK+vRSPg2Abbl40Ohcu2v&#10;eDDzMbaMSjDkSkIX45BzHprOOBUWfjBIu4sfnYpkx5brUV2p3FmeJcmKO9UjXejUYHadab6Ok5Mg&#10;Pt/9dLAum7GqPvY/u9f9uR6kfH5Kkzdg0dziXxju+IQOJTHVfkIdmCW/pH7KkkrXGwHsnlkKQbOa&#10;VJauBPCy4P//KH8BUEsDBBQAAAAIAIdO4kBraR9bgAIAAAUFAAAOAAAAZHJzL2Uyb0RvYy54bWyt&#10;VM1u00AQviPxDqu9U9tR3EJUp4oaBSFVUKkgzpv1Ora0f+xu4pTHQBy4ceQdeB6EeAy+XbttWnro&#10;gRycGc/4m5lvv9nTs72SZCec74yuaHGUUyI0N3WnNxX98H714iUlPjBdM2m0qOi18PRs/vzZaW9n&#10;YmJaI2vhCEC0n/W2om0IdpZlnrdCMX9krNAINsYpFuC6TVY71gNdyWyS58dZb1xtneHCe7xdDkE6&#10;IrqnAJqm6bhYGr5VQocB1QnJAkbybWc9nadum0bw8K5pvAhEVhSThvREEdjr+Mzmp2y2ccy2HR9b&#10;YE9p4cFMinUaRW+hliwwsnXdP1Cq485404QjblQ2DJIYwRRF/oCbq5ZZkWYB1d7eku7/Hyx/u7t0&#10;pKsrWlKimcKB//r59c+PL7+/fSdlpKe3foasK3vpRs/DjLPuG6fiP6Yg+4oeF0WZlyD2uqIn0/Jk&#10;Oh3pFftAOBKKcjLNEedIKE6KKXKBmN0BWefDa2EUiUZFoUJXJlbZ7sKHIfcmJxb2Rnb1qpMyOW6z&#10;PpeO7BiOerXK8Rvh76VJTfqKTsqhEwYBNxAOmlIWJHi9oYTJDTaDB5dq3/vaHxaJJR4vEptcMt8O&#10;zSSEsRepY68iKXOcKRI8UBqtsF/vR57Xpr7G4TgzqNZbvuoAfMF8uGQOMgWXWOTwDo9GGoxlRouS&#10;1rjPj72P+VAPopT0kD1G/rRlTlAi32jo6lURj42E5OAQJ3DcYWR9GNFbdW5Ad4Erw/Jkxvwgb8zG&#10;GfUR+76IVRFimqP2QO7onIdhHXFjcLFYpDTshmXhQl9ZHsEjZdostsE0XZJBJGpgB/qJDrYjKWnc&#10;5Lh+h37Kuru95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O68w9oAAAAPAQAADwAAAAAAAAAB&#10;ACAAAAAiAAAAZHJzL2Rvd25yZXYueG1sUEsBAhQAFAAAAAgAh07iQGtpH1uAAgAABQUAAA4AAAAA&#10;AAAAAQAgAAAAKQEAAGRycy9lMm9Eb2MueG1sUEsFBgAAAAAGAAYAWQEAABsGAAAAAA==&#10;" path="m0,65487l58211,65488,76200,0,94188,65488,152399,65487,105305,105961,123294,171449,76200,130975,29105,171449,47094,105961xe">
                <v:path textboxrect="0,0,152400,171450" o:connectlocs="76200,0;0,65487;29105,171449;123294,171449;152399,65487" o:connectangles="247,164,82,82,0"/>
                <v:fill on="t" focussize="0,0"/>
                <v:stroke weight="2pt" color="#000000" joinstyle="round"/>
                <v:imagedata o:title=""/>
                <o:lock v:ext="edit" aspectratio="f"/>
                <v:textbox>
                  <w:txbxContent>
                    <w:p w14:paraId="45D5AADF">
                      <w:pPr>
                        <w:jc w:val="center"/>
                      </w:pPr>
                    </w:p>
                  </w:txbxContent>
                </v:textbox>
              </v:shape>
            </w:pict>
          </mc:Fallback>
        </mc:AlternateContent>
      </w:r>
    </w:p>
    <w:p w14:paraId="2D4704DD">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9"/>
        <w:rPr>
          <w:rFonts w:hint="default" w:ascii="Times New Roman" w:hAnsi="Times New Roman" w:eastAsia="宋体" w:cs="Times New Roman"/>
          <w:b/>
          <w:bCs/>
          <w:color w:val="auto"/>
          <w:kern w:val="2"/>
          <w:sz w:val="24"/>
          <w:szCs w:val="24"/>
          <w:highlight w:val="none"/>
          <w:lang w:val="en-US" w:eastAsia="zh-CN" w:bidi="ar-SA"/>
        </w:rPr>
      </w:pPr>
      <w:bookmarkStart w:id="2" w:name="_Toc23633"/>
      <w:r>
        <w:rPr>
          <w:rFonts w:hint="eastAsia" w:ascii="Times New Roman" w:hAnsi="Times New Roman" w:eastAsia="宋体" w:cs="Times New Roman"/>
          <w:b/>
          <w:bCs/>
          <w:color w:val="auto"/>
          <w:kern w:val="2"/>
          <w:sz w:val="24"/>
          <w:szCs w:val="24"/>
          <w:highlight w:val="none"/>
          <w:lang w:val="en-US" w:eastAsia="zh-CN" w:bidi="ar-SA"/>
        </w:rPr>
        <w:t>附件</w:t>
      </w:r>
      <w:bookmarkEnd w:id="2"/>
    </w:p>
    <w:p w14:paraId="3CFA38B3">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bookmarkStart w:id="3" w:name="_Toc32451"/>
      <w:r>
        <w:rPr>
          <w:rFonts w:hint="default" w:ascii="宋体" w:hAnsi="宋体" w:eastAsia="宋体" w:cs="宋体"/>
          <w:color w:val="auto"/>
          <w:sz w:val="24"/>
          <w:szCs w:val="24"/>
          <w:highlight w:val="none"/>
          <w:lang w:val="en-US" w:eastAsia="zh-CN"/>
        </w:rPr>
        <w:t xml:space="preserve">附件一 </w:t>
      </w:r>
      <w:r>
        <w:rPr>
          <w:rFonts w:hint="eastAsia" w:ascii="宋体" w:hAnsi="宋体" w:eastAsia="宋体" w:cs="宋体"/>
          <w:color w:val="auto"/>
          <w:sz w:val="24"/>
          <w:szCs w:val="24"/>
          <w:highlight w:val="none"/>
          <w:lang w:val="en-US" w:eastAsia="zh-CN"/>
        </w:rPr>
        <w:t xml:space="preserve"> </w:t>
      </w:r>
      <w:r>
        <w:rPr>
          <w:rFonts w:hint="default" w:ascii="宋体" w:hAnsi="宋体" w:eastAsia="宋体" w:cs="宋体"/>
          <w:color w:val="auto"/>
          <w:sz w:val="24"/>
          <w:szCs w:val="24"/>
          <w:highlight w:val="none"/>
          <w:lang w:val="en-US" w:eastAsia="zh-CN"/>
        </w:rPr>
        <w:t>委托书</w:t>
      </w:r>
      <w:bookmarkEnd w:id="3"/>
    </w:p>
    <w:p w14:paraId="30A2E49F">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bookmarkStart w:id="4" w:name="_Toc23520"/>
      <w:r>
        <w:rPr>
          <w:rFonts w:hint="eastAsia" w:ascii="宋体" w:hAnsi="宋体" w:eastAsia="宋体" w:cs="宋体"/>
          <w:color w:val="auto"/>
          <w:sz w:val="24"/>
          <w:szCs w:val="24"/>
          <w:highlight w:val="none"/>
          <w:lang w:val="en-US" w:eastAsia="zh-CN"/>
        </w:rPr>
        <w:t>附件二  备案文件</w:t>
      </w:r>
      <w:bookmarkEnd w:id="4"/>
    </w:p>
    <w:p w14:paraId="015BDD16">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color w:val="auto"/>
          <w:sz w:val="24"/>
          <w:szCs w:val="24"/>
          <w:highlight w:val="none"/>
          <w:lang w:val="en-US" w:eastAsia="zh-CN"/>
        </w:rPr>
      </w:pPr>
      <w:bookmarkStart w:id="5" w:name="_Toc4188"/>
      <w:r>
        <w:rPr>
          <w:rFonts w:hint="eastAsia" w:ascii="宋体" w:hAnsi="宋体" w:eastAsia="宋体" w:cs="宋体"/>
          <w:color w:val="auto"/>
          <w:sz w:val="24"/>
          <w:szCs w:val="24"/>
          <w:highlight w:val="none"/>
          <w:lang w:val="en-US" w:eastAsia="zh-CN"/>
        </w:rPr>
        <w:t xml:space="preserve">附件三 </w:t>
      </w:r>
      <w:bookmarkEnd w:id="5"/>
      <w:r>
        <w:rPr>
          <w:rFonts w:hint="eastAsia" w:ascii="宋体" w:hAnsi="宋体" w:eastAsia="宋体" w:cs="宋体"/>
          <w:color w:val="auto"/>
          <w:sz w:val="24"/>
          <w:szCs w:val="24"/>
          <w:highlight w:val="none"/>
          <w:lang w:val="en-US" w:eastAsia="zh-CN"/>
        </w:rPr>
        <w:t xml:space="preserve"> 租赁合同</w:t>
      </w:r>
    </w:p>
    <w:p w14:paraId="5DA72927">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bookmarkStart w:id="6" w:name="_Toc992"/>
      <w:r>
        <w:rPr>
          <w:rFonts w:hint="eastAsia" w:ascii="宋体" w:hAnsi="宋体" w:eastAsia="宋体" w:cs="宋体"/>
          <w:color w:val="auto"/>
          <w:sz w:val="24"/>
          <w:szCs w:val="24"/>
          <w:highlight w:val="none"/>
          <w:lang w:val="en-US" w:eastAsia="zh-CN"/>
        </w:rPr>
        <w:t xml:space="preserve">附件四  </w:t>
      </w:r>
      <w:bookmarkEnd w:id="6"/>
      <w:r>
        <w:rPr>
          <w:rFonts w:hint="eastAsia" w:ascii="宋体" w:hAnsi="宋体" w:eastAsia="宋体" w:cs="宋体"/>
          <w:color w:val="auto"/>
          <w:sz w:val="24"/>
          <w:szCs w:val="24"/>
          <w:highlight w:val="none"/>
          <w:lang w:val="en-US" w:eastAsia="zh-CN"/>
        </w:rPr>
        <w:t>热熔胶成分报告</w:t>
      </w:r>
    </w:p>
    <w:p w14:paraId="23A3377B">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附件五  喷码油墨成分报告</w:t>
      </w:r>
    </w:p>
    <w:p w14:paraId="03C9C750">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附件</w:t>
      </w:r>
      <w:r>
        <w:rPr>
          <w:rFonts w:hint="eastAsia" w:ascii="宋体" w:hAnsi="宋体" w:eastAsia="宋体" w:cs="宋体"/>
          <w:color w:val="auto"/>
          <w:sz w:val="24"/>
          <w:szCs w:val="24"/>
          <w:highlight w:val="none"/>
          <w:lang w:val="en-US" w:eastAsia="zh-CN"/>
        </w:rPr>
        <w:t>六</w:t>
      </w:r>
      <w:r>
        <w:rPr>
          <w:rFonts w:hint="default"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引用监测数据报告</w:t>
      </w:r>
    </w:p>
    <w:p w14:paraId="3BB6A10D">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附件七  规划环评审查意见</w:t>
      </w:r>
    </w:p>
    <w:p w14:paraId="776EA5AF">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附件八  入园协议</w:t>
      </w:r>
    </w:p>
    <w:p w14:paraId="328FD5A7">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附件九</w:t>
      </w:r>
      <w:r>
        <w:rPr>
          <w:rFonts w:hint="eastAsia" w:ascii="宋体" w:hAnsi="宋体" w:eastAsia="宋体" w:cs="宋体"/>
          <w:b w:val="0"/>
          <w:bCs w:val="0"/>
          <w:color w:val="auto"/>
          <w:sz w:val="24"/>
          <w:szCs w:val="24"/>
          <w:highlight w:val="none"/>
          <w:lang w:val="en-US" w:eastAsia="zh-CN"/>
        </w:rPr>
        <w:t xml:space="preserve">  环评批复</w:t>
      </w:r>
    </w:p>
    <w:p w14:paraId="00A9B67C">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b w:val="0"/>
          <w:bCs w:val="0"/>
          <w:sz w:val="24"/>
          <w:szCs w:val="24"/>
          <w:lang w:val="en-US" w:eastAsia="zh-CN"/>
        </w:rPr>
      </w:pPr>
      <w:r>
        <w:rPr>
          <w:rFonts w:hint="eastAsia" w:ascii="宋体" w:hAnsi="宋体" w:eastAsia="宋体" w:cs="宋体"/>
          <w:b w:val="0"/>
          <w:bCs w:val="0"/>
          <w:color w:val="auto"/>
          <w:sz w:val="24"/>
          <w:szCs w:val="24"/>
          <w:highlight w:val="none"/>
          <w:lang w:val="en-US" w:eastAsia="zh-CN"/>
        </w:rPr>
        <w:t>附件</w:t>
      </w:r>
      <w:r>
        <w:rPr>
          <w:rFonts w:hint="eastAsia" w:ascii="宋体" w:hAnsi="宋体" w:cs="宋体"/>
          <w:b w:val="0"/>
          <w:bCs w:val="0"/>
          <w:color w:val="auto"/>
          <w:sz w:val="24"/>
          <w:szCs w:val="24"/>
          <w:highlight w:val="none"/>
          <w:lang w:val="en-US" w:eastAsia="zh-CN"/>
        </w:rPr>
        <w:t>十</w:t>
      </w:r>
      <w:r>
        <w:rPr>
          <w:rFonts w:hint="eastAsia" w:ascii="宋体" w:hAnsi="宋体" w:eastAsia="宋体" w:cs="宋体"/>
          <w:b w:val="0"/>
          <w:bCs w:val="0"/>
          <w:color w:val="auto"/>
          <w:sz w:val="24"/>
          <w:szCs w:val="24"/>
          <w:highlight w:val="none"/>
          <w:lang w:val="en-US" w:eastAsia="zh-CN"/>
        </w:rPr>
        <w:t xml:space="preserve">  </w:t>
      </w:r>
      <w:r>
        <w:rPr>
          <w:rFonts w:hint="eastAsia"/>
          <w:b w:val="0"/>
          <w:bCs w:val="0"/>
          <w:sz w:val="24"/>
          <w:szCs w:val="24"/>
          <w:lang w:val="en-US" w:eastAsia="zh-CN"/>
        </w:rPr>
        <w:t>专家意见</w:t>
      </w:r>
    </w:p>
    <w:p w14:paraId="3658F511">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b w:val="0"/>
          <w:bCs w:val="0"/>
          <w:sz w:val="24"/>
          <w:szCs w:val="24"/>
          <w:lang w:val="en-US" w:eastAsia="zh-CN"/>
        </w:rPr>
      </w:pPr>
      <w:r>
        <w:rPr>
          <w:rFonts w:hint="eastAsia" w:ascii="宋体" w:hAnsi="宋体" w:eastAsia="宋体" w:cs="宋体"/>
          <w:b w:val="0"/>
          <w:bCs w:val="0"/>
          <w:color w:val="auto"/>
          <w:sz w:val="24"/>
          <w:szCs w:val="24"/>
          <w:highlight w:val="none"/>
          <w:lang w:val="en-US" w:eastAsia="zh-CN"/>
        </w:rPr>
        <w:t>附件</w:t>
      </w:r>
      <w:r>
        <w:rPr>
          <w:rFonts w:hint="eastAsia" w:ascii="宋体" w:hAnsi="宋体" w:cs="宋体"/>
          <w:b w:val="0"/>
          <w:bCs w:val="0"/>
          <w:color w:val="auto"/>
          <w:sz w:val="24"/>
          <w:szCs w:val="24"/>
          <w:highlight w:val="none"/>
          <w:lang w:val="en-US" w:eastAsia="zh-CN"/>
        </w:rPr>
        <w:t>十一</w:t>
      </w:r>
      <w:r>
        <w:rPr>
          <w:rFonts w:hint="eastAsia" w:ascii="宋体" w:hAnsi="宋体" w:eastAsia="宋体" w:cs="宋体"/>
          <w:b w:val="0"/>
          <w:bCs w:val="0"/>
          <w:color w:val="auto"/>
          <w:sz w:val="24"/>
          <w:szCs w:val="24"/>
          <w:highlight w:val="none"/>
          <w:lang w:val="en-US" w:eastAsia="zh-CN"/>
        </w:rPr>
        <w:t xml:space="preserve">  </w:t>
      </w:r>
      <w:r>
        <w:rPr>
          <w:rFonts w:hint="eastAsia"/>
          <w:b w:val="0"/>
          <w:bCs w:val="0"/>
          <w:sz w:val="24"/>
          <w:szCs w:val="24"/>
          <w:lang w:val="en-US" w:eastAsia="zh-CN"/>
        </w:rPr>
        <w:t>专家意见修改清单</w:t>
      </w:r>
    </w:p>
    <w:p w14:paraId="64EDBD02">
      <w:pPr>
        <w:pStyle w:val="87"/>
        <w:keepNext w:val="0"/>
        <w:keepLines w:val="0"/>
        <w:pageBreakBefore w:val="0"/>
        <w:widowControl/>
        <w:tabs>
          <w:tab w:val="right" w:leader="dot" w:pos="10466"/>
        </w:tabs>
        <w:kinsoku/>
        <w:wordWrap/>
        <w:overflowPunct/>
        <w:topLinePunct w:val="0"/>
        <w:autoSpaceDE/>
        <w:autoSpaceDN/>
        <w:bidi w:val="0"/>
        <w:adjustRightInd/>
        <w:snapToGrid/>
        <w:spacing w:line="288" w:lineRule="auto"/>
        <w:ind w:firstLine="480" w:firstLineChars="200"/>
        <w:textAlignment w:val="auto"/>
        <w:rPr>
          <w:rFonts w:hint="eastAsia"/>
          <w:b w:val="0"/>
          <w:bCs w:val="0"/>
          <w:sz w:val="24"/>
          <w:szCs w:val="24"/>
          <w:lang w:val="en-US" w:eastAsia="zh-CN"/>
        </w:rPr>
      </w:pPr>
      <w:r>
        <w:rPr>
          <w:rFonts w:hint="eastAsia" w:ascii="宋体" w:hAnsi="宋体" w:eastAsia="宋体" w:cs="宋体"/>
          <w:b w:val="0"/>
          <w:bCs w:val="0"/>
          <w:color w:val="auto"/>
          <w:sz w:val="24"/>
          <w:szCs w:val="24"/>
          <w:highlight w:val="none"/>
          <w:lang w:val="en-US" w:eastAsia="zh-CN"/>
        </w:rPr>
        <w:t>附件</w:t>
      </w:r>
      <w:r>
        <w:rPr>
          <w:rFonts w:hint="eastAsia" w:ascii="宋体" w:hAnsi="宋体" w:cs="宋体"/>
          <w:b w:val="0"/>
          <w:bCs w:val="0"/>
          <w:color w:val="auto"/>
          <w:sz w:val="24"/>
          <w:szCs w:val="24"/>
          <w:highlight w:val="none"/>
          <w:lang w:val="en-US" w:eastAsia="zh-CN"/>
        </w:rPr>
        <w:t>十二</w:t>
      </w:r>
      <w:r>
        <w:rPr>
          <w:rFonts w:hint="eastAsia" w:ascii="宋体" w:hAnsi="宋体" w:eastAsia="宋体" w:cs="宋体"/>
          <w:b w:val="0"/>
          <w:bCs w:val="0"/>
          <w:color w:val="auto"/>
          <w:sz w:val="24"/>
          <w:szCs w:val="24"/>
          <w:highlight w:val="none"/>
          <w:lang w:val="en-US" w:eastAsia="zh-CN"/>
        </w:rPr>
        <w:t xml:space="preserve">  </w:t>
      </w:r>
      <w:r>
        <w:rPr>
          <w:rFonts w:hint="eastAsia"/>
          <w:b w:val="0"/>
          <w:bCs w:val="0"/>
          <w:sz w:val="24"/>
          <w:szCs w:val="24"/>
          <w:lang w:val="en-US" w:eastAsia="zh-CN"/>
        </w:rPr>
        <w:t>专家复核意见</w:t>
      </w:r>
    </w:p>
    <w:p w14:paraId="360CD759">
      <w:pPr>
        <w:adjustRightInd w:val="0"/>
        <w:snapToGrid w:val="0"/>
        <w:spacing w:line="288" w:lineRule="auto"/>
        <w:rPr>
          <w:rFonts w:ascii="仿宋_GB2312" w:eastAsia="仿宋_GB2312"/>
          <w:color w:val="auto"/>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575D522D">
      <w:pPr>
        <w:pStyle w:val="20"/>
        <w:jc w:val="center"/>
        <w:outlineLvl w:val="0"/>
        <w:rPr>
          <w:rFonts w:hint="eastAsia" w:ascii="黑体" w:hAnsi="黑体" w:eastAsia="黑体"/>
          <w:snapToGrid w:val="0"/>
          <w:color w:val="auto"/>
          <w:sz w:val="30"/>
          <w:szCs w:val="30"/>
        </w:rPr>
      </w:pPr>
      <w:bookmarkStart w:id="7" w:name="_Toc32224"/>
      <w:r>
        <w:rPr>
          <w:rFonts w:hint="eastAsia" w:ascii="黑体" w:hAnsi="黑体" w:eastAsia="黑体"/>
          <w:snapToGrid w:val="0"/>
          <w:color w:val="auto"/>
          <w:sz w:val="30"/>
          <w:szCs w:val="30"/>
        </w:rPr>
        <w:t>一、建设项目基本情况</w:t>
      </w:r>
      <w:bookmarkEnd w:id="7"/>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78"/>
        <w:gridCol w:w="1981"/>
        <w:gridCol w:w="2101"/>
        <w:gridCol w:w="3510"/>
      </w:tblGrid>
      <w:tr w14:paraId="761905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5" w:type="dxa"/>
            <w:noWrap w:val="0"/>
            <w:tcMar>
              <w:top w:w="16" w:type="dxa"/>
              <w:left w:w="16" w:type="dxa"/>
              <w:right w:w="16" w:type="dxa"/>
            </w:tcMar>
            <w:vAlign w:val="center"/>
          </w:tcPr>
          <w:p w14:paraId="5E549BBB">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建设项目名称</w:t>
            </w:r>
          </w:p>
        </w:tc>
        <w:tc>
          <w:tcPr>
            <w:tcW w:w="6925" w:type="dxa"/>
            <w:gridSpan w:val="3"/>
            <w:noWrap w:val="0"/>
            <w:vAlign w:val="center"/>
          </w:tcPr>
          <w:p w14:paraId="236548BE">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江西捷报频传药业有限公司卫生材料生产项目</w:t>
            </w:r>
          </w:p>
        </w:tc>
      </w:tr>
      <w:tr w14:paraId="20726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5" w:type="dxa"/>
            <w:noWrap w:val="0"/>
            <w:tcMar>
              <w:top w:w="16" w:type="dxa"/>
              <w:left w:w="16" w:type="dxa"/>
              <w:right w:w="16" w:type="dxa"/>
            </w:tcMar>
            <w:vAlign w:val="center"/>
          </w:tcPr>
          <w:p w14:paraId="03B714C7">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项目代码</w:t>
            </w:r>
          </w:p>
        </w:tc>
        <w:tc>
          <w:tcPr>
            <w:tcW w:w="6925" w:type="dxa"/>
            <w:gridSpan w:val="3"/>
            <w:noWrap w:val="0"/>
            <w:vAlign w:val="center"/>
          </w:tcPr>
          <w:p w14:paraId="4607C952">
            <w:pPr>
              <w:adjustRightInd w:val="0"/>
              <w:snapToGrid w:val="0"/>
              <w:jc w:val="center"/>
              <w:rPr>
                <w:rFonts w:hint="eastAsia" w:cs="Times New Roman"/>
                <w:color w:val="auto"/>
                <w:sz w:val="21"/>
                <w:szCs w:val="21"/>
                <w:lang w:val="en-US" w:eastAsia="zh-CN"/>
              </w:rPr>
            </w:pPr>
            <w:r>
              <w:rPr>
                <w:rFonts w:hint="eastAsia" w:cs="Times New Roman"/>
                <w:color w:val="auto"/>
                <w:sz w:val="21"/>
                <w:szCs w:val="21"/>
                <w:lang w:val="en-US" w:eastAsia="zh-CN"/>
              </w:rPr>
              <w:t>2406-360483-04-01-351607</w:t>
            </w:r>
          </w:p>
        </w:tc>
      </w:tr>
      <w:tr w14:paraId="41CEE6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5" w:type="dxa"/>
            <w:noWrap w:val="0"/>
            <w:tcMar>
              <w:top w:w="16" w:type="dxa"/>
              <w:left w:w="16" w:type="dxa"/>
              <w:right w:w="16" w:type="dxa"/>
            </w:tcMar>
            <w:vAlign w:val="center"/>
          </w:tcPr>
          <w:p w14:paraId="5B4F3C3B">
            <w:pPr>
              <w:adjustRightInd w:val="0"/>
              <w:snapToGrid w:val="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建设单位联系人</w:t>
            </w:r>
          </w:p>
        </w:tc>
        <w:tc>
          <w:tcPr>
            <w:tcW w:w="2074" w:type="dxa"/>
            <w:noWrap w:val="0"/>
            <w:vAlign w:val="center"/>
          </w:tcPr>
          <w:p w14:paraId="4B6CD282">
            <w:pPr>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陈烨</w:t>
            </w:r>
          </w:p>
        </w:tc>
        <w:tc>
          <w:tcPr>
            <w:tcW w:w="2212" w:type="dxa"/>
            <w:noWrap w:val="0"/>
            <w:vAlign w:val="center"/>
          </w:tcPr>
          <w:p w14:paraId="6DB93704">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联系方式</w:t>
            </w:r>
          </w:p>
        </w:tc>
        <w:tc>
          <w:tcPr>
            <w:tcW w:w="2639" w:type="dxa"/>
            <w:noWrap w:val="0"/>
            <w:vAlign w:val="center"/>
          </w:tcPr>
          <w:p w14:paraId="3F1CA15E">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18170228618</w:t>
            </w:r>
          </w:p>
        </w:tc>
      </w:tr>
      <w:tr w14:paraId="4A496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5" w:type="dxa"/>
            <w:noWrap w:val="0"/>
            <w:tcMar>
              <w:top w:w="16" w:type="dxa"/>
              <w:left w:w="16" w:type="dxa"/>
              <w:right w:w="16" w:type="dxa"/>
            </w:tcMar>
            <w:vAlign w:val="center"/>
          </w:tcPr>
          <w:p w14:paraId="138F30BD">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建设地点</w:t>
            </w:r>
          </w:p>
        </w:tc>
        <w:tc>
          <w:tcPr>
            <w:tcW w:w="6925" w:type="dxa"/>
            <w:gridSpan w:val="3"/>
            <w:noWrap w:val="0"/>
            <w:vAlign w:val="center"/>
          </w:tcPr>
          <w:p w14:paraId="1C03B6FA">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江西省九江市庐山市工业园金鹿科技园</w:t>
            </w:r>
          </w:p>
        </w:tc>
      </w:tr>
      <w:tr w14:paraId="5FC8D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5" w:type="dxa"/>
            <w:noWrap w:val="0"/>
            <w:tcMar>
              <w:top w:w="16" w:type="dxa"/>
              <w:left w:w="16" w:type="dxa"/>
              <w:right w:w="16" w:type="dxa"/>
            </w:tcMar>
            <w:vAlign w:val="center"/>
          </w:tcPr>
          <w:p w14:paraId="58363830">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地理坐标</w:t>
            </w:r>
          </w:p>
        </w:tc>
        <w:tc>
          <w:tcPr>
            <w:tcW w:w="6925" w:type="dxa"/>
            <w:gridSpan w:val="3"/>
            <w:noWrap w:val="0"/>
            <w:vAlign w:val="center"/>
          </w:tcPr>
          <w:p w14:paraId="3165DA9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经度116°2′58.395″，纬度：29°28′30.106″。</w:t>
            </w:r>
          </w:p>
        </w:tc>
      </w:tr>
      <w:tr w14:paraId="49730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45" w:type="dxa"/>
            <w:noWrap w:val="0"/>
            <w:tcMar>
              <w:top w:w="16" w:type="dxa"/>
              <w:left w:w="16" w:type="dxa"/>
              <w:right w:w="16" w:type="dxa"/>
            </w:tcMar>
            <w:vAlign w:val="center"/>
          </w:tcPr>
          <w:p w14:paraId="787D2FE7">
            <w:pPr>
              <w:adjustRightInd w:val="0"/>
              <w:snapToGrid w:val="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国民经济</w:t>
            </w:r>
          </w:p>
          <w:p w14:paraId="5602D73E">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行业类别</w:t>
            </w:r>
          </w:p>
        </w:tc>
        <w:tc>
          <w:tcPr>
            <w:tcW w:w="2074" w:type="dxa"/>
            <w:noWrap w:val="0"/>
            <w:vAlign w:val="center"/>
          </w:tcPr>
          <w:p w14:paraId="03458B2D">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C2770 卫生材料及医药用品制造</w:t>
            </w:r>
          </w:p>
        </w:tc>
        <w:tc>
          <w:tcPr>
            <w:tcW w:w="2212" w:type="dxa"/>
            <w:noWrap w:val="0"/>
            <w:vAlign w:val="center"/>
          </w:tcPr>
          <w:p w14:paraId="14B751E2">
            <w:pPr>
              <w:adjustRightInd w:val="0"/>
              <w:snapToGrid w:val="0"/>
              <w:jc w:val="center"/>
              <w:rPr>
                <w:rFonts w:ascii="Times New Roman" w:hAnsi="Times New Roman" w:eastAsia="宋体" w:cs="Times New Roman"/>
                <w:color w:val="auto"/>
                <w:sz w:val="21"/>
                <w:szCs w:val="21"/>
              </w:rPr>
            </w:pPr>
            <w:bookmarkStart w:id="8" w:name="_Hlk49843745"/>
            <w:r>
              <w:rPr>
                <w:rFonts w:hint="eastAsia" w:ascii="Times New Roman" w:hAnsi="Times New Roman" w:eastAsia="宋体" w:cs="Times New Roman"/>
                <w:color w:val="auto"/>
                <w:sz w:val="21"/>
                <w:szCs w:val="21"/>
              </w:rPr>
              <w:t>建设项目</w:t>
            </w:r>
          </w:p>
          <w:p w14:paraId="1123FD4D">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行业类别</w:t>
            </w:r>
            <w:bookmarkEnd w:id="8"/>
          </w:p>
        </w:tc>
        <w:tc>
          <w:tcPr>
            <w:tcW w:w="2639" w:type="dxa"/>
            <w:noWrap w:val="0"/>
            <w:vAlign w:val="center"/>
          </w:tcPr>
          <w:p w14:paraId="4658C451">
            <w:pPr>
              <w:keepNext w:val="0"/>
              <w:keepLines w:val="0"/>
              <w:widowControl/>
              <w:suppressLineNumbers w:val="0"/>
              <w:jc w:val="left"/>
              <w:rPr>
                <w:rFonts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bidi="ar"/>
              </w:rPr>
              <w:t xml:space="preserve">二十四、医药制造业 </w:t>
            </w:r>
            <w:r>
              <w:rPr>
                <w:rFonts w:hint="default" w:ascii="Times New Roman" w:hAnsi="Times New Roman" w:eastAsia="宋体" w:cs="Times New Roman"/>
                <w:color w:val="auto"/>
                <w:kern w:val="0"/>
                <w:sz w:val="21"/>
                <w:szCs w:val="21"/>
                <w:lang w:val="en-US" w:eastAsia="zh-CN" w:bidi="ar"/>
              </w:rPr>
              <w:t>27</w:t>
            </w:r>
            <w:r>
              <w:rPr>
                <w:rFonts w:hint="eastAsia" w:ascii="Times New Roman" w:hAnsi="Times New Roman" w:eastAsia="宋体" w:cs="Times New Roman"/>
                <w:color w:val="auto"/>
                <w:kern w:val="0"/>
                <w:sz w:val="21"/>
                <w:szCs w:val="21"/>
                <w:lang w:val="en-US" w:eastAsia="zh-CN" w:bidi="ar"/>
              </w:rPr>
              <w:t>，卫生材料及医药用品制造</w:t>
            </w:r>
            <w:r>
              <w:rPr>
                <w:rFonts w:hint="default" w:ascii="Times New Roman" w:hAnsi="Times New Roman" w:eastAsia="宋体" w:cs="Times New Roman"/>
                <w:color w:val="auto"/>
                <w:kern w:val="0"/>
                <w:sz w:val="21"/>
                <w:szCs w:val="21"/>
                <w:lang w:val="en-US" w:eastAsia="zh-CN" w:bidi="ar"/>
              </w:rPr>
              <w:t>277</w:t>
            </w:r>
          </w:p>
        </w:tc>
      </w:tr>
      <w:tr w14:paraId="271A2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45" w:type="dxa"/>
            <w:noWrap w:val="0"/>
            <w:tcMar>
              <w:top w:w="16" w:type="dxa"/>
              <w:left w:w="16" w:type="dxa"/>
              <w:right w:w="16" w:type="dxa"/>
            </w:tcMar>
            <w:vAlign w:val="center"/>
          </w:tcPr>
          <w:p w14:paraId="05051E3E">
            <w:pPr>
              <w:adjustRightInd w:val="0"/>
              <w:snapToGrid w:val="0"/>
              <w:jc w:val="center"/>
              <w:rPr>
                <w:rFonts w:ascii="Times New Roman" w:hAnsi="Times New Roman" w:eastAsia="宋体" w:cs="Times New Roman"/>
                <w:color w:val="FF0000"/>
                <w:sz w:val="21"/>
                <w:szCs w:val="21"/>
              </w:rPr>
            </w:pPr>
            <w:commentRangeStart w:id="0"/>
            <w:r>
              <w:rPr>
                <w:rFonts w:hint="eastAsia" w:ascii="Times New Roman" w:hAnsi="Times New Roman" w:eastAsia="宋体" w:cs="Times New Roman"/>
                <w:color w:val="FF0000"/>
                <w:sz w:val="21"/>
                <w:szCs w:val="21"/>
              </w:rPr>
              <w:t>建设</w:t>
            </w:r>
            <w:commentRangeEnd w:id="0"/>
            <w:r>
              <w:commentReference w:id="0"/>
            </w:r>
            <w:r>
              <w:rPr>
                <w:rFonts w:hint="eastAsia" w:ascii="Times New Roman" w:hAnsi="Times New Roman" w:eastAsia="宋体" w:cs="Times New Roman"/>
                <w:color w:val="FF0000"/>
                <w:sz w:val="21"/>
                <w:szCs w:val="21"/>
              </w:rPr>
              <w:t>性质</w:t>
            </w:r>
          </w:p>
        </w:tc>
        <w:tc>
          <w:tcPr>
            <w:tcW w:w="2074" w:type="dxa"/>
            <w:noWrap w:val="0"/>
            <w:vAlign w:val="center"/>
          </w:tcPr>
          <w:p w14:paraId="0F897F67">
            <w:pPr>
              <w:jc w:val="left"/>
              <w:rPr>
                <w:rFonts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rPr>
              <w:sym w:font="Wingdings 2" w:char="0052"/>
            </w:r>
            <w:r>
              <w:rPr>
                <w:rFonts w:hint="eastAsia" w:ascii="Times New Roman" w:hAnsi="Times New Roman" w:eastAsia="宋体" w:cs="Times New Roman"/>
                <w:color w:val="FF0000"/>
                <w:sz w:val="21"/>
                <w:szCs w:val="21"/>
              </w:rPr>
              <w:t>新建（迁建）</w:t>
            </w:r>
          </w:p>
          <w:p w14:paraId="5F816B05">
            <w:pPr>
              <w:jc w:val="left"/>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rPr>
              <w:t>□改建</w:t>
            </w:r>
          </w:p>
          <w:p w14:paraId="397096C4">
            <w:pPr>
              <w:jc w:val="left"/>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rPr>
              <w:t>□扩建</w:t>
            </w:r>
          </w:p>
          <w:p w14:paraId="3F6358B0">
            <w:pPr>
              <w:jc w:val="left"/>
              <w:rPr>
                <w:rFonts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rPr>
              <w:t>□技术改造</w:t>
            </w:r>
          </w:p>
        </w:tc>
        <w:tc>
          <w:tcPr>
            <w:tcW w:w="2212" w:type="dxa"/>
            <w:noWrap w:val="0"/>
            <w:vAlign w:val="center"/>
          </w:tcPr>
          <w:p w14:paraId="7547F971">
            <w:pPr>
              <w:adjustRightInd w:val="0"/>
              <w:snapToGrid w:val="0"/>
              <w:jc w:val="center"/>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rPr>
              <w:t>建设项目</w:t>
            </w:r>
          </w:p>
          <w:p w14:paraId="030F2F78">
            <w:pPr>
              <w:adjustRightInd w:val="0"/>
              <w:snapToGrid w:val="0"/>
              <w:jc w:val="center"/>
              <w:rPr>
                <w:rFonts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rPr>
              <w:t>申报情形</w:t>
            </w:r>
          </w:p>
        </w:tc>
        <w:tc>
          <w:tcPr>
            <w:tcW w:w="2639" w:type="dxa"/>
            <w:noWrap w:val="0"/>
            <w:vAlign w:val="center"/>
          </w:tcPr>
          <w:p w14:paraId="581820AD">
            <w:pPr>
              <w:jc w:val="left"/>
              <w:rPr>
                <w:rFonts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rPr>
              <w:sym w:font="Wingdings 2" w:char="00A3"/>
            </w:r>
            <w:r>
              <w:rPr>
                <w:rFonts w:hint="eastAsia" w:ascii="Times New Roman" w:hAnsi="Times New Roman" w:eastAsia="宋体" w:cs="Times New Roman"/>
                <w:color w:val="FF0000"/>
                <w:sz w:val="21"/>
                <w:szCs w:val="21"/>
              </w:rPr>
              <w:t>首次申报项目</w:t>
            </w:r>
            <w:r>
              <w:rPr>
                <w:rFonts w:ascii="Times New Roman" w:hAnsi="Times New Roman" w:eastAsia="宋体" w:cs="Times New Roman"/>
                <w:color w:val="FF0000"/>
                <w:sz w:val="21"/>
                <w:szCs w:val="21"/>
              </w:rPr>
              <w:t xml:space="preserve">             </w:t>
            </w:r>
          </w:p>
          <w:p w14:paraId="438BDB59">
            <w:pPr>
              <w:jc w:val="left"/>
              <w:rPr>
                <w:rFonts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rPr>
              <w:t>□不予批准后再次申报项目</w:t>
            </w:r>
          </w:p>
          <w:p w14:paraId="02908B17">
            <w:pPr>
              <w:jc w:val="left"/>
              <w:rPr>
                <w:rFonts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rPr>
              <w:sym w:font="Wingdings 2" w:char="00A3"/>
            </w:r>
            <w:r>
              <w:rPr>
                <w:rFonts w:hint="eastAsia" w:ascii="Times New Roman" w:hAnsi="Times New Roman" w:eastAsia="宋体" w:cs="Times New Roman"/>
                <w:color w:val="FF0000"/>
                <w:sz w:val="21"/>
                <w:szCs w:val="21"/>
              </w:rPr>
              <w:t>超五年重新审核项目</w:t>
            </w:r>
            <w:r>
              <w:rPr>
                <w:rFonts w:ascii="Times New Roman" w:hAnsi="Times New Roman" w:eastAsia="宋体" w:cs="Times New Roman"/>
                <w:color w:val="FF0000"/>
                <w:sz w:val="21"/>
                <w:szCs w:val="21"/>
              </w:rPr>
              <w:t xml:space="preserve">     </w:t>
            </w:r>
          </w:p>
          <w:p w14:paraId="6D9F4163">
            <w:pPr>
              <w:jc w:val="left"/>
              <w:rPr>
                <w:rFonts w:ascii="Times New Roman" w:hAnsi="Times New Roman" w:eastAsia="宋体" w:cs="Times New Roman"/>
                <w:color w:val="FF0000"/>
                <w:sz w:val="21"/>
                <w:szCs w:val="21"/>
              </w:rPr>
            </w:pPr>
            <w:r>
              <w:rPr>
                <w:rFonts w:hint="eastAsia" w:cs="Times New Roman"/>
                <w:color w:val="FF0000"/>
                <w:sz w:val="21"/>
                <w:szCs w:val="21"/>
                <w:lang w:eastAsia="zh-CN"/>
              </w:rPr>
              <w:t>☑</w:t>
            </w:r>
            <w:r>
              <w:rPr>
                <w:rFonts w:hint="eastAsia" w:ascii="Times New Roman" w:hAnsi="Times New Roman" w:eastAsia="宋体" w:cs="Times New Roman"/>
                <w:color w:val="FF0000"/>
                <w:sz w:val="21"/>
                <w:szCs w:val="21"/>
              </w:rPr>
              <w:t>重大变动重新报批项目</w:t>
            </w:r>
          </w:p>
        </w:tc>
      </w:tr>
      <w:tr w14:paraId="7C24A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45" w:type="dxa"/>
            <w:noWrap w:val="0"/>
            <w:tcMar>
              <w:top w:w="16" w:type="dxa"/>
              <w:left w:w="16" w:type="dxa"/>
              <w:right w:w="16" w:type="dxa"/>
            </w:tcMar>
            <w:vAlign w:val="center"/>
          </w:tcPr>
          <w:p w14:paraId="3908BB18">
            <w:pPr>
              <w:adjustRightInd w:val="0"/>
              <w:snapToGrid w:val="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项目审批（核准</w:t>
            </w:r>
            <w:r>
              <w:rPr>
                <w:rFonts w:ascii="Times New Roman" w:hAnsi="Times New Roman" w:eastAsia="宋体" w:cs="Times New Roman"/>
                <w:color w:val="auto"/>
                <w:sz w:val="21"/>
                <w:szCs w:val="21"/>
              </w:rPr>
              <w:t>/</w:t>
            </w:r>
          </w:p>
          <w:p w14:paraId="491129A7">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备案）部门（选填）</w:t>
            </w:r>
          </w:p>
        </w:tc>
        <w:tc>
          <w:tcPr>
            <w:tcW w:w="2074" w:type="dxa"/>
            <w:noWrap w:val="0"/>
            <w:vAlign w:val="center"/>
          </w:tcPr>
          <w:p w14:paraId="31ABC69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庐山市发展和改革委员会</w:t>
            </w:r>
          </w:p>
        </w:tc>
        <w:tc>
          <w:tcPr>
            <w:tcW w:w="2212" w:type="dxa"/>
            <w:noWrap w:val="0"/>
            <w:vAlign w:val="center"/>
          </w:tcPr>
          <w:p w14:paraId="767DADFF">
            <w:pPr>
              <w:adjustRightInd w:val="0"/>
              <w:snapToGrid w:val="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项目审批（核准</w:t>
            </w:r>
            <w:r>
              <w:rPr>
                <w:rFonts w:ascii="Times New Roman" w:hAnsi="Times New Roman" w:eastAsia="宋体" w:cs="Times New Roman"/>
                <w:color w:val="auto"/>
                <w:sz w:val="21"/>
                <w:szCs w:val="21"/>
              </w:rPr>
              <w:t>/</w:t>
            </w:r>
          </w:p>
          <w:p w14:paraId="15BDAA33">
            <w:pPr>
              <w:adjustRightInd w:val="0"/>
              <w:snapToGrid w:val="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备案）文号（选填）</w:t>
            </w:r>
          </w:p>
        </w:tc>
        <w:tc>
          <w:tcPr>
            <w:tcW w:w="2639" w:type="dxa"/>
            <w:noWrap w:val="0"/>
            <w:vAlign w:val="center"/>
          </w:tcPr>
          <w:p w14:paraId="3F7C16F2">
            <w:pPr>
              <w:adjustRightInd w:val="0"/>
              <w:snapToGrid w:val="0"/>
              <w:jc w:val="center"/>
              <w:rPr>
                <w:rFonts w:ascii="Times New Roman" w:hAnsi="Times New Roman" w:eastAsia="宋体" w:cs="Times New Roman"/>
                <w:color w:val="auto"/>
                <w:sz w:val="21"/>
                <w:szCs w:val="21"/>
              </w:rPr>
            </w:pPr>
            <w:r>
              <w:rPr>
                <w:rFonts w:hint="eastAsia" w:cs="Times New Roman"/>
                <w:color w:val="auto"/>
                <w:sz w:val="21"/>
                <w:szCs w:val="21"/>
                <w:lang w:val="en-US" w:eastAsia="zh-CN"/>
              </w:rPr>
              <w:t>2406-360483-04-01-351607</w:t>
            </w:r>
          </w:p>
        </w:tc>
      </w:tr>
      <w:tr w14:paraId="54227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5" w:type="dxa"/>
            <w:noWrap w:val="0"/>
            <w:tcMar>
              <w:top w:w="16" w:type="dxa"/>
              <w:left w:w="16" w:type="dxa"/>
              <w:right w:w="16" w:type="dxa"/>
            </w:tcMar>
            <w:vAlign w:val="center"/>
          </w:tcPr>
          <w:p w14:paraId="65AEB6EA">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总投资（万元）</w:t>
            </w:r>
          </w:p>
        </w:tc>
        <w:tc>
          <w:tcPr>
            <w:tcW w:w="2074" w:type="dxa"/>
            <w:noWrap w:val="0"/>
            <w:vAlign w:val="center"/>
          </w:tcPr>
          <w:p w14:paraId="15233B7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3000</w:t>
            </w:r>
          </w:p>
        </w:tc>
        <w:tc>
          <w:tcPr>
            <w:tcW w:w="2212" w:type="dxa"/>
            <w:noWrap w:val="0"/>
            <w:tcMar>
              <w:top w:w="16" w:type="dxa"/>
              <w:left w:w="16" w:type="dxa"/>
              <w:right w:w="16" w:type="dxa"/>
            </w:tcMar>
            <w:vAlign w:val="center"/>
          </w:tcPr>
          <w:p w14:paraId="2F98919F">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环保投资（万元）</w:t>
            </w:r>
          </w:p>
        </w:tc>
        <w:tc>
          <w:tcPr>
            <w:tcW w:w="2639" w:type="dxa"/>
            <w:noWrap w:val="0"/>
            <w:vAlign w:val="center"/>
          </w:tcPr>
          <w:p w14:paraId="7DC1FE48">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59</w:t>
            </w:r>
          </w:p>
        </w:tc>
      </w:tr>
      <w:tr w14:paraId="37C2C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5" w:type="dxa"/>
            <w:noWrap w:val="0"/>
            <w:tcMar>
              <w:top w:w="16" w:type="dxa"/>
              <w:left w:w="16" w:type="dxa"/>
              <w:right w:w="16" w:type="dxa"/>
            </w:tcMar>
            <w:vAlign w:val="center"/>
          </w:tcPr>
          <w:p w14:paraId="2C8E01F4">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环保投资占比（</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rPr>
              <w:t>）</w:t>
            </w:r>
          </w:p>
        </w:tc>
        <w:tc>
          <w:tcPr>
            <w:tcW w:w="2074" w:type="dxa"/>
            <w:noWrap w:val="0"/>
            <w:vAlign w:val="center"/>
          </w:tcPr>
          <w:p w14:paraId="1A02D2BA">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1.97</w:t>
            </w:r>
          </w:p>
        </w:tc>
        <w:tc>
          <w:tcPr>
            <w:tcW w:w="2212" w:type="dxa"/>
            <w:noWrap w:val="0"/>
            <w:tcMar>
              <w:top w:w="16" w:type="dxa"/>
              <w:left w:w="16" w:type="dxa"/>
              <w:right w:w="16" w:type="dxa"/>
            </w:tcMar>
            <w:vAlign w:val="center"/>
          </w:tcPr>
          <w:p w14:paraId="7D0BF6C9">
            <w:pPr>
              <w:adjustRightInd w:val="0"/>
              <w:snapToGrid w:val="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施工工期</w:t>
            </w:r>
          </w:p>
        </w:tc>
        <w:tc>
          <w:tcPr>
            <w:tcW w:w="2639" w:type="dxa"/>
            <w:noWrap w:val="0"/>
            <w:vAlign w:val="center"/>
          </w:tcPr>
          <w:p w14:paraId="7303BD81">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r>
              <w:rPr>
                <w:rFonts w:hint="eastAsia" w:cs="Times New Roman"/>
                <w:color w:val="auto"/>
                <w:sz w:val="21"/>
                <w:szCs w:val="21"/>
                <w:lang w:val="en-US" w:eastAsia="zh-CN"/>
              </w:rPr>
              <w:t>个月</w:t>
            </w:r>
          </w:p>
        </w:tc>
      </w:tr>
      <w:tr w14:paraId="432EA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45" w:type="dxa"/>
            <w:noWrap w:val="0"/>
            <w:tcMar>
              <w:top w:w="16" w:type="dxa"/>
              <w:left w:w="16" w:type="dxa"/>
              <w:right w:w="16" w:type="dxa"/>
            </w:tcMar>
            <w:vAlign w:val="center"/>
          </w:tcPr>
          <w:p w14:paraId="57F8F5EE">
            <w:pPr>
              <w:adjustRightInd w:val="0"/>
              <w:snapToGrid w:val="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是否开工建设</w:t>
            </w:r>
          </w:p>
        </w:tc>
        <w:tc>
          <w:tcPr>
            <w:tcW w:w="2074" w:type="dxa"/>
            <w:noWrap w:val="0"/>
            <w:vAlign w:val="center"/>
          </w:tcPr>
          <w:p w14:paraId="53C33F38">
            <w:pPr>
              <w:adjustRightInd w:val="0"/>
              <w:snapToGrid w:val="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sym w:font="Wingdings 2" w:char="00A3"/>
            </w:r>
            <w:r>
              <w:rPr>
                <w:rFonts w:hint="eastAsia" w:ascii="Times New Roman" w:hAnsi="Times New Roman" w:eastAsia="宋体" w:cs="Times New Roman"/>
                <w:color w:val="auto"/>
                <w:sz w:val="21"/>
                <w:szCs w:val="21"/>
              </w:rPr>
              <w:t>否</w:t>
            </w:r>
          </w:p>
          <w:p w14:paraId="7A86031A">
            <w:pPr>
              <w:adjustRightInd w:val="0"/>
              <w:snapToGrid w:val="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sym w:font="Wingdings 2" w:char="0052"/>
            </w:r>
            <w:r>
              <w:rPr>
                <w:rFonts w:hint="eastAsia" w:ascii="Times New Roman" w:hAnsi="Times New Roman" w:eastAsia="宋体" w:cs="Times New Roman"/>
                <w:color w:val="auto"/>
                <w:sz w:val="21"/>
                <w:szCs w:val="21"/>
              </w:rPr>
              <w:t>是：</w:t>
            </w:r>
            <w:r>
              <w:rPr>
                <w:rFonts w:hint="eastAsia" w:ascii="Times New Roman" w:hAnsi="Times New Roman" w:eastAsia="宋体" w:cs="Times New Roman"/>
                <w:color w:val="auto"/>
                <w:sz w:val="21"/>
                <w:szCs w:val="21"/>
                <w:u w:val="single"/>
                <w:lang w:val="en-US" w:eastAsia="zh-CN"/>
              </w:rPr>
              <w:t>原项目已通过环评审批，并已建设完成，由于建设项目发生重大变动，未开展竣工环保验收，也未投入使用</w:t>
            </w:r>
          </w:p>
        </w:tc>
        <w:tc>
          <w:tcPr>
            <w:tcW w:w="2212" w:type="dxa"/>
            <w:noWrap w:val="0"/>
            <w:tcMar>
              <w:top w:w="16" w:type="dxa"/>
              <w:left w:w="16" w:type="dxa"/>
              <w:right w:w="16" w:type="dxa"/>
            </w:tcMar>
            <w:vAlign w:val="center"/>
          </w:tcPr>
          <w:p w14:paraId="52446B77">
            <w:pPr>
              <w:adjustRightInd w:val="0"/>
              <w:snapToGrid w:val="0"/>
              <w:jc w:val="center"/>
              <w:rPr>
                <w:rFonts w:ascii="Times New Roman" w:hAnsi="Times New Roman" w:eastAsia="宋体" w:cs="Times New Roman"/>
                <w:color w:val="auto"/>
                <w:spacing w:val="-6"/>
                <w:sz w:val="21"/>
                <w:szCs w:val="21"/>
              </w:rPr>
            </w:pPr>
            <w:r>
              <w:rPr>
                <w:rFonts w:hint="eastAsia" w:ascii="Times New Roman" w:hAnsi="Times New Roman" w:eastAsia="宋体" w:cs="Times New Roman"/>
                <w:color w:val="auto"/>
                <w:spacing w:val="-6"/>
                <w:sz w:val="21"/>
                <w:szCs w:val="21"/>
              </w:rPr>
              <w:t>用地（用海）</w:t>
            </w:r>
          </w:p>
          <w:p w14:paraId="2FB3F274">
            <w:pPr>
              <w:adjustRightInd w:val="0"/>
              <w:snapToGrid w:val="0"/>
              <w:jc w:val="center"/>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pacing w:val="-6"/>
                <w:sz w:val="21"/>
                <w:szCs w:val="21"/>
              </w:rPr>
              <w:t>面积（</w:t>
            </w:r>
            <w:r>
              <w:rPr>
                <w:rFonts w:ascii="Times New Roman" w:hAnsi="Times New Roman" w:eastAsia="宋体" w:cs="Times New Roman"/>
                <w:color w:val="auto"/>
                <w:spacing w:val="-6"/>
                <w:sz w:val="21"/>
                <w:szCs w:val="21"/>
              </w:rPr>
              <w:t>m</w:t>
            </w:r>
            <w:r>
              <w:rPr>
                <w:rFonts w:ascii="Times New Roman" w:hAnsi="Times New Roman" w:eastAsia="宋体" w:cs="Times New Roman"/>
                <w:color w:val="auto"/>
                <w:spacing w:val="-6"/>
                <w:sz w:val="21"/>
                <w:szCs w:val="21"/>
                <w:vertAlign w:val="superscript"/>
              </w:rPr>
              <w:t>2</w:t>
            </w:r>
            <w:r>
              <w:rPr>
                <w:rFonts w:hint="eastAsia" w:ascii="Times New Roman" w:hAnsi="Times New Roman" w:eastAsia="宋体" w:cs="Times New Roman"/>
                <w:color w:val="auto"/>
                <w:spacing w:val="-6"/>
                <w:sz w:val="21"/>
                <w:szCs w:val="21"/>
              </w:rPr>
              <w:t>）</w:t>
            </w:r>
          </w:p>
        </w:tc>
        <w:tc>
          <w:tcPr>
            <w:tcW w:w="2639" w:type="dxa"/>
            <w:noWrap w:val="0"/>
            <w:vAlign w:val="center"/>
          </w:tcPr>
          <w:p w14:paraId="501A8F1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2880</w:t>
            </w:r>
          </w:p>
        </w:tc>
      </w:tr>
      <w:tr w14:paraId="1DCC06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45" w:type="dxa"/>
            <w:noWrap w:val="0"/>
            <w:vAlign w:val="center"/>
          </w:tcPr>
          <w:p w14:paraId="04A83347">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专项评价设置情况</w:t>
            </w:r>
          </w:p>
        </w:tc>
        <w:tc>
          <w:tcPr>
            <w:tcW w:w="6925" w:type="dxa"/>
            <w:gridSpan w:val="3"/>
            <w:noWrap w:val="0"/>
            <w:vAlign w:val="center"/>
          </w:tcPr>
          <w:p w14:paraId="56C5C3C6">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根据《建设项目环境影响报告表编制技术指南（污染影响类）（试行）</w:t>
            </w:r>
            <w:r>
              <w:rPr>
                <w:rFonts w:hint="eastAsia"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中的有关要求，对本项目的专项评价设置情况进行判定，本项目不设置专项评价，具体分析如表</w:t>
            </w:r>
            <w:r>
              <w:rPr>
                <w:rFonts w:hint="default" w:ascii="Times New Roman" w:hAnsi="Times New Roman" w:eastAsia="宋体" w:cs="Times New Roman"/>
                <w:color w:val="auto"/>
                <w:kern w:val="0"/>
                <w:sz w:val="24"/>
                <w:szCs w:val="24"/>
                <w:lang w:val="en-US" w:eastAsia="zh-CN" w:bidi="ar"/>
              </w:rPr>
              <w:t>1-1</w:t>
            </w:r>
            <w:r>
              <w:rPr>
                <w:rFonts w:hint="eastAsia" w:ascii="Times New Roman" w:hAnsi="Times New Roman" w:eastAsia="宋体" w:cs="Times New Roman"/>
                <w:color w:val="auto"/>
                <w:kern w:val="0"/>
                <w:sz w:val="24"/>
                <w:szCs w:val="24"/>
                <w:lang w:val="en-US" w:eastAsia="zh-CN" w:bidi="ar"/>
              </w:rPr>
              <w:t>所示。</w:t>
            </w:r>
          </w:p>
          <w:p w14:paraId="5C5C9BE9">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default" w:ascii="Times New Roman" w:hAnsi="Times New Roman" w:cs="Times New Roman"/>
                <w:b/>
                <w:color w:val="auto"/>
                <w:spacing w:val="3"/>
                <w:szCs w:val="21"/>
              </w:rPr>
            </w:pPr>
            <w:r>
              <w:rPr>
                <w:rFonts w:hint="default" w:ascii="Times New Roman" w:hAnsi="Times New Roman" w:cs="Times New Roman"/>
                <w:b/>
                <w:color w:val="auto"/>
                <w:spacing w:val="3"/>
                <w:szCs w:val="21"/>
              </w:rPr>
              <w:t>表1-1  专项评价设置分析表</w:t>
            </w:r>
          </w:p>
          <w:tbl>
            <w:tblPr>
              <w:tblStyle w:val="24"/>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3179"/>
              <w:gridCol w:w="2546"/>
              <w:gridCol w:w="832"/>
            </w:tblGrid>
            <w:tr w14:paraId="7D79EC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555" w:type="pct"/>
                  <w:tcBorders>
                    <w:top w:val="single" w:color="auto" w:sz="12" w:space="0"/>
                    <w:bottom w:val="single" w:color="auto" w:sz="12" w:space="0"/>
                  </w:tcBorders>
                  <w:noWrap w:val="0"/>
                  <w:vAlign w:val="center"/>
                </w:tcPr>
                <w:p w14:paraId="1E7E91B9">
                  <w:pPr>
                    <w:widowControl w:val="0"/>
                    <w:spacing w:after="0"/>
                    <w:ind w:left="0" w:leftChars="0"/>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SA"/>
                    </w:rPr>
                    <w:t>要素</w:t>
                  </w:r>
                </w:p>
              </w:tc>
              <w:tc>
                <w:tcPr>
                  <w:tcW w:w="2155" w:type="pct"/>
                  <w:tcBorders>
                    <w:top w:val="single" w:color="auto" w:sz="12" w:space="0"/>
                    <w:bottom w:val="single" w:color="auto" w:sz="12" w:space="0"/>
                  </w:tcBorders>
                  <w:noWrap w:val="0"/>
                  <w:vAlign w:val="center"/>
                </w:tcPr>
                <w:p w14:paraId="55CFFCFD">
                  <w:pPr>
                    <w:widowControl w:val="0"/>
                    <w:spacing w:after="0"/>
                    <w:ind w:left="0" w:leftChars="0"/>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SA"/>
                    </w:rPr>
                    <w:t>判定依据</w:t>
                  </w:r>
                </w:p>
              </w:tc>
              <w:tc>
                <w:tcPr>
                  <w:tcW w:w="1726" w:type="pct"/>
                  <w:tcBorders>
                    <w:top w:val="single" w:color="auto" w:sz="12" w:space="0"/>
                    <w:bottom w:val="single" w:color="auto" w:sz="12" w:space="0"/>
                  </w:tcBorders>
                  <w:noWrap w:val="0"/>
                  <w:vAlign w:val="center"/>
                </w:tcPr>
                <w:p w14:paraId="6F579D58">
                  <w:pPr>
                    <w:widowControl w:val="0"/>
                    <w:spacing w:after="0"/>
                    <w:ind w:left="0" w:leftChars="0"/>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SA"/>
                    </w:rPr>
                    <w:t>判定过程</w:t>
                  </w:r>
                </w:p>
              </w:tc>
              <w:tc>
                <w:tcPr>
                  <w:tcW w:w="562" w:type="pct"/>
                  <w:tcBorders>
                    <w:top w:val="single" w:color="auto" w:sz="12" w:space="0"/>
                    <w:bottom w:val="single" w:color="auto" w:sz="12" w:space="0"/>
                  </w:tcBorders>
                  <w:noWrap w:val="0"/>
                  <w:vAlign w:val="center"/>
                </w:tcPr>
                <w:p w14:paraId="5D6D29C2">
                  <w:pPr>
                    <w:widowControl w:val="0"/>
                    <w:spacing w:after="0"/>
                    <w:ind w:left="0" w:leftChars="0"/>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SA"/>
                    </w:rPr>
                    <w:t>判定</w:t>
                  </w:r>
                </w:p>
                <w:p w14:paraId="1F006CF2">
                  <w:pPr>
                    <w:widowControl w:val="0"/>
                    <w:spacing w:after="0"/>
                    <w:ind w:left="0" w:leftChars="0"/>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SA"/>
                    </w:rPr>
                    <w:t>结果</w:t>
                  </w:r>
                </w:p>
              </w:tc>
            </w:tr>
            <w:tr w14:paraId="24FACD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555" w:type="pct"/>
                  <w:tcBorders>
                    <w:top w:val="single" w:color="auto" w:sz="12" w:space="0"/>
                    <w:tl2br w:val="nil"/>
                    <w:tr2bl w:val="nil"/>
                  </w:tcBorders>
                  <w:noWrap w:val="0"/>
                  <w:vAlign w:val="center"/>
                </w:tcPr>
                <w:p w14:paraId="21B4BF2B">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大气环境</w:t>
                  </w:r>
                </w:p>
              </w:tc>
              <w:tc>
                <w:tcPr>
                  <w:tcW w:w="2155" w:type="pct"/>
                  <w:tcBorders>
                    <w:top w:val="single" w:color="auto" w:sz="12" w:space="0"/>
                    <w:tl2br w:val="nil"/>
                    <w:tr2bl w:val="nil"/>
                  </w:tcBorders>
                  <w:noWrap w:val="0"/>
                  <w:vAlign w:val="center"/>
                </w:tcPr>
                <w:p w14:paraId="238AE528">
                  <w:pPr>
                    <w:widowControl w:val="0"/>
                    <w:spacing w:after="0"/>
                    <w:ind w:left="0" w:leftChars="0"/>
                    <w:jc w:val="both"/>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排放废气含有毒有害污染物、二噁英、苯并[ a ]芘、氰化物、氯气且厂界外500米范围内有环境空气保护目标的建设项目</w:t>
                  </w:r>
                </w:p>
              </w:tc>
              <w:tc>
                <w:tcPr>
                  <w:tcW w:w="2165" w:type="dxa"/>
                  <w:tcBorders>
                    <w:top w:val="single" w:color="auto" w:sz="12" w:space="0"/>
                    <w:tl2br w:val="nil"/>
                    <w:tr2bl w:val="nil"/>
                  </w:tcBorders>
                  <w:noWrap w:val="0"/>
                  <w:vAlign w:val="center"/>
                </w:tcPr>
                <w:p w14:paraId="2090C5FE">
                  <w:pPr>
                    <w:jc w:val="center"/>
                    <w:rPr>
                      <w:rFonts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pacing w:val="3"/>
                      <w:szCs w:val="21"/>
                    </w:rPr>
                    <w:t>项目废气不涉及上述有毒有害污染物排放</w:t>
                  </w:r>
                </w:p>
              </w:tc>
              <w:tc>
                <w:tcPr>
                  <w:tcW w:w="562" w:type="pct"/>
                  <w:tcBorders>
                    <w:top w:val="single" w:color="auto" w:sz="12" w:space="0"/>
                    <w:tl2br w:val="nil"/>
                    <w:tr2bl w:val="nil"/>
                  </w:tcBorders>
                  <w:noWrap w:val="0"/>
                  <w:vAlign w:val="center"/>
                </w:tcPr>
                <w:p w14:paraId="7BFEE2CB">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无</w:t>
                  </w:r>
                  <w:r>
                    <w:rPr>
                      <w:rFonts w:hint="eastAsia" w:ascii="Times New Roman" w:hAnsi="Times New Roman" w:eastAsia="宋体" w:cs="Times New Roman"/>
                      <w:color w:val="auto"/>
                      <w:kern w:val="0"/>
                      <w:sz w:val="21"/>
                      <w:szCs w:val="21"/>
                      <w:lang w:val="en-US" w:eastAsia="zh-CN" w:bidi="ar-SA"/>
                    </w:rPr>
                    <w:t>需</w:t>
                  </w:r>
                </w:p>
                <w:p w14:paraId="0F371FB9">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设置</w:t>
                  </w:r>
                </w:p>
              </w:tc>
            </w:tr>
            <w:tr w14:paraId="174800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5" w:type="pct"/>
                  <w:tcBorders>
                    <w:tl2br w:val="nil"/>
                    <w:tr2bl w:val="nil"/>
                  </w:tcBorders>
                  <w:noWrap w:val="0"/>
                  <w:vAlign w:val="center"/>
                </w:tcPr>
                <w:p w14:paraId="74542A67">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地表水环境</w:t>
                  </w:r>
                </w:p>
              </w:tc>
              <w:tc>
                <w:tcPr>
                  <w:tcW w:w="2155" w:type="pct"/>
                  <w:tcBorders>
                    <w:tl2br w:val="nil"/>
                    <w:tr2bl w:val="nil"/>
                  </w:tcBorders>
                  <w:noWrap w:val="0"/>
                  <w:vAlign w:val="center"/>
                </w:tcPr>
                <w:p w14:paraId="3988F428">
                  <w:pPr>
                    <w:widowControl w:val="0"/>
                    <w:spacing w:after="0"/>
                    <w:ind w:left="0" w:leftChars="0"/>
                    <w:jc w:val="both"/>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新增工业废水直排建设项目（槽罐车外送污水处理厂的除外）；新增废水直排的污水集中处理厂</w:t>
                  </w:r>
                </w:p>
              </w:tc>
              <w:tc>
                <w:tcPr>
                  <w:tcW w:w="2165" w:type="dxa"/>
                  <w:tcBorders>
                    <w:tl2br w:val="nil"/>
                    <w:tr2bl w:val="nil"/>
                  </w:tcBorders>
                  <w:noWrap w:val="0"/>
                  <w:vAlign w:val="center"/>
                </w:tcPr>
                <w:p w14:paraId="27EB5EC3">
                  <w:pPr>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项目</w:t>
                  </w:r>
                  <w:r>
                    <w:rPr>
                      <w:rFonts w:hint="eastAsia" w:ascii="Times New Roman" w:hAnsi="Times New Roman" w:eastAsia="宋体" w:cs="Times New Roman"/>
                      <w:color w:val="auto"/>
                      <w:kern w:val="0"/>
                      <w:sz w:val="21"/>
                      <w:szCs w:val="21"/>
                      <w:lang w:val="en-US" w:eastAsia="zh-CN" w:bidi="ar-SA"/>
                    </w:rPr>
                    <w:t>废水经处理达园区接管标准后排入庐山工业污水处理厂污水处理厂</w:t>
                  </w:r>
                </w:p>
              </w:tc>
              <w:tc>
                <w:tcPr>
                  <w:tcW w:w="562" w:type="pct"/>
                  <w:tcBorders>
                    <w:tl2br w:val="nil"/>
                    <w:tr2bl w:val="nil"/>
                  </w:tcBorders>
                  <w:noWrap w:val="0"/>
                  <w:vAlign w:val="center"/>
                </w:tcPr>
                <w:p w14:paraId="322F3693">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无</w:t>
                  </w:r>
                  <w:r>
                    <w:rPr>
                      <w:rFonts w:hint="eastAsia" w:ascii="Times New Roman" w:hAnsi="Times New Roman" w:eastAsia="宋体" w:cs="Times New Roman"/>
                      <w:color w:val="auto"/>
                      <w:kern w:val="0"/>
                      <w:sz w:val="21"/>
                      <w:szCs w:val="21"/>
                      <w:lang w:val="en-US" w:eastAsia="zh-CN" w:bidi="ar-SA"/>
                    </w:rPr>
                    <w:t>需</w:t>
                  </w:r>
                </w:p>
                <w:p w14:paraId="6E15DDA6">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设置</w:t>
                  </w:r>
                </w:p>
              </w:tc>
            </w:tr>
            <w:tr w14:paraId="646391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555" w:type="pct"/>
                  <w:tcBorders>
                    <w:tl2br w:val="nil"/>
                    <w:tr2bl w:val="nil"/>
                  </w:tcBorders>
                  <w:noWrap w:val="0"/>
                  <w:vAlign w:val="center"/>
                </w:tcPr>
                <w:p w14:paraId="29D0FEA6">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生态环境</w:t>
                  </w:r>
                </w:p>
              </w:tc>
              <w:tc>
                <w:tcPr>
                  <w:tcW w:w="2155" w:type="pct"/>
                  <w:tcBorders>
                    <w:tl2br w:val="nil"/>
                    <w:tr2bl w:val="nil"/>
                  </w:tcBorders>
                  <w:noWrap w:val="0"/>
                  <w:vAlign w:val="center"/>
                </w:tcPr>
                <w:p w14:paraId="6F4ED533">
                  <w:pPr>
                    <w:widowControl w:val="0"/>
                    <w:spacing w:after="0"/>
                    <w:ind w:left="0" w:leftChars="0"/>
                    <w:jc w:val="both"/>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取水口下游500米范围内有重要水生生物的自然产卵场、索饵场、越冬场和洄游通道的新增河道取水的污染类建设项目</w:t>
                  </w:r>
                </w:p>
              </w:tc>
              <w:tc>
                <w:tcPr>
                  <w:tcW w:w="1726" w:type="pct"/>
                  <w:tcBorders>
                    <w:tl2br w:val="nil"/>
                    <w:tr2bl w:val="nil"/>
                  </w:tcBorders>
                  <w:noWrap w:val="0"/>
                  <w:vAlign w:val="center"/>
                </w:tcPr>
                <w:p w14:paraId="181F2545">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不涉及</w:t>
                  </w:r>
                </w:p>
              </w:tc>
              <w:tc>
                <w:tcPr>
                  <w:tcW w:w="562" w:type="pct"/>
                  <w:tcBorders>
                    <w:tl2br w:val="nil"/>
                    <w:tr2bl w:val="nil"/>
                  </w:tcBorders>
                  <w:noWrap w:val="0"/>
                  <w:vAlign w:val="center"/>
                </w:tcPr>
                <w:p w14:paraId="6F53677C">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无</w:t>
                  </w:r>
                  <w:r>
                    <w:rPr>
                      <w:rFonts w:hint="eastAsia" w:ascii="Times New Roman" w:hAnsi="Times New Roman" w:eastAsia="宋体" w:cs="Times New Roman"/>
                      <w:color w:val="auto"/>
                      <w:kern w:val="0"/>
                      <w:sz w:val="21"/>
                      <w:szCs w:val="21"/>
                      <w:lang w:val="en-US" w:eastAsia="zh-CN" w:bidi="ar-SA"/>
                    </w:rPr>
                    <w:t>需</w:t>
                  </w:r>
                </w:p>
                <w:p w14:paraId="68A35216">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设置</w:t>
                  </w:r>
                </w:p>
              </w:tc>
            </w:tr>
            <w:tr w14:paraId="6028B6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555" w:type="pct"/>
                  <w:noWrap w:val="0"/>
                  <w:vAlign w:val="center"/>
                </w:tcPr>
                <w:p w14:paraId="45BE3171">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环境风险</w:t>
                  </w:r>
                </w:p>
              </w:tc>
              <w:tc>
                <w:tcPr>
                  <w:tcW w:w="2155" w:type="pct"/>
                  <w:noWrap w:val="0"/>
                  <w:vAlign w:val="center"/>
                </w:tcPr>
                <w:p w14:paraId="246E2199">
                  <w:pPr>
                    <w:widowControl w:val="0"/>
                    <w:spacing w:after="0"/>
                    <w:ind w:left="0" w:leftChars="0"/>
                    <w:jc w:val="both"/>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有毒有害和易燃易爆危险物质存储量超过临界量的建设项目</w:t>
                  </w:r>
                </w:p>
              </w:tc>
              <w:tc>
                <w:tcPr>
                  <w:tcW w:w="1726" w:type="pct"/>
                  <w:noWrap w:val="0"/>
                  <w:vAlign w:val="center"/>
                </w:tcPr>
                <w:p w14:paraId="305A2135">
                  <w:pPr>
                    <w:widowControl w:val="0"/>
                    <w:spacing w:after="0"/>
                    <w:ind w:left="0" w:leftChars="0"/>
                    <w:jc w:val="left"/>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项目Q＜1，详见项目环境风险分析章节</w:t>
                  </w:r>
                </w:p>
              </w:tc>
              <w:tc>
                <w:tcPr>
                  <w:tcW w:w="562" w:type="pct"/>
                  <w:noWrap w:val="0"/>
                  <w:vAlign w:val="center"/>
                </w:tcPr>
                <w:p w14:paraId="33551D26">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无</w:t>
                  </w:r>
                  <w:r>
                    <w:rPr>
                      <w:rFonts w:hint="eastAsia" w:ascii="Times New Roman" w:hAnsi="Times New Roman" w:eastAsia="宋体" w:cs="Times New Roman"/>
                      <w:color w:val="auto"/>
                      <w:kern w:val="0"/>
                      <w:sz w:val="21"/>
                      <w:szCs w:val="21"/>
                      <w:lang w:val="en-US" w:eastAsia="zh-CN" w:bidi="ar-SA"/>
                    </w:rPr>
                    <w:t>需</w:t>
                  </w:r>
                </w:p>
                <w:p w14:paraId="5E7C6FE4">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设置</w:t>
                  </w:r>
                </w:p>
              </w:tc>
            </w:tr>
            <w:tr w14:paraId="40D3C4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555" w:type="pct"/>
                  <w:noWrap w:val="0"/>
                  <w:vAlign w:val="center"/>
                </w:tcPr>
                <w:p w14:paraId="053F9779">
                  <w:pPr>
                    <w:widowControl w:val="0"/>
                    <w:spacing w:after="0"/>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海洋环境</w:t>
                  </w:r>
                </w:p>
              </w:tc>
              <w:tc>
                <w:tcPr>
                  <w:tcW w:w="2155" w:type="pct"/>
                  <w:noWrap w:val="0"/>
                  <w:vAlign w:val="center"/>
                </w:tcPr>
                <w:p w14:paraId="72EC5A71">
                  <w:pPr>
                    <w:widowControl w:val="0"/>
                    <w:spacing w:after="0"/>
                    <w:ind w:left="0" w:leftChars="0"/>
                    <w:jc w:val="both"/>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直接向海排放污染物的海洋工程建设项目</w:t>
                  </w:r>
                </w:p>
              </w:tc>
              <w:tc>
                <w:tcPr>
                  <w:tcW w:w="1726" w:type="pct"/>
                  <w:noWrap w:val="0"/>
                  <w:vAlign w:val="center"/>
                </w:tcPr>
                <w:p w14:paraId="539AF53E">
                  <w:pPr>
                    <w:widowControl w:val="0"/>
                    <w:spacing w:after="0"/>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不涉及</w:t>
                  </w:r>
                </w:p>
              </w:tc>
              <w:tc>
                <w:tcPr>
                  <w:tcW w:w="562" w:type="pct"/>
                  <w:noWrap w:val="0"/>
                  <w:vAlign w:val="center"/>
                </w:tcPr>
                <w:p w14:paraId="19F4F8EC">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无</w:t>
                  </w:r>
                  <w:r>
                    <w:rPr>
                      <w:rFonts w:hint="eastAsia" w:ascii="Times New Roman" w:hAnsi="Times New Roman" w:eastAsia="宋体" w:cs="Times New Roman"/>
                      <w:color w:val="auto"/>
                      <w:kern w:val="0"/>
                      <w:sz w:val="21"/>
                      <w:szCs w:val="21"/>
                      <w:lang w:val="en-US" w:eastAsia="zh-CN" w:bidi="ar-SA"/>
                    </w:rPr>
                    <w:t>需</w:t>
                  </w:r>
                </w:p>
                <w:p w14:paraId="28088B43">
                  <w:pPr>
                    <w:widowControl w:val="0"/>
                    <w:spacing w:after="0"/>
                    <w:ind w:left="0" w:leftChars="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设置</w:t>
                  </w:r>
                </w:p>
              </w:tc>
            </w:tr>
            <w:tr w14:paraId="76228C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 w:hRule="atLeast"/>
                <w:jc w:val="center"/>
              </w:trPr>
              <w:tc>
                <w:tcPr>
                  <w:tcW w:w="5000" w:type="pct"/>
                  <w:gridSpan w:val="4"/>
                  <w:tcBorders>
                    <w:bottom w:val="single" w:color="auto" w:sz="12" w:space="0"/>
                  </w:tcBorders>
                  <w:noWrap w:val="0"/>
                  <w:vAlign w:val="center"/>
                </w:tcPr>
                <w:p w14:paraId="533106C9">
                  <w:pPr>
                    <w:keepNext w:val="0"/>
                    <w:keepLines w:val="0"/>
                    <w:pageBreakBefore w:val="0"/>
                    <w:widowControl w:val="0"/>
                    <w:kinsoku/>
                    <w:wordWrap/>
                    <w:overflowPunct/>
                    <w:topLinePunct w:val="0"/>
                    <w:autoSpaceDE/>
                    <w:autoSpaceDN/>
                    <w:bidi w:val="0"/>
                    <w:adjustRightInd/>
                    <w:snapToGrid/>
                    <w:spacing w:after="0"/>
                    <w:ind w:left="0" w:leftChars="0" w:firstLine="420" w:firstLineChars="200"/>
                    <w:jc w:val="left"/>
                    <w:textAlignment w:val="auto"/>
                    <w:rPr>
                      <w:rFonts w:ascii="Times New Roman" w:hAnsi="Times New Roman" w:eastAsia="宋体" w:cs="Times New Roman"/>
                      <w:color w:val="auto"/>
                      <w:kern w:val="0"/>
                      <w:sz w:val="21"/>
                      <w:szCs w:val="21"/>
                      <w:lang w:val="en-US" w:eastAsia="zh-CN" w:bidi="ar-SA"/>
                    </w:rPr>
                  </w:pPr>
                  <w:r>
                    <w:rPr>
                      <w:rFonts w:hint="eastAsia"/>
                      <w:color w:val="auto"/>
                      <w:sz w:val="21"/>
                      <w:szCs w:val="21"/>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C。</w:t>
                  </w:r>
                </w:p>
              </w:tc>
            </w:tr>
          </w:tbl>
          <w:p w14:paraId="58A608B1">
            <w:pPr>
              <w:keepNext w:val="0"/>
              <w:keepLines w:val="0"/>
              <w:pageBreakBefore w:val="0"/>
              <w:widowControl w:val="0"/>
              <w:kinsoku/>
              <w:wordWrap/>
              <w:overflowPunct/>
              <w:topLinePunct w:val="0"/>
              <w:autoSpaceDE w:val="0"/>
              <w:autoSpaceDN w:val="0"/>
              <w:bidi w:val="0"/>
              <w:adjustRightInd w:val="0"/>
              <w:snapToGrid w:val="0"/>
              <w:spacing w:line="240" w:lineRule="auto"/>
              <w:ind w:firstLine="480" w:firstLineChars="200"/>
              <w:jc w:val="both"/>
              <w:textAlignment w:val="auto"/>
              <w:rPr>
                <w:rFonts w:ascii="宋体" w:hAnsi="宋体" w:cs="宋体"/>
                <w:color w:val="auto"/>
                <w:kern w:val="0"/>
                <w:szCs w:val="21"/>
              </w:rPr>
            </w:pPr>
            <w:r>
              <w:rPr>
                <w:rFonts w:hint="eastAsia" w:ascii="宋体" w:hAnsi="宋体" w:cs="宋体"/>
                <w:color w:val="auto"/>
                <w:kern w:val="0"/>
                <w:sz w:val="24"/>
                <w:szCs w:val="24"/>
                <w:lang w:val="en-US" w:eastAsia="zh-CN"/>
              </w:rPr>
              <w:t>因此，本项目</w:t>
            </w:r>
            <w:r>
              <w:rPr>
                <w:rFonts w:hint="eastAsia" w:ascii="宋体" w:hAnsi="宋体" w:cs="宋体"/>
                <w:b w:val="0"/>
                <w:bCs w:val="0"/>
                <w:color w:val="auto"/>
                <w:kern w:val="0"/>
                <w:sz w:val="24"/>
                <w:szCs w:val="24"/>
                <w:lang w:val="en-US" w:eastAsia="zh-CN"/>
              </w:rPr>
              <w:t>无需设置</w:t>
            </w:r>
            <w:r>
              <w:rPr>
                <w:rFonts w:hint="default"/>
                <w:b w:val="0"/>
                <w:bCs w:val="0"/>
                <w:color w:val="auto"/>
                <w:sz w:val="24"/>
                <w:szCs w:val="24"/>
                <w:lang w:val="en-US" w:eastAsia="zh-CN"/>
              </w:rPr>
              <w:t>专项评价</w:t>
            </w:r>
            <w:r>
              <w:rPr>
                <w:rFonts w:hint="eastAsia" w:ascii="Times New Roman" w:eastAsia="宋体"/>
                <w:b w:val="0"/>
                <w:bCs w:val="0"/>
                <w:color w:val="auto"/>
                <w:sz w:val="24"/>
                <w:szCs w:val="24"/>
                <w:lang w:val="en-US" w:eastAsia="zh-CN"/>
              </w:rPr>
              <w:t>。</w:t>
            </w:r>
          </w:p>
        </w:tc>
      </w:tr>
      <w:tr w14:paraId="4D9988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45" w:type="dxa"/>
            <w:noWrap w:val="0"/>
            <w:vAlign w:val="center"/>
          </w:tcPr>
          <w:p w14:paraId="3EE16343">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szCs w:val="21"/>
              </w:rPr>
              <w:t>规划情况</w:t>
            </w:r>
          </w:p>
        </w:tc>
        <w:tc>
          <w:tcPr>
            <w:tcW w:w="6925" w:type="dxa"/>
            <w:gridSpan w:val="3"/>
            <w:noWrap w:val="0"/>
            <w:vAlign w:val="center"/>
          </w:tcPr>
          <w:p w14:paraId="16F68583">
            <w:pPr>
              <w:keepNext/>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color w:val="auto"/>
                <w:sz w:val="24"/>
                <w:highlight w:val="none"/>
                <w:shd w:val="clear" w:color="auto" w:fill="FFFFFF"/>
                <w:lang w:val="en-US"/>
              </w:rPr>
            </w:pPr>
            <w:r>
              <w:rPr>
                <w:rFonts w:hint="default"/>
                <w:color w:val="auto"/>
                <w:sz w:val="24"/>
                <w:highlight w:val="none"/>
                <w:shd w:val="clear" w:color="auto" w:fill="FFFFFF"/>
                <w:lang w:val="en-US"/>
              </w:rPr>
              <w:t>规划名称：《</w:t>
            </w:r>
            <w:r>
              <w:rPr>
                <w:rFonts w:hint="eastAsia"/>
                <w:color w:val="auto"/>
                <w:sz w:val="24"/>
                <w:highlight w:val="none"/>
                <w:shd w:val="clear" w:color="auto" w:fill="FFFFFF"/>
                <w:lang w:val="en-US" w:eastAsia="zh-CN"/>
              </w:rPr>
              <w:t>江西庐山工业园区扩区调区规划</w:t>
            </w:r>
            <w:r>
              <w:rPr>
                <w:rFonts w:hint="default"/>
                <w:color w:val="auto"/>
                <w:sz w:val="24"/>
                <w:highlight w:val="none"/>
                <w:shd w:val="clear" w:color="auto" w:fill="FFFFFF"/>
                <w:lang w:val="en-US"/>
              </w:rPr>
              <w:t>》。</w:t>
            </w:r>
          </w:p>
          <w:p w14:paraId="737CD080">
            <w:pPr>
              <w:keepNext/>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color w:val="auto"/>
                <w:sz w:val="24"/>
                <w:highlight w:val="none"/>
                <w:shd w:val="clear" w:color="auto" w:fill="FFFFFF"/>
                <w:lang w:val="en-US"/>
              </w:rPr>
            </w:pPr>
            <w:r>
              <w:rPr>
                <w:rFonts w:hint="default"/>
                <w:color w:val="auto"/>
                <w:sz w:val="24"/>
                <w:highlight w:val="none"/>
                <w:shd w:val="clear" w:color="auto" w:fill="FFFFFF"/>
                <w:lang w:val="en-US"/>
              </w:rPr>
              <w:t>审查机关：江西省人民政府。</w:t>
            </w:r>
          </w:p>
          <w:p w14:paraId="697EC58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color w:val="auto"/>
                <w:sz w:val="24"/>
                <w:highlight w:val="none"/>
                <w:shd w:val="clear" w:color="auto" w:fill="FFFFFF"/>
                <w:lang w:val="en-US"/>
              </w:rPr>
              <w:t>审批文号：赣府厅字〔202</w:t>
            </w:r>
            <w:r>
              <w:rPr>
                <w:rFonts w:hint="eastAsia"/>
                <w:color w:val="auto"/>
                <w:sz w:val="24"/>
                <w:highlight w:val="none"/>
                <w:shd w:val="clear" w:color="auto" w:fill="FFFFFF"/>
                <w:lang w:val="en-US" w:eastAsia="zh-CN"/>
              </w:rPr>
              <w:t>3</w:t>
            </w:r>
            <w:r>
              <w:rPr>
                <w:rFonts w:hint="default"/>
                <w:color w:val="auto"/>
                <w:sz w:val="24"/>
                <w:highlight w:val="none"/>
                <w:shd w:val="clear" w:color="auto" w:fill="FFFFFF"/>
                <w:lang w:val="en-US"/>
              </w:rPr>
              <w:t>〕</w:t>
            </w:r>
            <w:r>
              <w:rPr>
                <w:rFonts w:hint="eastAsia"/>
                <w:color w:val="auto"/>
                <w:sz w:val="24"/>
                <w:highlight w:val="none"/>
                <w:shd w:val="clear" w:color="auto" w:fill="FFFFFF"/>
                <w:lang w:val="en-US" w:eastAsia="zh-CN"/>
              </w:rPr>
              <w:t>81</w:t>
            </w:r>
            <w:r>
              <w:rPr>
                <w:rFonts w:hint="default"/>
                <w:color w:val="auto"/>
                <w:sz w:val="24"/>
                <w:highlight w:val="none"/>
                <w:shd w:val="clear" w:color="auto" w:fill="FFFFFF"/>
                <w:lang w:val="en-US"/>
              </w:rPr>
              <w:t>号。</w:t>
            </w:r>
          </w:p>
        </w:tc>
      </w:tr>
      <w:tr w14:paraId="28F6E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45" w:type="dxa"/>
            <w:noWrap w:val="0"/>
            <w:vAlign w:val="center"/>
          </w:tcPr>
          <w:p w14:paraId="32CEBEF1">
            <w:pPr>
              <w:adjustRightInd w:val="0"/>
              <w:snapToGrid w:val="0"/>
              <w:jc w:val="center"/>
              <w:rPr>
                <w:rFonts w:ascii="宋体" w:hAnsi="宋体" w:cs="宋体"/>
                <w:color w:val="auto"/>
                <w:szCs w:val="21"/>
              </w:rPr>
            </w:pPr>
            <w:r>
              <w:rPr>
                <w:rFonts w:hint="eastAsia" w:ascii="宋体" w:hAnsi="宋体" w:cs="宋体"/>
                <w:color w:val="auto"/>
                <w:szCs w:val="21"/>
              </w:rPr>
              <w:t>规划环境影响</w:t>
            </w:r>
          </w:p>
          <w:p w14:paraId="64AA2147">
            <w:pPr>
              <w:adjustRightInd w:val="0"/>
              <w:snapToGrid w:val="0"/>
              <w:jc w:val="center"/>
              <w:rPr>
                <w:rFonts w:hint="eastAsia" w:ascii="宋体" w:hAnsi="宋体" w:cs="宋体"/>
                <w:color w:val="auto"/>
                <w:kern w:val="0"/>
                <w:szCs w:val="21"/>
              </w:rPr>
            </w:pPr>
            <w:r>
              <w:rPr>
                <w:rFonts w:hint="eastAsia" w:ascii="宋体" w:hAnsi="宋体" w:cs="宋体"/>
                <w:color w:val="auto"/>
                <w:szCs w:val="21"/>
              </w:rPr>
              <w:t>评价情况</w:t>
            </w:r>
          </w:p>
        </w:tc>
        <w:tc>
          <w:tcPr>
            <w:tcW w:w="6925" w:type="dxa"/>
            <w:gridSpan w:val="3"/>
            <w:noWrap w:val="0"/>
            <w:vAlign w:val="center"/>
          </w:tcPr>
          <w:p w14:paraId="0AD11C5D">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文件名称：《江西庐山工业园区扩区调区规划环境影响报告书》；</w:t>
            </w:r>
          </w:p>
          <w:p w14:paraId="6F252D71">
            <w:pPr>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召集审查机关：九江市生态环境局；</w:t>
            </w:r>
          </w:p>
          <w:p w14:paraId="5C580C97">
            <w:pPr>
              <w:keepNext w:val="0"/>
              <w:keepLines w:val="0"/>
              <w:pageBreakBefore w:val="0"/>
              <w:widowControl w:val="0"/>
              <w:kinsoku/>
              <w:wordWrap/>
              <w:overflowPunct/>
              <w:topLinePunct w:val="0"/>
              <w:autoSpaceDE/>
              <w:autoSpaceDN/>
              <w:bidi w:val="0"/>
              <w:adjustRightInd w:val="0"/>
              <w:snapToGrid w:val="0"/>
              <w:spacing w:before="0" w:beforeLines="0" w:line="360" w:lineRule="auto"/>
              <w:ind w:firstLine="480" w:firstLineChars="200"/>
              <w:jc w:val="left"/>
              <w:textAlignment w:val="auto"/>
              <w:rPr>
                <w:rFonts w:ascii="Times New Roman" w:hAnsi="Times New Roman" w:eastAsia="宋体" w:cs="Times New Roman"/>
                <w:color w:val="auto"/>
                <w:kern w:val="0"/>
                <w:sz w:val="24"/>
                <w:szCs w:val="21"/>
              </w:rPr>
            </w:pPr>
            <w:r>
              <w:rPr>
                <w:rFonts w:hint="eastAsia" w:ascii="Times New Roman" w:hAnsi="Times New Roman" w:eastAsia="宋体" w:cs="Times New Roman"/>
                <w:color w:val="auto"/>
                <w:sz w:val="24"/>
                <w:lang w:val="en-US" w:eastAsia="zh-CN"/>
              </w:rPr>
              <w:t>审批文件名称及文号：《关于江西庐山工业园区扩区调区规划环境影响报告书审查意见的函》（九环评字[2023]39号）。</w:t>
            </w:r>
          </w:p>
        </w:tc>
      </w:tr>
      <w:tr w14:paraId="325925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45" w:type="dxa"/>
            <w:noWrap w:val="0"/>
            <w:vAlign w:val="center"/>
          </w:tcPr>
          <w:p w14:paraId="098D3965">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规划及规划环境</w:t>
            </w:r>
          </w:p>
          <w:p w14:paraId="5621DA54">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影响评价符合性分析</w:t>
            </w:r>
          </w:p>
        </w:tc>
        <w:tc>
          <w:tcPr>
            <w:tcW w:w="6925" w:type="dxa"/>
            <w:gridSpan w:val="3"/>
            <w:noWrap w:val="0"/>
            <w:vAlign w:val="center"/>
          </w:tcPr>
          <w:p w14:paraId="07E29CA9">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auto"/>
                <w:kern w:val="0"/>
                <w:sz w:val="24"/>
                <w:szCs w:val="21"/>
                <w:lang w:eastAsia="zh-CN"/>
              </w:rPr>
            </w:pPr>
            <w:r>
              <w:rPr>
                <w:rFonts w:hint="eastAsia" w:ascii="Times New Roman" w:hAnsi="Times New Roman" w:eastAsia="宋体" w:cs="Times New Roman"/>
                <w:b/>
                <w:bCs/>
                <w:color w:val="auto"/>
                <w:kern w:val="0"/>
                <w:sz w:val="24"/>
                <w:szCs w:val="21"/>
                <w:lang w:eastAsia="zh-CN"/>
              </w:rPr>
              <w:t>1、</w:t>
            </w:r>
            <w:r>
              <w:rPr>
                <w:rFonts w:hint="default" w:ascii="Times New Roman" w:hAnsi="Times New Roman" w:eastAsia="宋体" w:cs="Times New Roman"/>
                <w:b/>
                <w:bCs w:val="0"/>
                <w:color w:val="auto"/>
                <w:kern w:val="2"/>
                <w:sz w:val="24"/>
                <w:szCs w:val="24"/>
                <w:highlight w:val="none"/>
                <w:lang w:val="en-US" w:eastAsia="zh-CN" w:bidi="ar-SA"/>
              </w:rPr>
              <w:t>与江西庐山工业园区扩区调区</w:t>
            </w:r>
            <w:r>
              <w:rPr>
                <w:rFonts w:hint="eastAsia" w:cs="Times New Roman"/>
                <w:b/>
                <w:bCs w:val="0"/>
                <w:color w:val="auto"/>
                <w:kern w:val="2"/>
                <w:sz w:val="24"/>
                <w:szCs w:val="24"/>
                <w:highlight w:val="none"/>
                <w:lang w:val="en-US" w:eastAsia="zh-CN" w:bidi="ar-SA"/>
              </w:rPr>
              <w:t>规划符合性</w:t>
            </w:r>
            <w:r>
              <w:rPr>
                <w:rFonts w:hint="default" w:ascii="Times New Roman" w:hAnsi="Times New Roman" w:eastAsia="宋体" w:cs="Times New Roman"/>
                <w:b/>
                <w:bCs w:val="0"/>
                <w:color w:val="auto"/>
                <w:kern w:val="2"/>
                <w:sz w:val="24"/>
                <w:szCs w:val="24"/>
                <w:highlight w:val="none"/>
                <w:lang w:val="en-US" w:eastAsia="zh-CN" w:bidi="ar-SA"/>
              </w:rPr>
              <w:t>分析</w:t>
            </w:r>
          </w:p>
          <w:p w14:paraId="76B5033B">
            <w:pPr>
              <w:keepNext/>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b w:val="0"/>
                <w:bCs w:val="0"/>
                <w:color w:val="auto"/>
                <w:spacing w:val="0"/>
                <w:kern w:val="21"/>
                <w:sz w:val="24"/>
                <w:szCs w:val="24"/>
                <w:lang w:val="en-US" w:eastAsia="zh-CN"/>
              </w:rPr>
            </w:pPr>
            <w:r>
              <w:rPr>
                <w:rFonts w:hint="eastAsia" w:ascii="Times New Roman" w:hAnsi="Times New Roman" w:eastAsia="宋体" w:cs="宋体"/>
                <w:b w:val="0"/>
                <w:bCs w:val="0"/>
                <w:color w:val="auto"/>
                <w:spacing w:val="0"/>
                <w:kern w:val="21"/>
                <w:sz w:val="24"/>
                <w:szCs w:val="24"/>
                <w:lang w:val="en-US" w:eastAsia="zh-CN"/>
              </w:rPr>
              <w:t>江西庐山工业园区本次扩区调区，规划建设“一区三园”，即综合产业园、星子产业园和蛟华产业园。规划总面积为580.91公顷（合8713.65亩），与原批复核准面积233.26公顷相比扩大了347.65公顷；其中综合产业园扩大面积135.39公顷，星子产业园扩大面积172.54公顷，新增蛟华产业园面积39.72公顷。</w:t>
            </w:r>
          </w:p>
          <w:p w14:paraId="60BC4A19">
            <w:pPr>
              <w:keepNext/>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b w:val="0"/>
                <w:bCs w:val="0"/>
                <w:color w:val="auto"/>
                <w:spacing w:val="0"/>
                <w:kern w:val="21"/>
                <w:sz w:val="24"/>
                <w:szCs w:val="24"/>
                <w:lang w:val="en-US" w:eastAsia="zh-CN"/>
              </w:rPr>
            </w:pPr>
            <w:r>
              <w:rPr>
                <w:rFonts w:hint="eastAsia" w:ascii="Times New Roman" w:hAnsi="Times New Roman" w:eastAsia="宋体" w:cs="宋体"/>
                <w:b w:val="0"/>
                <w:bCs w:val="0"/>
                <w:color w:val="auto"/>
                <w:spacing w:val="0"/>
                <w:kern w:val="21"/>
                <w:sz w:val="24"/>
                <w:szCs w:val="24"/>
                <w:lang w:val="en-US" w:eastAsia="zh-CN"/>
              </w:rPr>
              <w:t>综合产业园：原批复核准面积132.42公顷（即原星子工业园区范围），调区扩区完成后园区面积为267.81公顷。四至范围为：东至污水处理厂，南至东毅港口，西至白鹿镇夏家垄、北至白鹿镇集镇，规划在园区现有工业（电子信息、新能源、体育用品、汽车配件、精密机械、纺织服装、旅游工艺品、食品和建材等主要产业）的基础上，打造以文体用品制造、绿色建材生产加工、医疗器械及船舶汽配为主导，绿色食品生产加工、服装纺织、物流业为辅的工业园区。</w:t>
            </w:r>
          </w:p>
          <w:p w14:paraId="577D9F9F">
            <w:pPr>
              <w:keepNext/>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b w:val="0"/>
                <w:bCs w:val="0"/>
                <w:color w:val="auto"/>
                <w:spacing w:val="0"/>
                <w:kern w:val="21"/>
                <w:sz w:val="24"/>
                <w:szCs w:val="24"/>
                <w:lang w:val="en-US" w:eastAsia="zh-CN"/>
              </w:rPr>
            </w:pPr>
            <w:r>
              <w:rPr>
                <w:rFonts w:hint="eastAsia" w:ascii="Times New Roman" w:hAnsi="Times New Roman" w:eastAsia="宋体" w:cs="宋体"/>
                <w:b w:val="0"/>
                <w:bCs w:val="0"/>
                <w:color w:val="auto"/>
                <w:spacing w:val="0"/>
                <w:kern w:val="21"/>
                <w:sz w:val="24"/>
                <w:szCs w:val="24"/>
                <w:lang w:val="en-US" w:eastAsia="zh-CN"/>
              </w:rPr>
              <w:t>星子产业园：原批复核准面积100.84公顷（即原鄱湖高新科技项目区范围），调区扩区完成后园区面积为273.38公顷。四至范围为：东至赣江路、西至鄱湖南大道、南至仕林路、北至赣江路与鄱阳湖南大道交叉口。规划培育“智能+”数字产业，打造集绿色建材、电子信息制造为主导，粮油食品加工及物流业为辅的工业园区。</w:t>
            </w:r>
          </w:p>
          <w:p w14:paraId="04C9A9A9">
            <w:pPr>
              <w:keepNext/>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b w:val="0"/>
                <w:bCs w:val="0"/>
                <w:color w:val="auto"/>
                <w:spacing w:val="0"/>
                <w:kern w:val="21"/>
                <w:sz w:val="24"/>
                <w:szCs w:val="24"/>
                <w:lang w:val="en-US" w:eastAsia="zh-CN"/>
              </w:rPr>
              <w:t>蛟华产业园：本次规划面积为39.72公顷；四至范围为：东至蛟塘镇大凹山、西至黄埠岭郭家、南至蓼温公路G532国道、北至华林镇吉山村。重点发展新型建材产业、高科技新材料、高端装备制造等产业，打造生产集约、功能完善的新材料循环经济产业园</w:t>
            </w:r>
            <w:r>
              <w:rPr>
                <w:rFonts w:hint="eastAsia" w:ascii="Times New Roman" w:hAnsi="Times New Roman" w:eastAsia="宋体" w:cs="Times New Roman"/>
                <w:color w:val="auto"/>
                <w:sz w:val="21"/>
                <w:szCs w:val="21"/>
                <w:lang w:val="en-US" w:eastAsia="zh-CN"/>
              </w:rPr>
              <w:t>。</w:t>
            </w:r>
          </w:p>
          <w:p w14:paraId="538EB6F3">
            <w:pPr>
              <w:keepNext/>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b w:val="0"/>
                <w:bCs w:val="0"/>
                <w:color w:val="auto"/>
                <w:spacing w:val="0"/>
                <w:kern w:val="21"/>
                <w:sz w:val="24"/>
                <w:szCs w:val="24"/>
                <w:lang w:val="en-US" w:eastAsia="zh-CN"/>
              </w:rPr>
            </w:pPr>
            <w:r>
              <w:rPr>
                <w:rFonts w:hint="eastAsia" w:ascii="Times New Roman" w:hAnsi="Times New Roman" w:eastAsia="宋体" w:cs="Times New Roman"/>
                <w:color w:val="auto"/>
                <w:sz w:val="24"/>
                <w:szCs w:val="24"/>
                <w:lang w:val="en-US" w:eastAsia="zh-CN"/>
              </w:rPr>
              <w:t>项目位于江西省九江市庐山市工业园金鹿科技园，属于调区扩区后</w:t>
            </w:r>
            <w:r>
              <w:rPr>
                <w:rFonts w:hint="eastAsia" w:ascii="Times New Roman" w:hAnsi="Times New Roman" w:eastAsia="宋体" w:cs="宋体"/>
                <w:b w:val="0"/>
                <w:bCs w:val="0"/>
                <w:color w:val="auto"/>
                <w:spacing w:val="0"/>
                <w:kern w:val="21"/>
                <w:sz w:val="24"/>
                <w:szCs w:val="24"/>
                <w:lang w:val="en-US" w:eastAsia="zh-CN"/>
              </w:rPr>
              <w:t>综合产业园范围内，主要从事</w:t>
            </w:r>
            <w:r>
              <w:rPr>
                <w:rFonts w:hint="eastAsia" w:ascii="Times New Roman" w:hAnsi="Times New Roman" w:eastAsia="宋体" w:cs="Times New Roman"/>
                <w:color w:val="auto"/>
                <w:sz w:val="24"/>
                <w:szCs w:val="24"/>
              </w:rPr>
              <w:t>卫生材料及医药用品制造</w:t>
            </w:r>
            <w:r>
              <w:rPr>
                <w:rFonts w:hint="eastAsia" w:ascii="Times New Roman" w:hAnsi="Times New Roman" w:eastAsia="宋体" w:cs="宋体"/>
                <w:b w:val="0"/>
                <w:bCs w:val="0"/>
                <w:color w:val="auto"/>
                <w:spacing w:val="0"/>
                <w:kern w:val="21"/>
                <w:sz w:val="24"/>
                <w:szCs w:val="24"/>
                <w:lang w:val="en-US" w:eastAsia="zh-CN"/>
              </w:rPr>
              <w:t>，符合综合产业园现有医疗器械产业定位。</w:t>
            </w:r>
          </w:p>
          <w:p w14:paraId="35432E10">
            <w:pPr>
              <w:keepNext/>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eastAsia" w:ascii="Times New Roman" w:hAnsi="Times New Roman" w:eastAsia="宋体" w:cs="宋体"/>
                <w:b/>
                <w:bCs/>
                <w:color w:val="auto"/>
                <w:spacing w:val="0"/>
                <w:kern w:val="21"/>
                <w:sz w:val="24"/>
                <w:szCs w:val="24"/>
                <w:lang w:val="en-US" w:eastAsia="zh-CN"/>
              </w:rPr>
            </w:pPr>
            <w:r>
              <w:rPr>
                <w:rFonts w:hint="eastAsia" w:ascii="Times New Roman" w:hAnsi="Times New Roman" w:eastAsia="宋体" w:cs="宋体"/>
                <w:b/>
                <w:bCs/>
                <w:color w:val="auto"/>
                <w:spacing w:val="0"/>
                <w:kern w:val="21"/>
                <w:sz w:val="24"/>
                <w:szCs w:val="24"/>
                <w:lang w:val="en-US" w:eastAsia="zh-CN"/>
              </w:rPr>
              <w:t>2、与《江西庐山工业园区扩区调区规划环境影响报告书》相符性分析</w:t>
            </w:r>
          </w:p>
          <w:p w14:paraId="662C0F51">
            <w:pPr>
              <w:keepNext/>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宋体"/>
                <w:b w:val="0"/>
                <w:bCs w:val="0"/>
                <w:color w:val="auto"/>
                <w:spacing w:val="0"/>
                <w:kern w:val="21"/>
                <w:sz w:val="24"/>
                <w:szCs w:val="24"/>
                <w:lang w:val="en-US" w:eastAsia="zh-CN"/>
              </w:rPr>
            </w:pPr>
            <w:r>
              <w:rPr>
                <w:rFonts w:hint="eastAsia" w:ascii="Times New Roman" w:hAnsi="Times New Roman" w:eastAsia="宋体" w:cs="宋体"/>
                <w:b w:val="0"/>
                <w:bCs w:val="0"/>
                <w:color w:val="auto"/>
                <w:spacing w:val="0"/>
                <w:kern w:val="21"/>
                <w:sz w:val="24"/>
                <w:szCs w:val="24"/>
                <w:lang w:val="en-US" w:eastAsia="zh-CN"/>
              </w:rPr>
              <w:t>根据江西庐山工业园区扩区调区规划环境影响报告书可知，江西庐山工业园区产业准入清单</w:t>
            </w:r>
            <w:r>
              <w:rPr>
                <w:rFonts w:hint="eastAsia" w:cs="宋体"/>
                <w:b w:val="0"/>
                <w:bCs w:val="0"/>
                <w:color w:val="auto"/>
                <w:spacing w:val="0"/>
                <w:kern w:val="21"/>
                <w:sz w:val="24"/>
                <w:szCs w:val="24"/>
                <w:lang w:val="en-US" w:eastAsia="zh-CN"/>
              </w:rPr>
              <w:t>见下表</w:t>
            </w:r>
            <w:r>
              <w:rPr>
                <w:rFonts w:hint="eastAsia" w:ascii="Times New Roman" w:hAnsi="Times New Roman" w:eastAsia="宋体" w:cs="宋体"/>
                <w:b w:val="0"/>
                <w:bCs w:val="0"/>
                <w:color w:val="auto"/>
                <w:spacing w:val="0"/>
                <w:kern w:val="21"/>
                <w:sz w:val="24"/>
                <w:szCs w:val="24"/>
                <w:lang w:val="en-US" w:eastAsia="zh-CN"/>
              </w:rPr>
              <w:t>。</w:t>
            </w:r>
          </w:p>
          <w:p w14:paraId="46628604">
            <w:pPr>
              <w:keepNext/>
              <w:keepLines w:val="0"/>
              <w:pageBreakBefore w:val="0"/>
              <w:widowControl w:val="0"/>
              <w:kinsoku/>
              <w:wordWrap/>
              <w:overflowPunct/>
              <w:topLinePunct w:val="0"/>
              <w:autoSpaceDE w:val="0"/>
              <w:autoSpaceDN w:val="0"/>
              <w:bidi w:val="0"/>
              <w:adjustRightInd w:val="0"/>
              <w:snapToGrid w:val="0"/>
              <w:spacing w:before="157" w:beforeLines="50" w:line="240" w:lineRule="auto"/>
              <w:ind w:firstLine="422" w:firstLineChars="200"/>
              <w:jc w:val="center"/>
              <w:textAlignment w:val="auto"/>
              <w:rPr>
                <w:rFonts w:hint="eastAsia" w:ascii="Times New Roman" w:hAnsi="Times New Roman" w:eastAsia="宋体" w:cs="宋体"/>
                <w:b/>
                <w:bCs/>
                <w:color w:val="auto"/>
                <w:spacing w:val="0"/>
                <w:kern w:val="21"/>
                <w:sz w:val="21"/>
                <w:szCs w:val="21"/>
                <w:lang w:val="en-US" w:eastAsia="zh-CN"/>
              </w:rPr>
            </w:pPr>
            <w:r>
              <w:rPr>
                <w:rFonts w:hint="eastAsia" w:ascii="Times New Roman" w:hAnsi="Times New Roman" w:eastAsia="宋体" w:cs="宋体"/>
                <w:b/>
                <w:bCs/>
                <w:color w:val="auto"/>
                <w:spacing w:val="0"/>
                <w:kern w:val="21"/>
                <w:sz w:val="21"/>
                <w:szCs w:val="21"/>
                <w:lang w:val="en-US" w:eastAsia="zh-CN"/>
              </w:rPr>
              <w:t>表1-2  园区产业准入负面清单</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239"/>
              <w:gridCol w:w="3487"/>
              <w:gridCol w:w="1900"/>
            </w:tblGrid>
            <w:tr w14:paraId="3B32C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tcBorders>
                    <w:bottom w:val="single" w:color="auto" w:sz="12" w:space="0"/>
                    <w:tl2br w:val="nil"/>
                    <w:tr2bl w:val="nil"/>
                  </w:tcBorders>
                  <w:noWrap w:val="0"/>
                  <w:vAlign w:val="center"/>
                </w:tcPr>
                <w:p w14:paraId="4E1AAF0B">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21"/>
                      <w:szCs w:val="21"/>
                      <w:vertAlign w:val="baseline"/>
                      <w:lang w:val="en-US" w:eastAsia="zh-CN"/>
                    </w:rPr>
                  </w:pPr>
                  <w:r>
                    <w:rPr>
                      <w:rFonts w:hint="default" w:ascii="Times New Roman" w:hAnsi="Times New Roman" w:eastAsia="宋体" w:cs="Times New Roman"/>
                      <w:b/>
                      <w:bCs/>
                      <w:color w:val="auto"/>
                      <w:spacing w:val="0"/>
                      <w:kern w:val="21"/>
                      <w:sz w:val="21"/>
                      <w:szCs w:val="21"/>
                      <w:vertAlign w:val="baseline"/>
                      <w:lang w:val="en-US" w:eastAsia="zh-CN"/>
                    </w:rPr>
                    <w:t>片区</w:t>
                  </w:r>
                </w:p>
              </w:tc>
              <w:tc>
                <w:tcPr>
                  <w:tcW w:w="840" w:type="pct"/>
                  <w:tcBorders>
                    <w:bottom w:val="single" w:color="auto" w:sz="12" w:space="0"/>
                    <w:tl2br w:val="nil"/>
                    <w:tr2bl w:val="nil"/>
                  </w:tcBorders>
                  <w:noWrap w:val="0"/>
                  <w:vAlign w:val="center"/>
                </w:tcPr>
                <w:p w14:paraId="2D674F93">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21"/>
                      <w:szCs w:val="21"/>
                      <w:vertAlign w:val="baseline"/>
                      <w:lang w:val="en-US" w:eastAsia="zh-CN"/>
                    </w:rPr>
                  </w:pPr>
                  <w:r>
                    <w:rPr>
                      <w:rFonts w:hint="default" w:ascii="Times New Roman" w:hAnsi="Times New Roman" w:eastAsia="宋体" w:cs="Times New Roman"/>
                      <w:b/>
                      <w:bCs/>
                      <w:color w:val="auto"/>
                      <w:spacing w:val="0"/>
                      <w:kern w:val="21"/>
                      <w:sz w:val="21"/>
                      <w:szCs w:val="21"/>
                      <w:vertAlign w:val="baseline"/>
                      <w:lang w:val="en-US" w:eastAsia="zh-CN"/>
                    </w:rPr>
                    <w:t>规划产业</w:t>
                  </w:r>
                </w:p>
              </w:tc>
              <w:tc>
                <w:tcPr>
                  <w:tcW w:w="2364" w:type="pct"/>
                  <w:tcBorders>
                    <w:bottom w:val="single" w:color="auto" w:sz="12" w:space="0"/>
                    <w:tl2br w:val="nil"/>
                    <w:tr2bl w:val="nil"/>
                  </w:tcBorders>
                  <w:noWrap w:val="0"/>
                  <w:vAlign w:val="center"/>
                </w:tcPr>
                <w:p w14:paraId="5440B4E0">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21"/>
                      <w:szCs w:val="21"/>
                      <w:vertAlign w:val="baseline"/>
                      <w:lang w:val="en-US" w:eastAsia="zh-CN"/>
                    </w:rPr>
                  </w:pPr>
                  <w:r>
                    <w:rPr>
                      <w:rFonts w:hint="default" w:ascii="Times New Roman" w:hAnsi="Times New Roman" w:eastAsia="宋体" w:cs="Times New Roman"/>
                      <w:b/>
                      <w:bCs/>
                      <w:color w:val="auto"/>
                      <w:spacing w:val="0"/>
                      <w:kern w:val="21"/>
                      <w:sz w:val="21"/>
                      <w:szCs w:val="21"/>
                      <w:vertAlign w:val="baseline"/>
                      <w:lang w:val="en-US" w:eastAsia="zh-CN"/>
                    </w:rPr>
                    <w:t>禁止/限制准入项目</w:t>
                  </w:r>
                </w:p>
              </w:tc>
              <w:tc>
                <w:tcPr>
                  <w:tcW w:w="1288" w:type="pct"/>
                  <w:tcBorders>
                    <w:bottom w:val="single" w:color="auto" w:sz="12" w:space="0"/>
                    <w:tl2br w:val="nil"/>
                    <w:tr2bl w:val="nil"/>
                  </w:tcBorders>
                  <w:noWrap w:val="0"/>
                  <w:vAlign w:val="center"/>
                </w:tcPr>
                <w:p w14:paraId="7C506207">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pacing w:val="0"/>
                      <w:kern w:val="21"/>
                      <w:sz w:val="21"/>
                      <w:szCs w:val="21"/>
                      <w:vertAlign w:val="baseline"/>
                      <w:lang w:val="en-US" w:eastAsia="zh-CN"/>
                    </w:rPr>
                  </w:pPr>
                  <w:r>
                    <w:rPr>
                      <w:rFonts w:hint="eastAsia" w:ascii="Times New Roman" w:hAnsi="Times New Roman" w:eastAsia="宋体" w:cs="Times New Roman"/>
                      <w:b/>
                      <w:bCs/>
                      <w:color w:val="auto"/>
                      <w:spacing w:val="0"/>
                      <w:kern w:val="21"/>
                      <w:sz w:val="21"/>
                      <w:szCs w:val="21"/>
                      <w:vertAlign w:val="baseline"/>
                      <w:lang w:val="en-US" w:eastAsia="zh-CN"/>
                    </w:rPr>
                    <w:t>本项目</w:t>
                  </w:r>
                </w:p>
              </w:tc>
            </w:tr>
            <w:tr w14:paraId="475D9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restart"/>
                  <w:tcBorders>
                    <w:top w:val="single" w:color="auto" w:sz="12" w:space="0"/>
                    <w:tl2br w:val="nil"/>
                    <w:tr2bl w:val="nil"/>
                  </w:tcBorders>
                  <w:noWrap w:val="0"/>
                  <w:vAlign w:val="center"/>
                </w:tcPr>
                <w:p w14:paraId="22981DDA">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综合产业园</w:t>
                  </w:r>
                </w:p>
              </w:tc>
              <w:tc>
                <w:tcPr>
                  <w:tcW w:w="840" w:type="pct"/>
                  <w:vMerge w:val="restart"/>
                  <w:tcBorders>
                    <w:top w:val="single" w:color="auto" w:sz="12" w:space="0"/>
                    <w:tl2br w:val="nil"/>
                    <w:tr2bl w:val="nil"/>
                  </w:tcBorders>
                  <w:noWrap w:val="0"/>
                  <w:vAlign w:val="center"/>
                </w:tcPr>
                <w:p w14:paraId="019D9E58">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文体用品、绿色建材、医疗器械、船舶汽配、</w:t>
                  </w:r>
                </w:p>
                <w:p w14:paraId="2929B531">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绿色食品、</w:t>
                  </w:r>
                </w:p>
                <w:p w14:paraId="5306D97E">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服装纺织</w:t>
                  </w:r>
                  <w:r>
                    <w:rPr>
                      <w:rFonts w:hint="eastAsia" w:ascii="Times New Roman" w:hAnsi="Times New Roman" w:eastAsia="宋体" w:cs="Times New Roman"/>
                      <w:b w:val="0"/>
                      <w:bCs w:val="0"/>
                      <w:color w:val="auto"/>
                      <w:spacing w:val="0"/>
                      <w:kern w:val="21"/>
                      <w:sz w:val="21"/>
                      <w:szCs w:val="21"/>
                      <w:vertAlign w:val="baseline"/>
                      <w:lang w:val="en-US" w:eastAsia="zh-CN"/>
                    </w:rPr>
                    <w:t>、</w:t>
                  </w:r>
                  <w:r>
                    <w:rPr>
                      <w:rFonts w:hint="default" w:ascii="Times New Roman" w:hAnsi="Times New Roman" w:eastAsia="宋体" w:cs="Times New Roman"/>
                      <w:b w:val="0"/>
                      <w:bCs w:val="0"/>
                      <w:color w:val="auto"/>
                      <w:spacing w:val="0"/>
                      <w:kern w:val="21"/>
                      <w:sz w:val="21"/>
                      <w:szCs w:val="21"/>
                      <w:vertAlign w:val="baseline"/>
                      <w:lang w:val="en-US" w:eastAsia="zh-CN"/>
                    </w:rPr>
                    <w:t>物流业</w:t>
                  </w:r>
                </w:p>
              </w:tc>
              <w:tc>
                <w:tcPr>
                  <w:tcW w:w="2364" w:type="pct"/>
                  <w:tcBorders>
                    <w:top w:val="single" w:color="auto" w:sz="12" w:space="0"/>
                    <w:tl2br w:val="nil"/>
                    <w:tr2bl w:val="nil"/>
                  </w:tcBorders>
                  <w:noWrap w:val="0"/>
                  <w:vAlign w:val="center"/>
                </w:tcPr>
                <w:p w14:paraId="3A5F9AED">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禁止新建水泥（熟料）、平板玻璃项目；</w:t>
                  </w:r>
                </w:p>
              </w:tc>
              <w:tc>
                <w:tcPr>
                  <w:tcW w:w="1288" w:type="pct"/>
                  <w:tcBorders>
                    <w:top w:val="single" w:color="auto" w:sz="12" w:space="0"/>
                    <w:tl2br w:val="nil"/>
                    <w:tr2bl w:val="nil"/>
                  </w:tcBorders>
                  <w:noWrap w:val="0"/>
                  <w:vAlign w:val="center"/>
                </w:tcPr>
                <w:p w14:paraId="26D3BA88">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项目主要从事</w:t>
                  </w:r>
                  <w:r>
                    <w:rPr>
                      <w:rFonts w:hint="eastAsia" w:ascii="Times New Roman" w:hAnsi="Times New Roman" w:eastAsia="宋体" w:cs="Times New Roman"/>
                      <w:color w:val="auto"/>
                      <w:sz w:val="21"/>
                      <w:szCs w:val="21"/>
                    </w:rPr>
                    <w:t>卫生材料及医药用品制造</w:t>
                  </w:r>
                  <w:r>
                    <w:rPr>
                      <w:rFonts w:hint="eastAsia" w:ascii="Times New Roman" w:hAnsi="Times New Roman" w:eastAsia="宋体" w:cs="Times New Roman"/>
                      <w:b w:val="0"/>
                      <w:bCs w:val="0"/>
                      <w:color w:val="auto"/>
                      <w:spacing w:val="0"/>
                      <w:kern w:val="21"/>
                      <w:sz w:val="21"/>
                      <w:szCs w:val="21"/>
                      <w:vertAlign w:val="baseline"/>
                      <w:lang w:val="en-US" w:eastAsia="zh-CN"/>
                    </w:rPr>
                    <w:t>，不属于水泥（熟料）、平板玻璃项目</w:t>
                  </w:r>
                </w:p>
              </w:tc>
            </w:tr>
            <w:tr w14:paraId="54784F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tcBorders>
                    <w:tl2br w:val="nil"/>
                    <w:tr2bl w:val="nil"/>
                  </w:tcBorders>
                  <w:noWrap w:val="0"/>
                  <w:vAlign w:val="center"/>
                </w:tcPr>
                <w:p w14:paraId="4EE7A10D">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840" w:type="pct"/>
                  <w:vMerge w:val="continue"/>
                  <w:tcBorders>
                    <w:tl2br w:val="nil"/>
                    <w:tr2bl w:val="nil"/>
                  </w:tcBorders>
                  <w:noWrap w:val="0"/>
                  <w:vAlign w:val="center"/>
                </w:tcPr>
                <w:p w14:paraId="4F849AF2">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2364" w:type="pct"/>
                  <w:tcBorders>
                    <w:tl2br w:val="nil"/>
                    <w:tr2bl w:val="nil"/>
                  </w:tcBorders>
                  <w:noWrap w:val="0"/>
                  <w:vAlign w:val="center"/>
                </w:tcPr>
                <w:p w14:paraId="016F9C22">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禁止新建涉重金属铅、汞、镉、铬、砷、铊排放的项目；</w:t>
                  </w:r>
                </w:p>
              </w:tc>
              <w:tc>
                <w:tcPr>
                  <w:tcW w:w="1288" w:type="pct"/>
                  <w:tcBorders>
                    <w:tl2br w:val="nil"/>
                    <w:tr2bl w:val="nil"/>
                  </w:tcBorders>
                  <w:noWrap w:val="0"/>
                  <w:vAlign w:val="center"/>
                </w:tcPr>
                <w:p w14:paraId="545766D2">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eastAsia" w:ascii="Times New Roman" w:hAnsi="Times New Roman" w:eastAsia="宋体" w:cs="Times New Roman"/>
                      <w:b w:val="0"/>
                      <w:bCs w:val="0"/>
                      <w:color w:val="auto"/>
                      <w:spacing w:val="0"/>
                      <w:kern w:val="21"/>
                      <w:sz w:val="21"/>
                      <w:szCs w:val="21"/>
                      <w:vertAlign w:val="baseline"/>
                      <w:lang w:val="en-US" w:eastAsia="zh-CN"/>
                    </w:rPr>
                    <w:t>项目不涉及重金属排放</w:t>
                  </w:r>
                </w:p>
              </w:tc>
            </w:tr>
            <w:tr w14:paraId="20615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tcBorders>
                    <w:tl2br w:val="nil"/>
                    <w:tr2bl w:val="nil"/>
                  </w:tcBorders>
                  <w:noWrap w:val="0"/>
                  <w:vAlign w:val="center"/>
                </w:tcPr>
                <w:p w14:paraId="110814FF">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840" w:type="pct"/>
                  <w:vMerge w:val="continue"/>
                  <w:tcBorders>
                    <w:tl2br w:val="nil"/>
                    <w:tr2bl w:val="nil"/>
                  </w:tcBorders>
                  <w:noWrap w:val="0"/>
                  <w:vAlign w:val="center"/>
                </w:tcPr>
                <w:p w14:paraId="3EA430DF">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2364" w:type="pct"/>
                  <w:tcBorders>
                    <w:tl2br w:val="nil"/>
                    <w:tr2bl w:val="nil"/>
                  </w:tcBorders>
                  <w:noWrap w:val="0"/>
                  <w:vAlign w:val="center"/>
                </w:tcPr>
                <w:p w14:paraId="088DBCB8">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废水排放量大的湿法印花、染色、水洗等印染工艺的纺织项目；</w:t>
                  </w:r>
                </w:p>
              </w:tc>
              <w:tc>
                <w:tcPr>
                  <w:tcW w:w="1288" w:type="pct"/>
                  <w:tcBorders>
                    <w:tl2br w:val="nil"/>
                    <w:tr2bl w:val="nil"/>
                  </w:tcBorders>
                  <w:noWrap w:val="0"/>
                  <w:vAlign w:val="center"/>
                </w:tcPr>
                <w:p w14:paraId="1D207AC7">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eastAsia" w:ascii="Times New Roman" w:hAnsi="Times New Roman" w:eastAsia="宋体" w:cs="Times New Roman"/>
                      <w:b w:val="0"/>
                      <w:bCs w:val="0"/>
                      <w:color w:val="auto"/>
                      <w:spacing w:val="0"/>
                      <w:kern w:val="21"/>
                      <w:sz w:val="21"/>
                      <w:szCs w:val="21"/>
                      <w:vertAlign w:val="baseline"/>
                      <w:lang w:val="en-US" w:eastAsia="zh-CN"/>
                    </w:rPr>
                    <w:t>项目生产废水不外排</w:t>
                  </w:r>
                </w:p>
              </w:tc>
            </w:tr>
            <w:tr w14:paraId="11A7B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tcBorders>
                    <w:tl2br w:val="nil"/>
                    <w:tr2bl w:val="nil"/>
                  </w:tcBorders>
                  <w:noWrap w:val="0"/>
                  <w:vAlign w:val="center"/>
                </w:tcPr>
                <w:p w14:paraId="77D89755">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840" w:type="pct"/>
                  <w:vMerge w:val="continue"/>
                  <w:tcBorders>
                    <w:tl2br w:val="nil"/>
                    <w:tr2bl w:val="nil"/>
                  </w:tcBorders>
                  <w:noWrap w:val="0"/>
                  <w:vAlign w:val="center"/>
                </w:tcPr>
                <w:p w14:paraId="5F886362">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2364" w:type="pct"/>
                  <w:tcBorders>
                    <w:tl2br w:val="nil"/>
                    <w:tr2bl w:val="nil"/>
                  </w:tcBorders>
                  <w:noWrap w:val="0"/>
                  <w:vAlign w:val="center"/>
                </w:tcPr>
                <w:p w14:paraId="2D735E65">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禁止新建农药</w:t>
                  </w:r>
                  <w:r>
                    <w:rPr>
                      <w:rFonts w:hint="eastAsia" w:ascii="Times New Roman" w:hAnsi="Times New Roman" w:eastAsia="宋体" w:cs="Times New Roman"/>
                      <w:b w:val="0"/>
                      <w:bCs w:val="0"/>
                      <w:color w:val="auto"/>
                      <w:spacing w:val="0"/>
                      <w:kern w:val="21"/>
                      <w:sz w:val="21"/>
                      <w:szCs w:val="21"/>
                      <w:vertAlign w:val="baseline"/>
                      <w:lang w:val="en-US" w:eastAsia="zh-CN"/>
                    </w:rPr>
                    <w:t>（原药生产）</w:t>
                  </w:r>
                  <w:r>
                    <w:rPr>
                      <w:rFonts w:hint="default" w:ascii="Times New Roman" w:hAnsi="Times New Roman" w:eastAsia="宋体" w:cs="Times New Roman"/>
                      <w:b w:val="0"/>
                      <w:bCs w:val="0"/>
                      <w:color w:val="auto"/>
                      <w:spacing w:val="0"/>
                      <w:kern w:val="21"/>
                      <w:sz w:val="21"/>
                      <w:szCs w:val="21"/>
                      <w:vertAlign w:val="baseline"/>
                      <w:lang w:val="en-US" w:eastAsia="zh-CN"/>
                    </w:rPr>
                    <w:t>、医药原料药（含化学药品制剂制造）；</w:t>
                  </w:r>
                </w:p>
              </w:tc>
              <w:tc>
                <w:tcPr>
                  <w:tcW w:w="1288" w:type="pct"/>
                  <w:tcBorders>
                    <w:tl2br w:val="nil"/>
                    <w:tr2bl w:val="nil"/>
                  </w:tcBorders>
                  <w:noWrap w:val="0"/>
                  <w:vAlign w:val="center"/>
                </w:tcPr>
                <w:p w14:paraId="70653A96">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项目从事</w:t>
                  </w:r>
                  <w:r>
                    <w:rPr>
                      <w:rFonts w:hint="eastAsia" w:ascii="Times New Roman" w:hAnsi="Times New Roman" w:eastAsia="宋体" w:cs="Times New Roman"/>
                      <w:color w:val="auto"/>
                      <w:sz w:val="21"/>
                      <w:szCs w:val="21"/>
                    </w:rPr>
                    <w:t>卫生材料及医药用品制造</w:t>
                  </w:r>
                  <w:r>
                    <w:rPr>
                      <w:rFonts w:hint="default" w:ascii="Times New Roman" w:hAnsi="Times New Roman" w:eastAsia="宋体" w:cs="Times New Roman"/>
                      <w:b w:val="0"/>
                      <w:bCs w:val="0"/>
                      <w:color w:val="auto"/>
                      <w:spacing w:val="0"/>
                      <w:kern w:val="21"/>
                      <w:sz w:val="21"/>
                      <w:szCs w:val="21"/>
                      <w:vertAlign w:val="baseline"/>
                      <w:lang w:val="en-US" w:eastAsia="zh-CN"/>
                    </w:rPr>
                    <w:t>，不属于农药、医药原料药</w:t>
                  </w:r>
                  <w:r>
                    <w:rPr>
                      <w:rFonts w:hint="eastAsia" w:ascii="Times New Roman" w:hAnsi="Times New Roman" w:eastAsia="宋体" w:cs="Times New Roman"/>
                      <w:b w:val="0"/>
                      <w:bCs w:val="0"/>
                      <w:color w:val="auto"/>
                      <w:spacing w:val="0"/>
                      <w:kern w:val="21"/>
                      <w:sz w:val="21"/>
                      <w:szCs w:val="21"/>
                      <w:vertAlign w:val="baseline"/>
                      <w:lang w:val="en-US" w:eastAsia="zh-CN"/>
                    </w:rPr>
                    <w:t>等行业</w:t>
                  </w:r>
                </w:p>
              </w:tc>
            </w:tr>
            <w:tr w14:paraId="7AF8B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tcBorders>
                    <w:tl2br w:val="nil"/>
                    <w:tr2bl w:val="nil"/>
                  </w:tcBorders>
                  <w:noWrap w:val="0"/>
                  <w:vAlign w:val="center"/>
                </w:tcPr>
                <w:p w14:paraId="7D460F70">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840" w:type="pct"/>
                  <w:vMerge w:val="continue"/>
                  <w:tcBorders>
                    <w:tl2br w:val="nil"/>
                    <w:tr2bl w:val="nil"/>
                  </w:tcBorders>
                  <w:noWrap w:val="0"/>
                  <w:vAlign w:val="center"/>
                </w:tcPr>
                <w:p w14:paraId="45E70886">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2364" w:type="pct"/>
                  <w:tcBorders>
                    <w:tl2br w:val="nil"/>
                    <w:tr2bl w:val="nil"/>
                  </w:tcBorders>
                  <w:noWrap w:val="0"/>
                  <w:vAlign w:val="center"/>
                </w:tcPr>
                <w:p w14:paraId="2D26309F">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禁止新建不符合产业定位或碳排放要求的</w:t>
                  </w:r>
                  <w:r>
                    <w:rPr>
                      <w:rFonts w:hint="eastAsia" w:ascii="Times New Roman" w:hAnsi="Times New Roman" w:eastAsia="宋体" w:cs="Times New Roman"/>
                      <w:b w:val="0"/>
                      <w:bCs w:val="0"/>
                      <w:color w:val="auto"/>
                      <w:spacing w:val="0"/>
                      <w:kern w:val="21"/>
                      <w:sz w:val="21"/>
                      <w:szCs w:val="21"/>
                      <w:vertAlign w:val="baseline"/>
                      <w:lang w:val="en-US" w:eastAsia="zh-CN"/>
                    </w:rPr>
                    <w:t>“两高”</w:t>
                  </w:r>
                  <w:r>
                    <w:rPr>
                      <w:rFonts w:hint="default" w:ascii="Times New Roman" w:hAnsi="Times New Roman" w:eastAsia="宋体" w:cs="Times New Roman"/>
                      <w:b w:val="0"/>
                      <w:bCs w:val="0"/>
                      <w:color w:val="auto"/>
                      <w:spacing w:val="0"/>
                      <w:kern w:val="21"/>
                      <w:sz w:val="21"/>
                      <w:szCs w:val="21"/>
                      <w:vertAlign w:val="baseline"/>
                      <w:lang w:val="en-US" w:eastAsia="zh-CN"/>
                    </w:rPr>
                    <w:t>项目，以及工艺、技术、装备等属于限制类或淘汰类的</w:t>
                  </w:r>
                  <w:r>
                    <w:rPr>
                      <w:rFonts w:hint="eastAsia" w:ascii="Times New Roman" w:hAnsi="Times New Roman" w:eastAsia="宋体" w:cs="Times New Roman"/>
                      <w:b w:val="0"/>
                      <w:bCs w:val="0"/>
                      <w:color w:val="auto"/>
                      <w:spacing w:val="0"/>
                      <w:kern w:val="21"/>
                      <w:sz w:val="21"/>
                      <w:szCs w:val="21"/>
                      <w:vertAlign w:val="baseline"/>
                      <w:lang w:val="en-US" w:eastAsia="zh-CN"/>
                    </w:rPr>
                    <w:t>“两高”</w:t>
                  </w:r>
                  <w:r>
                    <w:rPr>
                      <w:rFonts w:hint="default" w:ascii="Times New Roman" w:hAnsi="Times New Roman" w:eastAsia="宋体" w:cs="Times New Roman"/>
                      <w:b w:val="0"/>
                      <w:bCs w:val="0"/>
                      <w:color w:val="auto"/>
                      <w:spacing w:val="0"/>
                      <w:kern w:val="21"/>
                      <w:sz w:val="21"/>
                      <w:szCs w:val="21"/>
                      <w:vertAlign w:val="baseline"/>
                      <w:lang w:val="en-US" w:eastAsia="zh-CN"/>
                    </w:rPr>
                    <w:t>项目；</w:t>
                  </w:r>
                </w:p>
              </w:tc>
              <w:tc>
                <w:tcPr>
                  <w:tcW w:w="1288" w:type="pct"/>
                  <w:tcBorders>
                    <w:tl2br w:val="nil"/>
                    <w:tr2bl w:val="nil"/>
                  </w:tcBorders>
                  <w:noWrap w:val="0"/>
                  <w:vAlign w:val="center"/>
                </w:tcPr>
                <w:p w14:paraId="521FD947">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eastAsia" w:ascii="Times New Roman" w:hAnsi="Times New Roman" w:eastAsia="宋体" w:cs="Times New Roman"/>
                      <w:b w:val="0"/>
                      <w:bCs w:val="0"/>
                      <w:color w:val="auto"/>
                      <w:spacing w:val="0"/>
                      <w:kern w:val="21"/>
                      <w:sz w:val="21"/>
                      <w:szCs w:val="21"/>
                      <w:vertAlign w:val="baseline"/>
                      <w:lang w:val="en-US" w:eastAsia="zh-CN"/>
                    </w:rPr>
                    <w:t>项目不属于两高项目</w:t>
                  </w:r>
                </w:p>
              </w:tc>
            </w:tr>
            <w:tr w14:paraId="251876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tcBorders>
                    <w:tl2br w:val="nil"/>
                    <w:tr2bl w:val="nil"/>
                  </w:tcBorders>
                  <w:noWrap w:val="0"/>
                  <w:vAlign w:val="center"/>
                </w:tcPr>
                <w:p w14:paraId="2DD0853D">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840" w:type="pct"/>
                  <w:vMerge w:val="continue"/>
                  <w:tcBorders>
                    <w:tl2br w:val="nil"/>
                    <w:tr2bl w:val="nil"/>
                  </w:tcBorders>
                  <w:noWrap w:val="0"/>
                  <w:vAlign w:val="center"/>
                </w:tcPr>
                <w:p w14:paraId="2D2E458D">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2364" w:type="pct"/>
                  <w:tcBorders>
                    <w:tl2br w:val="nil"/>
                    <w:tr2bl w:val="nil"/>
                  </w:tcBorders>
                  <w:noWrap w:val="0"/>
                  <w:vAlign w:val="center"/>
                </w:tcPr>
                <w:p w14:paraId="1A6FD029">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禁止新建危化品及危险废物的仓储物流项目；</w:t>
                  </w:r>
                </w:p>
              </w:tc>
              <w:tc>
                <w:tcPr>
                  <w:tcW w:w="1288" w:type="pct"/>
                  <w:tcBorders>
                    <w:tl2br w:val="nil"/>
                    <w:tr2bl w:val="nil"/>
                  </w:tcBorders>
                  <w:noWrap w:val="0"/>
                  <w:vAlign w:val="center"/>
                </w:tcPr>
                <w:p w14:paraId="7A48A724">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eastAsia" w:ascii="Times New Roman" w:hAnsi="Times New Roman" w:eastAsia="宋体" w:cs="Times New Roman"/>
                      <w:b w:val="0"/>
                      <w:bCs w:val="0"/>
                      <w:color w:val="auto"/>
                      <w:spacing w:val="0"/>
                      <w:kern w:val="21"/>
                      <w:sz w:val="21"/>
                      <w:szCs w:val="21"/>
                      <w:vertAlign w:val="baseline"/>
                      <w:lang w:val="en-US" w:eastAsia="zh-CN"/>
                    </w:rPr>
                    <w:t>项目不属于仓储物流项目</w:t>
                  </w:r>
                </w:p>
              </w:tc>
            </w:tr>
            <w:tr w14:paraId="6258D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tcBorders>
                    <w:tl2br w:val="nil"/>
                    <w:tr2bl w:val="nil"/>
                  </w:tcBorders>
                  <w:noWrap w:val="0"/>
                  <w:vAlign w:val="center"/>
                </w:tcPr>
                <w:p w14:paraId="5D1295D9">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840" w:type="pct"/>
                  <w:vMerge w:val="continue"/>
                  <w:tcBorders>
                    <w:tl2br w:val="nil"/>
                    <w:tr2bl w:val="nil"/>
                  </w:tcBorders>
                  <w:noWrap w:val="0"/>
                  <w:vAlign w:val="center"/>
                </w:tcPr>
                <w:p w14:paraId="522919BC">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2364" w:type="pct"/>
                  <w:tcBorders>
                    <w:tl2br w:val="nil"/>
                    <w:tr2bl w:val="nil"/>
                  </w:tcBorders>
                  <w:noWrap w:val="0"/>
                  <w:vAlign w:val="center"/>
                </w:tcPr>
                <w:p w14:paraId="24FB2ECF">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禁止新建新增使用燃煤、重油等高污染燃料的项目（符合要求的集中供热、电厂项目除外）；</w:t>
                  </w:r>
                </w:p>
              </w:tc>
              <w:tc>
                <w:tcPr>
                  <w:tcW w:w="1288" w:type="pct"/>
                  <w:tcBorders>
                    <w:tl2br w:val="nil"/>
                    <w:tr2bl w:val="nil"/>
                  </w:tcBorders>
                  <w:noWrap w:val="0"/>
                  <w:vAlign w:val="center"/>
                </w:tcPr>
                <w:p w14:paraId="7EC68811">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eastAsia" w:ascii="Times New Roman" w:hAnsi="Times New Roman" w:eastAsia="宋体" w:cs="Times New Roman"/>
                      <w:b w:val="0"/>
                      <w:bCs w:val="0"/>
                      <w:color w:val="auto"/>
                      <w:spacing w:val="0"/>
                      <w:kern w:val="21"/>
                      <w:sz w:val="21"/>
                      <w:szCs w:val="21"/>
                      <w:vertAlign w:val="baseline"/>
                      <w:lang w:val="en-US" w:eastAsia="zh-CN"/>
                    </w:rPr>
                    <w:t>项目不使用煤、重油等高污染燃料</w:t>
                  </w:r>
                </w:p>
              </w:tc>
            </w:tr>
            <w:tr w14:paraId="5C5BF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tcBorders>
                    <w:tl2br w:val="nil"/>
                    <w:tr2bl w:val="nil"/>
                  </w:tcBorders>
                  <w:noWrap w:val="0"/>
                  <w:vAlign w:val="center"/>
                </w:tcPr>
                <w:p w14:paraId="15412E4A">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840" w:type="pct"/>
                  <w:vMerge w:val="continue"/>
                  <w:tcBorders>
                    <w:tl2br w:val="nil"/>
                    <w:tr2bl w:val="nil"/>
                  </w:tcBorders>
                  <w:noWrap w:val="0"/>
                  <w:vAlign w:val="center"/>
                </w:tcPr>
                <w:p w14:paraId="7E157FE2">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2364" w:type="pct"/>
                  <w:tcBorders>
                    <w:tl2br w:val="nil"/>
                    <w:tr2bl w:val="nil"/>
                  </w:tcBorders>
                  <w:noWrap w:val="0"/>
                  <w:vAlign w:val="center"/>
                </w:tcPr>
                <w:p w14:paraId="6222B020">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禁止新建、扩建含重大危险源的项目；</w:t>
                  </w:r>
                </w:p>
              </w:tc>
              <w:tc>
                <w:tcPr>
                  <w:tcW w:w="1288" w:type="pct"/>
                  <w:tcBorders>
                    <w:tl2br w:val="nil"/>
                    <w:tr2bl w:val="nil"/>
                  </w:tcBorders>
                  <w:noWrap w:val="0"/>
                  <w:vAlign w:val="center"/>
                </w:tcPr>
                <w:p w14:paraId="54F95166">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项目Q＜1，详见项目环境风险分析章节</w:t>
                  </w:r>
                </w:p>
              </w:tc>
            </w:tr>
            <w:tr w14:paraId="775C1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Merge w:val="continue"/>
                  <w:tcBorders>
                    <w:tl2br w:val="nil"/>
                    <w:tr2bl w:val="nil"/>
                  </w:tcBorders>
                  <w:noWrap w:val="0"/>
                  <w:vAlign w:val="center"/>
                </w:tcPr>
                <w:p w14:paraId="7E1EC855">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840" w:type="pct"/>
                  <w:vMerge w:val="continue"/>
                  <w:tcBorders>
                    <w:tl2br w:val="nil"/>
                    <w:tr2bl w:val="nil"/>
                  </w:tcBorders>
                  <w:noWrap w:val="0"/>
                  <w:vAlign w:val="center"/>
                </w:tcPr>
                <w:p w14:paraId="6E514FDB">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2364" w:type="pct"/>
                  <w:tcBorders>
                    <w:tl2br w:val="nil"/>
                    <w:tr2bl w:val="nil"/>
                  </w:tcBorders>
                  <w:noWrap w:val="0"/>
                  <w:vAlign w:val="center"/>
                </w:tcPr>
                <w:p w14:paraId="50841462">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限制引入废水排放量大且排放含较高N、P废水的项目。</w:t>
                  </w:r>
                </w:p>
              </w:tc>
              <w:tc>
                <w:tcPr>
                  <w:tcW w:w="1288" w:type="pct"/>
                  <w:tcBorders>
                    <w:tl2br w:val="nil"/>
                    <w:tr2bl w:val="nil"/>
                  </w:tcBorders>
                  <w:noWrap w:val="0"/>
                  <w:vAlign w:val="center"/>
                </w:tcPr>
                <w:p w14:paraId="5774F045">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eastAsia" w:ascii="Times New Roman" w:hAnsi="Times New Roman" w:eastAsia="宋体" w:cs="Times New Roman"/>
                      <w:b w:val="0"/>
                      <w:bCs w:val="0"/>
                      <w:color w:val="auto"/>
                      <w:spacing w:val="0"/>
                      <w:kern w:val="21"/>
                      <w:sz w:val="21"/>
                      <w:szCs w:val="21"/>
                      <w:vertAlign w:val="baseline"/>
                      <w:lang w:val="en-US" w:eastAsia="zh-CN"/>
                    </w:rPr>
                    <w:t>项目纯水制备浓水和生活污水N、P含量较小</w:t>
                  </w:r>
                </w:p>
              </w:tc>
            </w:tr>
            <w:tr w14:paraId="18395D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6" w:type="pct"/>
                  <w:gridSpan w:val="2"/>
                  <w:vMerge w:val="restart"/>
                  <w:tcBorders>
                    <w:tl2br w:val="nil"/>
                    <w:tr2bl w:val="nil"/>
                  </w:tcBorders>
                  <w:noWrap w:val="0"/>
                  <w:vAlign w:val="center"/>
                </w:tcPr>
                <w:p w14:paraId="0044847E">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其他环境管理要求</w:t>
                  </w:r>
                </w:p>
              </w:tc>
              <w:tc>
                <w:tcPr>
                  <w:tcW w:w="2364" w:type="pct"/>
                  <w:tcBorders>
                    <w:tl2br w:val="nil"/>
                    <w:tr2bl w:val="nil"/>
                  </w:tcBorders>
                  <w:noWrap w:val="0"/>
                  <w:vAlign w:val="center"/>
                </w:tcPr>
                <w:p w14:paraId="3556067B">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工业项目应符合产业政策，清洁生产水平应达到国内先进水平；</w:t>
                  </w:r>
                </w:p>
              </w:tc>
              <w:tc>
                <w:tcPr>
                  <w:tcW w:w="1288" w:type="pct"/>
                  <w:tcBorders>
                    <w:tl2br w:val="nil"/>
                    <w:tr2bl w:val="nil"/>
                  </w:tcBorders>
                  <w:noWrap w:val="0"/>
                  <w:vAlign w:val="center"/>
                </w:tcPr>
                <w:p w14:paraId="730F0B10">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eastAsia" w:ascii="Times New Roman" w:hAnsi="Times New Roman" w:eastAsia="宋体" w:cs="Times New Roman"/>
                      <w:b w:val="0"/>
                      <w:bCs w:val="0"/>
                      <w:color w:val="auto"/>
                      <w:spacing w:val="0"/>
                      <w:kern w:val="21"/>
                      <w:sz w:val="21"/>
                      <w:szCs w:val="21"/>
                      <w:vertAlign w:val="baseline"/>
                      <w:lang w:val="en-US" w:eastAsia="zh-CN"/>
                    </w:rPr>
                    <w:t>符合</w:t>
                  </w:r>
                </w:p>
              </w:tc>
            </w:tr>
            <w:tr w14:paraId="496B8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6" w:type="pct"/>
                  <w:gridSpan w:val="2"/>
                  <w:vMerge w:val="continue"/>
                  <w:tcBorders>
                    <w:tl2br w:val="nil"/>
                    <w:tr2bl w:val="nil"/>
                  </w:tcBorders>
                  <w:noWrap w:val="0"/>
                  <w:vAlign w:val="center"/>
                </w:tcPr>
                <w:p w14:paraId="67E7D42B">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2364" w:type="pct"/>
                  <w:tcBorders>
                    <w:tl2br w:val="nil"/>
                    <w:tr2bl w:val="nil"/>
                  </w:tcBorders>
                  <w:noWrap w:val="0"/>
                  <w:vAlign w:val="center"/>
                </w:tcPr>
                <w:p w14:paraId="7D718CEE">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新增主要污染物排放量的工业项目必须取得排污指标，且需按证排污；</w:t>
                  </w:r>
                </w:p>
              </w:tc>
              <w:tc>
                <w:tcPr>
                  <w:tcW w:w="1288" w:type="pct"/>
                  <w:tcBorders>
                    <w:tl2br w:val="nil"/>
                    <w:tr2bl w:val="nil"/>
                  </w:tcBorders>
                  <w:noWrap w:val="0"/>
                  <w:vAlign w:val="center"/>
                </w:tcPr>
                <w:p w14:paraId="42E5C52F">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eastAsia" w:ascii="Times New Roman" w:hAnsi="Times New Roman" w:eastAsia="宋体" w:cs="Times New Roman"/>
                      <w:b w:val="0"/>
                      <w:bCs w:val="0"/>
                      <w:color w:val="auto"/>
                      <w:spacing w:val="0"/>
                      <w:kern w:val="21"/>
                      <w:sz w:val="21"/>
                      <w:szCs w:val="21"/>
                      <w:vertAlign w:val="baseline"/>
                      <w:lang w:val="en-US" w:eastAsia="zh-CN"/>
                    </w:rPr>
                    <w:t>环评要求排污单位必须依法持证排污、按证排污</w:t>
                  </w:r>
                </w:p>
              </w:tc>
            </w:tr>
            <w:tr w14:paraId="12F46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6" w:type="pct"/>
                  <w:gridSpan w:val="2"/>
                  <w:vMerge w:val="continue"/>
                  <w:tcBorders>
                    <w:tl2br w:val="nil"/>
                    <w:tr2bl w:val="nil"/>
                  </w:tcBorders>
                  <w:noWrap w:val="0"/>
                  <w:vAlign w:val="center"/>
                </w:tcPr>
                <w:p w14:paraId="205C17D9">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2364" w:type="pct"/>
                  <w:tcBorders>
                    <w:tl2br w:val="nil"/>
                    <w:tr2bl w:val="nil"/>
                  </w:tcBorders>
                  <w:noWrap w:val="0"/>
                  <w:vAlign w:val="center"/>
                </w:tcPr>
                <w:p w14:paraId="1D66712E">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临近环境敏感点的地块落户项目时应合理布局，存在环境风险、大气环境影响的生产、贮存环节尽量远离敏感点，同时需满足与周边环境保护目标之间的防护距离要求；</w:t>
                  </w:r>
                </w:p>
              </w:tc>
              <w:tc>
                <w:tcPr>
                  <w:tcW w:w="1288" w:type="pct"/>
                  <w:tcBorders>
                    <w:tl2br w:val="nil"/>
                    <w:tr2bl w:val="nil"/>
                  </w:tcBorders>
                  <w:noWrap w:val="0"/>
                  <w:vAlign w:val="center"/>
                </w:tcPr>
                <w:p w14:paraId="2B4532B2">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eastAsia" w:ascii="Times New Roman" w:hAnsi="Times New Roman" w:eastAsia="宋体" w:cs="Times New Roman"/>
                      <w:b w:val="0"/>
                      <w:bCs w:val="0"/>
                      <w:color w:val="auto"/>
                      <w:spacing w:val="0"/>
                      <w:kern w:val="21"/>
                      <w:sz w:val="21"/>
                      <w:szCs w:val="21"/>
                      <w:vertAlign w:val="baseline"/>
                      <w:lang w:val="en-US" w:eastAsia="zh-CN"/>
                    </w:rPr>
                    <w:t>项目卫生防护距离内无环境敏感目标</w:t>
                  </w:r>
                </w:p>
              </w:tc>
            </w:tr>
            <w:tr w14:paraId="7BF9B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46" w:type="pct"/>
                  <w:gridSpan w:val="2"/>
                  <w:vMerge w:val="continue"/>
                  <w:tcBorders>
                    <w:tl2br w:val="nil"/>
                    <w:tr2bl w:val="nil"/>
                  </w:tcBorders>
                  <w:noWrap w:val="0"/>
                  <w:vAlign w:val="center"/>
                </w:tcPr>
                <w:p w14:paraId="4565C27E">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p>
              </w:tc>
              <w:tc>
                <w:tcPr>
                  <w:tcW w:w="2364" w:type="pct"/>
                  <w:tcBorders>
                    <w:tl2br w:val="nil"/>
                    <w:tr2bl w:val="nil"/>
                  </w:tcBorders>
                  <w:noWrap w:val="0"/>
                  <w:vAlign w:val="center"/>
                </w:tcPr>
                <w:p w14:paraId="5E3AEF25">
                  <w:pPr>
                    <w:keepNext/>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default" w:ascii="Times New Roman" w:hAnsi="Times New Roman" w:eastAsia="宋体" w:cs="Times New Roman"/>
                      <w:b w:val="0"/>
                      <w:bCs w:val="0"/>
                      <w:color w:val="auto"/>
                      <w:spacing w:val="0"/>
                      <w:kern w:val="21"/>
                      <w:sz w:val="21"/>
                      <w:szCs w:val="21"/>
                      <w:vertAlign w:val="baseline"/>
                      <w:lang w:val="en-US" w:eastAsia="zh-CN"/>
                    </w:rPr>
                    <w:t>建材产业中涉及</w:t>
                  </w:r>
                  <w:r>
                    <w:rPr>
                      <w:rFonts w:hint="eastAsia" w:ascii="Times New Roman" w:hAnsi="Times New Roman" w:eastAsia="宋体" w:cs="Times New Roman"/>
                      <w:b w:val="0"/>
                      <w:bCs w:val="0"/>
                      <w:color w:val="auto"/>
                      <w:spacing w:val="0"/>
                      <w:kern w:val="21"/>
                      <w:sz w:val="21"/>
                      <w:szCs w:val="21"/>
                      <w:vertAlign w:val="baseline"/>
                      <w:lang w:val="en-US" w:eastAsia="zh-CN"/>
                    </w:rPr>
                    <w:t>“两高”</w:t>
                  </w:r>
                  <w:r>
                    <w:rPr>
                      <w:rFonts w:hint="default" w:ascii="Times New Roman" w:hAnsi="Times New Roman" w:eastAsia="宋体" w:cs="Times New Roman"/>
                      <w:b w:val="0"/>
                      <w:bCs w:val="0"/>
                      <w:color w:val="auto"/>
                      <w:spacing w:val="0"/>
                      <w:kern w:val="21"/>
                      <w:sz w:val="21"/>
                      <w:szCs w:val="21"/>
                      <w:vertAlign w:val="baseline"/>
                      <w:lang w:val="en-US" w:eastAsia="zh-CN"/>
                    </w:rPr>
                    <w:t>的项目需加强审查论证。</w:t>
                  </w:r>
                </w:p>
              </w:tc>
              <w:tc>
                <w:tcPr>
                  <w:tcW w:w="1288" w:type="pct"/>
                  <w:tcBorders>
                    <w:tl2br w:val="nil"/>
                    <w:tr2bl w:val="nil"/>
                  </w:tcBorders>
                  <w:noWrap w:val="0"/>
                  <w:vAlign w:val="center"/>
                </w:tcPr>
                <w:p w14:paraId="30BFD428">
                  <w:pPr>
                    <w:keepNext/>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kern w:val="21"/>
                      <w:sz w:val="21"/>
                      <w:szCs w:val="21"/>
                      <w:vertAlign w:val="baseline"/>
                      <w:lang w:val="en-US" w:eastAsia="zh-CN"/>
                    </w:rPr>
                  </w:pPr>
                  <w:r>
                    <w:rPr>
                      <w:rFonts w:hint="eastAsia" w:ascii="Times New Roman" w:hAnsi="Times New Roman" w:eastAsia="宋体" w:cs="Times New Roman"/>
                      <w:b w:val="0"/>
                      <w:bCs w:val="0"/>
                      <w:color w:val="auto"/>
                      <w:spacing w:val="0"/>
                      <w:kern w:val="21"/>
                      <w:sz w:val="21"/>
                      <w:szCs w:val="21"/>
                      <w:vertAlign w:val="baseline"/>
                      <w:lang w:val="en-US" w:eastAsia="zh-CN"/>
                    </w:rPr>
                    <w:t>项目不属于建材产业</w:t>
                  </w:r>
                </w:p>
              </w:tc>
            </w:tr>
          </w:tbl>
          <w:p w14:paraId="3AE46946">
            <w:pPr>
              <w:keepNext/>
              <w:keepLines w:val="0"/>
              <w:pageBreakBefore w:val="0"/>
              <w:widowControl w:val="0"/>
              <w:kinsoku/>
              <w:wordWrap/>
              <w:overflowPunct/>
              <w:topLinePunct w:val="0"/>
              <w:autoSpaceDE w:val="0"/>
              <w:autoSpaceDN w:val="0"/>
              <w:bidi w:val="0"/>
              <w:adjustRightInd/>
              <w:snapToGrid/>
              <w:spacing w:before="157" w:beforeLines="50" w:line="360" w:lineRule="auto"/>
              <w:ind w:firstLine="482" w:firstLineChars="200"/>
              <w:jc w:val="both"/>
              <w:textAlignment w:val="auto"/>
              <w:rPr>
                <w:rFonts w:hint="default" w:ascii="Times New Roman" w:hAnsi="Times New Roman" w:eastAsia="宋体" w:cs="Times New Roman"/>
                <w:b/>
                <w:bCs w:val="0"/>
                <w:color w:val="auto"/>
                <w:sz w:val="21"/>
                <w:szCs w:val="21"/>
                <w:lang w:val="en-US" w:eastAsia="zh-CN"/>
              </w:rPr>
            </w:pPr>
            <w:r>
              <w:rPr>
                <w:rFonts w:hint="eastAsia" w:cs="宋体"/>
                <w:b/>
                <w:bCs/>
                <w:color w:val="auto"/>
                <w:spacing w:val="0"/>
                <w:kern w:val="21"/>
                <w:sz w:val="24"/>
                <w:szCs w:val="24"/>
                <w:lang w:val="en-US" w:eastAsia="zh-CN"/>
              </w:rPr>
              <w:t>3</w:t>
            </w:r>
            <w:r>
              <w:rPr>
                <w:rFonts w:hint="eastAsia" w:ascii="Times New Roman" w:hAnsi="Times New Roman" w:eastAsia="宋体" w:cs="宋体"/>
                <w:b/>
                <w:bCs/>
                <w:color w:val="auto"/>
                <w:spacing w:val="0"/>
                <w:kern w:val="21"/>
                <w:sz w:val="24"/>
                <w:szCs w:val="24"/>
                <w:lang w:val="en-US" w:eastAsia="zh-CN"/>
              </w:rPr>
              <w:t>、与《关于江西庐山工业园区扩区调区规划环境影响报告书审查意见的函》相符性分析</w:t>
            </w:r>
          </w:p>
          <w:p w14:paraId="3DA2373D">
            <w:pPr>
              <w:keepNext/>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表1-</w:t>
            </w:r>
            <w:r>
              <w:rPr>
                <w:rFonts w:hint="eastAsia" w:ascii="Times New Roman" w:hAnsi="Times New Roman" w:eastAsia="宋体" w:cs="Times New Roman"/>
                <w:b/>
                <w:bCs w:val="0"/>
                <w:color w:val="auto"/>
                <w:sz w:val="21"/>
                <w:szCs w:val="21"/>
                <w:lang w:val="en-US" w:eastAsia="zh-CN"/>
              </w:rPr>
              <w:t>3</w:t>
            </w:r>
            <w:r>
              <w:rPr>
                <w:rFonts w:hint="default" w:ascii="Times New Roman" w:hAnsi="Times New Roman" w:eastAsia="宋体" w:cs="Times New Roman"/>
                <w:b/>
                <w:bCs w:val="0"/>
                <w:color w:val="auto"/>
                <w:sz w:val="21"/>
                <w:szCs w:val="21"/>
                <w:lang w:val="en-US" w:eastAsia="zh-CN"/>
              </w:rPr>
              <w:t>与</w:t>
            </w:r>
            <w:r>
              <w:rPr>
                <w:rFonts w:hint="eastAsia" w:ascii="Times New Roman" w:hAnsi="Times New Roman" w:eastAsia="宋体" w:cs="Times New Roman"/>
                <w:b/>
                <w:bCs w:val="0"/>
                <w:color w:val="auto"/>
                <w:sz w:val="21"/>
                <w:szCs w:val="21"/>
                <w:lang w:val="en-US" w:eastAsia="zh-CN"/>
              </w:rPr>
              <w:t>《关于江西庐山工业园区扩区调区规划环境影响报告书审查意见的函》</w:t>
            </w:r>
            <w:r>
              <w:rPr>
                <w:rFonts w:hint="default" w:ascii="Times New Roman" w:hAnsi="Times New Roman" w:eastAsia="宋体" w:cs="Times New Roman"/>
                <w:b/>
                <w:bCs w:val="0"/>
                <w:color w:val="auto"/>
                <w:sz w:val="21"/>
                <w:szCs w:val="21"/>
                <w:lang w:val="en-US" w:eastAsia="zh-CN"/>
              </w:rPr>
              <w:t>相符性</w:t>
            </w:r>
            <w:r>
              <w:rPr>
                <w:rFonts w:hint="eastAsia" w:ascii="Times New Roman" w:hAnsi="Times New Roman" w:eastAsia="宋体" w:cs="Times New Roman"/>
                <w:b/>
                <w:bCs w:val="0"/>
                <w:color w:val="auto"/>
                <w:sz w:val="21"/>
                <w:szCs w:val="21"/>
                <w:lang w:val="en-US" w:eastAsia="zh-CN"/>
              </w:rPr>
              <w:t>分析</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4035"/>
              <w:gridCol w:w="1955"/>
              <w:gridCol w:w="713"/>
            </w:tblGrid>
            <w:tr w14:paraId="19965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tcBorders>
                    <w:top w:val="single" w:color="auto" w:sz="12" w:space="0"/>
                    <w:left w:val="nil"/>
                    <w:bottom w:val="single" w:color="auto" w:sz="12" w:space="0"/>
                    <w:right w:val="single" w:color="auto" w:sz="4" w:space="0"/>
                  </w:tcBorders>
                  <w:noWrap w:val="0"/>
                  <w:vAlign w:val="center"/>
                </w:tcPr>
                <w:p w14:paraId="5F72B597">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2735" w:type="pct"/>
                  <w:tcBorders>
                    <w:top w:val="single" w:color="auto" w:sz="12" w:space="0"/>
                    <w:left w:val="single" w:color="auto" w:sz="4" w:space="0"/>
                    <w:bottom w:val="single" w:color="auto" w:sz="12" w:space="0"/>
                    <w:right w:val="single" w:color="auto" w:sz="4" w:space="0"/>
                  </w:tcBorders>
                  <w:noWrap w:val="0"/>
                  <w:vAlign w:val="center"/>
                </w:tcPr>
                <w:p w14:paraId="681FBECA">
                  <w:pPr>
                    <w:jc w:val="center"/>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lang w:val="en-US" w:eastAsia="zh-CN"/>
                    </w:rPr>
                    <w:t>产业园规划</w:t>
                  </w:r>
                  <w:r>
                    <w:rPr>
                      <w:rFonts w:hint="default" w:ascii="Times New Roman" w:hAnsi="Times New Roman" w:eastAsia="宋体" w:cs="Times New Roman"/>
                      <w:b/>
                      <w:bCs/>
                      <w:color w:val="auto"/>
                      <w:szCs w:val="21"/>
                      <w:highlight w:val="none"/>
                    </w:rPr>
                    <w:t>环评批复要求</w:t>
                  </w:r>
                </w:p>
              </w:tc>
              <w:tc>
                <w:tcPr>
                  <w:tcW w:w="1325" w:type="pct"/>
                  <w:tcBorders>
                    <w:top w:val="single" w:color="auto" w:sz="12" w:space="0"/>
                    <w:left w:val="single" w:color="auto" w:sz="4" w:space="0"/>
                    <w:bottom w:val="single" w:color="auto" w:sz="12" w:space="0"/>
                    <w:right w:val="single" w:color="auto" w:sz="4" w:space="0"/>
                  </w:tcBorders>
                  <w:noWrap w:val="0"/>
                  <w:vAlign w:val="center"/>
                </w:tcPr>
                <w:p w14:paraId="61C4288C">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本项目情况</w:t>
                  </w:r>
                </w:p>
              </w:tc>
              <w:tc>
                <w:tcPr>
                  <w:tcW w:w="483" w:type="pct"/>
                  <w:tcBorders>
                    <w:top w:val="single" w:color="auto" w:sz="12" w:space="0"/>
                    <w:left w:val="single" w:color="auto" w:sz="4" w:space="0"/>
                    <w:bottom w:val="single" w:color="auto" w:sz="12" w:space="0"/>
                    <w:right w:val="nil"/>
                  </w:tcBorders>
                  <w:noWrap w:val="0"/>
                  <w:vAlign w:val="center"/>
                </w:tcPr>
                <w:p w14:paraId="417FDAE5">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结论</w:t>
                  </w:r>
                </w:p>
              </w:tc>
            </w:tr>
            <w:tr w14:paraId="3E41A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tcBorders>
                    <w:top w:val="single" w:color="auto" w:sz="12" w:space="0"/>
                    <w:left w:val="nil"/>
                    <w:bottom w:val="single" w:color="auto" w:sz="4" w:space="0"/>
                    <w:right w:val="single" w:color="auto" w:sz="4" w:space="0"/>
                  </w:tcBorders>
                  <w:noWrap w:val="0"/>
                  <w:vAlign w:val="center"/>
                </w:tcPr>
                <w:p w14:paraId="6CE8ED3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735" w:type="pct"/>
                  <w:tcBorders>
                    <w:top w:val="single" w:color="auto" w:sz="12" w:space="0"/>
                    <w:left w:val="single" w:color="auto" w:sz="4" w:space="0"/>
                    <w:bottom w:val="single" w:color="auto" w:sz="4" w:space="0"/>
                    <w:right w:val="single" w:color="auto" w:sz="4" w:space="0"/>
                  </w:tcBorders>
                  <w:noWrap w:val="0"/>
                  <w:vAlign w:val="center"/>
                </w:tcPr>
                <w:p w14:paraId="73136D7E">
                  <w:pPr>
                    <w:pStyle w:val="31"/>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综合产业园四至范围</w:t>
                  </w:r>
                  <w:r>
                    <w:rPr>
                      <w:rFonts w:hint="eastAsia" w:asci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东至园区污水处理厂，南至东毅港口，西至白鹿镇夏家垄、北至白鹿镇波湖村。</w:t>
                  </w:r>
                </w:p>
              </w:tc>
              <w:tc>
                <w:tcPr>
                  <w:tcW w:w="1325" w:type="pct"/>
                  <w:tcBorders>
                    <w:top w:val="single" w:color="auto" w:sz="12" w:space="0"/>
                    <w:left w:val="single" w:color="auto" w:sz="4" w:space="0"/>
                    <w:bottom w:val="single" w:color="auto" w:sz="4" w:space="0"/>
                    <w:right w:val="single" w:color="auto" w:sz="4" w:space="0"/>
                  </w:tcBorders>
                  <w:noWrap w:val="0"/>
                  <w:vAlign w:val="center"/>
                </w:tcPr>
                <w:p w14:paraId="3241FE04">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w:t>
                  </w:r>
                  <w:r>
                    <w:rPr>
                      <w:rFonts w:hint="default" w:ascii="Times New Roman" w:hAnsi="Times New Roman" w:eastAsia="宋体" w:cs="Times New Roman"/>
                      <w:color w:val="auto"/>
                      <w:szCs w:val="21"/>
                      <w:highlight w:val="none"/>
                      <w:lang w:val="en-US" w:eastAsia="zh-CN"/>
                    </w:rPr>
                    <w:t>于</w:t>
                  </w:r>
                  <w:r>
                    <w:rPr>
                      <w:rFonts w:hint="eastAsia" w:ascii="Times New Roman" w:hAnsi="Times New Roman" w:eastAsia="宋体" w:cs="Times New Roman"/>
                      <w:color w:val="auto"/>
                      <w:sz w:val="21"/>
                      <w:szCs w:val="21"/>
                      <w:lang w:val="en-US" w:eastAsia="zh-CN"/>
                    </w:rPr>
                    <w:t>江西省九江市庐山市工业园金鹿科技园</w:t>
                  </w:r>
                  <w:r>
                    <w:rPr>
                      <w:rFonts w:hint="eastAsia" w:ascii="Times New Roman" w:hAnsi="Times New Roman" w:eastAsia="宋体" w:cs="Times New Roman"/>
                      <w:color w:val="auto"/>
                      <w:szCs w:val="21"/>
                      <w:highlight w:val="none"/>
                      <w:lang w:val="en-US" w:eastAsia="zh-CN"/>
                    </w:rPr>
                    <w:t>，属于综合产业园范围内</w:t>
                  </w:r>
                </w:p>
              </w:tc>
              <w:tc>
                <w:tcPr>
                  <w:tcW w:w="483" w:type="pct"/>
                  <w:tcBorders>
                    <w:top w:val="single" w:color="auto" w:sz="12" w:space="0"/>
                    <w:left w:val="single" w:color="auto" w:sz="4" w:space="0"/>
                    <w:bottom w:val="single" w:color="auto" w:sz="4" w:space="0"/>
                    <w:right w:val="nil"/>
                  </w:tcBorders>
                  <w:noWrap w:val="0"/>
                  <w:vAlign w:val="center"/>
                </w:tcPr>
                <w:p w14:paraId="5887BEBA">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1CB27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tcBorders>
                    <w:top w:val="single" w:color="auto" w:sz="4" w:space="0"/>
                    <w:left w:val="nil"/>
                    <w:bottom w:val="single" w:color="auto" w:sz="4" w:space="0"/>
                    <w:right w:val="single" w:color="auto" w:sz="4" w:space="0"/>
                  </w:tcBorders>
                  <w:noWrap w:val="0"/>
                  <w:vAlign w:val="center"/>
                </w:tcPr>
                <w:p w14:paraId="0D650E9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735" w:type="pct"/>
                  <w:tcBorders>
                    <w:top w:val="single" w:color="auto" w:sz="4" w:space="0"/>
                    <w:left w:val="single" w:color="auto" w:sz="4" w:space="0"/>
                    <w:bottom w:val="single" w:color="auto" w:sz="4" w:space="0"/>
                    <w:right w:val="single" w:color="auto" w:sz="4" w:space="0"/>
                  </w:tcBorders>
                  <w:noWrap w:val="0"/>
                  <w:vAlign w:val="center"/>
                </w:tcPr>
                <w:p w14:paraId="58E714CD">
                  <w:pPr>
                    <w:pStyle w:val="31"/>
                    <w:jc w:val="left"/>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产业布局</w:t>
                  </w:r>
                  <w:r>
                    <w:rPr>
                      <w:rFonts w:hint="default" w:ascii="Times New Roman" w:hAnsi="Times New Roman" w:eastAsia="宋体" w:cs="Times New Roman"/>
                      <w:color w:val="auto"/>
                      <w:sz w:val="21"/>
                      <w:szCs w:val="21"/>
                      <w:highlight w:val="none"/>
                    </w:rPr>
                    <w:t>：规划在园区现有工业</w:t>
                  </w:r>
                  <w:r>
                    <w:rPr>
                      <w:rFonts w:hint="default" w:ascii="Times New Roman" w:hAnsi="Times New Roman" w:eastAsia="宋体" w:cs="Times New Roman"/>
                      <w:color w:val="auto"/>
                      <w:sz w:val="21"/>
                      <w:szCs w:val="21"/>
                      <w:highlight w:val="none"/>
                      <w:lang w:val="en-US" w:eastAsia="zh-CN"/>
                    </w:rPr>
                    <w:t>（电子信息、新能源、体育用品、汽车配件、精密机械、纺织服装、旅游工艺品、食品和建材等主要产业）</w:t>
                  </w:r>
                  <w:r>
                    <w:rPr>
                      <w:rFonts w:hint="default" w:ascii="Times New Roman" w:hAnsi="Times New Roman" w:eastAsia="宋体" w:cs="Times New Roman"/>
                      <w:color w:val="auto"/>
                      <w:sz w:val="21"/>
                      <w:szCs w:val="21"/>
                      <w:highlight w:val="none"/>
                    </w:rPr>
                    <w:t>的基础上，打造以文体用品制造、绿色建材生产加工、医疗器械及船舶汽配为主导，绿色食品生产加工、服装纺织、物流业为辅的工业园区</w:t>
                  </w:r>
                  <w:r>
                    <w:rPr>
                      <w:rFonts w:hint="eastAsia" w:ascii="Times New Roman" w:eastAsia="宋体" w:cs="Times New Roman"/>
                      <w:color w:val="auto"/>
                      <w:sz w:val="21"/>
                      <w:szCs w:val="21"/>
                      <w:highlight w:val="none"/>
                      <w:lang w:eastAsia="zh-CN"/>
                    </w:rPr>
                    <w:t>。</w:t>
                  </w:r>
                </w:p>
              </w:tc>
              <w:tc>
                <w:tcPr>
                  <w:tcW w:w="1325" w:type="pct"/>
                  <w:tcBorders>
                    <w:top w:val="single" w:color="auto" w:sz="4" w:space="0"/>
                    <w:left w:val="single" w:color="auto" w:sz="4" w:space="0"/>
                    <w:bottom w:val="single" w:color="auto" w:sz="4" w:space="0"/>
                    <w:right w:val="single" w:color="auto" w:sz="4" w:space="0"/>
                  </w:tcBorders>
                  <w:noWrap w:val="0"/>
                  <w:vAlign w:val="center"/>
                </w:tcPr>
                <w:p w14:paraId="6D33277C">
                  <w:pPr>
                    <w:pStyle w:val="9"/>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项目</w:t>
                  </w:r>
                  <w:r>
                    <w:rPr>
                      <w:rFonts w:hint="eastAsia" w:ascii="Times New Roman" w:hAnsi="Times New Roman" w:eastAsia="宋体" w:cs="Times New Roman"/>
                      <w:color w:val="auto"/>
                      <w:kern w:val="2"/>
                      <w:sz w:val="21"/>
                      <w:szCs w:val="21"/>
                      <w:highlight w:val="none"/>
                      <w:lang w:val="en-US" w:eastAsia="zh-CN"/>
                    </w:rPr>
                    <w:t>主要从事</w:t>
                  </w:r>
                  <w:r>
                    <w:rPr>
                      <w:rFonts w:hint="eastAsia" w:ascii="Times New Roman" w:hAnsi="Times New Roman" w:eastAsia="宋体" w:cs="Times New Roman"/>
                      <w:color w:val="auto"/>
                      <w:sz w:val="21"/>
                      <w:szCs w:val="21"/>
                    </w:rPr>
                    <w:t>卫生材料及医药用品制造</w:t>
                  </w:r>
                  <w:r>
                    <w:rPr>
                      <w:rFonts w:hint="eastAsia" w:ascii="Times New Roman" w:hAnsi="Times New Roman" w:eastAsia="宋体" w:cs="Times New Roman"/>
                      <w:color w:val="auto"/>
                      <w:kern w:val="2"/>
                      <w:sz w:val="21"/>
                      <w:szCs w:val="21"/>
                      <w:highlight w:val="none"/>
                      <w:lang w:val="en-US" w:eastAsia="zh-CN"/>
                    </w:rPr>
                    <w:t>，符合综合产业园定位</w:t>
                  </w:r>
                </w:p>
              </w:tc>
              <w:tc>
                <w:tcPr>
                  <w:tcW w:w="483" w:type="pct"/>
                  <w:tcBorders>
                    <w:top w:val="single" w:color="auto" w:sz="4" w:space="0"/>
                    <w:left w:val="single" w:color="auto" w:sz="4" w:space="0"/>
                    <w:bottom w:val="single" w:color="auto" w:sz="4" w:space="0"/>
                    <w:right w:val="nil"/>
                  </w:tcBorders>
                  <w:noWrap w:val="0"/>
                  <w:vAlign w:val="center"/>
                </w:tcPr>
                <w:p w14:paraId="627E7398">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423CB1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tcBorders>
                    <w:top w:val="single" w:color="auto" w:sz="4" w:space="0"/>
                    <w:left w:val="nil"/>
                    <w:bottom w:val="single" w:color="auto" w:sz="4" w:space="0"/>
                    <w:right w:val="single" w:color="auto" w:sz="4" w:space="0"/>
                  </w:tcBorders>
                  <w:noWrap w:val="0"/>
                  <w:vAlign w:val="center"/>
                </w:tcPr>
                <w:p w14:paraId="2DA721ED">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2735" w:type="pct"/>
                  <w:tcBorders>
                    <w:top w:val="single" w:color="auto" w:sz="4" w:space="0"/>
                    <w:left w:val="single" w:color="auto" w:sz="4" w:space="0"/>
                    <w:bottom w:val="single" w:color="auto" w:sz="4" w:space="0"/>
                    <w:right w:val="single" w:color="auto" w:sz="4" w:space="0"/>
                  </w:tcBorders>
                  <w:noWrap w:val="0"/>
                  <w:vAlign w:val="center"/>
                </w:tcPr>
                <w:p w14:paraId="34155548">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规划意见一：</w:t>
                  </w:r>
                  <w:r>
                    <w:rPr>
                      <w:rFonts w:hint="eastAsia" w:ascii="Times New Roman" w:hAnsi="Times New Roman" w:eastAsia="宋体" w:cs="Times New Roman"/>
                      <w:color w:val="auto"/>
                      <w:szCs w:val="21"/>
                      <w:highlight w:val="none"/>
                      <w:lang w:val="en-US" w:eastAsia="zh-CN"/>
                    </w:rPr>
                    <w:t>建议规划进一步考虑产业链的延伸和高附加值的新兴产业，提高单位用地产出效率。根据园区内企业关联度，优化形成完善的配套生产链，形成专业化分工、上下游配套的综合体系，从而带动相关产业的发展和园区产业结构的优化升级。</w:t>
                  </w:r>
                </w:p>
              </w:tc>
              <w:tc>
                <w:tcPr>
                  <w:tcW w:w="1325" w:type="pct"/>
                  <w:tcBorders>
                    <w:top w:val="single" w:color="auto" w:sz="4" w:space="0"/>
                    <w:left w:val="single" w:color="auto" w:sz="4" w:space="0"/>
                    <w:bottom w:val="single" w:color="auto" w:sz="4" w:space="0"/>
                    <w:right w:val="single" w:color="auto" w:sz="4" w:space="0"/>
                  </w:tcBorders>
                  <w:noWrap w:val="0"/>
                  <w:vAlign w:val="center"/>
                </w:tcPr>
                <w:p w14:paraId="0243B772">
                  <w:pPr>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2"/>
                      <w:sz w:val="21"/>
                      <w:szCs w:val="21"/>
                      <w:highlight w:val="none"/>
                    </w:rPr>
                    <w:t>项目</w:t>
                  </w:r>
                  <w:r>
                    <w:rPr>
                      <w:rFonts w:hint="eastAsia" w:ascii="Times New Roman" w:hAnsi="Times New Roman" w:eastAsia="宋体" w:cs="Times New Roman"/>
                      <w:color w:val="auto"/>
                      <w:kern w:val="2"/>
                      <w:sz w:val="21"/>
                      <w:szCs w:val="21"/>
                      <w:highlight w:val="none"/>
                      <w:lang w:val="en-US" w:eastAsia="zh-CN"/>
                    </w:rPr>
                    <w:t>主要从事</w:t>
                  </w:r>
                  <w:r>
                    <w:rPr>
                      <w:rFonts w:hint="eastAsia" w:ascii="Times New Roman" w:hAnsi="Times New Roman" w:eastAsia="宋体" w:cs="Times New Roman"/>
                      <w:color w:val="auto"/>
                      <w:sz w:val="21"/>
                      <w:szCs w:val="21"/>
                    </w:rPr>
                    <w:t>卫生材料及医药用品制造</w:t>
                  </w:r>
                  <w:r>
                    <w:rPr>
                      <w:rFonts w:hint="eastAsia" w:ascii="Times New Roman" w:hAnsi="Times New Roman" w:eastAsia="宋体" w:cs="Times New Roman"/>
                      <w:color w:val="auto"/>
                      <w:kern w:val="2"/>
                      <w:sz w:val="21"/>
                      <w:szCs w:val="21"/>
                      <w:highlight w:val="none"/>
                      <w:lang w:val="en-US" w:eastAsia="zh-CN"/>
                    </w:rPr>
                    <w:t>，符合园区产业定位</w:t>
                  </w:r>
                </w:p>
              </w:tc>
              <w:tc>
                <w:tcPr>
                  <w:tcW w:w="483" w:type="pct"/>
                  <w:tcBorders>
                    <w:top w:val="single" w:color="auto" w:sz="4" w:space="0"/>
                    <w:left w:val="single" w:color="auto" w:sz="4" w:space="0"/>
                    <w:bottom w:val="single" w:color="auto" w:sz="4" w:space="0"/>
                    <w:right w:val="nil"/>
                  </w:tcBorders>
                  <w:noWrap w:val="0"/>
                  <w:vAlign w:val="center"/>
                </w:tcPr>
                <w:p w14:paraId="0C146952">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0F644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tcBorders>
                    <w:top w:val="single" w:color="auto" w:sz="4" w:space="0"/>
                    <w:left w:val="nil"/>
                    <w:bottom w:val="single" w:color="auto" w:sz="4" w:space="0"/>
                    <w:right w:val="single" w:color="auto" w:sz="4" w:space="0"/>
                  </w:tcBorders>
                  <w:noWrap w:val="0"/>
                  <w:vAlign w:val="center"/>
                </w:tcPr>
                <w:p w14:paraId="74D1594F">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2735" w:type="pct"/>
                  <w:tcBorders>
                    <w:top w:val="single" w:color="auto" w:sz="4" w:space="0"/>
                    <w:left w:val="single" w:color="auto" w:sz="4" w:space="0"/>
                    <w:bottom w:val="single" w:color="auto" w:sz="4" w:space="0"/>
                    <w:right w:val="single" w:color="auto" w:sz="4" w:space="0"/>
                  </w:tcBorders>
                  <w:noWrap w:val="0"/>
                  <w:vAlign w:val="center"/>
                </w:tcPr>
                <w:p w14:paraId="4E726415">
                  <w:pPr>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规划意见二：</w:t>
                  </w:r>
                  <w:r>
                    <w:rPr>
                      <w:rFonts w:hint="eastAsia" w:ascii="Times New Roman" w:hAnsi="Times New Roman" w:eastAsia="宋体" w:cs="Times New Roman"/>
                      <w:color w:val="auto"/>
                      <w:szCs w:val="21"/>
                      <w:highlight w:val="none"/>
                      <w:lang w:val="en-US" w:eastAsia="zh-CN"/>
                    </w:rPr>
                    <w:t>进一步优化产业布局，形成产业集聚，扩大规模效应。综合产业园现有企业分布混乱、零散，建议结合园区发展逐步促进产业集聚。</w:t>
                  </w:r>
                </w:p>
              </w:tc>
              <w:tc>
                <w:tcPr>
                  <w:tcW w:w="1325" w:type="pct"/>
                  <w:tcBorders>
                    <w:top w:val="single" w:color="auto" w:sz="4" w:space="0"/>
                    <w:left w:val="single" w:color="auto" w:sz="4" w:space="0"/>
                    <w:bottom w:val="single" w:color="auto" w:sz="4" w:space="0"/>
                    <w:right w:val="single" w:color="auto" w:sz="4" w:space="0"/>
                  </w:tcBorders>
                  <w:noWrap w:val="0"/>
                  <w:vAlign w:val="center"/>
                </w:tcPr>
                <w:p w14:paraId="1A8377BF">
                  <w:pPr>
                    <w:pStyle w:val="31"/>
                    <w:jc w:val="center"/>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w:t>
                  </w:r>
                </w:p>
              </w:tc>
              <w:tc>
                <w:tcPr>
                  <w:tcW w:w="483" w:type="pct"/>
                  <w:tcBorders>
                    <w:top w:val="single" w:color="auto" w:sz="4" w:space="0"/>
                    <w:left w:val="single" w:color="auto" w:sz="4" w:space="0"/>
                    <w:bottom w:val="single" w:color="auto" w:sz="4" w:space="0"/>
                    <w:right w:val="nil"/>
                  </w:tcBorders>
                  <w:noWrap w:val="0"/>
                  <w:vAlign w:val="center"/>
                </w:tcPr>
                <w:p w14:paraId="68990EDA">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w:t>
                  </w:r>
                </w:p>
              </w:tc>
            </w:tr>
            <w:tr w14:paraId="59951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tcBorders>
                    <w:top w:val="single" w:color="auto" w:sz="4" w:space="0"/>
                    <w:left w:val="nil"/>
                    <w:bottom w:val="single" w:color="auto" w:sz="4" w:space="0"/>
                    <w:right w:val="single" w:color="auto" w:sz="4" w:space="0"/>
                  </w:tcBorders>
                  <w:noWrap w:val="0"/>
                  <w:vAlign w:val="center"/>
                </w:tcPr>
                <w:p w14:paraId="3E8D26AB">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2735" w:type="pct"/>
                  <w:tcBorders>
                    <w:top w:val="single" w:color="auto" w:sz="4" w:space="0"/>
                    <w:left w:val="single" w:color="auto" w:sz="4" w:space="0"/>
                    <w:bottom w:val="single" w:color="auto" w:sz="4" w:space="0"/>
                    <w:right w:val="single" w:color="auto" w:sz="4" w:space="0"/>
                  </w:tcBorders>
                  <w:noWrap w:val="0"/>
                  <w:vAlign w:val="center"/>
                </w:tcPr>
                <w:p w14:paraId="1D3C7844">
                  <w:pPr>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规划意见三：</w:t>
                  </w:r>
                  <w:r>
                    <w:rPr>
                      <w:rFonts w:hint="eastAsia" w:ascii="Times New Roman" w:hAnsi="Times New Roman" w:eastAsia="宋体" w:cs="Times New Roman"/>
                      <w:color w:val="auto"/>
                      <w:szCs w:val="21"/>
                      <w:highlight w:val="none"/>
                      <w:lang w:val="en-US" w:eastAsia="zh-CN"/>
                    </w:rPr>
                    <w:t>综合产业园、星子产业园临近鄱阳湖，且周边分布有较多居住区，所处环境敏感，原则上应避免布局具有重大危险源项目，限制引入废水排放量大且排放含较高氮、磷废水的项目。</w:t>
                  </w:r>
                </w:p>
              </w:tc>
              <w:tc>
                <w:tcPr>
                  <w:tcW w:w="1325" w:type="pct"/>
                  <w:tcBorders>
                    <w:top w:val="single" w:color="auto" w:sz="4" w:space="0"/>
                    <w:left w:val="single" w:color="auto" w:sz="4" w:space="0"/>
                    <w:bottom w:val="single" w:color="auto" w:sz="4" w:space="0"/>
                    <w:right w:val="single" w:color="auto" w:sz="4" w:space="0"/>
                  </w:tcBorders>
                  <w:noWrap w:val="0"/>
                  <w:vAlign w:val="center"/>
                </w:tcPr>
                <w:p w14:paraId="7E0FAE5E">
                  <w:pPr>
                    <w:jc w:val="both"/>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项目卫生防护距离内无环境敏感目标且生产废水不外排，生活污水N、P含量较小</w:t>
                  </w:r>
                </w:p>
              </w:tc>
              <w:tc>
                <w:tcPr>
                  <w:tcW w:w="483" w:type="pct"/>
                  <w:tcBorders>
                    <w:top w:val="single" w:color="auto" w:sz="4" w:space="0"/>
                    <w:left w:val="single" w:color="auto" w:sz="4" w:space="0"/>
                    <w:bottom w:val="single" w:color="auto" w:sz="4" w:space="0"/>
                    <w:right w:val="nil"/>
                  </w:tcBorders>
                  <w:noWrap w:val="0"/>
                  <w:vAlign w:val="center"/>
                </w:tcPr>
                <w:p w14:paraId="70C9332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14:paraId="10EBF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6" w:type="pct"/>
                  <w:tcBorders>
                    <w:top w:val="single" w:color="auto" w:sz="4" w:space="0"/>
                    <w:left w:val="nil"/>
                    <w:bottom w:val="single" w:color="auto" w:sz="12" w:space="0"/>
                    <w:right w:val="single" w:color="auto" w:sz="4" w:space="0"/>
                  </w:tcBorders>
                  <w:noWrap w:val="0"/>
                  <w:vAlign w:val="center"/>
                </w:tcPr>
                <w:p w14:paraId="5A121A2D">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c>
                <w:tcPr>
                  <w:tcW w:w="2735" w:type="pct"/>
                  <w:tcBorders>
                    <w:top w:val="single" w:color="auto" w:sz="4" w:space="0"/>
                    <w:left w:val="single" w:color="auto" w:sz="4" w:space="0"/>
                    <w:bottom w:val="single" w:color="auto" w:sz="12" w:space="0"/>
                    <w:right w:val="single" w:color="auto" w:sz="4" w:space="0"/>
                  </w:tcBorders>
                  <w:noWrap w:val="0"/>
                  <w:vAlign w:val="center"/>
                </w:tcPr>
                <w:p w14:paraId="3A977B06">
                  <w:pPr>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规划意见</w:t>
                  </w:r>
                  <w:r>
                    <w:rPr>
                      <w:rFonts w:hint="eastAsia" w:ascii="Times New Roman" w:hAnsi="Times New Roman" w:eastAsia="宋体" w:cs="Times New Roman"/>
                      <w:color w:val="auto"/>
                      <w:szCs w:val="21"/>
                      <w:highlight w:val="none"/>
                      <w:lang w:val="en-US" w:eastAsia="zh-CN"/>
                    </w:rPr>
                    <w:t>四：加快推进鄱湖高新科技项目区污水处理工程建设，在规划实施过程中，杜绝尾水事故排放，减缓对鄱阳湖的不利影响。建议在蛟华产业园周边规划建设集中污水处理设施，污水处理厂选址、排污口等需充分论证并办理相关手续。</w:t>
                  </w:r>
                </w:p>
              </w:tc>
              <w:tc>
                <w:tcPr>
                  <w:tcW w:w="1325" w:type="pct"/>
                  <w:tcBorders>
                    <w:top w:val="single" w:color="auto" w:sz="4" w:space="0"/>
                    <w:left w:val="single" w:color="auto" w:sz="4" w:space="0"/>
                    <w:bottom w:val="single" w:color="auto" w:sz="12" w:space="0"/>
                    <w:right w:val="single" w:color="auto" w:sz="4" w:space="0"/>
                  </w:tcBorders>
                  <w:noWrap w:val="0"/>
                  <w:vAlign w:val="center"/>
                </w:tcPr>
                <w:p w14:paraId="042B9A49">
                  <w:pPr>
                    <w:jc w:val="left"/>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zCs w:val="21"/>
                      <w:highlight w:val="none"/>
                      <w:lang w:eastAsia="zh-CN"/>
                    </w:rPr>
                    <w:t>项目</w:t>
                  </w:r>
                  <w:r>
                    <w:rPr>
                      <w:rFonts w:hint="eastAsia" w:cs="Times New Roman"/>
                      <w:color w:val="auto"/>
                      <w:szCs w:val="21"/>
                      <w:highlight w:val="none"/>
                      <w:lang w:val="en-US" w:eastAsia="zh-CN"/>
                    </w:rPr>
                    <w:t>产生的纯水制备浓水属于清净下水与</w:t>
                  </w:r>
                  <w:r>
                    <w:rPr>
                      <w:rFonts w:hint="eastAsia" w:ascii="Times New Roman" w:hAnsi="Times New Roman" w:eastAsia="宋体" w:cs="Times New Roman"/>
                      <w:color w:val="auto"/>
                      <w:szCs w:val="21"/>
                      <w:highlight w:val="none"/>
                      <w:lang w:val="en-US" w:eastAsia="zh-CN"/>
                    </w:rPr>
                    <w:t>经化粪池</w:t>
                  </w:r>
                  <w:r>
                    <w:rPr>
                      <w:rFonts w:hint="default" w:ascii="Times New Roman" w:hAnsi="Times New Roman" w:eastAsia="宋体" w:cs="Times New Roman"/>
                      <w:color w:val="auto"/>
                      <w:szCs w:val="21"/>
                      <w:highlight w:val="none"/>
                      <w:lang w:eastAsia="zh-CN"/>
                    </w:rPr>
                    <w:t>处理</w:t>
                  </w:r>
                  <w:r>
                    <w:rPr>
                      <w:rFonts w:hint="eastAsia" w:cs="Times New Roman"/>
                      <w:color w:val="auto"/>
                      <w:szCs w:val="21"/>
                      <w:highlight w:val="none"/>
                      <w:lang w:eastAsia="zh-CN"/>
                    </w:rPr>
                    <w:t>的</w:t>
                  </w:r>
                  <w:r>
                    <w:rPr>
                      <w:rFonts w:hint="eastAsia" w:ascii="Times New Roman" w:hAnsi="Times New Roman" w:eastAsia="宋体" w:cs="Times New Roman"/>
                      <w:color w:val="auto"/>
                      <w:szCs w:val="21"/>
                      <w:highlight w:val="none"/>
                      <w:lang w:val="en-US" w:eastAsia="zh-CN"/>
                    </w:rPr>
                    <w:t>生活污</w:t>
                  </w:r>
                  <w:r>
                    <w:rPr>
                      <w:rFonts w:hint="eastAsia" w:cs="Times New Roman"/>
                      <w:color w:val="auto"/>
                      <w:szCs w:val="21"/>
                      <w:highlight w:val="none"/>
                      <w:lang w:val="en-US" w:eastAsia="zh-CN"/>
                    </w:rPr>
                    <w:t>水一同</w:t>
                  </w:r>
                  <w:r>
                    <w:rPr>
                      <w:rFonts w:hint="eastAsia" w:ascii="Times New Roman" w:hAnsi="Times New Roman" w:eastAsia="宋体" w:cs="Times New Roman"/>
                      <w:color w:val="auto"/>
                      <w:szCs w:val="21"/>
                      <w:highlight w:val="none"/>
                      <w:lang w:eastAsia="zh-CN"/>
                    </w:rPr>
                    <w:t>排入</w:t>
                  </w:r>
                  <w:r>
                    <w:rPr>
                      <w:rFonts w:hint="default" w:ascii="Times New Roman" w:hAnsi="Times New Roman" w:eastAsia="宋体" w:cs="Times New Roman"/>
                      <w:color w:val="auto"/>
                      <w:szCs w:val="21"/>
                      <w:highlight w:val="none"/>
                      <w:lang w:val="en-US" w:eastAsia="zh-CN"/>
                    </w:rPr>
                    <w:t>庐山市工业园区污水处理厂处理</w:t>
                  </w:r>
                </w:p>
              </w:tc>
              <w:tc>
                <w:tcPr>
                  <w:tcW w:w="483" w:type="pct"/>
                  <w:tcBorders>
                    <w:top w:val="single" w:color="auto" w:sz="4" w:space="0"/>
                    <w:left w:val="single" w:color="auto" w:sz="4" w:space="0"/>
                    <w:bottom w:val="single" w:color="auto" w:sz="12" w:space="0"/>
                    <w:right w:val="nil"/>
                  </w:tcBorders>
                  <w:noWrap w:val="0"/>
                  <w:vAlign w:val="center"/>
                </w:tcPr>
                <w:p w14:paraId="5450A464">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14:paraId="7A730D07">
            <w:pPr>
              <w:spacing w:line="360" w:lineRule="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综上</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lang w:val="en-US" w:eastAsia="zh-CN"/>
              </w:rPr>
              <w:t>符合</w:t>
            </w:r>
            <w:r>
              <w:rPr>
                <w:rFonts w:hint="eastAsia" w:ascii="Times New Roman" w:hAnsi="Times New Roman" w:eastAsia="宋体" w:cs="Times New Roman"/>
                <w:color w:val="auto"/>
                <w:sz w:val="24"/>
                <w:lang w:val="en-US" w:eastAsia="zh-CN"/>
              </w:rPr>
              <w:t>园区规划及审查意见要求</w:t>
            </w:r>
            <w:r>
              <w:rPr>
                <w:rFonts w:hint="default" w:ascii="Times New Roman" w:hAnsi="Times New Roman" w:eastAsia="宋体" w:cs="Times New Roman"/>
                <w:color w:val="auto"/>
                <w:sz w:val="24"/>
                <w:lang w:val="en-US" w:eastAsia="zh-CN"/>
              </w:rPr>
              <w:t>。</w:t>
            </w:r>
          </w:p>
          <w:p w14:paraId="4A9E6FEF">
            <w:pPr>
              <w:spacing w:line="360" w:lineRule="auto"/>
              <w:ind w:firstLine="480" w:firstLineChars="200"/>
              <w:rPr>
                <w:rFonts w:hint="eastAsia" w:ascii="Times New Roman" w:hAnsi="Times New Roman" w:eastAsia="宋体" w:cs="Times New Roman"/>
                <w:color w:val="FF0000"/>
                <w:sz w:val="24"/>
                <w:lang w:eastAsia="zh-CN"/>
              </w:rPr>
            </w:pPr>
            <w:commentRangeStart w:id="1"/>
            <w:r>
              <w:rPr>
                <w:rFonts w:hint="eastAsia" w:cs="Times New Roman"/>
                <w:color w:val="FF0000"/>
                <w:sz w:val="24"/>
                <w:lang w:val="en-US" w:eastAsia="zh-CN"/>
              </w:rPr>
              <w:t>4、</w:t>
            </w:r>
            <w:commentRangeEnd w:id="1"/>
            <w:r>
              <w:commentReference w:id="1"/>
            </w:r>
            <w:r>
              <w:rPr>
                <w:rFonts w:hint="eastAsia" w:ascii="Times New Roman" w:hAnsi="Times New Roman" w:eastAsia="宋体" w:cs="Times New Roman"/>
                <w:color w:val="FF0000"/>
                <w:sz w:val="24"/>
                <w:lang w:val="en-US" w:eastAsia="zh-CN"/>
              </w:rPr>
              <w:t>与庐山市国土空间规划三区三线划定成果相符性分析</w:t>
            </w:r>
          </w:p>
          <w:p w14:paraId="34EE72B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lang w:eastAsia="zh-CN"/>
              </w:rPr>
            </w:pPr>
            <w:r>
              <w:rPr>
                <w:rFonts w:hint="eastAsia" w:ascii="宋体" w:hAnsi="宋体" w:eastAsia="宋体" w:cs="宋体"/>
                <w:color w:val="FF0000"/>
                <w:kern w:val="0"/>
                <w:sz w:val="24"/>
                <w:szCs w:val="24"/>
                <w:lang w:val="en-US" w:eastAsia="zh-CN" w:bidi="ar"/>
              </w:rPr>
              <w:t>根据庐山市县</w:t>
            </w:r>
            <w:r>
              <w:rPr>
                <w:rFonts w:hint="default" w:ascii="Times New Roman" w:hAnsi="Times New Roman" w:eastAsia="宋体" w:cs="Times New Roman"/>
                <w:color w:val="FF0000"/>
                <w:kern w:val="0"/>
                <w:sz w:val="24"/>
                <w:szCs w:val="24"/>
                <w:lang w:val="en-US" w:eastAsia="zh-CN" w:bidi="ar"/>
              </w:rPr>
              <w:t>“</w:t>
            </w:r>
            <w:r>
              <w:rPr>
                <w:rFonts w:hint="eastAsia" w:ascii="宋体" w:hAnsi="宋体" w:eastAsia="宋体" w:cs="宋体"/>
                <w:color w:val="FF0000"/>
                <w:kern w:val="0"/>
                <w:sz w:val="24"/>
                <w:szCs w:val="24"/>
                <w:lang w:val="en-US" w:eastAsia="zh-CN" w:bidi="ar"/>
              </w:rPr>
              <w:t>三区三线</w:t>
            </w:r>
            <w:r>
              <w:rPr>
                <w:rFonts w:hint="default" w:ascii="Times New Roman" w:hAnsi="Times New Roman" w:eastAsia="宋体" w:cs="Times New Roman"/>
                <w:color w:val="FF0000"/>
                <w:kern w:val="0"/>
                <w:sz w:val="24"/>
                <w:szCs w:val="24"/>
                <w:lang w:val="en-US" w:eastAsia="zh-CN" w:bidi="ar"/>
              </w:rPr>
              <w:t>”</w:t>
            </w:r>
            <w:r>
              <w:rPr>
                <w:rFonts w:hint="eastAsia" w:ascii="宋体" w:hAnsi="宋体" w:eastAsia="宋体" w:cs="宋体"/>
                <w:color w:val="FF0000"/>
                <w:kern w:val="0"/>
                <w:sz w:val="24"/>
                <w:szCs w:val="24"/>
                <w:lang w:val="en-US" w:eastAsia="zh-CN" w:bidi="ar"/>
              </w:rPr>
              <w:t>划定成果，庐山市永久基本农田面积</w:t>
            </w:r>
            <w:r>
              <w:rPr>
                <w:rFonts w:hint="default" w:ascii="Times New Roman" w:hAnsi="Times New Roman" w:eastAsia="宋体" w:cs="Times New Roman"/>
                <w:color w:val="FF0000"/>
                <w:kern w:val="0"/>
                <w:sz w:val="24"/>
                <w:szCs w:val="24"/>
                <w:lang w:val="en-US" w:eastAsia="zh-CN" w:bidi="ar"/>
              </w:rPr>
              <w:t>8320.4225</w:t>
            </w:r>
            <w:r>
              <w:rPr>
                <w:rFonts w:hint="eastAsia" w:ascii="宋体" w:hAnsi="宋体" w:eastAsia="宋体" w:cs="宋体"/>
                <w:color w:val="FF0000"/>
                <w:kern w:val="0"/>
                <w:sz w:val="24"/>
                <w:szCs w:val="24"/>
                <w:lang w:val="en-US" w:eastAsia="zh-CN" w:bidi="ar"/>
              </w:rPr>
              <w:t>公顷，生态保护红线面积</w:t>
            </w:r>
            <w:r>
              <w:rPr>
                <w:rFonts w:hint="default" w:ascii="Times New Roman" w:hAnsi="Times New Roman" w:eastAsia="宋体" w:cs="Times New Roman"/>
                <w:color w:val="FF0000"/>
                <w:kern w:val="0"/>
                <w:sz w:val="24"/>
                <w:szCs w:val="24"/>
                <w:lang w:val="en-US" w:eastAsia="zh-CN" w:bidi="ar"/>
              </w:rPr>
              <w:t>36399.8315</w:t>
            </w:r>
            <w:r>
              <w:rPr>
                <w:rFonts w:hint="eastAsia" w:ascii="宋体" w:hAnsi="宋体" w:eastAsia="宋体" w:cs="宋体"/>
                <w:color w:val="FF0000"/>
                <w:kern w:val="0"/>
                <w:sz w:val="24"/>
                <w:szCs w:val="24"/>
                <w:lang w:val="en-US" w:eastAsia="zh-CN" w:bidi="ar"/>
              </w:rPr>
              <w:t>公顷，确定的城镇开发边界</w:t>
            </w:r>
            <w:r>
              <w:rPr>
                <w:rFonts w:hint="default" w:ascii="Times New Roman" w:hAnsi="Times New Roman" w:eastAsia="宋体" w:cs="Times New Roman"/>
                <w:color w:val="FF0000"/>
                <w:kern w:val="0"/>
                <w:sz w:val="24"/>
                <w:szCs w:val="24"/>
                <w:lang w:val="en-US" w:eastAsia="zh-CN" w:bidi="ar"/>
              </w:rPr>
              <w:t>3112.76</w:t>
            </w:r>
            <w:r>
              <w:rPr>
                <w:rFonts w:hint="eastAsia" w:ascii="宋体" w:hAnsi="宋体" w:eastAsia="宋体" w:cs="宋体"/>
                <w:color w:val="FF0000"/>
                <w:kern w:val="0"/>
                <w:sz w:val="24"/>
                <w:szCs w:val="24"/>
                <w:lang w:val="en-US" w:eastAsia="zh-CN" w:bidi="ar"/>
              </w:rPr>
              <w:t>公顷。本项目位于江西省九江市庐山市工业园金鹿科技园，经与庐山市</w:t>
            </w:r>
            <w:r>
              <w:rPr>
                <w:rFonts w:hint="default" w:ascii="Times New Roman" w:hAnsi="Times New Roman" w:eastAsia="宋体" w:cs="Times New Roman"/>
                <w:color w:val="FF0000"/>
                <w:kern w:val="0"/>
                <w:sz w:val="24"/>
                <w:szCs w:val="24"/>
                <w:lang w:val="en-US" w:eastAsia="zh-CN" w:bidi="ar"/>
              </w:rPr>
              <w:t>“</w:t>
            </w:r>
            <w:r>
              <w:rPr>
                <w:rFonts w:hint="eastAsia" w:ascii="宋体" w:hAnsi="宋体" w:eastAsia="宋体" w:cs="宋体"/>
                <w:color w:val="FF0000"/>
                <w:kern w:val="0"/>
                <w:sz w:val="24"/>
                <w:szCs w:val="24"/>
                <w:lang w:val="en-US" w:eastAsia="zh-CN" w:bidi="ar"/>
              </w:rPr>
              <w:t>三区三线</w:t>
            </w:r>
            <w:r>
              <w:rPr>
                <w:rFonts w:hint="default" w:ascii="Times New Roman" w:hAnsi="Times New Roman" w:eastAsia="宋体" w:cs="Times New Roman"/>
                <w:color w:val="FF0000"/>
                <w:kern w:val="0"/>
                <w:sz w:val="24"/>
                <w:szCs w:val="24"/>
                <w:lang w:val="en-US" w:eastAsia="zh-CN" w:bidi="ar"/>
              </w:rPr>
              <w:t>”</w:t>
            </w:r>
            <w:r>
              <w:rPr>
                <w:rFonts w:hint="eastAsia" w:ascii="宋体" w:hAnsi="宋体" w:eastAsia="宋体" w:cs="宋体"/>
                <w:color w:val="FF0000"/>
                <w:kern w:val="0"/>
                <w:sz w:val="24"/>
                <w:szCs w:val="24"/>
                <w:lang w:val="en-US" w:eastAsia="zh-CN" w:bidi="ar"/>
              </w:rPr>
              <w:t>划定成果比对，江西庐山工业园区扩区调区规划范围均在</w:t>
            </w:r>
            <w:r>
              <w:rPr>
                <w:rFonts w:hint="default" w:ascii="Times New Roman" w:hAnsi="Times New Roman" w:eastAsia="宋体" w:cs="Times New Roman"/>
                <w:color w:val="FF0000"/>
                <w:kern w:val="0"/>
                <w:sz w:val="24"/>
                <w:szCs w:val="24"/>
                <w:lang w:val="en-US" w:eastAsia="zh-CN" w:bidi="ar"/>
              </w:rPr>
              <w:t>“</w:t>
            </w:r>
            <w:r>
              <w:rPr>
                <w:rFonts w:hint="eastAsia" w:ascii="宋体" w:hAnsi="宋体" w:eastAsia="宋体" w:cs="宋体"/>
                <w:color w:val="FF0000"/>
                <w:kern w:val="0"/>
                <w:sz w:val="24"/>
                <w:szCs w:val="24"/>
                <w:lang w:val="en-US" w:eastAsia="zh-CN" w:bidi="ar"/>
              </w:rPr>
              <w:t>三区三线</w:t>
            </w:r>
            <w:r>
              <w:rPr>
                <w:rFonts w:hint="default" w:ascii="Times New Roman" w:hAnsi="Times New Roman" w:eastAsia="宋体" w:cs="Times New Roman"/>
                <w:color w:val="FF0000"/>
                <w:kern w:val="0"/>
                <w:sz w:val="24"/>
                <w:szCs w:val="24"/>
                <w:lang w:val="en-US" w:eastAsia="zh-CN" w:bidi="ar"/>
              </w:rPr>
              <w:t>”</w:t>
            </w:r>
            <w:r>
              <w:rPr>
                <w:rFonts w:hint="eastAsia" w:ascii="宋体" w:hAnsi="宋体" w:eastAsia="宋体" w:cs="宋体"/>
                <w:color w:val="FF0000"/>
                <w:kern w:val="0"/>
                <w:sz w:val="24"/>
                <w:szCs w:val="24"/>
                <w:lang w:val="en-US" w:eastAsia="zh-CN" w:bidi="ar"/>
              </w:rPr>
              <w:t>划定的城镇开发边界内，与庐山市</w:t>
            </w:r>
            <w:r>
              <w:rPr>
                <w:rFonts w:hint="default" w:ascii="Times New Roman" w:hAnsi="Times New Roman" w:eastAsia="宋体" w:cs="Times New Roman"/>
                <w:color w:val="FF0000"/>
                <w:kern w:val="0"/>
                <w:sz w:val="24"/>
                <w:szCs w:val="24"/>
                <w:lang w:val="en-US" w:eastAsia="zh-CN" w:bidi="ar"/>
              </w:rPr>
              <w:t>“</w:t>
            </w:r>
            <w:r>
              <w:rPr>
                <w:rFonts w:hint="eastAsia" w:ascii="宋体" w:hAnsi="宋体" w:eastAsia="宋体" w:cs="宋体"/>
                <w:color w:val="FF0000"/>
                <w:kern w:val="0"/>
                <w:sz w:val="24"/>
                <w:szCs w:val="24"/>
                <w:lang w:val="en-US" w:eastAsia="zh-CN" w:bidi="ar"/>
              </w:rPr>
              <w:t>三区三线</w:t>
            </w:r>
            <w:r>
              <w:rPr>
                <w:rFonts w:hint="default" w:ascii="Times New Roman" w:hAnsi="Times New Roman" w:eastAsia="宋体" w:cs="Times New Roman"/>
                <w:color w:val="FF0000"/>
                <w:kern w:val="0"/>
                <w:sz w:val="24"/>
                <w:szCs w:val="24"/>
                <w:lang w:val="en-US" w:eastAsia="zh-CN" w:bidi="ar"/>
              </w:rPr>
              <w:t>”</w:t>
            </w:r>
            <w:r>
              <w:rPr>
                <w:rFonts w:hint="eastAsia" w:ascii="宋体" w:hAnsi="宋体" w:eastAsia="宋体" w:cs="宋体"/>
                <w:color w:val="FF0000"/>
                <w:kern w:val="0"/>
                <w:sz w:val="24"/>
                <w:szCs w:val="24"/>
                <w:lang w:val="en-US" w:eastAsia="zh-CN" w:bidi="ar"/>
              </w:rPr>
              <w:t>划定成果相符。</w:t>
            </w:r>
          </w:p>
        </w:tc>
      </w:tr>
      <w:tr w14:paraId="5551D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45" w:type="dxa"/>
            <w:noWrap w:val="0"/>
            <w:vAlign w:val="center"/>
          </w:tcPr>
          <w:p w14:paraId="78F325C0">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其他符合性分析</w:t>
            </w:r>
          </w:p>
        </w:tc>
        <w:tc>
          <w:tcPr>
            <w:tcW w:w="6925" w:type="dxa"/>
            <w:gridSpan w:val="3"/>
            <w:noWrap w:val="0"/>
            <w:vAlign w:val="center"/>
          </w:tcPr>
          <w:p w14:paraId="44E4B3E0">
            <w:pPr>
              <w:spacing w:line="360" w:lineRule="auto"/>
              <w:ind w:firstLine="482" w:firstLineChars="200"/>
              <w:rPr>
                <w:rFonts w:hint="default" w:ascii="Times New Roman" w:hAnsi="Times New Roman" w:eastAsia="宋体" w:cs="Times New Roman"/>
                <w:color w:val="auto"/>
                <w:sz w:val="24"/>
              </w:rPr>
            </w:pPr>
            <w:r>
              <w:rPr>
                <w:rFonts w:hint="eastAsia" w:ascii="Times New Roman" w:hAnsi="Times New Roman" w:eastAsia="宋体" w:cs="Times New Roman"/>
                <w:b/>
                <w:bCs/>
                <w:color w:val="auto"/>
                <w:kern w:val="0"/>
                <w:sz w:val="24"/>
                <w:szCs w:val="24"/>
                <w:lang w:val="en-US" w:eastAsia="zh-CN"/>
              </w:rPr>
              <w:t>1</w:t>
            </w:r>
            <w:r>
              <w:rPr>
                <w:rFonts w:hint="default" w:ascii="Times New Roman" w:hAnsi="Times New Roman" w:eastAsia="宋体" w:cs="Times New Roman"/>
                <w:b/>
                <w:bCs/>
                <w:color w:val="auto"/>
                <w:kern w:val="0"/>
                <w:sz w:val="24"/>
                <w:szCs w:val="24"/>
                <w:lang w:val="en-US" w:eastAsia="zh-CN"/>
              </w:rPr>
              <w:t>、</w:t>
            </w:r>
            <w:r>
              <w:rPr>
                <w:rFonts w:hint="default" w:ascii="Times New Roman" w:hAnsi="Times New Roman" w:eastAsia="宋体" w:cs="Times New Roman"/>
                <w:b/>
                <w:bCs/>
                <w:color w:val="auto"/>
                <w:sz w:val="24"/>
                <w:szCs w:val="24"/>
                <w:lang w:val="en-US" w:eastAsia="zh-CN"/>
              </w:rPr>
              <w:t>产业政策相符性分析</w:t>
            </w:r>
          </w:p>
          <w:p w14:paraId="00F2A0DE">
            <w:pPr>
              <w:spacing w:line="360" w:lineRule="auto"/>
              <w:ind w:firstLine="480" w:firstLineChars="200"/>
              <w:rPr>
                <w:rFonts w:hint="eastAsia" w:cs="Times New Roman"/>
                <w:color w:val="auto"/>
                <w:sz w:val="24"/>
                <w:lang w:eastAsia="zh-CN"/>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default" w:ascii="Times New Roman" w:hAnsi="Times New Roman" w:eastAsia="宋体" w:cs="Times New Roman"/>
                <w:color w:val="auto"/>
                <w:sz w:val="24"/>
                <w:szCs w:val="24"/>
                <w:highlight w:val="none"/>
                <w:shd w:val="clear" w:color="auto" w:fill="auto"/>
                <w:lang w:val="en-US" w:eastAsia="zh-CN"/>
              </w:rPr>
              <w:t>与国家产业政策符合性分析</w:t>
            </w:r>
          </w:p>
          <w:p w14:paraId="41C15B7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w:t>
            </w:r>
            <w:r>
              <w:rPr>
                <w:rFonts w:hint="eastAsia" w:ascii="Times New Roman" w:hAnsi="Times New Roman" w:eastAsia="宋体" w:cs="Times New Roman"/>
                <w:color w:val="auto"/>
                <w:sz w:val="24"/>
                <w:lang w:eastAsia="zh-CN"/>
              </w:rPr>
              <w:t>卫生材料及医药用品制造</w:t>
            </w:r>
            <w:r>
              <w:rPr>
                <w:rFonts w:hint="default" w:ascii="Times New Roman" w:hAnsi="Times New Roman" w:eastAsia="宋体" w:cs="Times New Roman"/>
                <w:color w:val="auto"/>
                <w:sz w:val="24"/>
              </w:rPr>
              <w:t>项目，</w:t>
            </w:r>
            <w:r>
              <w:rPr>
                <w:rFonts w:hint="default" w:ascii="Times New Roman" w:hAnsi="Times New Roman" w:cs="Times New Roman"/>
                <w:color w:val="auto"/>
                <w:sz w:val="24"/>
                <w:szCs w:val="32"/>
                <w:highlight w:val="none"/>
              </w:rPr>
              <w:t>根</w:t>
            </w:r>
            <w:r>
              <w:rPr>
                <w:rFonts w:hint="default" w:ascii="Times New Roman" w:hAnsi="Times New Roman" w:eastAsia="宋体" w:cs="Times New Roman"/>
                <w:color w:val="auto"/>
                <w:sz w:val="24"/>
                <w:szCs w:val="32"/>
                <w:highlight w:val="none"/>
              </w:rPr>
              <w:t>据《产业结构调整指导目录（20</w:t>
            </w:r>
            <w:r>
              <w:rPr>
                <w:rFonts w:hint="eastAsia" w:ascii="Times New Roman" w:hAnsi="Times New Roman" w:eastAsia="宋体" w:cs="Times New Roman"/>
                <w:color w:val="auto"/>
                <w:sz w:val="24"/>
                <w:szCs w:val="32"/>
                <w:highlight w:val="none"/>
              </w:rPr>
              <w:t>24</w:t>
            </w:r>
            <w:r>
              <w:rPr>
                <w:rFonts w:hint="default" w:ascii="Times New Roman" w:hAnsi="Times New Roman" w:eastAsia="宋体" w:cs="Times New Roman"/>
                <w:color w:val="auto"/>
                <w:sz w:val="24"/>
                <w:szCs w:val="32"/>
                <w:highlight w:val="none"/>
              </w:rPr>
              <w:t>年本）》</w:t>
            </w:r>
            <w:r>
              <w:rPr>
                <w:rFonts w:hint="default" w:ascii="Times New Roman" w:hAnsi="Times New Roman" w:cs="Times New Roman"/>
                <w:color w:val="auto"/>
                <w:sz w:val="24"/>
                <w:szCs w:val="32"/>
                <w:highlight w:val="none"/>
              </w:rPr>
              <w:t>，本项目不属于鼓励类、限制类和淘汰类项目，即为允许类，</w:t>
            </w:r>
            <w:r>
              <w:rPr>
                <w:rFonts w:hint="eastAsia" w:ascii="Times New Roman" w:hAnsi="Times New Roman" w:eastAsia="宋体" w:cs="Times New Roman"/>
                <w:color w:val="auto"/>
                <w:sz w:val="24"/>
                <w:szCs w:val="22"/>
                <w:highlight w:val="none"/>
                <w:lang w:val="en-US" w:eastAsia="zh-CN"/>
              </w:rPr>
              <w:t>同时已取得</w:t>
            </w:r>
            <w:r>
              <w:rPr>
                <w:rFonts w:hint="eastAsia" w:ascii="Times New Roman" w:hAnsi="Times New Roman" w:eastAsia="宋体" w:cs="Times New Roman"/>
                <w:color w:val="auto"/>
                <w:sz w:val="24"/>
                <w:szCs w:val="24"/>
                <w:highlight w:val="none"/>
                <w:lang w:val="en-US" w:eastAsia="zh-CN"/>
              </w:rPr>
              <w:t>庐山市发展和改革委员会备案（备案号：2406-360483-04-01-351607）</w:t>
            </w:r>
            <w:r>
              <w:rPr>
                <w:rFonts w:hint="default" w:ascii="Times New Roman" w:hAnsi="Times New Roman" w:eastAsia="宋体" w:cs="Times New Roman"/>
                <w:color w:val="auto"/>
                <w:sz w:val="24"/>
                <w:szCs w:val="24"/>
                <w:highlight w:val="none"/>
              </w:rPr>
              <w:t>。因此，本</w:t>
            </w:r>
            <w:r>
              <w:rPr>
                <w:rFonts w:hint="default" w:ascii="Times New Roman" w:hAnsi="Times New Roman" w:cs="Times New Roman"/>
                <w:color w:val="auto"/>
                <w:sz w:val="24"/>
                <w:szCs w:val="24"/>
                <w:highlight w:val="none"/>
              </w:rPr>
              <w:t>项目符合国家及地方产业政策的要求。</w:t>
            </w:r>
          </w:p>
          <w:p w14:paraId="3E143798">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（2）与用地规划相符性分析</w:t>
            </w:r>
          </w:p>
          <w:p w14:paraId="05F28C6D">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项目位于</w:t>
            </w:r>
            <w:r>
              <w:rPr>
                <w:rFonts w:hint="eastAsia" w:ascii="Times New Roman" w:hAnsi="Times New Roman" w:eastAsia="宋体" w:cs="Times New Roman"/>
                <w:color w:val="auto"/>
                <w:sz w:val="24"/>
                <w:lang w:eastAsia="zh-CN"/>
              </w:rPr>
              <w:t>庐山市工业园区</w:t>
            </w:r>
            <w:r>
              <w:rPr>
                <w:rFonts w:hint="eastAsia" w:ascii="Times New Roman" w:hAnsi="Times New Roman" w:eastAsia="宋体" w:cs="Times New Roman"/>
                <w:color w:val="auto"/>
                <w:sz w:val="24"/>
                <w:szCs w:val="22"/>
                <w:lang w:val="en-US" w:eastAsia="zh-CN"/>
              </w:rPr>
              <w:t>内，项目所属用地为工业用地，不在《限制用地项目目录（2012年本）》、《禁止用地项目目录（2012年本）》中的限制和禁止的供地项目之列符合用地规划要求；项目卫生防护距离内无居民等敏感点，选址合理。</w:t>
            </w:r>
          </w:p>
          <w:p w14:paraId="10086A3B">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（3）</w:t>
            </w:r>
            <w:r>
              <w:rPr>
                <w:rFonts w:ascii="Times New Roman" w:hAnsi="Times New Roman" w:eastAsia="宋体" w:cs="Times New Roman"/>
                <w:b w:val="0"/>
                <w:bCs w:val="0"/>
                <w:color w:val="auto"/>
                <w:kern w:val="0"/>
                <w:sz w:val="24"/>
                <w:szCs w:val="24"/>
              </w:rPr>
              <w:t>与</w:t>
            </w:r>
            <w:r>
              <w:rPr>
                <w:rFonts w:hint="eastAsia" w:ascii="Times New Roman" w:hAnsi="Times New Roman" w:eastAsia="宋体" w:cs="Times New Roman"/>
                <w:b w:val="0"/>
                <w:bCs w:val="0"/>
                <w:color w:val="auto"/>
                <w:kern w:val="0"/>
                <w:sz w:val="24"/>
                <w:szCs w:val="24"/>
                <w:lang w:eastAsia="zh-CN"/>
              </w:rPr>
              <w:t>江西</w:t>
            </w:r>
            <w:r>
              <w:rPr>
                <w:rFonts w:ascii="Times New Roman" w:hAnsi="Times New Roman" w:eastAsia="宋体" w:cs="Times New Roman"/>
                <w:b w:val="0"/>
                <w:bCs w:val="0"/>
                <w:color w:val="auto"/>
                <w:kern w:val="0"/>
                <w:sz w:val="24"/>
                <w:szCs w:val="24"/>
              </w:rPr>
              <w:t>产业政策</w:t>
            </w:r>
            <w:r>
              <w:rPr>
                <w:rFonts w:hint="eastAsia" w:ascii="Times New Roman" w:hAnsi="Times New Roman" w:eastAsia="宋体" w:cs="Times New Roman"/>
                <w:b w:val="0"/>
                <w:bCs w:val="0"/>
                <w:color w:val="auto"/>
                <w:kern w:val="0"/>
                <w:sz w:val="24"/>
                <w:szCs w:val="24"/>
              </w:rPr>
              <w:t>相符性</w:t>
            </w:r>
            <w:r>
              <w:rPr>
                <w:rFonts w:ascii="Times New Roman" w:hAnsi="Times New Roman" w:eastAsia="宋体" w:cs="Times New Roman"/>
                <w:b w:val="0"/>
                <w:bCs w:val="0"/>
                <w:color w:val="auto"/>
                <w:kern w:val="0"/>
                <w:sz w:val="24"/>
                <w:szCs w:val="24"/>
              </w:rPr>
              <w:t>分析</w:t>
            </w:r>
          </w:p>
          <w:p w14:paraId="323B14EA">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根据江西省人民政府办公厅实施的《江西省产业结构调整及工业园区产业发展导向目录》的决定，《江西省产业结构调整及工业园区产业发展导向目录》由鼓励、限制和淘汰三类目录组成。项目不属于“淘汰类”和“限制类”，因此符合相关产业政策。</w:t>
            </w:r>
          </w:p>
          <w:p w14:paraId="54E5B999">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因此，项目符合国家及地方产业政策要求。</w:t>
            </w:r>
          </w:p>
          <w:p w14:paraId="000D0336">
            <w:pPr>
              <w:spacing w:line="360" w:lineRule="auto"/>
              <w:ind w:firstLine="482" w:firstLineChars="200"/>
              <w:jc w:val="both"/>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2、周边环境相容性分析</w:t>
            </w:r>
          </w:p>
          <w:p w14:paraId="1DD5F395">
            <w:pPr>
              <w:pStyle w:val="76"/>
              <w:rPr>
                <w:color w:val="auto"/>
                <w:highlight w:val="none"/>
                <w:lang w:val="en-US" w:eastAsia="zh-CN"/>
              </w:rPr>
            </w:pPr>
            <w:r>
              <w:rPr>
                <w:color w:val="auto"/>
                <w:highlight w:val="none"/>
                <w:lang w:val="en-US" w:eastAsia="zh-CN"/>
              </w:rPr>
              <w:t>项</w:t>
            </w:r>
            <w:r>
              <w:rPr>
                <w:color w:val="auto"/>
                <w:sz w:val="24"/>
                <w:szCs w:val="24"/>
                <w:highlight w:val="none"/>
                <w:lang w:val="en-US" w:eastAsia="zh-CN"/>
              </w:rPr>
              <w:t>目是</w:t>
            </w:r>
            <w:r>
              <w:rPr>
                <w:rFonts w:hint="eastAsia"/>
                <w:color w:val="auto"/>
                <w:sz w:val="24"/>
                <w:szCs w:val="24"/>
                <w:highlight w:val="none"/>
                <w:lang w:val="en-US" w:eastAsia="zh-CN"/>
              </w:rPr>
              <w:t>新建</w:t>
            </w:r>
            <w:r>
              <w:rPr>
                <w:color w:val="auto"/>
                <w:sz w:val="24"/>
                <w:szCs w:val="24"/>
                <w:highlight w:val="none"/>
                <w:lang w:val="en-US" w:eastAsia="zh-CN"/>
              </w:rPr>
              <w:t>项目，位于</w:t>
            </w:r>
            <w:r>
              <w:rPr>
                <w:rFonts w:hint="eastAsia" w:ascii="Times New Roman" w:hAnsi="Times New Roman" w:eastAsia="宋体" w:cs="Times New Roman"/>
                <w:color w:val="auto"/>
                <w:sz w:val="24"/>
                <w:szCs w:val="24"/>
                <w:lang w:val="en-US" w:eastAsia="zh-CN"/>
              </w:rPr>
              <w:t>江西省九江市庐山市工业园金鹿科技园</w:t>
            </w:r>
            <w:r>
              <w:rPr>
                <w:rFonts w:hint="eastAsia" w:ascii="宋体" w:hAnsi="宋体"/>
                <w:color w:val="auto"/>
                <w:sz w:val="24"/>
                <w:szCs w:val="24"/>
                <w:highlight w:val="none"/>
                <w:lang w:eastAsia="zh-CN"/>
              </w:rPr>
              <w:t>内</w:t>
            </w:r>
            <w:r>
              <w:rPr>
                <w:color w:val="auto"/>
                <w:sz w:val="24"/>
                <w:szCs w:val="24"/>
                <w:highlight w:val="none"/>
                <w:lang w:val="en-US" w:eastAsia="zh-CN"/>
              </w:rPr>
              <w:t>，项目选址不属于生活饮用水源地和地下水补给区、风景名胜区、温泉疗养区、水产养殖区、</w:t>
            </w:r>
            <w:r>
              <w:rPr>
                <w:color w:val="auto"/>
                <w:highlight w:val="none"/>
                <w:lang w:val="en-US" w:eastAsia="zh-CN"/>
              </w:rPr>
              <w:t>基本农田保护区、自然保护区等需要特殊保护区域。</w:t>
            </w:r>
          </w:p>
          <w:p w14:paraId="6C86BA42">
            <w:pPr>
              <w:spacing w:line="360" w:lineRule="auto"/>
              <w:ind w:firstLine="480" w:firstLineChars="200"/>
              <w:jc w:val="both"/>
              <w:rPr>
                <w:rFonts w:hint="eastAsia" w:cs="Times New Roman"/>
                <w:b w:val="0"/>
                <w:bCs w:val="0"/>
                <w:color w:val="auto"/>
                <w:sz w:val="24"/>
                <w:lang w:val="en-US" w:eastAsia="zh-CN"/>
              </w:rPr>
            </w:pPr>
            <w:r>
              <w:rPr>
                <w:rFonts w:hint="eastAsia" w:ascii="Times New Roman" w:hAnsi="Times New Roman" w:eastAsia="宋体" w:cs="Times New Roman"/>
                <w:color w:val="auto"/>
                <w:sz w:val="24"/>
                <w:lang w:val="en-US" w:eastAsia="zh-CN"/>
              </w:rPr>
              <w:t>项目东面与北面都是园区外荒地，南面为自然居家居用品有限公司（纺织厂），西面为土特产有限公司存储仓库。</w:t>
            </w:r>
            <w:r>
              <w:rPr>
                <w:color w:val="auto"/>
                <w:sz w:val="24"/>
                <w:szCs w:val="24"/>
                <w:highlight w:val="none"/>
              </w:rPr>
              <w:t>本项目属于轻污染行业，附近无</w:t>
            </w:r>
            <w:r>
              <w:rPr>
                <w:rFonts w:hint="eastAsia"/>
                <w:color w:val="auto"/>
                <w:sz w:val="24"/>
                <w:szCs w:val="24"/>
                <w:highlight w:val="none"/>
                <w:lang w:eastAsia="zh-CN"/>
              </w:rPr>
              <w:t>医药、</w:t>
            </w:r>
            <w:r>
              <w:rPr>
                <w:color w:val="auto"/>
                <w:sz w:val="24"/>
                <w:szCs w:val="24"/>
                <w:highlight w:val="none"/>
              </w:rPr>
              <w:t>食品等企业，项目建成后对周边环境敏感点影响小，与周边企业相容性较好。</w:t>
            </w:r>
            <w:r>
              <w:rPr>
                <w:rFonts w:hint="eastAsia" w:ascii="Times New Roman" w:hAnsi="Times New Roman" w:eastAsia="宋体" w:cs="Times New Roman"/>
                <w:color w:val="auto"/>
                <w:kern w:val="0"/>
                <w:sz w:val="24"/>
                <w:szCs w:val="24"/>
                <w:highlight w:val="none"/>
                <w:lang w:val="en-US" w:eastAsia="zh-CN"/>
              </w:rPr>
              <w:t>项目周边环境空气质量现状符合功能区划要求，地表水水质现状符合水境功能区划要求，区域声环境现状符合声环境功能区划要求，项目区域环境容量满足项目建设的需要。只要项目在运行过程中自觉遵守有关法律法规，切实落实各项环保治理设施的建设，保证各项设施正常运行，实现各项污染物达标排放，并符合排污总量控制目标，做好清洁生产，加强环境管理，杜绝事故排放，则项目的建设在环保方面是可行的，因此项目的选址是合理的。</w:t>
            </w:r>
          </w:p>
          <w:p w14:paraId="11F51542">
            <w:pPr>
              <w:widowControl/>
              <w:spacing w:line="348" w:lineRule="auto"/>
              <w:ind w:firstLine="482" w:firstLineChars="200"/>
              <w:rPr>
                <w:color w:val="FF0000"/>
                <w:sz w:val="24"/>
              </w:rPr>
            </w:pPr>
            <w:r>
              <w:rPr>
                <w:rFonts w:hint="eastAsia"/>
                <w:b/>
                <w:bCs/>
                <w:color w:val="FF0000"/>
                <w:sz w:val="24"/>
              </w:rPr>
              <w:t>3</w:t>
            </w:r>
            <w:r>
              <w:rPr>
                <w:b/>
                <w:bCs/>
                <w:color w:val="FF0000"/>
                <w:sz w:val="24"/>
              </w:rPr>
              <w:t>、</w:t>
            </w:r>
            <w:commentRangeStart w:id="2"/>
            <w:r>
              <w:rPr>
                <w:b/>
                <w:bCs/>
                <w:color w:val="FF0000"/>
                <w:sz w:val="24"/>
              </w:rPr>
              <w:t>选址</w:t>
            </w:r>
            <w:commentRangeEnd w:id="2"/>
            <w:r>
              <w:commentReference w:id="2"/>
            </w:r>
            <w:r>
              <w:rPr>
                <w:b/>
                <w:bCs/>
                <w:color w:val="FF0000"/>
                <w:sz w:val="24"/>
              </w:rPr>
              <w:t>、规划符合性分析</w:t>
            </w:r>
          </w:p>
          <w:p w14:paraId="40D2DCCC">
            <w:pPr>
              <w:spacing w:line="348" w:lineRule="auto"/>
              <w:ind w:firstLine="470" w:firstLineChars="196"/>
              <w:rPr>
                <w:rFonts w:hint="eastAsia" w:eastAsia="宋体"/>
                <w:color w:val="FF0000"/>
                <w:sz w:val="24"/>
                <w:lang w:val="en-US" w:eastAsia="zh-CN"/>
              </w:rPr>
            </w:pPr>
            <w:r>
              <w:rPr>
                <w:color w:val="FF0000"/>
                <w:sz w:val="24"/>
              </w:rPr>
              <w:t>（1）项目选址与</w:t>
            </w:r>
            <w:r>
              <w:rPr>
                <w:rFonts w:hint="eastAsia" w:ascii="Times New Roman" w:hAnsi="Times New Roman" w:eastAsia="宋体" w:cs="Times New Roman"/>
                <w:color w:val="FF0000"/>
                <w:sz w:val="24"/>
                <w:lang w:val="en-US" w:eastAsia="zh-CN"/>
              </w:rPr>
              <w:t>园区产业定位及规划相符</w:t>
            </w:r>
            <w:r>
              <w:rPr>
                <w:rFonts w:hint="eastAsia"/>
                <w:color w:val="FF0000"/>
                <w:sz w:val="24"/>
                <w:lang w:val="en-US" w:eastAsia="zh-CN"/>
              </w:rPr>
              <w:t>性</w:t>
            </w:r>
            <w:r>
              <w:rPr>
                <w:color w:val="FF0000"/>
                <w:sz w:val="24"/>
              </w:rPr>
              <w:t>分析</w:t>
            </w:r>
          </w:p>
          <w:p w14:paraId="4E9CC9FB">
            <w:pPr>
              <w:spacing w:line="360" w:lineRule="auto"/>
              <w:ind w:firstLine="480" w:firstLineChars="200"/>
              <w:jc w:val="left"/>
              <w:rPr>
                <w:rFonts w:hint="eastAsia" w:ascii="宋体" w:hAnsi="宋体" w:eastAsia="宋体" w:cs="宋体"/>
                <w:color w:val="FF0000"/>
                <w:sz w:val="24"/>
                <w:lang w:val="en-US" w:eastAsia="zh-CN"/>
              </w:rPr>
            </w:pPr>
            <w:r>
              <w:rPr>
                <w:rFonts w:hint="eastAsia" w:ascii="宋体" w:hAnsi="宋体" w:cs="宋体"/>
                <w:color w:val="FF0000"/>
                <w:sz w:val="24"/>
              </w:rPr>
              <w:t>本项</w:t>
            </w:r>
            <w:r>
              <w:rPr>
                <w:rFonts w:hint="eastAsia" w:ascii="宋体" w:hAnsi="宋体" w:eastAsia="宋体" w:cs="宋体"/>
                <w:color w:val="FF0000"/>
                <w:sz w:val="24"/>
              </w:rPr>
              <w:t>目位于</w:t>
            </w:r>
            <w:r>
              <w:rPr>
                <w:rFonts w:hint="eastAsia" w:ascii="宋体" w:hAnsi="宋体" w:eastAsia="宋体" w:cs="宋体"/>
                <w:color w:val="FF0000"/>
                <w:sz w:val="24"/>
                <w:lang w:val="en-US" w:eastAsia="zh-CN"/>
              </w:rPr>
              <w:t>江西省九江市庐山市工业园金鹿科技园（综合产业园），本项目属于卫生材料及医药用品制造，符合片区医疗器械产业定位，且根据园区产业准入负面清单，本项目不属于</w:t>
            </w:r>
            <w:r>
              <w:rPr>
                <w:rFonts w:hint="default" w:ascii="宋体" w:hAnsi="宋体" w:eastAsia="宋体" w:cs="宋体"/>
                <w:color w:val="FF0000"/>
                <w:sz w:val="24"/>
                <w:lang w:val="en-US" w:eastAsia="zh-CN"/>
              </w:rPr>
              <w:t>综合产业园片区</w:t>
            </w:r>
            <w:r>
              <w:rPr>
                <w:rFonts w:hint="eastAsia" w:ascii="宋体" w:hAnsi="宋体" w:eastAsia="宋体" w:cs="宋体"/>
                <w:color w:val="FF0000"/>
                <w:sz w:val="24"/>
                <w:lang w:val="en-US" w:eastAsia="zh-CN"/>
              </w:rPr>
              <w:t>中的</w:t>
            </w:r>
            <w:r>
              <w:rPr>
                <w:rFonts w:hint="default" w:ascii="宋体" w:hAnsi="宋体" w:eastAsia="宋体" w:cs="宋体"/>
                <w:color w:val="FF0000"/>
                <w:sz w:val="24"/>
                <w:lang w:val="en-US" w:eastAsia="zh-CN"/>
              </w:rPr>
              <w:t>禁止/限制准入项目</w:t>
            </w:r>
            <w:r>
              <w:rPr>
                <w:rFonts w:hint="eastAsia" w:ascii="宋体" w:hAnsi="宋体" w:eastAsia="宋体" w:cs="宋体"/>
                <w:color w:val="FF0000"/>
                <w:sz w:val="24"/>
                <w:lang w:val="en-US" w:eastAsia="zh-CN"/>
              </w:rPr>
              <w:t>，符合</w:t>
            </w:r>
            <w:r>
              <w:rPr>
                <w:rFonts w:hint="default" w:ascii="宋体" w:hAnsi="宋体" w:eastAsia="宋体" w:cs="宋体"/>
                <w:color w:val="FF0000"/>
                <w:sz w:val="24"/>
                <w:lang w:val="en-US" w:eastAsia="zh-CN"/>
              </w:rPr>
              <w:t>与</w:t>
            </w:r>
            <w:r>
              <w:rPr>
                <w:rFonts w:hint="eastAsia" w:ascii="宋体" w:hAnsi="宋体" w:eastAsia="宋体" w:cs="宋体"/>
                <w:color w:val="FF0000"/>
                <w:sz w:val="24"/>
                <w:lang w:val="en-US" w:eastAsia="zh-CN"/>
              </w:rPr>
              <w:t>产业园规划</w:t>
            </w:r>
            <w:r>
              <w:rPr>
                <w:rFonts w:hint="default" w:ascii="宋体" w:hAnsi="宋体" w:eastAsia="宋体" w:cs="宋体"/>
                <w:color w:val="FF0000"/>
                <w:sz w:val="24"/>
                <w:lang w:val="en-US" w:eastAsia="zh-CN"/>
              </w:rPr>
              <w:t>环评批复要求</w:t>
            </w:r>
            <w:r>
              <w:rPr>
                <w:rFonts w:hint="eastAsia" w:ascii="宋体" w:hAnsi="宋体" w:eastAsia="宋体" w:cs="宋体"/>
                <w:color w:val="FF0000"/>
                <w:sz w:val="24"/>
                <w:lang w:val="en-US" w:eastAsia="zh-CN"/>
              </w:rPr>
              <w:t>。</w:t>
            </w:r>
          </w:p>
          <w:p w14:paraId="0F8F9684">
            <w:pPr>
              <w:spacing w:line="360" w:lineRule="auto"/>
              <w:ind w:firstLine="480" w:firstLineChars="200"/>
              <w:jc w:val="left"/>
              <w:rPr>
                <w:rFonts w:hint="eastAsia" w:ascii="宋体" w:hAnsi="宋体" w:cs="宋体"/>
                <w:color w:val="FF0000"/>
                <w:sz w:val="24"/>
              </w:rPr>
            </w:pPr>
            <w:r>
              <w:rPr>
                <w:rFonts w:hint="eastAsia" w:ascii="宋体" w:hAnsi="宋体" w:eastAsia="宋体" w:cs="宋体"/>
                <w:color w:val="FF0000"/>
                <w:sz w:val="24"/>
                <w:lang w:val="en-US" w:eastAsia="zh-CN"/>
              </w:rPr>
              <w:t>项</w:t>
            </w:r>
            <w:r>
              <w:rPr>
                <w:rFonts w:hint="eastAsia" w:ascii="宋体" w:hAnsi="宋体" w:cs="宋体"/>
                <w:color w:val="FF0000"/>
                <w:sz w:val="24"/>
              </w:rPr>
              <w:t>目用地为工业用地，运行期产生的废气经妥善处理后，能够实现达标排放，对环境影响很小；产生的噪声较小，对环境影响较小。项目评价范围内无文物保护单位、风景名胜区、饮用水水源保护区以及其它需要特殊保护的敏感目标，从环保角度分析项目选址可行。</w:t>
            </w:r>
          </w:p>
          <w:p w14:paraId="1E8B4107">
            <w:pPr>
              <w:spacing w:line="348" w:lineRule="auto"/>
              <w:ind w:firstLine="470" w:firstLineChars="196"/>
              <w:rPr>
                <w:color w:val="FF0000"/>
                <w:sz w:val="24"/>
              </w:rPr>
            </w:pPr>
            <w:r>
              <w:rPr>
                <w:color w:val="FF0000"/>
                <w:sz w:val="24"/>
              </w:rPr>
              <w:t>（</w:t>
            </w:r>
            <w:r>
              <w:rPr>
                <w:rFonts w:hint="eastAsia"/>
                <w:color w:val="FF0000"/>
                <w:sz w:val="24"/>
              </w:rPr>
              <w:t>2</w:t>
            </w:r>
            <w:r>
              <w:rPr>
                <w:color w:val="FF0000"/>
                <w:sz w:val="24"/>
              </w:rPr>
              <w:t>）项目选址与环境相容性分析</w:t>
            </w:r>
          </w:p>
          <w:p w14:paraId="603603D3">
            <w:pPr>
              <w:spacing w:line="348" w:lineRule="auto"/>
              <w:ind w:firstLine="480" w:firstLineChars="200"/>
              <w:rPr>
                <w:rFonts w:eastAsia="Times New Roman"/>
                <w:color w:val="FF0000"/>
                <w:sz w:val="24"/>
              </w:rPr>
            </w:pPr>
            <w:r>
              <w:rPr>
                <w:rFonts w:eastAsia="Times New Roman"/>
                <w:color w:val="FF0000"/>
                <w:sz w:val="24"/>
              </w:rPr>
              <w:t>项目选址处不属于自然保护区、风景名胜区、生活饮用水源保护区、地下饮用水源补给区、温泉疗养区、水产养殖区、基本农田保护区等需要特殊保护区域。</w:t>
            </w:r>
          </w:p>
          <w:p w14:paraId="4299DCF6">
            <w:pPr>
              <w:spacing w:line="348" w:lineRule="auto"/>
              <w:ind w:firstLine="480" w:firstLineChars="200"/>
              <w:rPr>
                <w:rFonts w:eastAsia="Times New Roman"/>
                <w:color w:val="FF0000"/>
                <w:sz w:val="24"/>
              </w:rPr>
            </w:pPr>
            <w:r>
              <w:rPr>
                <w:rFonts w:eastAsia="Times New Roman"/>
                <w:color w:val="FF0000"/>
                <w:sz w:val="24"/>
              </w:rPr>
              <w:t>项目处于</w:t>
            </w:r>
            <w:r>
              <w:rPr>
                <w:rFonts w:hint="eastAsia" w:ascii="宋体" w:hAnsi="宋体" w:eastAsia="宋体" w:cs="宋体"/>
                <w:color w:val="FF0000"/>
                <w:sz w:val="24"/>
                <w:lang w:val="en-US" w:eastAsia="zh-CN"/>
              </w:rPr>
              <w:t>江西省九江市庐山市工业园金鹿科技园（综合产业园）</w:t>
            </w:r>
            <w:r>
              <w:rPr>
                <w:rFonts w:eastAsia="Times New Roman"/>
                <w:color w:val="FF0000"/>
                <w:sz w:val="24"/>
              </w:rPr>
              <w:t>，声环境质量标准为</w:t>
            </w:r>
            <w:r>
              <w:rPr>
                <w:rFonts w:hint="eastAsia" w:eastAsia="Times New Roman"/>
                <w:color w:val="FF0000"/>
                <w:sz w:val="24"/>
              </w:rPr>
              <w:t>3</w:t>
            </w:r>
            <w:r>
              <w:rPr>
                <w:rFonts w:eastAsia="Times New Roman"/>
                <w:color w:val="FF0000"/>
                <w:sz w:val="24"/>
              </w:rPr>
              <w:t>类、地表水环境质量标准为Ⅲ类、环境空气质量标准为</w:t>
            </w:r>
            <w:r>
              <w:rPr>
                <w:rFonts w:hint="eastAsia" w:eastAsia="Times New Roman"/>
                <w:color w:val="FF0000"/>
                <w:sz w:val="24"/>
              </w:rPr>
              <w:t>二</w:t>
            </w:r>
            <w:r>
              <w:rPr>
                <w:rFonts w:eastAsia="Times New Roman"/>
                <w:color w:val="FF0000"/>
                <w:sz w:val="24"/>
              </w:rPr>
              <w:t>类。根据项目运营特点及污染源影响分析，项目的建设对区域环境影响</w:t>
            </w:r>
            <w:r>
              <w:rPr>
                <w:rFonts w:hint="eastAsia" w:eastAsia="Times New Roman"/>
                <w:color w:val="FF0000"/>
                <w:sz w:val="24"/>
              </w:rPr>
              <w:t>可接受</w:t>
            </w:r>
            <w:r>
              <w:rPr>
                <w:rFonts w:eastAsia="Times New Roman"/>
                <w:color w:val="FF0000"/>
                <w:sz w:val="24"/>
              </w:rPr>
              <w:t>。因此，项目选址与环境是相容的。</w:t>
            </w:r>
          </w:p>
          <w:p w14:paraId="7743766B">
            <w:pPr>
              <w:spacing w:line="348" w:lineRule="auto"/>
              <w:ind w:firstLine="480" w:firstLineChars="200"/>
              <w:rPr>
                <w:color w:val="FF0000"/>
                <w:sz w:val="24"/>
              </w:rPr>
            </w:pPr>
            <w:r>
              <w:rPr>
                <w:rFonts w:eastAsia="Times New Roman"/>
                <w:color w:val="FF0000"/>
                <w:sz w:val="24"/>
              </w:rPr>
              <w:t>综上所述，本项目符合相关</w:t>
            </w:r>
            <w:r>
              <w:rPr>
                <w:rFonts w:hint="eastAsia" w:ascii="宋体" w:hAnsi="宋体" w:cs="宋体"/>
                <w:color w:val="FF0000"/>
                <w:sz w:val="24"/>
              </w:rPr>
              <w:t>环境</w:t>
            </w:r>
            <w:r>
              <w:rPr>
                <w:rFonts w:eastAsia="Times New Roman"/>
                <w:color w:val="FF0000"/>
                <w:sz w:val="24"/>
              </w:rPr>
              <w:t>保护条例和</w:t>
            </w:r>
            <w:r>
              <w:rPr>
                <w:color w:val="FF0000"/>
                <w:sz w:val="24"/>
              </w:rPr>
              <w:t>规范要求，项目污染物在经过预防治理措施后能够达到相关标准要求，因此本项目选址可行。</w:t>
            </w:r>
          </w:p>
          <w:p w14:paraId="02EE189B">
            <w:pPr>
              <w:keepNext/>
              <w:keepLines w:val="0"/>
              <w:pageBreakBefore w:val="0"/>
              <w:widowControl w:val="0"/>
              <w:kinsoku/>
              <w:wordWrap/>
              <w:overflowPunct/>
              <w:topLinePunct w:val="0"/>
              <w:bidi w:val="0"/>
              <w:snapToGrid/>
              <w:spacing w:line="360" w:lineRule="auto"/>
              <w:ind w:firstLine="482" w:firstLineChars="200"/>
              <w:textAlignment w:val="auto"/>
              <w:rPr>
                <w:rFonts w:hint="eastAsia"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4</w:t>
            </w:r>
            <w:r>
              <w:rPr>
                <w:rFonts w:hint="eastAsia" w:ascii="Times New Roman" w:hAnsi="Times New Roman" w:eastAsia="宋体" w:cs="Times New Roman"/>
                <w:b/>
                <w:bCs/>
                <w:color w:val="auto"/>
                <w:kern w:val="0"/>
                <w:sz w:val="24"/>
                <w:szCs w:val="24"/>
                <w:lang w:val="en-US" w:eastAsia="zh-CN"/>
              </w:rPr>
              <w:t>、与相关的污染防治政策的符合性分析</w:t>
            </w:r>
          </w:p>
          <w:p w14:paraId="44A92792">
            <w:pPr>
              <w:keepNext/>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（1）与《“十四五”挥发性有机物污染防治工作方案》相符性分析。</w:t>
            </w:r>
          </w:p>
          <w:p w14:paraId="3327D49D">
            <w:pPr>
              <w:keepNext/>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为落实《中华人民共和国国民经济和社会发展第十三个五年规划纲要》《“十四五”生态环境保护规划》《“十四五”节能减排综合工作方案》相关要求，全面加强挥发性有机物（TVOC）污染防治工作，强化重点地区、重点行业、重点污染物的减排，提高管理的科学性、针对性和有效性，遏制臭氧上升势头，促进环境空气质量持续改善，国家环境保护部制定了《“十四五”挥发性有机物污染防治工作方案》。根据方案可知，应有序开展生活源农业源TVOC污染防治。为切实改善环境空气质量，重点地区除完成重点行业TVOC减排任务外，还应加强建筑装饰、汽修、干洗、餐饮等生活源和农业农村源TVOC治理。</w:t>
            </w:r>
          </w:p>
          <w:p w14:paraId="66B3D279">
            <w:pPr>
              <w:keepNext/>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项目生产过程有机废气</w:t>
            </w:r>
            <w:r>
              <w:rPr>
                <w:rFonts w:hint="eastAsia" w:cs="Times New Roman"/>
                <w:b w:val="0"/>
                <w:bCs w:val="0"/>
                <w:color w:val="auto"/>
                <w:kern w:val="0"/>
                <w:sz w:val="24"/>
                <w:szCs w:val="24"/>
                <w:lang w:val="en-US" w:eastAsia="zh-CN"/>
              </w:rPr>
              <w:t>排放</w:t>
            </w:r>
            <w:r>
              <w:rPr>
                <w:rFonts w:hint="eastAsia" w:ascii="Times New Roman" w:hAnsi="Times New Roman" w:eastAsia="宋体" w:cs="Times New Roman"/>
                <w:b w:val="0"/>
                <w:bCs w:val="0"/>
                <w:color w:val="auto"/>
                <w:kern w:val="0"/>
                <w:sz w:val="24"/>
                <w:szCs w:val="24"/>
                <w:lang w:val="en-US" w:eastAsia="zh-CN"/>
              </w:rPr>
              <w:t>可满足相关排放标准，符合《“十四五”挥发性有机物治理突出问题排查整治工作要求》、《挥发性有机物（VOCs）污染防治技术政策》、国家和九江市《关于深入打好污染防治攻坚战的意见》。</w:t>
            </w:r>
          </w:p>
          <w:p w14:paraId="31E1B125">
            <w:pPr>
              <w:keepNext/>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b w:val="0"/>
                <w:bCs w:val="0"/>
                <w:color w:val="FF0000"/>
                <w:kern w:val="0"/>
                <w:sz w:val="24"/>
                <w:szCs w:val="24"/>
                <w:lang w:val="en-US" w:eastAsia="zh-CN"/>
              </w:rPr>
            </w:pPr>
            <w:commentRangeStart w:id="3"/>
            <w:r>
              <w:rPr>
                <w:rFonts w:hint="eastAsia" w:ascii="Times New Roman" w:hAnsi="Times New Roman" w:eastAsia="宋体" w:cs="Times New Roman"/>
                <w:b w:val="0"/>
                <w:bCs w:val="0"/>
                <w:color w:val="FF0000"/>
                <w:kern w:val="0"/>
                <w:sz w:val="24"/>
                <w:szCs w:val="24"/>
                <w:lang w:val="en-US" w:eastAsia="zh-CN"/>
              </w:rPr>
              <w:t>（2）</w:t>
            </w:r>
            <w:commentRangeEnd w:id="3"/>
            <w:r>
              <w:commentReference w:id="3"/>
            </w:r>
            <w:r>
              <w:rPr>
                <w:rFonts w:hint="eastAsia" w:ascii="Times New Roman" w:hAnsi="Times New Roman" w:eastAsia="宋体" w:cs="Times New Roman"/>
                <w:b w:val="0"/>
                <w:bCs w:val="0"/>
                <w:color w:val="FF0000"/>
                <w:kern w:val="0"/>
                <w:sz w:val="24"/>
                <w:szCs w:val="24"/>
                <w:lang w:val="en-US" w:eastAsia="zh-CN"/>
              </w:rPr>
              <w:t>与《重点行业挥发性有机物综合治理方案》（环大气〔2019〕53号）相符性分析。</w:t>
            </w:r>
          </w:p>
          <w:p w14:paraId="46751ADA">
            <w:pPr>
              <w:widowControl w:val="0"/>
              <w:numPr>
                <w:ilvl w:val="5"/>
                <w:numId w:val="0"/>
              </w:numPr>
              <w:bidi w:val="0"/>
              <w:spacing w:line="240" w:lineRule="auto"/>
              <w:ind w:left="0"/>
              <w:jc w:val="center"/>
              <w:outlineLvl w:val="5"/>
              <w:rPr>
                <w:rFonts w:hint="default" w:ascii="Times New Roman" w:hAnsi="Times New Roman" w:eastAsia="宋体" w:cs="宋体"/>
                <w:b/>
                <w:color w:val="FF0000"/>
                <w:kern w:val="2"/>
                <w:sz w:val="21"/>
                <w:szCs w:val="21"/>
                <w:lang w:val="en-US" w:eastAsia="zh-CN" w:bidi="ar-SA"/>
              </w:rPr>
            </w:pPr>
            <w:r>
              <w:rPr>
                <w:rFonts w:hint="eastAsia" w:ascii="Times New Roman" w:hAnsi="Times New Roman" w:eastAsia="宋体" w:cs="宋体"/>
                <w:b/>
                <w:color w:val="FF0000"/>
                <w:kern w:val="2"/>
                <w:sz w:val="21"/>
                <w:szCs w:val="21"/>
                <w:lang w:val="en-US" w:eastAsia="zh-CN" w:bidi="ar-SA"/>
              </w:rPr>
              <w:t xml:space="preserve">表1-4  </w:t>
            </w:r>
            <w:r>
              <w:rPr>
                <w:rFonts w:hint="default" w:ascii="Times New Roman" w:hAnsi="Times New Roman" w:eastAsia="宋体" w:cs="宋体"/>
                <w:b/>
                <w:color w:val="FF0000"/>
                <w:kern w:val="2"/>
                <w:sz w:val="21"/>
                <w:szCs w:val="21"/>
                <w:lang w:val="en-US" w:eastAsia="zh-CN" w:bidi="ar-SA"/>
              </w:rPr>
              <w:t>项目与</w:t>
            </w:r>
            <w:r>
              <w:rPr>
                <w:rFonts w:hint="eastAsia" w:ascii="Times New Roman" w:hAnsi="Times New Roman" w:eastAsia="宋体" w:cs="宋体"/>
                <w:b/>
                <w:color w:val="FF0000"/>
                <w:kern w:val="2"/>
                <w:sz w:val="21"/>
                <w:szCs w:val="21"/>
                <w:lang w:val="en-US" w:eastAsia="zh-CN" w:bidi="ar-SA"/>
              </w:rPr>
              <w:t>“重点行业挥发性有机物综合治理方案”</w:t>
            </w:r>
            <w:r>
              <w:rPr>
                <w:rFonts w:hint="default" w:ascii="Times New Roman" w:hAnsi="Times New Roman" w:eastAsia="宋体" w:cs="宋体"/>
                <w:b/>
                <w:color w:val="FF0000"/>
                <w:kern w:val="2"/>
                <w:sz w:val="21"/>
                <w:szCs w:val="21"/>
                <w:lang w:val="en-US" w:eastAsia="zh-CN" w:bidi="ar-SA"/>
              </w:rPr>
              <w:t>相符性分析</w:t>
            </w:r>
          </w:p>
          <w:tbl>
            <w:tblPr>
              <w:tblStyle w:val="2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15"/>
              <w:gridCol w:w="1384"/>
              <w:gridCol w:w="676"/>
            </w:tblGrid>
            <w:tr w14:paraId="3DBAC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4" w:type="pct"/>
                  <w:tcBorders>
                    <w:bottom w:val="single" w:color="auto" w:sz="12" w:space="0"/>
                  </w:tcBorders>
                  <w:noWrap w:val="0"/>
                  <w:vAlign w:val="center"/>
                </w:tcPr>
                <w:p w14:paraId="32BCB88A">
                  <w:pPr>
                    <w:spacing w:line="320" w:lineRule="exact"/>
                    <w:contextualSpacing/>
                    <w:jc w:val="center"/>
                    <w:rPr>
                      <w:rFonts w:hint="default" w:ascii="Times New Roman" w:hAnsi="Times New Roman" w:eastAsia="宋体" w:cs="Times New Roman"/>
                      <w:b/>
                      <w:color w:val="FF0000"/>
                      <w:sz w:val="21"/>
                      <w:szCs w:val="21"/>
                      <w:lang w:val="en-US" w:eastAsia="zh-CN"/>
                    </w:rPr>
                  </w:pPr>
                  <w:r>
                    <w:rPr>
                      <w:rFonts w:hint="eastAsia" w:ascii="Times New Roman" w:hAnsi="Times New Roman" w:eastAsia="宋体" w:cs="Times New Roman"/>
                      <w:b/>
                      <w:color w:val="FF0000"/>
                      <w:sz w:val="21"/>
                      <w:szCs w:val="21"/>
                      <w:lang w:val="en-US" w:eastAsia="zh-CN"/>
                    </w:rPr>
                    <w:t>规划要求</w:t>
                  </w:r>
                </w:p>
              </w:tc>
              <w:tc>
                <w:tcPr>
                  <w:tcW w:w="938" w:type="pct"/>
                  <w:tcBorders>
                    <w:bottom w:val="single" w:color="auto" w:sz="12" w:space="0"/>
                  </w:tcBorders>
                  <w:noWrap w:val="0"/>
                  <w:vAlign w:val="center"/>
                </w:tcPr>
                <w:p w14:paraId="6DD071B4">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cs="Times New Roman"/>
                      <w:b/>
                      <w:color w:val="FF0000"/>
                      <w:sz w:val="21"/>
                      <w:szCs w:val="21"/>
                      <w:lang w:val="en-US" w:eastAsia="zh-CN"/>
                    </w:rPr>
                  </w:pPr>
                  <w:r>
                    <w:rPr>
                      <w:rFonts w:hint="eastAsia" w:ascii="Times New Roman" w:hAnsi="Times New Roman" w:eastAsia="宋体" w:cs="Times New Roman"/>
                      <w:b/>
                      <w:color w:val="FF0000"/>
                      <w:sz w:val="21"/>
                      <w:szCs w:val="21"/>
                      <w:lang w:val="en-US" w:eastAsia="zh-CN"/>
                    </w:rPr>
                    <w:t>本项目</w:t>
                  </w:r>
                </w:p>
                <w:p w14:paraId="1CC04C7B">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
                      <w:color w:val="FF0000"/>
                      <w:sz w:val="21"/>
                      <w:szCs w:val="21"/>
                      <w:lang w:val="en-US" w:eastAsia="zh-CN"/>
                    </w:rPr>
                  </w:pPr>
                  <w:r>
                    <w:rPr>
                      <w:rFonts w:hint="eastAsia" w:ascii="Times New Roman" w:hAnsi="Times New Roman" w:eastAsia="宋体" w:cs="Times New Roman"/>
                      <w:b/>
                      <w:color w:val="FF0000"/>
                      <w:sz w:val="21"/>
                      <w:szCs w:val="21"/>
                      <w:lang w:val="en-US" w:eastAsia="zh-CN"/>
                    </w:rPr>
                    <w:t>情况</w:t>
                  </w:r>
                </w:p>
              </w:tc>
              <w:tc>
                <w:tcPr>
                  <w:tcW w:w="456" w:type="pct"/>
                  <w:tcBorders>
                    <w:bottom w:val="single" w:color="auto" w:sz="12" w:space="0"/>
                  </w:tcBorders>
                  <w:noWrap w:val="0"/>
                  <w:vAlign w:val="center"/>
                </w:tcPr>
                <w:p w14:paraId="42A5F128">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
                      <w:color w:val="FF0000"/>
                      <w:sz w:val="21"/>
                      <w:szCs w:val="21"/>
                      <w:lang w:val="en-US" w:eastAsia="zh-CN"/>
                    </w:rPr>
                  </w:pPr>
                  <w:r>
                    <w:rPr>
                      <w:rFonts w:hint="eastAsia" w:ascii="Times New Roman" w:hAnsi="Times New Roman" w:eastAsia="宋体" w:cs="Times New Roman"/>
                      <w:b/>
                      <w:color w:val="FF0000"/>
                      <w:sz w:val="21"/>
                      <w:szCs w:val="21"/>
                      <w:lang w:val="en-US" w:eastAsia="zh-CN"/>
                    </w:rPr>
                    <w:t>是否相符</w:t>
                  </w:r>
                </w:p>
              </w:tc>
            </w:tr>
            <w:tr w14:paraId="728FF7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12" w:space="0"/>
                    <w:tl2br w:val="nil"/>
                    <w:tr2bl w:val="nil"/>
                  </w:tcBorders>
                  <w:noWrap w:val="0"/>
                  <w:vAlign w:val="center"/>
                </w:tcPr>
                <w:p w14:paraId="2411D659">
                  <w:pPr>
                    <w:keepNext w:val="0"/>
                    <w:keepLines w:val="0"/>
                    <w:widowControl/>
                    <w:suppressLineNumbers w:val="0"/>
                    <w:jc w:val="left"/>
                    <w:rPr>
                      <w:rFonts w:hint="default" w:ascii="Times New Roman" w:hAnsi="Times New Roman" w:eastAsia="宋体" w:cs="Times New Roman"/>
                      <w:b/>
                      <w:bCs/>
                      <w:color w:val="FF0000"/>
                      <w:sz w:val="21"/>
                      <w:szCs w:val="21"/>
                      <w:vertAlign w:val="baseline"/>
                      <w:lang w:val="en-US" w:eastAsia="zh-CN"/>
                    </w:rPr>
                  </w:pPr>
                  <w:r>
                    <w:rPr>
                      <w:rFonts w:hint="eastAsia" w:ascii="宋体" w:hAnsi="宋体" w:eastAsia="宋体" w:cs="宋体"/>
                      <w:b/>
                      <w:color w:val="FF0000"/>
                      <w:kern w:val="0"/>
                      <w:sz w:val="21"/>
                      <w:szCs w:val="21"/>
                      <w:lang w:val="en-US" w:eastAsia="zh-CN" w:bidi="ar"/>
                    </w:rPr>
                    <w:t>（一）大力推进源头替代</w:t>
                  </w:r>
                </w:p>
              </w:tc>
            </w:tr>
            <w:tr w14:paraId="5AEC7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4" w:type="pct"/>
                  <w:tcBorders>
                    <w:tl2br w:val="nil"/>
                    <w:tr2bl w:val="nil"/>
                  </w:tcBorders>
                  <w:noWrap w:val="0"/>
                  <w:vAlign w:val="center"/>
                </w:tcPr>
                <w:p w14:paraId="64A0811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val="0"/>
                      <w:color w:val="FF0000"/>
                      <w:sz w:val="21"/>
                      <w:szCs w:val="21"/>
                      <w:vertAlign w:val="baseline"/>
                      <w:lang w:val="en-US" w:eastAsia="zh-CN" w:bidi="ar-SA"/>
                    </w:rPr>
                  </w:pPr>
                  <w:r>
                    <w:rPr>
                      <w:rFonts w:hint="default" w:ascii="Times New Roman" w:hAnsi="Times New Roman" w:eastAsia="宋体" w:cs="Times New Roman"/>
                      <w:b w:val="0"/>
                      <w:bCs w:val="0"/>
                      <w:color w:val="FF0000"/>
                      <w:sz w:val="21"/>
                      <w:szCs w:val="21"/>
                      <w:vertAlign w:val="baseline"/>
                      <w:lang w:val="en-US" w:eastAsia="zh-CN" w:bidi="ar-SA"/>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w:t>
                  </w:r>
                </w:p>
                <w:p w14:paraId="76C05A3C">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bCs/>
                      <w:color w:val="FF0000"/>
                      <w:sz w:val="21"/>
                      <w:szCs w:val="21"/>
                      <w:vertAlign w:val="baseline"/>
                      <w:lang w:val="en-US" w:eastAsia="zh-CN"/>
                    </w:rPr>
                  </w:pPr>
                  <w:r>
                    <w:rPr>
                      <w:rFonts w:hint="default" w:ascii="Times New Roman" w:hAnsi="Times New Roman" w:eastAsia="宋体" w:cs="Times New Roman"/>
                      <w:b w:val="0"/>
                      <w:bCs w:val="0"/>
                      <w:color w:val="FF0000"/>
                      <w:sz w:val="21"/>
                      <w:szCs w:val="21"/>
                      <w:vertAlign w:val="baseline"/>
                      <w:lang w:val="en-US" w:eastAsia="zh-CN" w:bidi="ar-SA"/>
                    </w:rPr>
                    <w:t>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938" w:type="pct"/>
                  <w:tcBorders>
                    <w:tl2br w:val="nil"/>
                    <w:tr2bl w:val="nil"/>
                  </w:tcBorders>
                  <w:noWrap w:val="0"/>
                  <w:vAlign w:val="center"/>
                </w:tcPr>
                <w:p w14:paraId="1912934B">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项目主要含VOCs物料的原辅材料为</w:t>
                  </w:r>
                  <w:r>
                    <w:rPr>
                      <w:rFonts w:hint="eastAsia" w:cs="Times New Roman"/>
                      <w:color w:val="FF0000"/>
                      <w:sz w:val="21"/>
                      <w:szCs w:val="21"/>
                      <w:highlight w:val="none"/>
                      <w:shd w:val="clear" w:color="auto" w:fill="auto"/>
                      <w:vertAlign w:val="baseline"/>
                      <w:lang w:val="en-US" w:eastAsia="zh-CN" w:bidi="ar"/>
                    </w:rPr>
                    <w:t>甘油、丙二醇、热熔胶</w:t>
                  </w:r>
                  <w:r>
                    <w:rPr>
                      <w:rFonts w:hint="eastAsia" w:ascii="Times New Roman" w:hAnsi="Times New Roman" w:eastAsia="宋体" w:cs="Times New Roman"/>
                      <w:color w:val="FF0000"/>
                      <w:sz w:val="21"/>
                      <w:szCs w:val="21"/>
                      <w:highlight w:val="none"/>
                      <w:shd w:val="clear" w:color="auto" w:fill="auto"/>
                      <w:vertAlign w:val="baseline"/>
                      <w:lang w:val="en-US" w:eastAsia="zh-CN" w:bidi="ar"/>
                    </w:rPr>
                    <w:t>、</w:t>
                  </w:r>
                  <w:r>
                    <w:rPr>
                      <w:rFonts w:hint="eastAsia" w:cs="Times New Roman"/>
                      <w:color w:val="FF0000"/>
                      <w:sz w:val="21"/>
                      <w:szCs w:val="21"/>
                      <w:highlight w:val="none"/>
                      <w:shd w:val="clear" w:color="auto" w:fill="auto"/>
                      <w:vertAlign w:val="baseline"/>
                      <w:lang w:val="en-US" w:eastAsia="zh-CN" w:bidi="ar"/>
                    </w:rPr>
                    <w:t>喷码油墨</w:t>
                  </w:r>
                  <w:r>
                    <w:rPr>
                      <w:rFonts w:hint="eastAsia" w:ascii="Times New Roman" w:hAnsi="Times New Roman" w:eastAsia="宋体" w:cs="Times New Roman"/>
                      <w:color w:val="FF0000"/>
                      <w:kern w:val="0"/>
                      <w:sz w:val="21"/>
                      <w:szCs w:val="21"/>
                      <w:lang w:val="en-US" w:eastAsia="zh-CN" w:bidi="ar"/>
                    </w:rPr>
                    <w:t>，</w:t>
                  </w:r>
                  <w:r>
                    <w:rPr>
                      <w:rFonts w:hint="eastAsia" w:cs="Times New Roman"/>
                      <w:color w:val="FF0000"/>
                      <w:kern w:val="0"/>
                      <w:sz w:val="21"/>
                      <w:szCs w:val="21"/>
                      <w:lang w:val="en-US" w:eastAsia="zh-CN" w:bidi="ar"/>
                    </w:rPr>
                    <w:t>均为</w:t>
                  </w:r>
                  <w:r>
                    <w:rPr>
                      <w:rFonts w:hint="default" w:ascii="Times New Roman" w:hAnsi="Times New Roman" w:eastAsia="宋体" w:cs="Times New Roman"/>
                      <w:b w:val="0"/>
                      <w:bCs w:val="0"/>
                      <w:color w:val="FF0000"/>
                      <w:sz w:val="21"/>
                      <w:szCs w:val="21"/>
                      <w:vertAlign w:val="baseline"/>
                      <w:lang w:val="en-US" w:eastAsia="zh-CN" w:bidi="ar-SA"/>
                    </w:rPr>
                    <w:t>低VOCs</w:t>
                  </w:r>
                  <w:r>
                    <w:rPr>
                      <w:rFonts w:hint="eastAsia" w:ascii="Times New Roman" w:hAnsi="Times New Roman" w:eastAsia="宋体" w:cs="Times New Roman"/>
                      <w:color w:val="FF0000"/>
                      <w:kern w:val="0"/>
                      <w:sz w:val="21"/>
                      <w:szCs w:val="21"/>
                      <w:lang w:val="en-US" w:eastAsia="zh-CN" w:bidi="ar"/>
                    </w:rPr>
                    <w:t>物料。</w:t>
                  </w:r>
                </w:p>
              </w:tc>
              <w:tc>
                <w:tcPr>
                  <w:tcW w:w="456" w:type="pct"/>
                  <w:tcBorders>
                    <w:tl2br w:val="nil"/>
                    <w:tr2bl w:val="nil"/>
                  </w:tcBorders>
                  <w:noWrap w:val="0"/>
                  <w:vAlign w:val="center"/>
                </w:tcPr>
                <w:p w14:paraId="285C81FB">
                  <w:pPr>
                    <w:keepNext w:val="0"/>
                    <w:keepLines w:val="0"/>
                    <w:widowControl/>
                    <w:suppressLineNumbers w:val="0"/>
                    <w:jc w:val="center"/>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是</w:t>
                  </w:r>
                </w:p>
              </w:tc>
            </w:tr>
            <w:tr w14:paraId="33FD6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l2br w:val="nil"/>
                    <w:tr2bl w:val="nil"/>
                  </w:tcBorders>
                  <w:noWrap w:val="0"/>
                  <w:vAlign w:val="center"/>
                </w:tcPr>
                <w:p w14:paraId="313AF2CE">
                  <w:pPr>
                    <w:keepNext w:val="0"/>
                    <w:keepLines w:val="0"/>
                    <w:widowControl/>
                    <w:suppressLineNumbers w:val="0"/>
                    <w:jc w:val="left"/>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b/>
                      <w:bCs/>
                      <w:color w:val="FF0000"/>
                      <w:kern w:val="0"/>
                      <w:sz w:val="21"/>
                      <w:szCs w:val="21"/>
                      <w:lang w:val="en-US" w:eastAsia="zh-CN" w:bidi="ar"/>
                    </w:rPr>
                    <w:t>（二）全面加强无组织排放控制</w:t>
                  </w:r>
                </w:p>
              </w:tc>
            </w:tr>
            <w:tr w14:paraId="7AD17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4" w:type="pct"/>
                  <w:tcBorders>
                    <w:tl2br w:val="nil"/>
                    <w:tr2bl w:val="nil"/>
                  </w:tcBorders>
                  <w:noWrap w:val="0"/>
                  <w:vAlign w:val="center"/>
                </w:tcPr>
                <w:p w14:paraId="27104AA7">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04274B77">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14:paraId="6FC6F958">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p w14:paraId="5C0AD0AE">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提高废气收集率。遵循</w:t>
                  </w:r>
                  <w:r>
                    <w:rPr>
                      <w:rFonts w:hint="eastAsia" w:ascii="Times New Roman" w:hAnsi="Times New Roman" w:eastAsia="宋体" w:cs="Times New Roman"/>
                      <w:color w:val="FF0000"/>
                      <w:kern w:val="0"/>
                      <w:sz w:val="21"/>
                      <w:szCs w:val="21"/>
                      <w:lang w:val="en-US" w:eastAsia="zh-CN" w:bidi="ar"/>
                    </w:rPr>
                    <w:t>“应收尽收、分质收集”</w:t>
                  </w:r>
                  <w:r>
                    <w:rPr>
                      <w:rFonts w:hint="default" w:ascii="Times New Roman" w:hAnsi="Times New Roman" w:eastAsia="宋体" w:cs="Times New Roman"/>
                      <w:color w:val="FF0000"/>
                      <w:kern w:val="0"/>
                      <w:sz w:val="21"/>
                      <w:szCs w:val="21"/>
                      <w:lang w:val="en-US" w:eastAsia="zh-CN" w:bidi="ar"/>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p w14:paraId="76875D9D">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加强设备与管线组件泄漏控制。企业中载有气态、液态VOCs物料的设备与管线组件，密封点数量大于等于2000个的，应按要求开展LDAR工作。石化企业按行业排放标准规定执行。</w:t>
                  </w:r>
                </w:p>
              </w:tc>
              <w:tc>
                <w:tcPr>
                  <w:tcW w:w="938" w:type="pct"/>
                  <w:tcBorders>
                    <w:tl2br w:val="nil"/>
                    <w:tr2bl w:val="nil"/>
                  </w:tcBorders>
                  <w:noWrap w:val="0"/>
                  <w:vAlign w:val="center"/>
                </w:tcPr>
                <w:p w14:paraId="3D53AD68">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项目含VOCs物料的原辅材料主要为</w:t>
                  </w:r>
                  <w:r>
                    <w:rPr>
                      <w:rFonts w:hint="eastAsia" w:cs="Times New Roman"/>
                      <w:color w:val="FF0000"/>
                      <w:sz w:val="21"/>
                      <w:szCs w:val="21"/>
                      <w:highlight w:val="none"/>
                      <w:shd w:val="clear" w:color="auto" w:fill="auto"/>
                      <w:vertAlign w:val="baseline"/>
                      <w:lang w:val="en-US" w:eastAsia="zh-CN" w:bidi="ar"/>
                    </w:rPr>
                    <w:t>甘油、丙二醇、热熔胶</w:t>
                  </w:r>
                  <w:r>
                    <w:rPr>
                      <w:rFonts w:hint="eastAsia" w:ascii="Times New Roman" w:hAnsi="Times New Roman" w:eastAsia="宋体" w:cs="Times New Roman"/>
                      <w:color w:val="FF0000"/>
                      <w:sz w:val="21"/>
                      <w:szCs w:val="21"/>
                      <w:highlight w:val="none"/>
                      <w:shd w:val="clear" w:color="auto" w:fill="auto"/>
                      <w:vertAlign w:val="baseline"/>
                      <w:lang w:val="en-US" w:eastAsia="zh-CN" w:bidi="ar"/>
                    </w:rPr>
                    <w:t>、</w:t>
                  </w:r>
                  <w:r>
                    <w:rPr>
                      <w:rFonts w:hint="eastAsia" w:cs="Times New Roman"/>
                      <w:color w:val="FF0000"/>
                      <w:sz w:val="21"/>
                      <w:szCs w:val="21"/>
                      <w:highlight w:val="none"/>
                      <w:shd w:val="clear" w:color="auto" w:fill="auto"/>
                      <w:vertAlign w:val="baseline"/>
                      <w:lang w:val="en-US" w:eastAsia="zh-CN" w:bidi="ar"/>
                    </w:rPr>
                    <w:t>喷码油墨</w:t>
                  </w:r>
                  <w:r>
                    <w:rPr>
                      <w:rFonts w:hint="eastAsia" w:ascii="Times New Roman" w:hAnsi="Times New Roman" w:eastAsia="宋体" w:cs="Times New Roman"/>
                      <w:color w:val="FF0000"/>
                      <w:kern w:val="0"/>
                      <w:sz w:val="21"/>
                      <w:szCs w:val="21"/>
                      <w:lang w:val="en-US" w:eastAsia="zh-CN" w:bidi="ar"/>
                    </w:rPr>
                    <w:t>，环评要求在转移、输送及保存过程均储存于密闭容器中。使用时做到即用即取，不使用时密闭，可有效削减VOCs无组织排放。项目不属于石化行业，无需开展LDAR工作。</w:t>
                  </w:r>
                </w:p>
              </w:tc>
              <w:tc>
                <w:tcPr>
                  <w:tcW w:w="456" w:type="pct"/>
                  <w:tcBorders>
                    <w:tl2br w:val="nil"/>
                    <w:tr2bl w:val="nil"/>
                  </w:tcBorders>
                  <w:noWrap w:val="0"/>
                  <w:vAlign w:val="center"/>
                </w:tcPr>
                <w:p w14:paraId="1F67962F">
                  <w:pPr>
                    <w:keepNext w:val="0"/>
                    <w:keepLines w:val="0"/>
                    <w:widowControl/>
                    <w:suppressLineNumbers w:val="0"/>
                    <w:jc w:val="center"/>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是</w:t>
                  </w:r>
                </w:p>
              </w:tc>
            </w:tr>
            <w:tr w14:paraId="664A8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l2br w:val="nil"/>
                    <w:tr2bl w:val="nil"/>
                  </w:tcBorders>
                  <w:noWrap w:val="0"/>
                  <w:vAlign w:val="center"/>
                </w:tcPr>
                <w:p w14:paraId="61CF29BB">
                  <w:pPr>
                    <w:keepNext w:val="0"/>
                    <w:keepLines w:val="0"/>
                    <w:widowControl/>
                    <w:suppressLineNumbers w:val="0"/>
                    <w:jc w:val="left"/>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b/>
                      <w:bCs/>
                      <w:color w:val="FF0000"/>
                      <w:kern w:val="0"/>
                      <w:sz w:val="21"/>
                      <w:szCs w:val="21"/>
                      <w:lang w:val="en-US" w:eastAsia="zh-CN" w:bidi="ar"/>
                    </w:rPr>
                    <w:t>（三）推进建设适宜高效的治污设施</w:t>
                  </w:r>
                </w:p>
              </w:tc>
            </w:tr>
            <w:tr w14:paraId="58380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04" w:type="pct"/>
                  <w:tcBorders>
                    <w:tl2br w:val="nil"/>
                    <w:tr2bl w:val="nil"/>
                  </w:tcBorders>
                  <w:noWrap w:val="0"/>
                  <w:vAlign w:val="center"/>
                </w:tcPr>
                <w:p w14:paraId="2BA2B35F">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67E8A932">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14:paraId="27F8B9AE">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938" w:type="pct"/>
                  <w:tcBorders>
                    <w:tl2br w:val="nil"/>
                    <w:tr2bl w:val="nil"/>
                  </w:tcBorders>
                  <w:noWrap w:val="0"/>
                  <w:vAlign w:val="center"/>
                </w:tcPr>
                <w:p w14:paraId="798CDABF">
                  <w:pPr>
                    <w:keepNext w:val="0"/>
                    <w:keepLines w:val="0"/>
                    <w:widowControl/>
                    <w:suppressLineNumbers w:val="0"/>
                    <w:jc w:val="both"/>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项目有机废气主要为制胶过程、外包装喷码过程</w:t>
                  </w:r>
                  <w:r>
                    <w:rPr>
                      <w:rFonts w:hint="eastAsia" w:cs="Times New Roman"/>
                      <w:color w:val="FF0000"/>
                      <w:kern w:val="0"/>
                      <w:sz w:val="21"/>
                      <w:szCs w:val="21"/>
                      <w:lang w:val="en-US" w:eastAsia="zh-CN" w:bidi="ar"/>
                    </w:rPr>
                    <w:t>和产品生产过程</w:t>
                  </w:r>
                  <w:r>
                    <w:rPr>
                      <w:rFonts w:hint="eastAsia" w:ascii="Times New Roman" w:hAnsi="Times New Roman" w:eastAsia="宋体" w:cs="Times New Roman"/>
                      <w:color w:val="FF0000"/>
                      <w:kern w:val="0"/>
                      <w:sz w:val="21"/>
                      <w:szCs w:val="21"/>
                      <w:lang w:val="en-US" w:eastAsia="zh-CN" w:bidi="ar"/>
                    </w:rPr>
                    <w:t>产生的少量有机废气，经</w:t>
                  </w:r>
                  <w:r>
                    <w:rPr>
                      <w:rFonts w:hint="eastAsia" w:ascii="Times New Roman" w:hAnsi="Times New Roman" w:eastAsia="宋体" w:cs="Times New Roman"/>
                      <w:color w:val="FF0000"/>
                      <w:kern w:val="2"/>
                      <w:sz w:val="21"/>
                      <w:szCs w:val="21"/>
                      <w:highlight w:val="none"/>
                      <w:shd w:val="clear" w:color="auto" w:fill="auto"/>
                      <w:lang w:val="en-US" w:eastAsia="zh-CN" w:bidi="ar-SA"/>
                    </w:rPr>
                    <w:t>车间空气净化系统</w:t>
                  </w:r>
                  <w:r>
                    <w:rPr>
                      <w:rFonts w:hint="eastAsia" w:cs="Times New Roman"/>
                      <w:color w:val="FF0000"/>
                      <w:kern w:val="2"/>
                      <w:sz w:val="21"/>
                      <w:szCs w:val="21"/>
                      <w:highlight w:val="none"/>
                      <w:shd w:val="clear" w:color="auto" w:fill="auto"/>
                      <w:lang w:val="en-US" w:eastAsia="zh-CN" w:bidi="ar-SA"/>
                    </w:rPr>
                    <w:t>+二级活性炭处理装置处理后</w:t>
                  </w:r>
                  <w:r>
                    <w:rPr>
                      <w:rFonts w:hint="eastAsia" w:ascii="Times New Roman" w:hAnsi="Times New Roman" w:eastAsia="宋体" w:cs="Times New Roman"/>
                      <w:color w:val="FF0000"/>
                      <w:kern w:val="0"/>
                      <w:sz w:val="21"/>
                      <w:szCs w:val="21"/>
                      <w:lang w:val="en-US" w:eastAsia="zh-CN" w:bidi="ar"/>
                    </w:rPr>
                    <w:t>无组织排</w:t>
                  </w:r>
                  <w:r>
                    <w:rPr>
                      <w:rFonts w:hint="eastAsia" w:cs="Times New Roman"/>
                      <w:color w:val="FF0000"/>
                      <w:kern w:val="0"/>
                      <w:sz w:val="21"/>
                      <w:szCs w:val="21"/>
                      <w:lang w:val="en-US" w:eastAsia="zh-CN" w:bidi="ar"/>
                    </w:rPr>
                    <w:t>放。不设置排气筒排放。</w:t>
                  </w:r>
                </w:p>
              </w:tc>
              <w:tc>
                <w:tcPr>
                  <w:tcW w:w="456" w:type="pct"/>
                  <w:tcBorders>
                    <w:tl2br w:val="nil"/>
                    <w:tr2bl w:val="nil"/>
                  </w:tcBorders>
                  <w:noWrap w:val="0"/>
                  <w:vAlign w:val="center"/>
                </w:tcPr>
                <w:p w14:paraId="54C7D1F5">
                  <w:pPr>
                    <w:keepNext w:val="0"/>
                    <w:keepLines w:val="0"/>
                    <w:widowControl/>
                    <w:suppressLineNumbers w:val="0"/>
                    <w:jc w:val="center"/>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是</w:t>
                  </w:r>
                </w:p>
              </w:tc>
            </w:tr>
          </w:tbl>
          <w:p w14:paraId="4BDC7396">
            <w:pPr>
              <w:keepNext/>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b w:val="0"/>
                <w:bCs w:val="0"/>
                <w:color w:val="FF0000"/>
                <w:kern w:val="0"/>
                <w:sz w:val="24"/>
                <w:szCs w:val="24"/>
                <w:lang w:val="en-US" w:eastAsia="zh-CN"/>
              </w:rPr>
            </w:pPr>
            <w:r>
              <w:rPr>
                <w:rFonts w:hint="default" w:ascii="Times New Roman" w:hAnsi="Times New Roman" w:eastAsia="宋体" w:cs="Times New Roman"/>
                <w:color w:val="FF0000"/>
                <w:kern w:val="2"/>
                <w:sz w:val="24"/>
                <w:szCs w:val="24"/>
                <w:lang w:val="en-US" w:eastAsia="zh-CN" w:bidi="ar-SA"/>
              </w:rPr>
              <w:t>对照《重点行业挥发性有机物综合治理方案》（环大气〔2019〕53号），本项目符合方案要求。</w:t>
            </w:r>
          </w:p>
          <w:p w14:paraId="5CA586A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ascii="Times New Roman" w:hAnsi="Times New Roman" w:eastAsia="宋体" w:cs="Times New Roman"/>
                <w:b/>
                <w:bCs/>
                <w:color w:val="FF0000"/>
                <w:sz w:val="21"/>
                <w:szCs w:val="21"/>
                <w:highlight w:val="none"/>
              </w:rPr>
            </w:pPr>
            <w:r>
              <w:rPr>
                <w:rFonts w:hint="eastAsia" w:ascii="Times New Roman" w:hAnsi="Times New Roman" w:eastAsia="宋体" w:cs="Times New Roman"/>
                <w:b w:val="0"/>
                <w:bCs w:val="0"/>
                <w:color w:val="FF0000"/>
                <w:spacing w:val="0"/>
                <w:sz w:val="24"/>
                <w:szCs w:val="24"/>
                <w:highlight w:val="none"/>
                <w:lang w:val="en-US" w:eastAsia="zh-CN"/>
              </w:rPr>
              <w:t>（3）</w:t>
            </w:r>
            <w:r>
              <w:rPr>
                <w:rFonts w:hint="eastAsia" w:ascii="宋体" w:hAnsi="宋体" w:eastAsia="宋体" w:cs="宋体"/>
                <w:color w:val="FF0000"/>
                <w:kern w:val="0"/>
                <w:sz w:val="24"/>
                <w:szCs w:val="24"/>
                <w:lang w:val="en-US" w:eastAsia="zh-CN" w:bidi="ar"/>
              </w:rPr>
              <w:t>项目与《江西省生态环境厅关于印发江西省重点行业挥发性有机物综合治理方案的通知（赣环大气（</w:t>
            </w:r>
            <w:r>
              <w:rPr>
                <w:rFonts w:hint="default" w:ascii="Times New Roman" w:hAnsi="Times New Roman" w:eastAsia="宋体" w:cs="Times New Roman"/>
                <w:color w:val="FF0000"/>
                <w:kern w:val="0"/>
                <w:sz w:val="24"/>
                <w:szCs w:val="24"/>
                <w:lang w:val="en-US" w:eastAsia="zh-CN" w:bidi="ar"/>
              </w:rPr>
              <w:t>2019</w:t>
            </w:r>
            <w:r>
              <w:rPr>
                <w:rFonts w:hint="eastAsia" w:ascii="宋体" w:hAnsi="宋体" w:eastAsia="宋体" w:cs="宋体"/>
                <w:color w:val="FF0000"/>
                <w:kern w:val="0"/>
                <w:sz w:val="24"/>
                <w:szCs w:val="24"/>
                <w:lang w:val="en-US" w:eastAsia="zh-CN" w:bidi="ar"/>
              </w:rPr>
              <w:t>）</w:t>
            </w:r>
            <w:r>
              <w:rPr>
                <w:rFonts w:hint="default" w:ascii="Times New Roman" w:hAnsi="Times New Roman" w:eastAsia="宋体" w:cs="Times New Roman"/>
                <w:color w:val="FF0000"/>
                <w:kern w:val="0"/>
                <w:sz w:val="24"/>
                <w:szCs w:val="24"/>
                <w:lang w:val="en-US" w:eastAsia="zh-CN" w:bidi="ar"/>
              </w:rPr>
              <w:t>20</w:t>
            </w:r>
            <w:r>
              <w:rPr>
                <w:rFonts w:hint="eastAsia" w:ascii="宋体" w:hAnsi="宋体" w:eastAsia="宋体" w:cs="宋体"/>
                <w:color w:val="FF0000"/>
                <w:kern w:val="0"/>
                <w:sz w:val="24"/>
                <w:szCs w:val="24"/>
                <w:lang w:val="en-US" w:eastAsia="zh-CN" w:bidi="ar"/>
              </w:rPr>
              <w:t>号）》符合性分析见下表。</w:t>
            </w:r>
          </w:p>
          <w:p w14:paraId="01ACE114">
            <w:pPr>
              <w:keepNext w:val="0"/>
              <w:keepLines w:val="0"/>
              <w:pageBreakBefore w:val="0"/>
              <w:widowControl w:val="0"/>
              <w:kinsoku/>
              <w:wordWrap/>
              <w:overflowPunct/>
              <w:topLinePunct w:val="0"/>
              <w:autoSpaceDE/>
              <w:autoSpaceDN/>
              <w:bidi w:val="0"/>
              <w:adjustRightInd/>
              <w:snapToGrid/>
              <w:spacing w:before="157" w:beforeLines="50" w:line="240" w:lineRule="auto"/>
              <w:ind w:firstLine="422" w:firstLineChars="200"/>
              <w:jc w:val="both"/>
              <w:textAlignment w:val="auto"/>
              <w:rPr>
                <w:rFonts w:hint="eastAsia" w:ascii="Times New Roman" w:hAnsi="Times New Roman" w:eastAsia="宋体" w:cs="Times New Roman"/>
                <w:color w:val="FF0000"/>
                <w:sz w:val="24"/>
                <w:szCs w:val="24"/>
                <w:highlight w:val="none"/>
                <w:shd w:val="clear" w:color="auto" w:fill="auto"/>
                <w:lang w:eastAsia="zh-CN" w:bidi="ar"/>
              </w:rPr>
            </w:pPr>
            <w:r>
              <w:rPr>
                <w:rFonts w:ascii="Times New Roman" w:hAnsi="Times New Roman" w:eastAsia="宋体" w:cs="Times New Roman"/>
                <w:b/>
                <w:bCs/>
                <w:color w:val="FF0000"/>
                <w:sz w:val="21"/>
                <w:szCs w:val="21"/>
                <w:highlight w:val="none"/>
              </w:rPr>
              <w:t>表</w:t>
            </w:r>
            <w:r>
              <w:rPr>
                <w:rFonts w:hint="eastAsia" w:ascii="Times New Roman" w:hAnsi="Times New Roman" w:eastAsia="宋体" w:cs="Times New Roman"/>
                <w:b/>
                <w:bCs/>
                <w:color w:val="FF0000"/>
                <w:sz w:val="21"/>
                <w:szCs w:val="21"/>
                <w:highlight w:val="none"/>
              </w:rPr>
              <w:t>1-</w:t>
            </w:r>
            <w:r>
              <w:rPr>
                <w:rFonts w:hint="eastAsia" w:ascii="Times New Roman" w:hAnsi="Times New Roman" w:eastAsia="宋体" w:cs="Times New Roman"/>
                <w:b/>
                <w:bCs/>
                <w:color w:val="FF0000"/>
                <w:sz w:val="21"/>
                <w:szCs w:val="21"/>
                <w:highlight w:val="none"/>
                <w:lang w:val="en-US" w:eastAsia="zh-CN"/>
              </w:rPr>
              <w:t xml:space="preserve">5 </w:t>
            </w:r>
            <w:r>
              <w:rPr>
                <w:rFonts w:hint="eastAsia" w:ascii="Times New Roman" w:hAnsi="Times New Roman" w:eastAsia="宋体" w:cs="Times New Roman"/>
                <w:b/>
                <w:bCs/>
                <w:color w:val="FF0000"/>
                <w:sz w:val="21"/>
                <w:szCs w:val="21"/>
                <w:highlight w:val="none"/>
              </w:rPr>
              <w:t>与</w:t>
            </w:r>
            <w:r>
              <w:rPr>
                <w:rFonts w:hint="eastAsia" w:ascii="Times New Roman" w:hAnsi="Times New Roman" w:eastAsia="宋体" w:cs="Times New Roman"/>
                <w:b/>
                <w:bCs/>
                <w:color w:val="FF0000"/>
                <w:sz w:val="21"/>
                <w:szCs w:val="21"/>
                <w:highlight w:val="none"/>
                <w:lang w:eastAsia="zh-CN"/>
              </w:rPr>
              <w:t>《</w:t>
            </w:r>
            <w:r>
              <w:rPr>
                <w:rFonts w:hint="eastAsia" w:ascii="Times New Roman" w:hAnsi="Times New Roman" w:eastAsia="宋体" w:cs="Times New Roman"/>
                <w:b/>
                <w:bCs/>
                <w:color w:val="FF0000"/>
                <w:sz w:val="21"/>
                <w:szCs w:val="21"/>
                <w:highlight w:val="none"/>
              </w:rPr>
              <w:t>江西省重点行业挥发性有机物综合治理方案</w:t>
            </w:r>
            <w:r>
              <w:rPr>
                <w:rFonts w:hint="eastAsia" w:ascii="Times New Roman" w:hAnsi="Times New Roman" w:eastAsia="宋体" w:cs="Times New Roman"/>
                <w:b/>
                <w:bCs/>
                <w:color w:val="FF0000"/>
                <w:sz w:val="21"/>
                <w:szCs w:val="21"/>
                <w:highlight w:val="none"/>
                <w:lang w:eastAsia="zh-CN"/>
              </w:rPr>
              <w:t>》</w:t>
            </w:r>
            <w:r>
              <w:rPr>
                <w:rFonts w:hint="eastAsia" w:ascii="Times New Roman" w:hAnsi="Times New Roman" w:eastAsia="宋体" w:cs="Times New Roman"/>
                <w:b/>
                <w:bCs/>
                <w:color w:val="FF0000"/>
                <w:sz w:val="21"/>
                <w:szCs w:val="21"/>
                <w:highlight w:val="none"/>
              </w:rPr>
              <w:t>相符性分析</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062"/>
              <w:gridCol w:w="2342"/>
              <w:gridCol w:w="969"/>
            </w:tblGrid>
            <w:tr w14:paraId="1349A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4" w:type="pct"/>
                  <w:tcBorders>
                    <w:bottom w:val="single" w:color="auto" w:sz="12" w:space="0"/>
                  </w:tcBorders>
                  <w:noWrap w:val="0"/>
                  <w:vAlign w:val="center"/>
                </w:tcPr>
                <w:p w14:paraId="7275E1CB">
                  <w:pPr>
                    <w:widowControl w:val="0"/>
                    <w:jc w:val="center"/>
                    <w:rPr>
                      <w:rFonts w:hint="eastAsia" w:ascii="Times New Roman" w:hAnsi="Times New Roman" w:eastAsia="宋体" w:cs="Times New Roman"/>
                      <w:color w:val="FF0000"/>
                      <w:kern w:val="2"/>
                      <w:sz w:val="21"/>
                      <w:szCs w:val="21"/>
                      <w:highlight w:val="none"/>
                      <w:shd w:val="clear" w:color="auto" w:fill="auto"/>
                      <w:vertAlign w:val="baseline"/>
                      <w:lang w:val="en-US" w:eastAsia="zh-CN" w:bidi="ar"/>
                    </w:rPr>
                  </w:pPr>
                  <w:r>
                    <w:rPr>
                      <w:rFonts w:hint="eastAsia" w:ascii="Times New Roman" w:hAnsi="Times New Roman" w:eastAsia="宋体" w:cs="Times New Roman"/>
                      <w:b/>
                      <w:bCs/>
                      <w:color w:val="FF0000"/>
                      <w:kern w:val="2"/>
                      <w:sz w:val="21"/>
                      <w:szCs w:val="21"/>
                      <w:highlight w:val="none"/>
                      <w:shd w:val="clear" w:color="auto" w:fill="auto"/>
                      <w:vertAlign w:val="baseline"/>
                      <w:lang w:val="en-US" w:eastAsia="zh-CN" w:bidi="ar"/>
                    </w:rPr>
                    <w:t>具体要求</w:t>
                  </w:r>
                </w:p>
              </w:tc>
              <w:tc>
                <w:tcPr>
                  <w:tcW w:w="1588" w:type="pct"/>
                  <w:tcBorders>
                    <w:bottom w:val="single" w:color="auto" w:sz="12" w:space="0"/>
                  </w:tcBorders>
                  <w:noWrap w:val="0"/>
                  <w:vAlign w:val="center"/>
                </w:tcPr>
                <w:p w14:paraId="07CD07E9">
                  <w:pPr>
                    <w:widowControl w:val="0"/>
                    <w:jc w:val="center"/>
                    <w:rPr>
                      <w:rFonts w:hint="eastAsia" w:ascii="Times New Roman" w:hAnsi="Times New Roman" w:eastAsia="宋体" w:cs="Times New Roman"/>
                      <w:color w:val="FF0000"/>
                      <w:kern w:val="2"/>
                      <w:sz w:val="21"/>
                      <w:szCs w:val="21"/>
                      <w:highlight w:val="none"/>
                      <w:shd w:val="clear" w:color="auto" w:fill="auto"/>
                      <w:vertAlign w:val="baseline"/>
                      <w:lang w:val="en-US" w:eastAsia="zh-CN" w:bidi="ar"/>
                    </w:rPr>
                  </w:pPr>
                  <w:r>
                    <w:rPr>
                      <w:rFonts w:hint="eastAsia" w:ascii="Times New Roman" w:hAnsi="Times New Roman" w:eastAsia="宋体" w:cs="Times New Roman"/>
                      <w:b/>
                      <w:color w:val="FF0000"/>
                      <w:kern w:val="2"/>
                      <w:sz w:val="21"/>
                      <w:szCs w:val="21"/>
                      <w:highlight w:val="none"/>
                      <w:lang w:val="en-US" w:eastAsia="zh-CN" w:bidi="ar-SA"/>
                    </w:rPr>
                    <w:t>项目情况</w:t>
                  </w:r>
                </w:p>
              </w:tc>
              <w:tc>
                <w:tcPr>
                  <w:tcW w:w="657" w:type="pct"/>
                  <w:tcBorders>
                    <w:bottom w:val="single" w:color="auto" w:sz="12" w:space="0"/>
                  </w:tcBorders>
                  <w:noWrap w:val="0"/>
                  <w:vAlign w:val="center"/>
                </w:tcPr>
                <w:p w14:paraId="54ED37D4">
                  <w:pPr>
                    <w:widowControl w:val="0"/>
                    <w:jc w:val="center"/>
                    <w:rPr>
                      <w:rFonts w:hint="eastAsia" w:ascii="Times New Roman" w:hAnsi="Times New Roman" w:eastAsia="宋体" w:cs="Times New Roman"/>
                      <w:color w:val="FF0000"/>
                      <w:kern w:val="2"/>
                      <w:sz w:val="21"/>
                      <w:szCs w:val="21"/>
                      <w:highlight w:val="none"/>
                      <w:shd w:val="clear" w:color="auto" w:fill="auto"/>
                      <w:vertAlign w:val="baseline"/>
                      <w:lang w:val="en-US" w:eastAsia="zh-CN" w:bidi="ar"/>
                    </w:rPr>
                  </w:pPr>
                  <w:r>
                    <w:rPr>
                      <w:rFonts w:hint="eastAsia" w:ascii="Times New Roman" w:hAnsi="Times New Roman" w:eastAsia="宋体" w:cs="Times New Roman"/>
                      <w:b/>
                      <w:bCs/>
                      <w:color w:val="FF0000"/>
                      <w:kern w:val="2"/>
                      <w:sz w:val="21"/>
                      <w:szCs w:val="21"/>
                      <w:highlight w:val="none"/>
                      <w:lang w:val="en-US" w:eastAsia="zh-CN" w:bidi="ar-SA"/>
                    </w:rPr>
                    <w:t>相符性</w:t>
                  </w:r>
                </w:p>
              </w:tc>
            </w:tr>
            <w:tr w14:paraId="77A67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4" w:type="pct"/>
                  <w:tcBorders>
                    <w:top w:val="single" w:color="auto" w:sz="12" w:space="0"/>
                    <w:tl2br w:val="nil"/>
                    <w:tr2bl w:val="nil"/>
                  </w:tcBorders>
                  <w:noWrap w:val="0"/>
                  <w:vAlign w:val="center"/>
                </w:tcPr>
                <w:p w14:paraId="63856C4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FF0000"/>
                      <w:sz w:val="21"/>
                      <w:szCs w:val="21"/>
                      <w:highlight w:val="none"/>
                      <w:shd w:val="clear" w:color="auto" w:fill="auto"/>
                      <w:vertAlign w:val="baseline"/>
                      <w:lang w:eastAsia="zh-CN" w:bidi="ar"/>
                    </w:rPr>
                  </w:pPr>
                  <w:r>
                    <w:rPr>
                      <w:rFonts w:hint="eastAsia" w:ascii="Times New Roman" w:hAnsi="Times New Roman" w:eastAsia="宋体" w:cs="Times New Roman"/>
                      <w:color w:val="FF0000"/>
                      <w:sz w:val="21"/>
                      <w:szCs w:val="21"/>
                      <w:highlight w:val="none"/>
                      <w:shd w:val="clear" w:color="auto" w:fill="auto"/>
                      <w:vertAlign w:val="baseline"/>
                      <w:lang w:val="en-US" w:eastAsia="zh-CN" w:bidi="ar"/>
                    </w:rPr>
                    <w:t>大力推进源头控制。表面涂装行业应加快使用粉末、水性、高固体分、辐射固化等低VOCs含量的涂料替代溶剂型涂料。</w:t>
                  </w:r>
                </w:p>
              </w:tc>
              <w:tc>
                <w:tcPr>
                  <w:tcW w:w="1588" w:type="pct"/>
                  <w:tcBorders>
                    <w:top w:val="single" w:color="auto" w:sz="12" w:space="0"/>
                    <w:tl2br w:val="nil"/>
                    <w:tr2bl w:val="nil"/>
                  </w:tcBorders>
                  <w:noWrap w:val="0"/>
                  <w:vAlign w:val="center"/>
                </w:tcPr>
                <w:p w14:paraId="25831B7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FF0000"/>
                      <w:sz w:val="21"/>
                      <w:szCs w:val="21"/>
                      <w:highlight w:val="none"/>
                      <w:shd w:val="clear" w:color="auto" w:fill="auto"/>
                      <w:vertAlign w:val="baseline"/>
                      <w:lang w:eastAsia="zh-CN" w:bidi="ar"/>
                    </w:rPr>
                  </w:pPr>
                  <w:r>
                    <w:rPr>
                      <w:rFonts w:hint="eastAsia" w:ascii="Times New Roman" w:hAnsi="Times New Roman" w:eastAsia="宋体" w:cs="Times New Roman"/>
                      <w:color w:val="FF0000"/>
                      <w:sz w:val="21"/>
                      <w:szCs w:val="21"/>
                      <w:highlight w:val="none"/>
                      <w:shd w:val="clear" w:color="auto" w:fill="auto"/>
                      <w:vertAlign w:val="baseline"/>
                      <w:lang w:val="en-US" w:eastAsia="zh-CN" w:bidi="ar"/>
                    </w:rPr>
                    <w:t>项目主要含VOCs物料的原辅材料为</w:t>
                  </w:r>
                  <w:r>
                    <w:rPr>
                      <w:rFonts w:hint="eastAsia" w:cs="Times New Roman"/>
                      <w:color w:val="FF0000"/>
                      <w:sz w:val="21"/>
                      <w:szCs w:val="21"/>
                      <w:highlight w:val="none"/>
                      <w:shd w:val="clear" w:color="auto" w:fill="auto"/>
                      <w:vertAlign w:val="baseline"/>
                      <w:lang w:val="en-US" w:eastAsia="zh-CN" w:bidi="ar"/>
                    </w:rPr>
                    <w:t>甘油、丙二醇、热熔胶</w:t>
                  </w:r>
                  <w:r>
                    <w:rPr>
                      <w:rFonts w:hint="eastAsia" w:ascii="Times New Roman" w:hAnsi="Times New Roman" w:eastAsia="宋体" w:cs="Times New Roman"/>
                      <w:color w:val="FF0000"/>
                      <w:sz w:val="21"/>
                      <w:szCs w:val="21"/>
                      <w:highlight w:val="none"/>
                      <w:shd w:val="clear" w:color="auto" w:fill="auto"/>
                      <w:vertAlign w:val="baseline"/>
                      <w:lang w:val="en-US" w:eastAsia="zh-CN" w:bidi="ar"/>
                    </w:rPr>
                    <w:t>、</w:t>
                  </w:r>
                  <w:r>
                    <w:rPr>
                      <w:rFonts w:hint="eastAsia" w:cs="Times New Roman"/>
                      <w:color w:val="FF0000"/>
                      <w:sz w:val="21"/>
                      <w:szCs w:val="21"/>
                      <w:highlight w:val="none"/>
                      <w:shd w:val="clear" w:color="auto" w:fill="auto"/>
                      <w:vertAlign w:val="baseline"/>
                      <w:lang w:val="en-US" w:eastAsia="zh-CN" w:bidi="ar"/>
                    </w:rPr>
                    <w:t>喷码油墨</w:t>
                  </w:r>
                  <w:r>
                    <w:rPr>
                      <w:rFonts w:hint="eastAsia" w:ascii="Times New Roman" w:hAnsi="Times New Roman" w:eastAsia="宋体" w:cs="Times New Roman"/>
                      <w:color w:val="FF0000"/>
                      <w:sz w:val="21"/>
                      <w:szCs w:val="21"/>
                      <w:highlight w:val="none"/>
                      <w:shd w:val="clear" w:color="auto" w:fill="auto"/>
                      <w:vertAlign w:val="baseline"/>
                      <w:lang w:val="en-US" w:eastAsia="zh-CN" w:bidi="ar"/>
                    </w:rPr>
                    <w:t>，</w:t>
                  </w:r>
                  <w:r>
                    <w:rPr>
                      <w:rFonts w:hint="eastAsia" w:cs="Times New Roman"/>
                      <w:color w:val="FF0000"/>
                      <w:kern w:val="0"/>
                      <w:sz w:val="21"/>
                      <w:szCs w:val="21"/>
                      <w:lang w:val="en-US" w:eastAsia="zh-CN" w:bidi="ar"/>
                    </w:rPr>
                    <w:t>均为</w:t>
                  </w:r>
                  <w:r>
                    <w:rPr>
                      <w:rFonts w:hint="default" w:ascii="Times New Roman" w:hAnsi="Times New Roman" w:eastAsia="宋体" w:cs="Times New Roman"/>
                      <w:b w:val="0"/>
                      <w:bCs w:val="0"/>
                      <w:color w:val="FF0000"/>
                      <w:sz w:val="21"/>
                      <w:szCs w:val="21"/>
                      <w:vertAlign w:val="baseline"/>
                      <w:lang w:val="en-US" w:eastAsia="zh-CN" w:bidi="ar-SA"/>
                    </w:rPr>
                    <w:t>低VOCs</w:t>
                  </w:r>
                  <w:r>
                    <w:rPr>
                      <w:rFonts w:hint="eastAsia" w:ascii="Times New Roman" w:hAnsi="Times New Roman" w:eastAsia="宋体" w:cs="Times New Roman"/>
                      <w:color w:val="FF0000"/>
                      <w:kern w:val="0"/>
                      <w:sz w:val="21"/>
                      <w:szCs w:val="21"/>
                      <w:lang w:val="en-US" w:eastAsia="zh-CN" w:bidi="ar"/>
                    </w:rPr>
                    <w:t>物料。</w:t>
                  </w:r>
                </w:p>
              </w:tc>
              <w:tc>
                <w:tcPr>
                  <w:tcW w:w="657" w:type="pct"/>
                  <w:tcBorders>
                    <w:top w:val="single" w:color="auto" w:sz="12" w:space="0"/>
                    <w:tl2br w:val="nil"/>
                    <w:tr2bl w:val="nil"/>
                  </w:tcBorders>
                  <w:noWrap w:val="0"/>
                  <w:vAlign w:val="center"/>
                </w:tcPr>
                <w:p w14:paraId="058784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FF0000"/>
                      <w:sz w:val="21"/>
                      <w:szCs w:val="21"/>
                      <w:highlight w:val="none"/>
                      <w:shd w:val="clear" w:color="auto" w:fill="auto"/>
                      <w:vertAlign w:val="baseline"/>
                      <w:lang w:eastAsia="zh-CN" w:bidi="ar"/>
                    </w:rPr>
                  </w:pPr>
                  <w:r>
                    <w:rPr>
                      <w:rFonts w:hint="eastAsia" w:ascii="Times New Roman" w:hAnsi="Times New Roman" w:eastAsia="宋体" w:cs="Times New Roman"/>
                      <w:color w:val="FF0000"/>
                      <w:sz w:val="21"/>
                      <w:szCs w:val="21"/>
                      <w:highlight w:val="none"/>
                      <w:shd w:val="clear" w:color="auto" w:fill="auto"/>
                      <w:vertAlign w:val="baseline"/>
                      <w:lang w:eastAsia="zh-CN" w:bidi="ar"/>
                    </w:rPr>
                    <w:t>符合</w:t>
                  </w:r>
                </w:p>
              </w:tc>
            </w:tr>
            <w:tr w14:paraId="340D0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4" w:type="pct"/>
                  <w:tcBorders>
                    <w:tl2br w:val="nil"/>
                    <w:tr2bl w:val="nil"/>
                  </w:tcBorders>
                  <w:noWrap w:val="0"/>
                  <w:vAlign w:val="center"/>
                </w:tcPr>
                <w:p w14:paraId="007E9FCD">
                  <w:pPr>
                    <w:widowControl w:val="0"/>
                    <w:jc w:val="both"/>
                    <w:rPr>
                      <w:rFonts w:hint="eastAsia" w:ascii="Times New Roman" w:hAnsi="Times New Roman" w:eastAsia="宋体" w:cs="Times New Roman"/>
                      <w:color w:val="FF0000"/>
                      <w:kern w:val="2"/>
                      <w:sz w:val="21"/>
                      <w:szCs w:val="21"/>
                      <w:highlight w:val="none"/>
                      <w:shd w:val="clear" w:color="auto" w:fill="auto"/>
                      <w:vertAlign w:val="baseline"/>
                      <w:lang w:val="en-US" w:eastAsia="zh-CN" w:bidi="ar"/>
                    </w:rPr>
                  </w:pPr>
                  <w:r>
                    <w:rPr>
                      <w:rFonts w:hint="eastAsia" w:ascii="Times New Roman" w:hAnsi="Times New Roman" w:eastAsia="宋体" w:cs="Times New Roman"/>
                      <w:color w:val="FF0000"/>
                      <w:spacing w:val="0"/>
                      <w:kern w:val="2"/>
                      <w:sz w:val="21"/>
                      <w:szCs w:val="24"/>
                      <w:highlight w:val="none"/>
                      <w:lang w:val="en-US" w:eastAsia="zh-CN" w:bidi="ar-SA"/>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588" w:type="pct"/>
                  <w:tcBorders>
                    <w:tl2br w:val="nil"/>
                    <w:tr2bl w:val="nil"/>
                  </w:tcBorders>
                  <w:noWrap w:val="0"/>
                  <w:vAlign w:val="center"/>
                </w:tcPr>
                <w:p w14:paraId="44E3FCE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FF0000"/>
                      <w:sz w:val="21"/>
                      <w:szCs w:val="21"/>
                      <w:highlight w:val="none"/>
                      <w:shd w:val="clear" w:color="auto" w:fill="auto"/>
                      <w:vertAlign w:val="baseline"/>
                      <w:lang w:eastAsia="zh-CN" w:bidi="ar"/>
                    </w:rPr>
                  </w:pPr>
                  <w:r>
                    <w:rPr>
                      <w:rFonts w:hint="eastAsia" w:ascii="Times New Roman" w:hAnsi="Times New Roman" w:eastAsia="宋体" w:cs="Times New Roman"/>
                      <w:color w:val="FF0000"/>
                      <w:sz w:val="21"/>
                      <w:szCs w:val="21"/>
                      <w:highlight w:val="none"/>
                      <w:shd w:val="clear" w:color="auto" w:fill="auto"/>
                      <w:vertAlign w:val="baseline"/>
                      <w:lang w:val="en-US" w:eastAsia="zh-CN" w:bidi="ar"/>
                    </w:rPr>
                    <w:t>项目生产过程产生的有机废气</w:t>
                  </w:r>
                  <w:r>
                    <w:rPr>
                      <w:rFonts w:hint="eastAsia" w:ascii="Times New Roman" w:hAnsi="Times New Roman" w:eastAsia="宋体" w:cs="Times New Roman"/>
                      <w:color w:val="FF0000"/>
                      <w:spacing w:val="0"/>
                      <w:kern w:val="2"/>
                      <w:sz w:val="21"/>
                      <w:szCs w:val="24"/>
                      <w:highlight w:val="none"/>
                      <w:lang w:val="en-US" w:eastAsia="zh-CN" w:bidi="ar-SA"/>
                    </w:rPr>
                    <w:t>通过采取设备与场所密闭削减VOCs无组织排放</w:t>
                  </w:r>
                  <w:r>
                    <w:rPr>
                      <w:rFonts w:hint="eastAsia" w:ascii="Times New Roman" w:hAnsi="Times New Roman" w:eastAsia="宋体" w:cs="Times New Roman"/>
                      <w:color w:val="FF0000"/>
                      <w:sz w:val="21"/>
                      <w:szCs w:val="21"/>
                      <w:highlight w:val="none"/>
                      <w:shd w:val="clear" w:color="auto" w:fill="auto"/>
                      <w:vertAlign w:val="baseline"/>
                      <w:lang w:val="en-US" w:eastAsia="zh-CN" w:bidi="ar"/>
                    </w:rPr>
                    <w:t>。</w:t>
                  </w:r>
                </w:p>
              </w:tc>
              <w:tc>
                <w:tcPr>
                  <w:tcW w:w="657" w:type="pct"/>
                  <w:tcBorders>
                    <w:tl2br w:val="nil"/>
                    <w:tr2bl w:val="nil"/>
                  </w:tcBorders>
                  <w:noWrap w:val="0"/>
                  <w:vAlign w:val="center"/>
                </w:tcPr>
                <w:p w14:paraId="53738B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FF0000"/>
                      <w:sz w:val="21"/>
                      <w:szCs w:val="21"/>
                      <w:highlight w:val="none"/>
                      <w:shd w:val="clear" w:color="auto" w:fill="auto"/>
                      <w:vertAlign w:val="baseline"/>
                      <w:lang w:eastAsia="zh-CN" w:bidi="ar"/>
                    </w:rPr>
                  </w:pPr>
                  <w:r>
                    <w:rPr>
                      <w:rFonts w:hint="eastAsia" w:ascii="Times New Roman" w:hAnsi="Times New Roman" w:eastAsia="宋体" w:cs="Times New Roman"/>
                      <w:color w:val="FF0000"/>
                      <w:sz w:val="21"/>
                      <w:szCs w:val="21"/>
                      <w:highlight w:val="none"/>
                      <w:shd w:val="clear" w:color="auto" w:fill="auto"/>
                      <w:vertAlign w:val="baseline"/>
                      <w:lang w:eastAsia="zh-CN" w:bidi="ar"/>
                    </w:rPr>
                    <w:t>符合</w:t>
                  </w:r>
                </w:p>
              </w:tc>
            </w:tr>
            <w:tr w14:paraId="1DE349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4" w:type="pct"/>
                  <w:tcBorders>
                    <w:tl2br w:val="nil"/>
                    <w:tr2bl w:val="nil"/>
                  </w:tcBorders>
                  <w:noWrap w:val="0"/>
                  <w:vAlign w:val="center"/>
                </w:tcPr>
                <w:p w14:paraId="0670CF85">
                  <w:pPr>
                    <w:widowControl w:val="0"/>
                    <w:jc w:val="both"/>
                    <w:rPr>
                      <w:rFonts w:hint="eastAsia" w:ascii="Times New Roman" w:hAnsi="Times New Roman" w:eastAsia="宋体" w:cs="Times New Roman"/>
                      <w:color w:val="FF0000"/>
                      <w:kern w:val="2"/>
                      <w:sz w:val="21"/>
                      <w:szCs w:val="21"/>
                      <w:highlight w:val="none"/>
                      <w:shd w:val="clear" w:color="auto" w:fill="auto"/>
                      <w:vertAlign w:val="baseline"/>
                      <w:lang w:val="en-US" w:eastAsia="zh-CN" w:bidi="ar"/>
                    </w:rPr>
                  </w:pPr>
                  <w:r>
                    <w:rPr>
                      <w:rFonts w:hint="eastAsia" w:ascii="Times New Roman" w:hAnsi="Times New Roman" w:eastAsia="宋体" w:cs="Times New Roman"/>
                      <w:color w:val="FF0000"/>
                      <w:spacing w:val="0"/>
                      <w:kern w:val="2"/>
                      <w:sz w:val="21"/>
                      <w:szCs w:val="21"/>
                      <w:highlight w:val="none"/>
                      <w:lang w:val="en-US" w:eastAsia="zh-CN" w:bidi="ar-SA"/>
                    </w:rPr>
                    <w:t>推进建设适宜高效的治污设施。推进企业新建治污设施或现有治污设施改造，对生产过程中通过排气筒所排放的有组织VOCs废气，应根据生产废气的产生量、污染物的组分和性质、温度、压力等因素进行综合分析后选择适宜的工艺路线进行治理。在不影响企业正常生产的前提下，要求治理设备必须同时设置前置采样口和后置采样口，企业不得以未设置采样口为由逃避监测。</w:t>
                  </w:r>
                </w:p>
              </w:tc>
              <w:tc>
                <w:tcPr>
                  <w:tcW w:w="1588" w:type="pct"/>
                  <w:tcBorders>
                    <w:tl2br w:val="nil"/>
                    <w:tr2bl w:val="nil"/>
                  </w:tcBorders>
                  <w:noWrap w:val="0"/>
                  <w:vAlign w:val="center"/>
                </w:tcPr>
                <w:p w14:paraId="0224227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FF0000"/>
                      <w:sz w:val="21"/>
                      <w:szCs w:val="21"/>
                      <w:highlight w:val="none"/>
                      <w:shd w:val="clear" w:color="auto" w:fill="auto"/>
                      <w:vertAlign w:val="baseline"/>
                      <w:lang w:eastAsia="zh-CN" w:bidi="ar"/>
                    </w:rPr>
                  </w:pPr>
                  <w:r>
                    <w:rPr>
                      <w:rFonts w:hint="eastAsia" w:ascii="Times New Roman" w:hAnsi="Times New Roman" w:eastAsia="宋体" w:cs="Times New Roman"/>
                      <w:color w:val="FF0000"/>
                      <w:kern w:val="0"/>
                      <w:sz w:val="21"/>
                      <w:szCs w:val="21"/>
                      <w:lang w:val="en-US" w:eastAsia="zh-CN" w:bidi="ar"/>
                    </w:rPr>
                    <w:t>项目有机废气主要为制胶过程、外包装喷码过程</w:t>
                  </w:r>
                  <w:r>
                    <w:rPr>
                      <w:rFonts w:hint="eastAsia" w:cs="Times New Roman"/>
                      <w:color w:val="FF0000"/>
                      <w:kern w:val="0"/>
                      <w:sz w:val="21"/>
                      <w:szCs w:val="21"/>
                      <w:lang w:val="en-US" w:eastAsia="zh-CN" w:bidi="ar"/>
                    </w:rPr>
                    <w:t>和产品生产过程</w:t>
                  </w:r>
                  <w:r>
                    <w:rPr>
                      <w:rFonts w:hint="eastAsia" w:ascii="Times New Roman" w:hAnsi="Times New Roman" w:eastAsia="宋体" w:cs="Times New Roman"/>
                      <w:color w:val="FF0000"/>
                      <w:kern w:val="0"/>
                      <w:sz w:val="21"/>
                      <w:szCs w:val="21"/>
                      <w:lang w:val="en-US" w:eastAsia="zh-CN" w:bidi="ar"/>
                    </w:rPr>
                    <w:t>产生的少量有机废气，经</w:t>
                  </w:r>
                  <w:r>
                    <w:rPr>
                      <w:rFonts w:hint="eastAsia" w:ascii="Times New Roman" w:hAnsi="Times New Roman" w:eastAsia="宋体" w:cs="Times New Roman"/>
                      <w:color w:val="FF0000"/>
                      <w:kern w:val="2"/>
                      <w:sz w:val="21"/>
                      <w:szCs w:val="21"/>
                      <w:highlight w:val="none"/>
                      <w:shd w:val="clear" w:color="auto" w:fill="auto"/>
                      <w:lang w:val="en-US" w:eastAsia="zh-CN" w:bidi="ar-SA"/>
                    </w:rPr>
                    <w:t>车间空气净化系统</w:t>
                  </w:r>
                  <w:r>
                    <w:rPr>
                      <w:rFonts w:hint="eastAsia" w:cs="Times New Roman"/>
                      <w:color w:val="FF0000"/>
                      <w:kern w:val="2"/>
                      <w:sz w:val="21"/>
                      <w:szCs w:val="21"/>
                      <w:highlight w:val="none"/>
                      <w:shd w:val="clear" w:color="auto" w:fill="auto"/>
                      <w:lang w:val="en-US" w:eastAsia="zh-CN" w:bidi="ar-SA"/>
                    </w:rPr>
                    <w:t>+二级活性炭处理装置处理后</w:t>
                  </w:r>
                  <w:r>
                    <w:rPr>
                      <w:rFonts w:hint="eastAsia" w:ascii="Times New Roman" w:hAnsi="Times New Roman" w:eastAsia="宋体" w:cs="Times New Roman"/>
                      <w:color w:val="FF0000"/>
                      <w:kern w:val="0"/>
                      <w:sz w:val="21"/>
                      <w:szCs w:val="21"/>
                      <w:lang w:val="en-US" w:eastAsia="zh-CN" w:bidi="ar"/>
                    </w:rPr>
                    <w:t>无组织排</w:t>
                  </w:r>
                  <w:r>
                    <w:rPr>
                      <w:rFonts w:hint="eastAsia" w:cs="Times New Roman"/>
                      <w:color w:val="FF0000"/>
                      <w:kern w:val="0"/>
                      <w:sz w:val="21"/>
                      <w:szCs w:val="21"/>
                      <w:lang w:val="en-US" w:eastAsia="zh-CN" w:bidi="ar"/>
                    </w:rPr>
                    <w:t>放。不设置排气筒排放</w:t>
                  </w:r>
                  <w:r>
                    <w:rPr>
                      <w:rFonts w:hint="eastAsia" w:ascii="Times New Roman" w:hAnsi="Times New Roman" w:eastAsia="宋体" w:cs="Times New Roman"/>
                      <w:color w:val="FF0000"/>
                      <w:sz w:val="21"/>
                      <w:szCs w:val="21"/>
                      <w:highlight w:val="none"/>
                      <w:shd w:val="clear" w:color="auto" w:fill="auto"/>
                      <w:vertAlign w:val="baseline"/>
                      <w:lang w:val="en-US" w:eastAsia="zh-CN" w:bidi="ar"/>
                    </w:rPr>
                    <w:t>。</w:t>
                  </w:r>
                </w:p>
              </w:tc>
              <w:tc>
                <w:tcPr>
                  <w:tcW w:w="657" w:type="pct"/>
                  <w:tcBorders>
                    <w:tl2br w:val="nil"/>
                    <w:tr2bl w:val="nil"/>
                  </w:tcBorders>
                  <w:noWrap w:val="0"/>
                  <w:vAlign w:val="center"/>
                </w:tcPr>
                <w:p w14:paraId="0D0753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FF0000"/>
                      <w:sz w:val="21"/>
                      <w:szCs w:val="21"/>
                      <w:highlight w:val="none"/>
                      <w:shd w:val="clear" w:color="auto" w:fill="auto"/>
                      <w:vertAlign w:val="baseline"/>
                      <w:lang w:eastAsia="zh-CN" w:bidi="ar"/>
                    </w:rPr>
                  </w:pPr>
                  <w:r>
                    <w:rPr>
                      <w:rFonts w:hint="eastAsia" w:ascii="Times New Roman" w:hAnsi="Times New Roman" w:eastAsia="宋体" w:cs="Times New Roman"/>
                      <w:color w:val="FF0000"/>
                      <w:sz w:val="21"/>
                      <w:szCs w:val="21"/>
                      <w:highlight w:val="none"/>
                      <w:shd w:val="clear" w:color="auto" w:fill="auto"/>
                      <w:vertAlign w:val="baseline"/>
                      <w:lang w:eastAsia="zh-CN" w:bidi="ar"/>
                    </w:rPr>
                    <w:t>符合</w:t>
                  </w:r>
                </w:p>
              </w:tc>
            </w:tr>
            <w:tr w14:paraId="2EBBD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54" w:type="pct"/>
                  <w:tcBorders>
                    <w:tl2br w:val="nil"/>
                    <w:tr2bl w:val="nil"/>
                  </w:tcBorders>
                  <w:noWrap w:val="0"/>
                  <w:vAlign w:val="center"/>
                </w:tcPr>
                <w:p w14:paraId="56ABA453">
                  <w:pPr>
                    <w:widowControl w:val="0"/>
                    <w:jc w:val="both"/>
                    <w:rPr>
                      <w:rFonts w:hint="eastAsia" w:ascii="Times New Roman" w:hAnsi="Times New Roman" w:eastAsia="宋体" w:cs="Times New Roman"/>
                      <w:color w:val="FF0000"/>
                      <w:kern w:val="2"/>
                      <w:sz w:val="21"/>
                      <w:szCs w:val="21"/>
                      <w:highlight w:val="none"/>
                      <w:shd w:val="clear" w:color="auto" w:fill="auto"/>
                      <w:vertAlign w:val="baseline"/>
                      <w:lang w:val="en-US" w:eastAsia="zh-CN" w:bidi="ar"/>
                    </w:rPr>
                  </w:pPr>
                  <w:r>
                    <w:rPr>
                      <w:rFonts w:hint="eastAsia" w:ascii="Times New Roman" w:hAnsi="Times New Roman" w:eastAsia="宋体" w:cs="Times New Roman"/>
                      <w:color w:val="FF0000"/>
                      <w:kern w:val="2"/>
                      <w:sz w:val="21"/>
                      <w:szCs w:val="21"/>
                      <w:highlight w:val="none"/>
                      <w:lang w:val="en-US" w:eastAsia="zh-CN" w:bidi="ar-SA"/>
                    </w:rPr>
                    <w:t>实施企业精细化管控。督促企业将VOCs的削减与监控纳入日常生产管理体系。建立基础数据与过程管理的动态档案、制定"泄漏检测与修复（LDAR）"、监测和治理等方面的管理制度，制定突发性VOCs泄漏防范和处置措施，纳入企业应急预案体系；对正常工况、非正常工况分别建立监测体系，制定非正常排放（停工检修等）报告与备案的环保管理规程。</w:t>
                  </w:r>
                </w:p>
              </w:tc>
              <w:tc>
                <w:tcPr>
                  <w:tcW w:w="1588" w:type="pct"/>
                  <w:tcBorders>
                    <w:tl2br w:val="nil"/>
                    <w:tr2bl w:val="nil"/>
                  </w:tcBorders>
                  <w:noWrap w:val="0"/>
                  <w:vAlign w:val="center"/>
                </w:tcPr>
                <w:p w14:paraId="13F6C53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FF0000"/>
                      <w:sz w:val="21"/>
                      <w:szCs w:val="21"/>
                      <w:highlight w:val="none"/>
                      <w:shd w:val="clear" w:color="auto" w:fill="auto"/>
                      <w:vertAlign w:val="baseline"/>
                      <w:lang w:eastAsia="zh-CN" w:bidi="ar"/>
                    </w:rPr>
                  </w:pPr>
                  <w:r>
                    <w:rPr>
                      <w:rFonts w:hint="eastAsia" w:ascii="Times New Roman" w:hAnsi="Times New Roman" w:eastAsia="宋体" w:cs="Times New Roman"/>
                      <w:color w:val="FF0000"/>
                      <w:sz w:val="21"/>
                      <w:szCs w:val="21"/>
                      <w:highlight w:val="none"/>
                      <w:shd w:val="clear" w:color="auto" w:fill="auto"/>
                      <w:vertAlign w:val="baseline"/>
                      <w:lang w:val="en-US" w:eastAsia="zh-CN" w:bidi="ar"/>
                    </w:rPr>
                    <w:t>项目建成后加强对VOCs的监控，制定相关环保管理规程。</w:t>
                  </w:r>
                </w:p>
              </w:tc>
              <w:tc>
                <w:tcPr>
                  <w:tcW w:w="657" w:type="pct"/>
                  <w:tcBorders>
                    <w:tl2br w:val="nil"/>
                    <w:tr2bl w:val="nil"/>
                  </w:tcBorders>
                  <w:noWrap w:val="0"/>
                  <w:vAlign w:val="center"/>
                </w:tcPr>
                <w:p w14:paraId="0B2E22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FF0000"/>
                      <w:lang w:eastAsia="zh-CN"/>
                    </w:rPr>
                  </w:pPr>
                  <w:r>
                    <w:rPr>
                      <w:rFonts w:hint="eastAsia" w:ascii="Times New Roman" w:hAnsi="Times New Roman" w:eastAsia="宋体" w:cs="Times New Roman"/>
                      <w:color w:val="FF0000"/>
                      <w:sz w:val="21"/>
                      <w:szCs w:val="21"/>
                      <w:highlight w:val="none"/>
                      <w:shd w:val="clear" w:color="auto" w:fill="auto"/>
                      <w:vertAlign w:val="baseline"/>
                      <w:lang w:eastAsia="zh-CN" w:bidi="ar"/>
                    </w:rPr>
                    <w:t>符合</w:t>
                  </w:r>
                </w:p>
              </w:tc>
            </w:tr>
          </w:tbl>
          <w:p w14:paraId="5B86EDDD">
            <w:pPr>
              <w:keepNext/>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宋体"/>
                <w:color w:val="auto"/>
                <w:spacing w:val="0"/>
                <w:kern w:val="21"/>
                <w:sz w:val="24"/>
                <w:szCs w:val="21"/>
                <w:lang w:val="en-US" w:eastAsia="zh-CN"/>
              </w:rPr>
              <w:t>（4）与《挥发性有机物无组织排放控制标准》（GB37822-2019）相符性分析</w:t>
            </w:r>
          </w:p>
          <w:p w14:paraId="5A021C0F">
            <w:pPr>
              <w:keepNext w:val="0"/>
              <w:keepLines w:val="0"/>
              <w:pageBreakBefore w:val="0"/>
              <w:widowControl w:val="0"/>
              <w:numPr>
                <w:ilvl w:val="5"/>
                <w:numId w:val="0"/>
              </w:numPr>
              <w:kinsoku/>
              <w:wordWrap/>
              <w:overflowPunct/>
              <w:topLinePunct w:val="0"/>
              <w:autoSpaceDE/>
              <w:autoSpaceDN/>
              <w:bidi w:val="0"/>
              <w:adjustRightInd/>
              <w:snapToGrid/>
              <w:spacing w:before="157" w:beforeLines="50" w:line="240" w:lineRule="auto"/>
              <w:ind w:left="0"/>
              <w:jc w:val="center"/>
              <w:textAlignment w:val="auto"/>
              <w:outlineLvl w:val="5"/>
              <w:rPr>
                <w:rFonts w:hint="default" w:ascii="Times New Roman" w:hAnsi="Times New Roman" w:eastAsia="宋体" w:cs="宋体"/>
                <w:b/>
                <w:color w:val="auto"/>
                <w:kern w:val="2"/>
                <w:sz w:val="21"/>
                <w:szCs w:val="21"/>
                <w:lang w:val="en-US" w:eastAsia="zh-CN" w:bidi="ar-SA"/>
              </w:rPr>
            </w:pPr>
            <w:r>
              <w:rPr>
                <w:rFonts w:hint="eastAsia" w:ascii="Times New Roman" w:hAnsi="Times New Roman" w:eastAsia="宋体" w:cs="宋体"/>
                <w:b/>
                <w:color w:val="auto"/>
                <w:kern w:val="2"/>
                <w:sz w:val="21"/>
                <w:szCs w:val="21"/>
                <w:lang w:val="en-US" w:eastAsia="zh-CN" w:bidi="ar-SA"/>
              </w:rPr>
              <w:t xml:space="preserve">表1-6  </w:t>
            </w:r>
            <w:r>
              <w:rPr>
                <w:rFonts w:hint="default" w:ascii="Times New Roman" w:hAnsi="Times New Roman" w:eastAsia="宋体" w:cs="宋体"/>
                <w:b/>
                <w:color w:val="auto"/>
                <w:kern w:val="2"/>
                <w:sz w:val="21"/>
                <w:szCs w:val="21"/>
                <w:lang w:val="en-US" w:eastAsia="zh-CN" w:bidi="ar-SA"/>
              </w:rPr>
              <w:t>项目与“</w:t>
            </w:r>
            <w:r>
              <w:rPr>
                <w:rFonts w:hint="eastAsia" w:ascii="Times New Roman" w:hAnsi="Times New Roman" w:eastAsia="宋体" w:cs="宋体"/>
                <w:b/>
                <w:color w:val="auto"/>
                <w:spacing w:val="0"/>
                <w:kern w:val="21"/>
                <w:sz w:val="21"/>
                <w:szCs w:val="21"/>
                <w:lang w:val="en-US" w:eastAsia="zh-CN" w:bidi="ar-SA"/>
              </w:rPr>
              <w:t>挥发性有机物无组织排放控制标准</w:t>
            </w:r>
            <w:r>
              <w:rPr>
                <w:rFonts w:hint="default" w:ascii="Times New Roman" w:hAnsi="Times New Roman" w:eastAsia="宋体" w:cs="宋体"/>
                <w:b/>
                <w:color w:val="auto"/>
                <w:kern w:val="2"/>
                <w:sz w:val="21"/>
                <w:szCs w:val="21"/>
                <w:lang w:val="en-US" w:eastAsia="zh-CN" w:bidi="ar-SA"/>
              </w:rPr>
              <w:t>”相符性分析</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3331"/>
              <w:gridCol w:w="2039"/>
              <w:gridCol w:w="955"/>
            </w:tblGrid>
            <w:tr w14:paraId="774BE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0" w:type="pct"/>
                  <w:tcBorders>
                    <w:bottom w:val="single" w:color="auto" w:sz="12" w:space="0"/>
                  </w:tcBorders>
                  <w:noWrap w:val="0"/>
                  <w:vAlign w:val="center"/>
                </w:tcPr>
                <w:p w14:paraId="7490DCA3">
                  <w:pPr>
                    <w:pStyle w:val="9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类别</w:t>
                  </w:r>
                </w:p>
              </w:tc>
              <w:tc>
                <w:tcPr>
                  <w:tcW w:w="2259" w:type="pct"/>
                  <w:tcBorders>
                    <w:bottom w:val="single" w:color="auto" w:sz="12" w:space="0"/>
                  </w:tcBorders>
                  <w:noWrap w:val="0"/>
                  <w:vAlign w:val="center"/>
                </w:tcPr>
                <w:p w14:paraId="42A285F6">
                  <w:pPr>
                    <w:pStyle w:val="9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要求</w:t>
                  </w:r>
                </w:p>
              </w:tc>
              <w:tc>
                <w:tcPr>
                  <w:tcW w:w="1383" w:type="pct"/>
                  <w:tcBorders>
                    <w:bottom w:val="single" w:color="auto" w:sz="12" w:space="0"/>
                  </w:tcBorders>
                  <w:noWrap w:val="0"/>
                  <w:vAlign w:val="center"/>
                </w:tcPr>
                <w:p w14:paraId="7EC7B973">
                  <w:pPr>
                    <w:pStyle w:val="9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本项目情况</w:t>
                  </w:r>
                </w:p>
              </w:tc>
              <w:tc>
                <w:tcPr>
                  <w:tcW w:w="647" w:type="pct"/>
                  <w:tcBorders>
                    <w:bottom w:val="single" w:color="auto" w:sz="12" w:space="0"/>
                  </w:tcBorders>
                  <w:noWrap w:val="0"/>
                  <w:vAlign w:val="center"/>
                </w:tcPr>
                <w:p w14:paraId="758AF75A">
                  <w:pPr>
                    <w:pStyle w:val="91"/>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符合性</w:t>
                  </w:r>
                </w:p>
              </w:tc>
            </w:tr>
            <w:tr w14:paraId="6BF9F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0" w:type="pct"/>
                  <w:tcBorders>
                    <w:top w:val="single" w:color="auto" w:sz="12" w:space="0"/>
                    <w:tl2br w:val="nil"/>
                    <w:tr2bl w:val="nil"/>
                  </w:tcBorders>
                  <w:noWrap w:val="0"/>
                  <w:vAlign w:val="center"/>
                </w:tcPr>
                <w:p w14:paraId="527F0325">
                  <w:pPr>
                    <w:pStyle w:val="23"/>
                    <w:ind w:left="0" w:leftChars="0" w:right="0" w:rightChars="0" w:firstLine="0" w:firstLineChars="0"/>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VOCs物料储存无组织排放控制要求</w:t>
                  </w:r>
                </w:p>
              </w:tc>
              <w:tc>
                <w:tcPr>
                  <w:tcW w:w="2259" w:type="pct"/>
                  <w:tcBorders>
                    <w:top w:val="single" w:color="auto" w:sz="12" w:space="0"/>
                    <w:tl2br w:val="nil"/>
                    <w:tr2bl w:val="nil"/>
                  </w:tcBorders>
                  <w:noWrap w:val="0"/>
                  <w:vAlign w:val="center"/>
                </w:tcPr>
                <w:p w14:paraId="7500B6E7">
                  <w:pPr>
                    <w:pStyle w:val="23"/>
                    <w:keepNext w:val="0"/>
                    <w:keepLines w:val="0"/>
                    <w:pageBreakBefore w:val="0"/>
                    <w:widowControl w:val="0"/>
                    <w:numPr>
                      <w:ilvl w:val="0"/>
                      <w:numId w:val="0"/>
                    </w:numPr>
                    <w:kinsoku/>
                    <w:wordWrap/>
                    <w:overflowPunct/>
                    <w:topLinePunct w:val="0"/>
                    <w:autoSpaceDE/>
                    <w:autoSpaceDN/>
                    <w:bidi w:val="0"/>
                    <w:adjustRightInd/>
                    <w:snapToGrid/>
                    <w:spacing w:after="0"/>
                    <w:ind w:right="0" w:righ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VOCs物料应储存于密闭的容器、包装袋、储罐、储库、料仓中。</w:t>
                  </w:r>
                </w:p>
                <w:p w14:paraId="455A6A9D">
                  <w:pPr>
                    <w:pStyle w:val="23"/>
                    <w:keepNext w:val="0"/>
                    <w:keepLines w:val="0"/>
                    <w:pageBreakBefore w:val="0"/>
                    <w:widowControl w:val="0"/>
                    <w:numPr>
                      <w:ilvl w:val="0"/>
                      <w:numId w:val="0"/>
                    </w:numPr>
                    <w:kinsoku/>
                    <w:wordWrap/>
                    <w:overflowPunct/>
                    <w:topLinePunct w:val="0"/>
                    <w:autoSpaceDE/>
                    <w:autoSpaceDN/>
                    <w:bidi w:val="0"/>
                    <w:adjustRightInd/>
                    <w:snapToGrid/>
                    <w:spacing w:after="0"/>
                    <w:ind w:right="0" w:righ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盛装VOCs物料的容器或包装袋应存放于室内，或存放于设置有雨棚、遮阳和防渗设施的专用场地。盛装VOCs物料的容器或包装袋在非取用状态时应加盖、封口，保持密闭。</w:t>
                  </w:r>
                </w:p>
                <w:p w14:paraId="365588E7">
                  <w:pPr>
                    <w:pStyle w:val="23"/>
                    <w:keepNext w:val="0"/>
                    <w:keepLines w:val="0"/>
                    <w:pageBreakBefore w:val="0"/>
                    <w:widowControl w:val="0"/>
                    <w:numPr>
                      <w:ilvl w:val="0"/>
                      <w:numId w:val="0"/>
                    </w:numPr>
                    <w:kinsoku/>
                    <w:wordWrap/>
                    <w:overflowPunct/>
                    <w:topLinePunct w:val="0"/>
                    <w:autoSpaceDE/>
                    <w:autoSpaceDN/>
                    <w:bidi w:val="0"/>
                    <w:adjustRightInd/>
                    <w:snapToGrid/>
                    <w:spacing w:after="0"/>
                    <w:ind w:right="0" w:rightChars="0"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3、VOCs物料储罐应密封良好。</w:t>
                  </w:r>
                </w:p>
              </w:tc>
              <w:tc>
                <w:tcPr>
                  <w:tcW w:w="1383" w:type="pct"/>
                  <w:tcBorders>
                    <w:top w:val="single" w:color="auto" w:sz="12" w:space="0"/>
                    <w:tl2br w:val="nil"/>
                    <w:tr2bl w:val="nil"/>
                  </w:tcBorders>
                  <w:noWrap w:val="0"/>
                  <w:vAlign w:val="center"/>
                </w:tcPr>
                <w:p w14:paraId="5AC1E11A">
                  <w:pPr>
                    <w:pStyle w:val="23"/>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项目含VOCs物料的原辅材料主要为</w:t>
                  </w:r>
                  <w:r>
                    <w:rPr>
                      <w:rFonts w:hint="eastAsia" w:cs="Times New Roman"/>
                      <w:b w:val="0"/>
                      <w:bCs w:val="0"/>
                      <w:color w:val="auto"/>
                      <w:sz w:val="21"/>
                      <w:szCs w:val="21"/>
                      <w:vertAlign w:val="baseline"/>
                      <w:lang w:val="en-US" w:eastAsia="zh-CN"/>
                    </w:rPr>
                    <w:t>热熔胶</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喷码油墨</w:t>
                  </w:r>
                  <w:r>
                    <w:rPr>
                      <w:rFonts w:hint="eastAsia" w:ascii="Times New Roman" w:hAnsi="Times New Roman" w:eastAsia="宋体" w:cs="Times New Roman"/>
                      <w:b w:val="0"/>
                      <w:bCs w:val="0"/>
                      <w:color w:val="auto"/>
                      <w:sz w:val="21"/>
                      <w:szCs w:val="21"/>
                      <w:vertAlign w:val="baseline"/>
                      <w:lang w:val="en-US" w:eastAsia="zh-CN"/>
                    </w:rPr>
                    <w:t>，环评要求在转移、输送及保存过程均储存于密闭容器中。使用时做到即用即取，不使用时密闭</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环评要求将原料存放于设置有雨棚、遮阳和防渗设施的专用场地。</w:t>
                  </w:r>
                </w:p>
              </w:tc>
              <w:tc>
                <w:tcPr>
                  <w:tcW w:w="647" w:type="pct"/>
                  <w:tcBorders>
                    <w:top w:val="single" w:color="auto" w:sz="12" w:space="0"/>
                    <w:tl2br w:val="nil"/>
                    <w:tr2bl w:val="nil"/>
                  </w:tcBorders>
                  <w:noWrap w:val="0"/>
                  <w:vAlign w:val="center"/>
                </w:tcPr>
                <w:p w14:paraId="3E70A2EB">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符合</w:t>
                  </w:r>
                </w:p>
              </w:tc>
            </w:tr>
            <w:tr w14:paraId="0DB43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0" w:type="pct"/>
                  <w:tcBorders>
                    <w:tl2br w:val="nil"/>
                    <w:tr2bl w:val="nil"/>
                  </w:tcBorders>
                  <w:noWrap w:val="0"/>
                  <w:vAlign w:val="center"/>
                </w:tcPr>
                <w:p w14:paraId="36932C9B">
                  <w:pPr>
                    <w:pStyle w:val="23"/>
                    <w:ind w:left="0" w:leftChars="0" w:right="0" w:rightChars="0" w:firstLine="0" w:firstLineChars="0"/>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VOCs物料转移和输送无组织排放控制要求</w:t>
                  </w:r>
                </w:p>
              </w:tc>
              <w:tc>
                <w:tcPr>
                  <w:tcW w:w="2259" w:type="pct"/>
                  <w:tcBorders>
                    <w:tl2br w:val="nil"/>
                    <w:tr2bl w:val="nil"/>
                  </w:tcBorders>
                  <w:noWrap w:val="0"/>
                  <w:vAlign w:val="center"/>
                </w:tcPr>
                <w:p w14:paraId="0C57A748">
                  <w:pPr>
                    <w:pStyle w:val="23"/>
                    <w:keepNext w:val="0"/>
                    <w:keepLines w:val="0"/>
                    <w:pageBreakBefore w:val="0"/>
                    <w:widowControl w:val="0"/>
                    <w:numPr>
                      <w:ilvl w:val="0"/>
                      <w:numId w:val="3"/>
                    </w:numPr>
                    <w:kinsoku/>
                    <w:wordWrap/>
                    <w:overflowPunct/>
                    <w:topLinePunct w:val="0"/>
                    <w:autoSpaceDE/>
                    <w:autoSpaceDN/>
                    <w:bidi w:val="0"/>
                    <w:adjustRightInd/>
                    <w:snapToGrid/>
                    <w:spacing w:after="0"/>
                    <w:ind w:left="0" w:leftChars="0" w:right="0" w:righ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液态VOCs物料应采用密闭管道输送。采用非管道输送方式转移液态VOCs物料时，应采用密闭容器、罐车。</w:t>
                  </w:r>
                </w:p>
                <w:p w14:paraId="5A4C5D17">
                  <w:pPr>
                    <w:pStyle w:val="23"/>
                    <w:keepNext w:val="0"/>
                    <w:keepLines w:val="0"/>
                    <w:pageBreakBefore w:val="0"/>
                    <w:widowControl w:val="0"/>
                    <w:numPr>
                      <w:ilvl w:val="0"/>
                      <w:numId w:val="0"/>
                    </w:numPr>
                    <w:kinsoku/>
                    <w:wordWrap/>
                    <w:overflowPunct/>
                    <w:topLinePunct w:val="0"/>
                    <w:autoSpaceDE/>
                    <w:autoSpaceDN/>
                    <w:bidi w:val="0"/>
                    <w:adjustRightInd/>
                    <w:snapToGrid/>
                    <w:spacing w:after="0"/>
                    <w:ind w:right="0" w:rightChars="0" w:firstLine="0" w:firstLineChars="0"/>
                    <w:jc w:val="both"/>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2、粉状、粒状VOCs物料应采用气力输送设备、管状带式输送机、螺旋输送机等密闭输送方式，或者采用密闭的包装袋、容器或罐车进行物料转移。</w:t>
                  </w:r>
                </w:p>
              </w:tc>
              <w:tc>
                <w:tcPr>
                  <w:tcW w:w="1383" w:type="pct"/>
                  <w:tcBorders>
                    <w:tl2br w:val="nil"/>
                    <w:tr2bl w:val="nil"/>
                  </w:tcBorders>
                  <w:noWrap w:val="0"/>
                  <w:vAlign w:val="center"/>
                </w:tcPr>
                <w:p w14:paraId="6EE77690">
                  <w:pPr>
                    <w:pStyle w:val="23"/>
                    <w:ind w:left="0" w:leftChars="0" w:right="0" w:rightChars="0" w:firstLine="0" w:firstLineChars="0"/>
                    <w:jc w:val="both"/>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项目</w:t>
                  </w:r>
                  <w:r>
                    <w:rPr>
                      <w:rFonts w:hint="eastAsia" w:cs="Times New Roman"/>
                      <w:b w:val="0"/>
                      <w:bCs w:val="0"/>
                      <w:color w:val="auto"/>
                      <w:sz w:val="21"/>
                      <w:szCs w:val="21"/>
                      <w:vertAlign w:val="baseline"/>
                      <w:lang w:val="en-US" w:eastAsia="zh-CN"/>
                    </w:rPr>
                    <w:t>热熔胶</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喷码油墨</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转运或使用后均使用加盖密闭的桶存放。</w:t>
                  </w:r>
                </w:p>
              </w:tc>
              <w:tc>
                <w:tcPr>
                  <w:tcW w:w="647" w:type="pct"/>
                  <w:tcBorders>
                    <w:tl2br w:val="nil"/>
                    <w:tr2bl w:val="nil"/>
                  </w:tcBorders>
                  <w:noWrap w:val="0"/>
                  <w:vAlign w:val="center"/>
                </w:tcPr>
                <w:p w14:paraId="39CFB9B7">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符合</w:t>
                  </w:r>
                </w:p>
              </w:tc>
            </w:tr>
            <w:tr w14:paraId="0113D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0" w:type="pct"/>
                  <w:tcBorders>
                    <w:tl2br w:val="nil"/>
                    <w:tr2bl w:val="nil"/>
                  </w:tcBorders>
                  <w:noWrap w:val="0"/>
                  <w:vAlign w:val="center"/>
                </w:tcPr>
                <w:p w14:paraId="5E2B1047">
                  <w:pPr>
                    <w:pStyle w:val="23"/>
                    <w:spacing w:after="0"/>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sz w:val="21"/>
                      <w:szCs w:val="21"/>
                      <w:vertAlign w:val="baseline"/>
                      <w:lang w:val="en-US" w:eastAsia="zh-CN"/>
                    </w:rPr>
                    <w:t>工艺过程VOCs无组织排放控制要求</w:t>
                  </w:r>
                </w:p>
              </w:tc>
              <w:tc>
                <w:tcPr>
                  <w:tcW w:w="2259" w:type="pct"/>
                  <w:tcBorders>
                    <w:tl2br w:val="nil"/>
                    <w:tr2bl w:val="nil"/>
                  </w:tcBorders>
                  <w:noWrap w:val="0"/>
                  <w:vAlign w:val="center"/>
                </w:tcPr>
                <w:p w14:paraId="643629FD">
                  <w:pPr>
                    <w:pStyle w:val="23"/>
                    <w:keepNext w:val="0"/>
                    <w:keepLines w:val="0"/>
                    <w:pageBreakBefore w:val="0"/>
                    <w:widowControl w:val="0"/>
                    <w:numPr>
                      <w:ilvl w:val="0"/>
                      <w:numId w:val="0"/>
                    </w:numPr>
                    <w:kinsoku/>
                    <w:wordWrap/>
                    <w:overflowPunct/>
                    <w:topLinePunct w:val="0"/>
                    <w:autoSpaceDE/>
                    <w:autoSpaceDN/>
                    <w:bidi w:val="0"/>
                    <w:adjustRightInd/>
                    <w:snapToGrid/>
                    <w:spacing w:after="0"/>
                    <w:ind w:right="0" w:righ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VOCs质量占比大于等于10%的含VOCs产品，其使用过程应采用密闭设备或在密闭空间内操作，废气应排至VOCs废气收集处理系统；无法密闭的，应采取局部气体收集措施，废气应排至VOCs废气收集处理系统。</w:t>
                  </w:r>
                </w:p>
                <w:p w14:paraId="7EA249C8">
                  <w:pPr>
                    <w:pStyle w:val="23"/>
                    <w:keepNext w:val="0"/>
                    <w:keepLines w:val="0"/>
                    <w:pageBreakBefore w:val="0"/>
                    <w:widowControl w:val="0"/>
                    <w:numPr>
                      <w:ilvl w:val="0"/>
                      <w:numId w:val="0"/>
                    </w:numPr>
                    <w:kinsoku/>
                    <w:wordWrap/>
                    <w:overflowPunct/>
                    <w:topLinePunct w:val="0"/>
                    <w:autoSpaceDE/>
                    <w:autoSpaceDN/>
                    <w:bidi w:val="0"/>
                    <w:adjustRightInd/>
                    <w:snapToGrid/>
                    <w:spacing w:after="0"/>
                    <w:ind w:right="0" w:rightChars="0"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val="0"/>
                      <w:color w:val="auto"/>
                      <w:sz w:val="21"/>
                      <w:szCs w:val="21"/>
                      <w:vertAlign w:val="baseline"/>
                      <w:lang w:val="en-US" w:eastAsia="zh-CN"/>
                    </w:rPr>
                    <w:t>2、有机聚合物产品用于制品生产的过程，在混合/混炼、塑炼/塑化/熔化、加工成型（挤出、注射、压制、压延、发泡、纺丝等）等作业中应采用密闭设备或在密闭空间内操作，废气应排至VOCs废气收集处理系统；无法密闭的，应采取局部气体收集措施，废气应排至VOCs废气收集处理系统。</w:t>
                  </w:r>
                </w:p>
              </w:tc>
              <w:tc>
                <w:tcPr>
                  <w:tcW w:w="1383" w:type="pct"/>
                  <w:tcBorders>
                    <w:tl2br w:val="nil"/>
                    <w:tr2bl w:val="nil"/>
                  </w:tcBorders>
                  <w:noWrap w:val="0"/>
                  <w:vAlign w:val="center"/>
                </w:tcPr>
                <w:p w14:paraId="2C2968B5">
                  <w:pPr>
                    <w:pStyle w:val="23"/>
                    <w:ind w:left="0" w:leftChars="0" w:right="0" w:rightChars="0" w:firstLine="0" w:firstLineChars="0"/>
                    <w:jc w:val="both"/>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ar"/>
                    </w:rPr>
                    <w:t>项目</w:t>
                  </w:r>
                  <w:r>
                    <w:rPr>
                      <w:rFonts w:hint="eastAsia" w:cs="Times New Roman"/>
                      <w:b w:val="0"/>
                      <w:bCs w:val="0"/>
                      <w:color w:val="auto"/>
                      <w:sz w:val="21"/>
                      <w:szCs w:val="21"/>
                      <w:vertAlign w:val="baseline"/>
                      <w:lang w:val="en-US" w:eastAsia="zh-CN"/>
                    </w:rPr>
                    <w:t>热熔胶</w:t>
                  </w:r>
                  <w:r>
                    <w:rPr>
                      <w:rFonts w:hint="eastAsia"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喷码油墨</w:t>
                  </w:r>
                  <w:r>
                    <w:rPr>
                      <w:rFonts w:hint="eastAsia" w:ascii="Times New Roman" w:hAnsi="Times New Roman" w:eastAsia="宋体" w:cs="Times New Roman"/>
                      <w:color w:val="auto"/>
                      <w:kern w:val="0"/>
                      <w:sz w:val="21"/>
                      <w:szCs w:val="21"/>
                      <w:lang w:val="en-US" w:eastAsia="zh-CN" w:bidi="ar"/>
                    </w:rPr>
                    <w:t>等原料</w:t>
                  </w:r>
                  <w:r>
                    <w:rPr>
                      <w:rFonts w:hint="eastAsia" w:ascii="Times New Roman" w:hAnsi="Times New Roman" w:eastAsia="宋体" w:cs="Times New Roman"/>
                      <w:color w:val="auto"/>
                      <w:sz w:val="21"/>
                      <w:szCs w:val="21"/>
                      <w:highlight w:val="none"/>
                      <w:shd w:val="clear" w:color="auto" w:fill="auto"/>
                      <w:vertAlign w:val="baseline"/>
                      <w:lang w:val="en-US" w:eastAsia="zh-CN" w:bidi="ar"/>
                    </w:rPr>
                    <w:t>使用过程拟采用密闭设备或在密闭空间内操作。</w:t>
                  </w:r>
                </w:p>
              </w:tc>
              <w:tc>
                <w:tcPr>
                  <w:tcW w:w="647" w:type="pct"/>
                  <w:tcBorders>
                    <w:tl2br w:val="nil"/>
                    <w:tr2bl w:val="nil"/>
                  </w:tcBorders>
                  <w:noWrap w:val="0"/>
                  <w:vAlign w:val="center"/>
                </w:tcPr>
                <w:p w14:paraId="402D140B">
                  <w:pPr>
                    <w:keepNext w:val="0"/>
                    <w:keepLines w:val="0"/>
                    <w:pageBreakBefore w:val="0"/>
                    <w:widowControl w:val="0"/>
                    <w:kinsoku/>
                    <w:wordWrap/>
                    <w:overflowPunct/>
                    <w:topLinePunct w:val="0"/>
                    <w:autoSpaceDE/>
                    <w:autoSpaceDN/>
                    <w:bidi w:val="0"/>
                    <w:adjustRightInd/>
                    <w:snapToGrid/>
                    <w:spacing w:before="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符合</w:t>
                  </w:r>
                </w:p>
              </w:tc>
            </w:tr>
          </w:tbl>
          <w:p w14:paraId="4977A1A3">
            <w:pPr>
              <w:keepNext/>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宋体"/>
                <w:color w:val="auto"/>
                <w:spacing w:val="0"/>
                <w:kern w:val="21"/>
                <w:sz w:val="24"/>
                <w:szCs w:val="21"/>
                <w:lang w:val="en-US" w:eastAsia="zh-CN"/>
              </w:rPr>
            </w:pPr>
            <w:r>
              <w:rPr>
                <w:rFonts w:hint="eastAsia" w:ascii="Times New Roman" w:hAnsi="Times New Roman" w:eastAsia="宋体" w:cs="宋体"/>
                <w:color w:val="auto"/>
                <w:spacing w:val="0"/>
                <w:kern w:val="21"/>
                <w:sz w:val="24"/>
                <w:szCs w:val="21"/>
                <w:lang w:val="en-US" w:eastAsia="zh-CN"/>
              </w:rPr>
              <w:t>（5）与</w:t>
            </w:r>
            <w:r>
              <w:rPr>
                <w:rFonts w:hint="eastAsia" w:ascii="Times New Roman" w:hAnsi="Times New Roman" w:eastAsia="宋体" w:cs="Times New Roman"/>
                <w:b w:val="0"/>
                <w:bCs w:val="0"/>
                <w:color w:val="auto"/>
                <w:kern w:val="3"/>
                <w:sz w:val="24"/>
                <w:lang w:val="en-US" w:eastAsia="zh-CN"/>
              </w:rPr>
              <w:t>《九江市深入打好污染防治攻坚战实施方案》（九发〔2022〕6号）</w:t>
            </w:r>
          </w:p>
          <w:p w14:paraId="06864365">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color w:val="auto"/>
                <w:kern w:val="3"/>
                <w:sz w:val="21"/>
                <w:szCs w:val="21"/>
                <w:lang w:val="en-US" w:eastAsia="zh-CN"/>
              </w:rPr>
            </w:pPr>
            <w:r>
              <w:rPr>
                <w:rFonts w:hint="eastAsia" w:ascii="Times New Roman" w:hAnsi="Times New Roman" w:eastAsia="宋体" w:cs="Times New Roman"/>
                <w:b/>
                <w:bCs/>
                <w:color w:val="auto"/>
                <w:kern w:val="3"/>
                <w:sz w:val="21"/>
                <w:szCs w:val="21"/>
                <w:lang w:val="en-US" w:eastAsia="zh-CN"/>
              </w:rPr>
              <w:t>表1-7  与实施方案相符性分析</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85"/>
              <w:gridCol w:w="3882"/>
              <w:gridCol w:w="2705"/>
            </w:tblGrid>
            <w:tr w14:paraId="033707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0" w:hRule="atLeast"/>
                <w:jc w:val="center"/>
              </w:trPr>
              <w:tc>
                <w:tcPr>
                  <w:tcW w:w="532" w:type="pct"/>
                  <w:tcBorders>
                    <w:bottom w:val="single" w:color="000000" w:sz="12" w:space="0"/>
                    <w:right w:val="single" w:color="000000" w:sz="4" w:space="0"/>
                  </w:tcBorders>
                  <w:noWrap w:val="0"/>
                  <w:vAlign w:val="center"/>
                </w:tcPr>
                <w:p w14:paraId="0C5907BE">
                  <w:pPr>
                    <w:adjustRightInd w:val="0"/>
                    <w:snapToGrid w:val="0"/>
                    <w:spacing w:line="240" w:lineRule="auto"/>
                    <w:jc w:val="center"/>
                    <w:rPr>
                      <w:rFonts w:ascii="Times New Roman" w:hAnsi="Times New Roman" w:eastAsia="宋体" w:cs="Times New Roman"/>
                      <w:b/>
                      <w:bCs w:val="0"/>
                      <w:color w:val="auto"/>
                      <w:sz w:val="21"/>
                      <w:szCs w:val="21"/>
                      <w:highlight w:val="none"/>
                    </w:rPr>
                  </w:pPr>
                  <w:r>
                    <w:rPr>
                      <w:rFonts w:ascii="Times New Roman" w:hAnsi="Times New Roman" w:eastAsia="宋体" w:cs="Times New Roman"/>
                      <w:b/>
                      <w:bCs w:val="0"/>
                      <w:color w:val="auto"/>
                      <w:sz w:val="21"/>
                      <w:szCs w:val="21"/>
                      <w:highlight w:val="none"/>
                    </w:rPr>
                    <w:t>序号</w:t>
                  </w:r>
                </w:p>
              </w:tc>
              <w:tc>
                <w:tcPr>
                  <w:tcW w:w="2632" w:type="pct"/>
                  <w:tcBorders>
                    <w:left w:val="single" w:color="000000" w:sz="4" w:space="0"/>
                    <w:bottom w:val="single" w:color="000000" w:sz="12" w:space="0"/>
                    <w:right w:val="single" w:color="000000" w:sz="4" w:space="0"/>
                  </w:tcBorders>
                  <w:noWrap w:val="0"/>
                  <w:vAlign w:val="center"/>
                </w:tcPr>
                <w:p w14:paraId="68B8F805">
                  <w:pPr>
                    <w:adjustRightInd w:val="0"/>
                    <w:snapToGrid w:val="0"/>
                    <w:spacing w:line="240" w:lineRule="auto"/>
                    <w:jc w:val="center"/>
                    <w:rPr>
                      <w:rFonts w:ascii="Times New Roman" w:hAnsi="Times New Roman" w:eastAsia="宋体" w:cs="Times New Roman"/>
                      <w:b/>
                      <w:bCs w:val="0"/>
                      <w:color w:val="auto"/>
                      <w:sz w:val="21"/>
                      <w:szCs w:val="21"/>
                      <w:highlight w:val="none"/>
                    </w:rPr>
                  </w:pPr>
                  <w:r>
                    <w:rPr>
                      <w:rFonts w:ascii="Times New Roman" w:hAnsi="Times New Roman" w:eastAsia="宋体" w:cs="Times New Roman"/>
                      <w:b/>
                      <w:bCs w:val="0"/>
                      <w:color w:val="auto"/>
                      <w:sz w:val="21"/>
                      <w:szCs w:val="21"/>
                      <w:highlight w:val="none"/>
                    </w:rPr>
                    <w:t>内容</w:t>
                  </w:r>
                </w:p>
              </w:tc>
              <w:tc>
                <w:tcPr>
                  <w:tcW w:w="1834" w:type="pct"/>
                  <w:tcBorders>
                    <w:left w:val="single" w:color="000000" w:sz="4" w:space="0"/>
                    <w:bottom w:val="single" w:color="000000" w:sz="12" w:space="0"/>
                  </w:tcBorders>
                  <w:noWrap w:val="0"/>
                  <w:vAlign w:val="center"/>
                </w:tcPr>
                <w:p w14:paraId="11D3DD57">
                  <w:pPr>
                    <w:adjustRightInd w:val="0"/>
                    <w:snapToGrid w:val="0"/>
                    <w:spacing w:line="240" w:lineRule="auto"/>
                    <w:jc w:val="center"/>
                    <w:rPr>
                      <w:rFonts w:ascii="Times New Roman" w:hAnsi="Times New Roman" w:eastAsia="宋体" w:cs="Times New Roman"/>
                      <w:b/>
                      <w:bCs w:val="0"/>
                      <w:color w:val="auto"/>
                      <w:sz w:val="21"/>
                      <w:szCs w:val="21"/>
                      <w:highlight w:val="none"/>
                    </w:rPr>
                  </w:pPr>
                  <w:r>
                    <w:rPr>
                      <w:rFonts w:ascii="Times New Roman" w:hAnsi="Times New Roman" w:eastAsia="宋体" w:cs="Times New Roman"/>
                      <w:b/>
                      <w:bCs w:val="0"/>
                      <w:color w:val="auto"/>
                      <w:sz w:val="21"/>
                      <w:szCs w:val="21"/>
                      <w:highlight w:val="none"/>
                    </w:rPr>
                    <w:t>符合性分析</w:t>
                  </w:r>
                </w:p>
              </w:tc>
            </w:tr>
            <w:tr w14:paraId="5C29433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532" w:type="pct"/>
                  <w:tcBorders>
                    <w:top w:val="single" w:color="000000" w:sz="12" w:space="0"/>
                    <w:right w:val="single" w:color="auto" w:sz="4" w:space="0"/>
                  </w:tcBorders>
                  <w:noWrap w:val="0"/>
                  <w:vAlign w:val="center"/>
                </w:tcPr>
                <w:p w14:paraId="1895101F">
                  <w:pPr>
                    <w:adjustRightInd w:val="0"/>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w:t>
                  </w:r>
                </w:p>
              </w:tc>
              <w:tc>
                <w:tcPr>
                  <w:tcW w:w="2632" w:type="pct"/>
                  <w:tcBorders>
                    <w:top w:val="single" w:color="000000" w:sz="12" w:space="0"/>
                    <w:left w:val="single" w:color="auto" w:sz="4" w:space="0"/>
                  </w:tcBorders>
                  <w:noWrap w:val="0"/>
                  <w:vAlign w:val="center"/>
                </w:tcPr>
                <w:p w14:paraId="22CB4E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强化“四尘”防治。强化施工扬尘精细管控，落实施工现场扬尘治理“六个100%”要求。强化道路扬尘精细管控，提高城市道路机扫率。强化运输扬尘精细管控，规范铁路、公路、港口等货运管理。强化堆场扬尘精细管控。</w:t>
                  </w:r>
                </w:p>
              </w:tc>
              <w:tc>
                <w:tcPr>
                  <w:tcW w:w="1834" w:type="pct"/>
                  <w:tcBorders>
                    <w:top w:val="single" w:color="000000" w:sz="12" w:space="0"/>
                  </w:tcBorders>
                  <w:noWrap w:val="0"/>
                  <w:vAlign w:val="center"/>
                </w:tcPr>
                <w:p w14:paraId="0AB914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要求建设单位施工期原料应尽量置于堆棚内，并设置围挡，对场地及道路采取喷洒水的防治措施，运输往来车辆采取遮盖措施，施工现场道路加强维护、勤洒水，限制车速，合理分流车辆，科学调配，合理堆存，减少扬尘；要求建设单位在施工期对扬尘精细管控，落实施工现场扬尘治理“六个100%”要求，确保做到上述施工扬尘防治措施，也同时积极</w:t>
                  </w:r>
                  <w:r>
                    <w:rPr>
                      <w:rFonts w:hint="eastAsia" w:cs="Times New Roman"/>
                      <w:color w:val="auto"/>
                      <w:sz w:val="21"/>
                      <w:szCs w:val="21"/>
                      <w:highlight w:val="none"/>
                      <w:lang w:val="en-US" w:eastAsia="zh-CN"/>
                    </w:rPr>
                    <w:t>响应</w:t>
                  </w:r>
                  <w:r>
                    <w:rPr>
                      <w:rFonts w:hint="eastAsia" w:ascii="Times New Roman" w:hAnsi="Times New Roman" w:eastAsia="宋体" w:cs="Times New Roman"/>
                      <w:color w:val="auto"/>
                      <w:sz w:val="21"/>
                      <w:szCs w:val="21"/>
                      <w:highlight w:val="none"/>
                      <w:lang w:val="en-US" w:eastAsia="zh-CN"/>
                    </w:rPr>
                    <w:t>《庐山市深入打好污染防治攻坚战的实施方案》（庐环委字〔2022〕3号）文件精神</w:t>
                  </w:r>
                </w:p>
              </w:tc>
            </w:tr>
            <w:tr w14:paraId="056E97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3" w:hRule="atLeast"/>
                <w:jc w:val="center"/>
              </w:trPr>
              <w:tc>
                <w:tcPr>
                  <w:tcW w:w="532" w:type="pct"/>
                  <w:tcBorders>
                    <w:right w:val="single" w:color="auto" w:sz="4" w:space="0"/>
                  </w:tcBorders>
                  <w:noWrap w:val="0"/>
                  <w:vAlign w:val="center"/>
                </w:tcPr>
                <w:p w14:paraId="13EAA402">
                  <w:pPr>
                    <w:adjustRightInd w:val="0"/>
                    <w:snapToGrid w:val="0"/>
                    <w:spacing w:line="240" w:lineRule="auto"/>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w:t>
                  </w:r>
                </w:p>
              </w:tc>
              <w:tc>
                <w:tcPr>
                  <w:tcW w:w="2632" w:type="pct"/>
                  <w:tcBorders>
                    <w:left w:val="single" w:color="auto" w:sz="4" w:space="0"/>
                  </w:tcBorders>
                  <w:noWrap w:val="0"/>
                  <w:vAlign w:val="center"/>
                </w:tcPr>
                <w:p w14:paraId="053241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强化“三气”防治。强化工业废气精细管控，强化机动车尾气精细管控，持续打好柴油火车污染治理攻坚战，基本淘汰国三及以下排放标准汽车。强化燃煤锅炉废气精细管控，不再审批35蒸吨/小时及以下燃煤锅炉，不再新增燃煤导热油炉，鼓励现有燃煤锅炉、导热油炉改为清洁能源。推广工业园集中供热，推动淘汰工业园集中供热范围内分散燃煤锅炉。</w:t>
                  </w:r>
                </w:p>
              </w:tc>
              <w:tc>
                <w:tcPr>
                  <w:tcW w:w="1834" w:type="pct"/>
                  <w:noWrap w:val="0"/>
                  <w:vAlign w:val="center"/>
                </w:tcPr>
                <w:p w14:paraId="22A772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项目废气均能达标排放，不使用燃煤、燃导热油锅炉。</w:t>
                  </w:r>
                </w:p>
              </w:tc>
            </w:tr>
          </w:tbl>
          <w:p w14:paraId="0996FBBE">
            <w:pPr>
              <w:keepNext/>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lang w:val="zh-CN" w:eastAsia="zh-CN"/>
              </w:rPr>
            </w:pPr>
            <w:r>
              <w:rPr>
                <w:rFonts w:hint="eastAsia" w:ascii="Times New Roman" w:hAnsi="Times New Roman" w:eastAsia="宋体" w:cs="Times New Roman"/>
                <w:b w:val="0"/>
                <w:bCs w:val="0"/>
                <w:color w:val="auto"/>
                <w:kern w:val="3"/>
                <w:sz w:val="24"/>
                <w:szCs w:val="24"/>
                <w:lang w:val="en-US" w:eastAsia="zh-CN" w:bidi="ar-SA"/>
              </w:rPr>
              <w:t>综上所述，本项目与《九江市深入打好污染防治攻坚战实施方案》（九发〔2022〕6号）相符。</w:t>
            </w:r>
          </w:p>
          <w:p w14:paraId="7E38771C">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eastAsia" w:ascii="Times New Roman" w:hAnsi="Times New Roman" w:eastAsia="宋体" w:cs="Times New Roman"/>
                <w:b w:val="0"/>
                <w:bCs w:val="0"/>
                <w:color w:val="auto"/>
                <w:kern w:val="0"/>
                <w:sz w:val="24"/>
                <w:szCs w:val="24"/>
                <w:lang w:val="en-US" w:eastAsia="zh-CN"/>
              </w:rPr>
              <w:t>（6）与国务院关于印发《空气质量持续改善行动计划》的通知（国发〔2023〕24号）相符性分析。</w:t>
            </w:r>
          </w:p>
          <w:p w14:paraId="1E06109D">
            <w:pPr>
              <w:widowControl w:val="0"/>
              <w:numPr>
                <w:ilvl w:val="5"/>
                <w:numId w:val="0"/>
              </w:numPr>
              <w:bidi w:val="0"/>
              <w:spacing w:line="240" w:lineRule="auto"/>
              <w:ind w:left="0"/>
              <w:jc w:val="center"/>
              <w:outlineLvl w:val="5"/>
              <w:rPr>
                <w:rFonts w:hint="default" w:ascii="Times New Roman" w:hAnsi="Times New Roman" w:eastAsia="宋体" w:cs="宋体"/>
                <w:b/>
                <w:color w:val="auto"/>
                <w:kern w:val="2"/>
                <w:sz w:val="21"/>
                <w:szCs w:val="21"/>
                <w:lang w:val="en-US" w:eastAsia="zh-CN" w:bidi="ar-SA"/>
              </w:rPr>
            </w:pPr>
            <w:r>
              <w:rPr>
                <w:rFonts w:hint="eastAsia" w:ascii="Times New Roman" w:hAnsi="Times New Roman" w:eastAsia="宋体" w:cs="宋体"/>
                <w:b/>
                <w:color w:val="auto"/>
                <w:kern w:val="2"/>
                <w:sz w:val="21"/>
                <w:szCs w:val="21"/>
                <w:lang w:val="en-US" w:eastAsia="zh-CN" w:bidi="ar-SA"/>
              </w:rPr>
              <w:t xml:space="preserve">表1-8  </w:t>
            </w:r>
            <w:r>
              <w:rPr>
                <w:rFonts w:hint="default" w:ascii="Times New Roman" w:hAnsi="Times New Roman" w:eastAsia="宋体" w:cs="宋体"/>
                <w:b/>
                <w:color w:val="auto"/>
                <w:kern w:val="2"/>
                <w:sz w:val="21"/>
                <w:szCs w:val="21"/>
                <w:lang w:val="en-US" w:eastAsia="zh-CN" w:bidi="ar-SA"/>
              </w:rPr>
              <w:t>项目与</w:t>
            </w:r>
            <w:r>
              <w:rPr>
                <w:rFonts w:hint="eastAsia" w:ascii="Times New Roman" w:hAnsi="Times New Roman" w:eastAsia="宋体" w:cs="宋体"/>
                <w:b/>
                <w:color w:val="auto"/>
                <w:kern w:val="2"/>
                <w:sz w:val="21"/>
                <w:szCs w:val="21"/>
                <w:lang w:val="en-US" w:eastAsia="zh-CN" w:bidi="ar-SA"/>
              </w:rPr>
              <w:t>“空气质量持续改善行动计划”</w:t>
            </w:r>
            <w:r>
              <w:rPr>
                <w:rFonts w:hint="default" w:ascii="Times New Roman" w:hAnsi="Times New Roman" w:eastAsia="宋体" w:cs="宋体"/>
                <w:b/>
                <w:color w:val="auto"/>
                <w:kern w:val="2"/>
                <w:sz w:val="21"/>
                <w:szCs w:val="21"/>
                <w:lang w:val="en-US" w:eastAsia="zh-CN" w:bidi="ar-SA"/>
              </w:rPr>
              <w:t>相符性分析</w:t>
            </w:r>
          </w:p>
          <w:tbl>
            <w:tblPr>
              <w:tblStyle w:val="2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93"/>
              <w:gridCol w:w="1317"/>
              <w:gridCol w:w="665"/>
            </w:tblGrid>
            <w:tr w14:paraId="1ECCE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56" w:type="pct"/>
                  <w:tcBorders>
                    <w:bottom w:val="single" w:color="auto" w:sz="12" w:space="0"/>
                  </w:tcBorders>
                  <w:noWrap w:val="0"/>
                  <w:vAlign w:val="center"/>
                </w:tcPr>
                <w:p w14:paraId="46979A3F">
                  <w:pPr>
                    <w:spacing w:line="320" w:lineRule="exact"/>
                    <w:contextualSpacing/>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《空气质量持续改善行动计划》内容</w:t>
                  </w:r>
                </w:p>
              </w:tc>
              <w:tc>
                <w:tcPr>
                  <w:tcW w:w="893" w:type="pct"/>
                  <w:tcBorders>
                    <w:bottom w:val="single" w:color="auto" w:sz="12" w:space="0"/>
                  </w:tcBorders>
                  <w:noWrap w:val="0"/>
                  <w:vAlign w:val="center"/>
                </w:tcPr>
                <w:p w14:paraId="0ED9445A">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本项目</w:t>
                  </w:r>
                </w:p>
                <w:p w14:paraId="65B400F2">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情况</w:t>
                  </w:r>
                </w:p>
              </w:tc>
              <w:tc>
                <w:tcPr>
                  <w:tcW w:w="450" w:type="pct"/>
                  <w:tcBorders>
                    <w:bottom w:val="single" w:color="auto" w:sz="12" w:space="0"/>
                  </w:tcBorders>
                  <w:noWrap w:val="0"/>
                  <w:vAlign w:val="center"/>
                </w:tcPr>
                <w:p w14:paraId="71CD9A95">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是否相符</w:t>
                  </w:r>
                </w:p>
              </w:tc>
            </w:tr>
            <w:tr w14:paraId="12E58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single" w:color="auto" w:sz="12" w:space="0"/>
                    <w:tl2br w:val="nil"/>
                    <w:tr2bl w:val="nil"/>
                  </w:tcBorders>
                  <w:noWrap w:val="0"/>
                  <w:vAlign w:val="center"/>
                </w:tcPr>
                <w:p w14:paraId="2A9DF434">
                  <w:pPr>
                    <w:keepNext w:val="0"/>
                    <w:keepLines w:val="0"/>
                    <w:widowControl/>
                    <w:suppressLineNumbers w:val="0"/>
                    <w:jc w:val="left"/>
                    <w:rPr>
                      <w:rFonts w:hint="default" w:ascii="Times New Roman" w:hAnsi="Times New Roman" w:eastAsia="宋体" w:cs="Times New Roman"/>
                      <w:b/>
                      <w:bCs/>
                      <w:color w:val="auto"/>
                      <w:sz w:val="21"/>
                      <w:szCs w:val="21"/>
                      <w:vertAlign w:val="baseline"/>
                      <w:lang w:val="en-US" w:eastAsia="zh-CN"/>
                    </w:rPr>
                  </w:pPr>
                  <w:r>
                    <w:rPr>
                      <w:rFonts w:hint="eastAsia" w:ascii="宋体" w:hAnsi="宋体" w:eastAsia="宋体" w:cs="宋体"/>
                      <w:b/>
                      <w:color w:val="auto"/>
                      <w:kern w:val="0"/>
                      <w:sz w:val="21"/>
                      <w:szCs w:val="21"/>
                      <w:lang w:val="en-US" w:eastAsia="zh-CN" w:bidi="ar"/>
                    </w:rPr>
                    <w:t>二、优化产业结构，促进产业产品绿色升级</w:t>
                  </w:r>
                </w:p>
              </w:tc>
            </w:tr>
            <w:tr w14:paraId="1926B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56" w:type="pct"/>
                  <w:tcBorders>
                    <w:tl2br w:val="nil"/>
                    <w:tr2bl w:val="nil"/>
                  </w:tcBorders>
                  <w:noWrap w:val="0"/>
                  <w:vAlign w:val="center"/>
                </w:tcPr>
                <w:p w14:paraId="0C8E434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（四）</w:t>
                  </w:r>
                  <w:r>
                    <w:rPr>
                      <w:rFonts w:hint="default" w:ascii="Times New Roman" w:hAnsi="Times New Roman" w:eastAsia="宋体" w:cs="Times New Roman"/>
                      <w:b w:val="0"/>
                      <w:bCs w:val="0"/>
                      <w:color w:val="auto"/>
                      <w:sz w:val="21"/>
                      <w:szCs w:val="21"/>
                      <w:vertAlign w:val="baseline"/>
                      <w:lang w:val="en-US" w:eastAsia="zh-CN" w:bidi="ar-SA"/>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21482838">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五）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p w14:paraId="7F765C2E">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六）全面开展传统产业集群升级改造。中小型传统制造企业集中的城市要制定涉气产业集群发展规划，严格项目审批，严防污染下乡。针对现有产业集群制定专项整治方案，依法淘汰关停一批、搬迁入园一批、就地改造一批、做优做强一批。各地要结合产业集群特点，因地制宜建设集中供热中心、集中喷涂中心、有机溶剂集中回收处置中心、活性炭集中再生中心。</w:t>
                  </w:r>
                </w:p>
                <w:p w14:paraId="6427121F">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七）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p w14:paraId="6B3304F4">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bidi="ar-SA"/>
                    </w:rPr>
                    <w:t>（八）推动绿色环保产业健康发展。加大政策支持力度，在低（无）VOCs含量原辅材料生产和使用、VOCs污染治理、超低排放、环境和大气成分监测等领域支持培育一批龙头企业。多措并举治理环保领域低价低质中标乱象，营造公平竞争环境，推动产业健康有序发展。</w:t>
                  </w:r>
                </w:p>
              </w:tc>
              <w:tc>
                <w:tcPr>
                  <w:tcW w:w="893" w:type="pct"/>
                  <w:tcBorders>
                    <w:tl2br w:val="nil"/>
                    <w:tr2bl w:val="nil"/>
                  </w:tcBorders>
                  <w:noWrap w:val="0"/>
                  <w:vAlign w:val="center"/>
                </w:tcPr>
                <w:p w14:paraId="3C470DF0">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项目主要从事</w:t>
                  </w:r>
                  <w:r>
                    <w:rPr>
                      <w:rFonts w:hint="eastAsia" w:ascii="Times New Roman" w:hAnsi="Times New Roman" w:eastAsia="宋体" w:cs="Times New Roman"/>
                      <w:color w:val="auto"/>
                      <w:sz w:val="21"/>
                      <w:szCs w:val="21"/>
                    </w:rPr>
                    <w:t>卫生材料及医药用品制造</w:t>
                  </w:r>
                  <w:r>
                    <w:rPr>
                      <w:rFonts w:hint="eastAsia" w:ascii="Times New Roman" w:hAnsi="Times New Roman" w:eastAsia="宋体" w:cs="Times New Roman"/>
                      <w:color w:val="auto"/>
                      <w:kern w:val="0"/>
                      <w:sz w:val="21"/>
                      <w:szCs w:val="21"/>
                      <w:lang w:val="en-US" w:eastAsia="zh-CN" w:bidi="ar"/>
                    </w:rPr>
                    <w:t>，不属于高耗能、高排放、低水平项目，满足产业规划及政策要求，同时满足园区土地利用规划要求，当地发改委已备案项目</w:t>
                  </w:r>
                </w:p>
              </w:tc>
              <w:tc>
                <w:tcPr>
                  <w:tcW w:w="450" w:type="pct"/>
                  <w:tcBorders>
                    <w:tl2br w:val="nil"/>
                    <w:tr2bl w:val="nil"/>
                  </w:tcBorders>
                  <w:noWrap w:val="0"/>
                  <w:vAlign w:val="center"/>
                </w:tcPr>
                <w:p w14:paraId="166D32AF">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是</w:t>
                  </w:r>
                </w:p>
              </w:tc>
            </w:tr>
            <w:tr w14:paraId="1B238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l2br w:val="nil"/>
                    <w:tr2bl w:val="nil"/>
                  </w:tcBorders>
                  <w:noWrap w:val="0"/>
                  <w:vAlign w:val="center"/>
                </w:tcPr>
                <w:p w14:paraId="53F36A33">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三、优化能源结构，加速清洁能源低碳高效发展</w:t>
                  </w:r>
                </w:p>
              </w:tc>
            </w:tr>
            <w:tr w14:paraId="5AA85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56" w:type="pct"/>
                  <w:tcBorders>
                    <w:tl2br w:val="nil"/>
                    <w:tr2bl w:val="nil"/>
                  </w:tcBorders>
                  <w:noWrap w:val="0"/>
                  <w:vAlign w:val="center"/>
                </w:tcPr>
                <w:p w14:paraId="3BA0D1EF">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十）严格合理控制煤炭消费总量。在保障能源安全供应的前提下，重点区域继续实施煤炭消费总量控制。到2025年，京津冀及周边地区、长三角地区煤炭消费量较2020年分别下降10%和5%左右，汾渭平原煤炭消费量实现负增长，重点削减非电力用煤。重点区域新改扩建用煤项目，依法实行煤炭等量或减量替代，替代方案不完善的不予审批；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p w14:paraId="14A284E9">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十一）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2.5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小热电机组（含自备电厂）进行关停或整合。</w:t>
                  </w:r>
                </w:p>
                <w:p w14:paraId="41F79D80">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十二）实施工业炉窑清洁能源替代。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893" w:type="pct"/>
                  <w:tcBorders>
                    <w:tl2br w:val="nil"/>
                    <w:tr2bl w:val="nil"/>
                  </w:tcBorders>
                  <w:noWrap w:val="0"/>
                  <w:vAlign w:val="center"/>
                </w:tcPr>
                <w:p w14:paraId="6177905A">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项目不使用石油焦、焦炭、兰炭等高污染燃料。</w:t>
                  </w:r>
                </w:p>
              </w:tc>
              <w:tc>
                <w:tcPr>
                  <w:tcW w:w="450" w:type="pct"/>
                  <w:tcBorders>
                    <w:tl2br w:val="nil"/>
                    <w:tr2bl w:val="nil"/>
                  </w:tcBorders>
                  <w:noWrap w:val="0"/>
                  <w:vAlign w:val="center"/>
                </w:tcPr>
                <w:p w14:paraId="114B6CC1">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是</w:t>
                  </w:r>
                </w:p>
              </w:tc>
            </w:tr>
            <w:tr w14:paraId="0F630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l2br w:val="nil"/>
                    <w:tr2bl w:val="nil"/>
                  </w:tcBorders>
                  <w:noWrap w:val="0"/>
                  <w:vAlign w:val="center"/>
                </w:tcPr>
                <w:p w14:paraId="7EEA552C">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六、强化多污染物减排，切实降低排放强度</w:t>
                  </w:r>
                </w:p>
              </w:tc>
            </w:tr>
            <w:tr w14:paraId="59298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56" w:type="pct"/>
                  <w:tcBorders>
                    <w:tl2br w:val="nil"/>
                    <w:tr2bl w:val="nil"/>
                  </w:tcBorders>
                  <w:noWrap w:val="0"/>
                  <w:vAlign w:val="center"/>
                </w:tcPr>
                <w:p w14:paraId="05A3DF8C">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二十一）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w:t>
                  </w:r>
                </w:p>
                <w:p w14:paraId="72CCFCFA">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二十二）推进重点行业污染深度治理。高质量推进钢铁、水泥、焦化等重点行业及燃煤锅炉超低排放改造。到2025年，全国80%以上的钢铁产能完成超低排放改造任务；重点区域全部实现钢铁行业超低排放，基本完成燃煤锅炉超低排放改造。</w:t>
                  </w:r>
                </w:p>
                <w:p w14:paraId="5FB7F9F9">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确保工业企业全面稳定达标排放。推进玻璃、石灰、矿棉、有色等行业深度治理。全面开展锅炉和工业炉窑简易低效污染治理设施排查，通过清洁能源替代、升级改造、整合退出等方式实施分类处置。推进燃气锅炉低氮燃烧改造。生物质锅炉采用专用锅炉，配套布袋等高效除尘设施，禁止掺烧煤炭、生活垃圾等其他物料。推进整合小型生物质锅炉，积极引导城市建成区内生物质锅炉（含电力）超低排放改造。强化治污设施运行维护，减少非正常工况排放。重点涉气企业逐步取消烟气和含VOCs废气旁路，因安全生产需要无法取消的，安装在线监控系统及备用处置设施。</w:t>
                  </w:r>
                </w:p>
              </w:tc>
              <w:tc>
                <w:tcPr>
                  <w:tcW w:w="893" w:type="pct"/>
                  <w:tcBorders>
                    <w:tl2br w:val="nil"/>
                    <w:tr2bl w:val="nil"/>
                  </w:tcBorders>
                  <w:noWrap w:val="0"/>
                  <w:vAlign w:val="center"/>
                </w:tcPr>
                <w:p w14:paraId="4F7DE51C">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项目主要从事</w:t>
                  </w:r>
                  <w:r>
                    <w:rPr>
                      <w:rFonts w:hint="eastAsia" w:ascii="Times New Roman" w:hAnsi="Times New Roman" w:eastAsia="宋体" w:cs="Times New Roman"/>
                      <w:color w:val="auto"/>
                      <w:sz w:val="21"/>
                      <w:szCs w:val="21"/>
                    </w:rPr>
                    <w:t>卫生材料及医药用品制造</w:t>
                  </w:r>
                  <w:r>
                    <w:rPr>
                      <w:rFonts w:hint="eastAsia" w:ascii="Times New Roman" w:hAnsi="Times New Roman" w:eastAsia="宋体" w:cs="Times New Roman"/>
                      <w:color w:val="auto"/>
                      <w:kern w:val="0"/>
                      <w:sz w:val="21"/>
                      <w:szCs w:val="21"/>
                      <w:lang w:val="en-US" w:eastAsia="zh-CN" w:bidi="ar"/>
                    </w:rPr>
                    <w:t>，不属于钢铁、水泥、焦化等重点行业、不涉及燃煤锅炉，有机废气</w:t>
                  </w:r>
                  <w:r>
                    <w:rPr>
                      <w:rFonts w:hint="eastAsia" w:cs="Times New Roman"/>
                      <w:color w:val="auto"/>
                      <w:kern w:val="0"/>
                      <w:sz w:val="21"/>
                      <w:szCs w:val="21"/>
                      <w:lang w:val="en-US" w:eastAsia="zh-CN" w:bidi="ar"/>
                    </w:rPr>
                    <w:t>产生量为0.04t/a，产生量较少</w:t>
                  </w:r>
                  <w:r>
                    <w:rPr>
                      <w:rFonts w:hint="eastAsia" w:ascii="Times New Roman" w:hAnsi="Times New Roman" w:eastAsia="宋体" w:cs="Times New Roman"/>
                      <w:color w:val="auto"/>
                      <w:kern w:val="0"/>
                      <w:sz w:val="21"/>
                      <w:szCs w:val="21"/>
                      <w:lang w:val="en-US" w:eastAsia="zh-CN" w:bidi="ar"/>
                    </w:rPr>
                    <w:t>经</w:t>
                  </w:r>
                  <w:r>
                    <w:rPr>
                      <w:rFonts w:hint="eastAsia" w:ascii="Times New Roman" w:hAnsi="Times New Roman" w:eastAsia="宋体" w:cs="Times New Roman"/>
                      <w:color w:val="auto"/>
                      <w:kern w:val="2"/>
                      <w:sz w:val="21"/>
                      <w:szCs w:val="21"/>
                      <w:highlight w:val="none"/>
                      <w:shd w:val="clear" w:color="auto" w:fill="auto"/>
                      <w:lang w:val="en-US" w:eastAsia="zh-CN" w:bidi="ar-SA"/>
                    </w:rPr>
                    <w:t>空气净化系统</w:t>
                  </w:r>
                  <w:r>
                    <w:rPr>
                      <w:rFonts w:hint="eastAsia" w:cs="Times New Roman"/>
                      <w:color w:val="auto"/>
                      <w:kern w:val="2"/>
                      <w:sz w:val="21"/>
                      <w:szCs w:val="21"/>
                      <w:highlight w:val="none"/>
                      <w:shd w:val="clear" w:color="auto" w:fill="auto"/>
                      <w:lang w:val="en-US" w:eastAsia="zh-CN" w:bidi="ar-SA"/>
                    </w:rPr>
                    <w:t>无组织排放</w:t>
                  </w:r>
                  <w:r>
                    <w:rPr>
                      <w:rFonts w:hint="eastAsia" w:ascii="Times New Roman" w:hAnsi="Times New Roman" w:eastAsia="宋体" w:cs="Times New Roman"/>
                      <w:color w:val="auto"/>
                      <w:kern w:val="0"/>
                      <w:sz w:val="21"/>
                      <w:szCs w:val="21"/>
                      <w:lang w:val="en-US" w:eastAsia="zh-CN" w:bidi="ar"/>
                    </w:rPr>
                    <w:t>。</w:t>
                  </w:r>
                </w:p>
              </w:tc>
              <w:tc>
                <w:tcPr>
                  <w:tcW w:w="450" w:type="pct"/>
                  <w:tcBorders>
                    <w:tl2br w:val="nil"/>
                    <w:tr2bl w:val="nil"/>
                  </w:tcBorders>
                  <w:noWrap w:val="0"/>
                  <w:vAlign w:val="center"/>
                </w:tcPr>
                <w:p w14:paraId="5D5CF7DC">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是</w:t>
                  </w:r>
                </w:p>
              </w:tc>
            </w:tr>
          </w:tbl>
          <w:p w14:paraId="34C1A96C">
            <w:pPr>
              <w:keepNext/>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color w:val="auto"/>
                <w:kern w:val="2"/>
                <w:sz w:val="24"/>
                <w:szCs w:val="24"/>
                <w:lang w:val="en-US" w:eastAsia="zh-CN" w:bidi="ar-SA"/>
              </w:rPr>
              <w:t>对照《空气质量持续改善行动计划》的通知（国发〔2023〕24号），本项目符合</w:t>
            </w:r>
            <w:r>
              <w:rPr>
                <w:rFonts w:hint="eastAsia" w:ascii="Times New Roman" w:hAnsi="Times New Roman" w:eastAsia="宋体" w:cs="Times New Roman"/>
                <w:color w:val="auto"/>
                <w:kern w:val="2"/>
                <w:sz w:val="24"/>
                <w:szCs w:val="24"/>
                <w:lang w:val="en-US" w:eastAsia="zh-CN" w:bidi="ar-SA"/>
              </w:rPr>
              <w:t>相关</w:t>
            </w:r>
            <w:r>
              <w:rPr>
                <w:rFonts w:hint="default" w:ascii="Times New Roman" w:hAnsi="Times New Roman" w:eastAsia="宋体" w:cs="Times New Roman"/>
                <w:color w:val="auto"/>
                <w:kern w:val="2"/>
                <w:sz w:val="24"/>
                <w:szCs w:val="24"/>
                <w:lang w:val="en-US" w:eastAsia="zh-CN" w:bidi="ar-SA"/>
              </w:rPr>
              <w:t>要求。</w:t>
            </w:r>
          </w:p>
          <w:p w14:paraId="0B946123">
            <w:pPr>
              <w:spacing w:line="360" w:lineRule="auto"/>
              <w:ind w:firstLine="482" w:firstLineChars="200"/>
              <w:jc w:val="both"/>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3</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zh-CN"/>
              </w:rPr>
              <w:t>“三线一单”</w:t>
            </w:r>
            <w:r>
              <w:rPr>
                <w:rFonts w:hint="default" w:ascii="Times New Roman" w:hAnsi="Times New Roman" w:eastAsia="宋体" w:cs="Times New Roman"/>
                <w:b/>
                <w:bCs/>
                <w:color w:val="auto"/>
                <w:sz w:val="24"/>
                <w:lang w:val="en-US" w:eastAsia="zh-CN"/>
              </w:rPr>
              <w:t>相符性分析</w:t>
            </w:r>
          </w:p>
          <w:p w14:paraId="0551BBF1">
            <w:pPr>
              <w:keepNext/>
              <w:keepLines w:val="0"/>
              <w:pageBreakBefore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生态保护红线</w:t>
            </w:r>
          </w:p>
          <w:p w14:paraId="7E21E150">
            <w:pPr>
              <w:pStyle w:val="88"/>
              <w:pageBreakBefore w:val="0"/>
              <w:widowControl w:val="0"/>
              <w:kinsoku/>
              <w:wordWrap/>
              <w:overflowPunct/>
              <w:topLinePunct w:val="0"/>
              <w:bidi w:val="0"/>
              <w:adjustRightInd/>
              <w:snapToGrid/>
              <w:ind w:firstLine="480"/>
              <w:textAlignment w:val="auto"/>
              <w:rPr>
                <w:rFonts w:hint="default" w:ascii="Times New Roman" w:hAnsi="Times New Roman" w:cs="Times New Roman"/>
                <w:color w:val="auto"/>
                <w:kern w:val="21"/>
                <w:highlight w:val="none"/>
              </w:rPr>
            </w:pPr>
            <w:r>
              <w:rPr>
                <w:rFonts w:hint="default" w:ascii="Times New Roman" w:hAnsi="Times New Roman" w:eastAsia="宋体" w:cs="Times New Roman"/>
                <w:bCs/>
                <w:color w:val="auto"/>
                <w:sz w:val="24"/>
                <w:szCs w:val="24"/>
              </w:rPr>
              <w:t>项目位于</w:t>
            </w:r>
            <w:r>
              <w:rPr>
                <w:rFonts w:hint="eastAsia" w:ascii="Times New Roman" w:hAnsi="Times New Roman" w:eastAsia="宋体" w:cs="Times New Roman"/>
                <w:color w:val="auto"/>
                <w:sz w:val="24"/>
                <w:szCs w:val="24"/>
                <w:lang w:val="en-US" w:eastAsia="zh-CN"/>
              </w:rPr>
              <w:t>江西省九江市庐山市工业园金鹿科技园</w:t>
            </w:r>
            <w:r>
              <w:rPr>
                <w:rFonts w:hint="default" w:ascii="Times New Roman" w:hAnsi="Times New Roman" w:eastAsia="宋体" w:cs="Times New Roman"/>
                <w:bCs/>
                <w:color w:val="auto"/>
                <w:sz w:val="24"/>
                <w:szCs w:val="24"/>
              </w:rPr>
              <w:t>，</w:t>
            </w:r>
            <w:r>
              <w:rPr>
                <w:rFonts w:hint="default" w:ascii="Times New Roman" w:hAnsi="Times New Roman" w:cs="Times New Roman"/>
                <w:color w:val="auto"/>
                <w:kern w:val="21"/>
                <w:highlight w:val="none"/>
              </w:rPr>
              <w:t>用地性质为</w:t>
            </w:r>
            <w:r>
              <w:rPr>
                <w:rFonts w:hint="default" w:ascii="Times New Roman" w:hAnsi="Times New Roman" w:eastAsia="宋体" w:cs="Times New Roman"/>
                <w:color w:val="auto"/>
                <w:kern w:val="21"/>
                <w:highlight w:val="none"/>
                <w:lang w:eastAsia="zh-CN"/>
              </w:rPr>
              <w:t>工业用地</w:t>
            </w:r>
            <w:r>
              <w:rPr>
                <w:rFonts w:hint="default" w:ascii="Times New Roman" w:hAnsi="Times New Roman" w:cs="Times New Roman"/>
                <w:color w:val="auto"/>
                <w:kern w:val="21"/>
                <w:highlight w:val="none"/>
              </w:rPr>
              <w:t>，不在当地饮用水源、风景名胜区、自然保护区等生态保护区内，满足生态保护红线要求。</w:t>
            </w:r>
          </w:p>
          <w:p w14:paraId="3190B47D">
            <w:pPr>
              <w:keepNext/>
              <w:keepLines w:val="0"/>
              <w:pageBreakBefore w:val="0"/>
              <w:kinsoku/>
              <w:wordWrap/>
              <w:overflowPunct/>
              <w:topLinePunct w:val="0"/>
              <w:bidi w:val="0"/>
              <w:spacing w:line="360" w:lineRule="auto"/>
              <w:ind w:firstLine="480" w:firstLineChars="200"/>
              <w:rPr>
                <w:rFonts w:hint="default" w:ascii="Times New Roman" w:hAnsi="Times New Roman" w:eastAsia="Calibri" w:cs="Times New Roman"/>
                <w:bCs/>
                <w:color w:val="auto"/>
                <w:sz w:val="24"/>
                <w:szCs w:val="24"/>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2</w:t>
            </w:r>
            <w:r>
              <w:rPr>
                <w:rFonts w:hint="eastAsia" w:ascii="Times New Roman" w:hAnsi="Times New Roman" w:eastAsia="宋体" w:cs="Times New Roman"/>
                <w:bCs/>
                <w:color w:val="auto"/>
                <w:sz w:val="24"/>
                <w:szCs w:val="24"/>
                <w:lang w:eastAsia="zh-CN"/>
              </w:rPr>
              <w:t>）</w:t>
            </w:r>
            <w:r>
              <w:rPr>
                <w:rFonts w:hint="default" w:ascii="Times New Roman" w:hAnsi="Times New Roman" w:eastAsia="Calibri" w:cs="Times New Roman"/>
                <w:bCs/>
                <w:color w:val="auto"/>
                <w:sz w:val="24"/>
                <w:szCs w:val="24"/>
              </w:rPr>
              <w:t>环境质量底线</w:t>
            </w:r>
          </w:p>
          <w:p w14:paraId="62B44DE5">
            <w:pPr>
              <w:keepNext/>
              <w:keepLines w:val="0"/>
              <w:pageBreakBefore w:val="0"/>
              <w:kinsoku/>
              <w:wordWrap/>
              <w:overflowPunct/>
              <w:topLinePunct w:val="0"/>
              <w:bidi w:val="0"/>
              <w:spacing w:line="360" w:lineRule="auto"/>
              <w:ind w:firstLine="480" w:firstLineChars="200"/>
              <w:rPr>
                <w:rFonts w:hint="eastAsia"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项目所在</w:t>
            </w:r>
            <w:r>
              <w:rPr>
                <w:rFonts w:hint="eastAsia" w:ascii="Times New Roman" w:hAnsi="Times New Roman" w:eastAsia="宋体" w:cs="Times New Roman"/>
                <w:bCs/>
                <w:color w:val="auto"/>
                <w:sz w:val="24"/>
                <w:szCs w:val="24"/>
              </w:rPr>
              <w:t>区域</w:t>
            </w:r>
            <w:r>
              <w:rPr>
                <w:rFonts w:ascii="Times New Roman" w:hAnsi="Times New Roman" w:eastAsia="宋体" w:cs="Times New Roman"/>
                <w:bCs/>
                <w:color w:val="auto"/>
                <w:sz w:val="24"/>
                <w:szCs w:val="24"/>
              </w:rPr>
              <w:t>大气环境满足《环境空气质量标准》</w:t>
            </w: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GB3095-2012</w:t>
            </w: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中二级标准要求；地表水满足《地表水环境质量标准》</w:t>
            </w: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GB3838-2002</w:t>
            </w: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中Ⅲ类标准要求；</w:t>
            </w:r>
            <w:r>
              <w:rPr>
                <w:rFonts w:hint="eastAsia" w:ascii="Times New Roman" w:hAnsi="Times New Roman" w:eastAsia="宋体" w:cs="Times New Roman"/>
                <w:bCs/>
                <w:color w:val="auto"/>
                <w:sz w:val="24"/>
                <w:szCs w:val="24"/>
                <w:lang w:val="en-US" w:eastAsia="zh-CN"/>
              </w:rPr>
              <w:t>厂界执行</w:t>
            </w:r>
            <w:r>
              <w:rPr>
                <w:rFonts w:ascii="Times New Roman" w:hAnsi="Times New Roman" w:eastAsia="宋体" w:cs="Times New Roman"/>
                <w:bCs/>
                <w:color w:val="auto"/>
                <w:sz w:val="24"/>
                <w:szCs w:val="24"/>
              </w:rPr>
              <w:t>声环境执行《声环境质量标准》（GB 3096-2008）</w:t>
            </w:r>
            <w:r>
              <w:rPr>
                <w:rFonts w:hint="eastAsia" w:ascii="Times New Roman" w:hAnsi="Times New Roman" w:eastAsia="宋体" w:cs="Times New Roman"/>
                <w:bCs/>
                <w:color w:val="auto"/>
                <w:sz w:val="24"/>
                <w:szCs w:val="24"/>
                <w:lang w:val="en-US" w:eastAsia="zh-CN"/>
              </w:rPr>
              <w:t>3</w:t>
            </w:r>
            <w:r>
              <w:rPr>
                <w:rFonts w:ascii="Times New Roman" w:hAnsi="Times New Roman" w:eastAsia="宋体" w:cs="Times New Roman"/>
                <w:bCs/>
                <w:color w:val="auto"/>
                <w:sz w:val="24"/>
                <w:szCs w:val="24"/>
              </w:rPr>
              <w:t>类标准。项目废水、废气、固废均得到合理处置，噪声对周边影响较小，不会突破项目所在</w:t>
            </w:r>
            <w:r>
              <w:rPr>
                <w:rFonts w:hint="eastAsia" w:ascii="Times New Roman" w:hAnsi="Times New Roman" w:eastAsia="宋体" w:cs="Times New Roman"/>
                <w:bCs/>
                <w:color w:val="auto"/>
                <w:sz w:val="24"/>
                <w:szCs w:val="24"/>
              </w:rPr>
              <w:t>区域</w:t>
            </w:r>
            <w:r>
              <w:rPr>
                <w:rFonts w:ascii="Times New Roman" w:hAnsi="Times New Roman" w:eastAsia="宋体" w:cs="Times New Roman"/>
                <w:bCs/>
                <w:color w:val="auto"/>
                <w:sz w:val="24"/>
                <w:szCs w:val="24"/>
              </w:rPr>
              <w:t>的环境质量底线。</w:t>
            </w:r>
            <w:r>
              <w:rPr>
                <w:rFonts w:hint="eastAsia" w:ascii="Times New Roman" w:hAnsi="Times New Roman" w:eastAsia="宋体" w:cs="Times New Roman"/>
                <w:bCs/>
                <w:color w:val="auto"/>
                <w:sz w:val="24"/>
                <w:szCs w:val="24"/>
              </w:rPr>
              <w:t>因此，项目建设符合环境质量底线标准。</w:t>
            </w:r>
          </w:p>
          <w:p w14:paraId="23EB80D5">
            <w:pPr>
              <w:keepNext/>
              <w:keepLines w:val="0"/>
              <w:pageBreakBefore w:val="0"/>
              <w:kinsoku/>
              <w:wordWrap/>
              <w:overflowPunct/>
              <w:topLinePunct w:val="0"/>
              <w:bidi w:val="0"/>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3</w:t>
            </w:r>
            <w:r>
              <w:rPr>
                <w:rFonts w:hint="eastAsia" w:ascii="Times New Roman" w:hAnsi="Times New Roman" w:eastAsia="宋体" w:cs="Times New Roman"/>
                <w:bCs/>
                <w:color w:val="auto"/>
                <w:sz w:val="24"/>
                <w:szCs w:val="24"/>
                <w:lang w:eastAsia="zh-CN"/>
              </w:rPr>
              <w:t>）</w:t>
            </w:r>
            <w:r>
              <w:rPr>
                <w:rFonts w:ascii="Times New Roman" w:hAnsi="Times New Roman" w:eastAsia="宋体" w:cs="Times New Roman"/>
                <w:bCs/>
                <w:color w:val="auto"/>
                <w:sz w:val="24"/>
                <w:szCs w:val="24"/>
              </w:rPr>
              <w:t>资源利用上线</w:t>
            </w:r>
          </w:p>
          <w:p w14:paraId="31EA7E91">
            <w:pPr>
              <w:keepNext/>
              <w:keepLines w:val="0"/>
              <w:pageBreakBefore w:val="0"/>
              <w:kinsoku/>
              <w:wordWrap/>
              <w:overflowPunct/>
              <w:topLinePunct w:val="0"/>
              <w:bidi w:val="0"/>
              <w:spacing w:line="360" w:lineRule="auto"/>
              <w:ind w:firstLine="480" w:firstLineChars="200"/>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highlight w:val="none"/>
              </w:rPr>
              <w:t>项目运营过程中</w:t>
            </w:r>
            <w:r>
              <w:rPr>
                <w:rFonts w:hint="eastAsia" w:ascii="Times New Roman" w:hAnsi="Times New Roman" w:eastAsia="宋体" w:cs="Times New Roman"/>
                <w:bCs/>
                <w:color w:val="auto"/>
                <w:sz w:val="24"/>
                <w:szCs w:val="24"/>
                <w:highlight w:val="none"/>
              </w:rPr>
              <w:t>需要</w:t>
            </w:r>
            <w:r>
              <w:rPr>
                <w:rFonts w:ascii="Times New Roman" w:hAnsi="Times New Roman" w:eastAsia="宋体" w:cs="Times New Roman"/>
                <w:bCs/>
                <w:color w:val="auto"/>
                <w:sz w:val="24"/>
                <w:szCs w:val="24"/>
                <w:highlight w:val="none"/>
              </w:rPr>
              <w:t>消耗一定量的电、水等资源，项目资源消耗量相对区域资源利用总量较少，符合资源利用上线要求。</w:t>
            </w:r>
          </w:p>
          <w:p w14:paraId="700CCF6F">
            <w:pPr>
              <w:pStyle w:val="31"/>
              <w:spacing w:line="360" w:lineRule="auto"/>
              <w:ind w:firstLine="480" w:firstLineChars="200"/>
              <w:jc w:val="both"/>
              <w:rPr>
                <w:rFonts w:hint="default" w:ascii="Times New Roman" w:hAnsi="Times New Roman" w:eastAsia="宋体" w:cs="Times New Roman"/>
                <w:b w:val="0"/>
                <w:bCs w:val="0"/>
                <w:color w:val="auto"/>
                <w:kern w:val="0"/>
                <w:sz w:val="24"/>
                <w:szCs w:val="24"/>
                <w:highlight w:val="none"/>
                <w:lang w:val="zh-CN"/>
              </w:rPr>
            </w:pPr>
            <w:r>
              <w:rPr>
                <w:rFonts w:hint="default" w:ascii="Times New Roman" w:hAnsi="Times New Roman" w:cs="Times New Roman"/>
                <w:color w:val="auto"/>
                <w:kern w:val="21"/>
                <w:highlight w:val="none"/>
              </w:rPr>
              <w:t>（4）</w:t>
            </w:r>
            <w:r>
              <w:rPr>
                <w:rFonts w:hint="eastAsia"/>
                <w:color w:val="auto"/>
                <w:lang w:val="en-US" w:eastAsia="zh-CN"/>
              </w:rPr>
              <w:t>生态环境准入清单</w:t>
            </w:r>
          </w:p>
          <w:p w14:paraId="0A9AF2BD">
            <w:pPr>
              <w:shd w:val="clear" w:color="auto" w:fill="auto"/>
              <w:spacing w:line="360" w:lineRule="auto"/>
              <w:ind w:firstLine="480" w:firstLineChars="200"/>
              <w:rPr>
                <w:rFonts w:ascii="Times New Roman" w:eastAsia="宋体"/>
                <w:color w:val="auto"/>
                <w:highlight w:val="none"/>
              </w:rPr>
            </w:pPr>
            <w:r>
              <w:rPr>
                <w:rFonts w:hint="eastAsia"/>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val="en-US" w:eastAsia="zh-CN" w:bidi="ar-SA"/>
              </w:rPr>
              <w:t>《江西省生态环境总体准入清单（2023版）》</w:t>
            </w:r>
            <w:r>
              <w:rPr>
                <w:rFonts w:hint="eastAsia" w:cs="Times New Roman"/>
                <w:color w:val="auto"/>
                <w:sz w:val="24"/>
                <w:szCs w:val="24"/>
                <w:highlight w:val="none"/>
                <w:lang w:val="en-US" w:eastAsia="zh-CN" w:bidi="ar-SA"/>
              </w:rPr>
              <w:t>、</w:t>
            </w:r>
            <w:r>
              <w:rPr>
                <w:rFonts w:hint="eastAsia"/>
                <w:color w:val="auto"/>
                <w:sz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九江市生态环境总体准入清单（2023年版）</w:t>
            </w:r>
            <w:r>
              <w:rPr>
                <w:rFonts w:hint="eastAsia"/>
                <w:color w:val="auto"/>
                <w:sz w:val="24"/>
                <w:highlight w:val="none"/>
                <w:lang w:val="en-US" w:eastAsia="zh-CN"/>
              </w:rPr>
              <w:t>》及《九江市环境管控单元生态环境准入清单》，本项目的</w:t>
            </w:r>
            <w:r>
              <w:rPr>
                <w:rFonts w:hint="eastAsia" w:ascii="Times New Roman" w:hAnsi="Times New Roman" w:eastAsia="宋体" w:cs="Times New Roman"/>
                <w:color w:val="auto"/>
                <w:kern w:val="0"/>
                <w:sz w:val="24"/>
                <w:szCs w:val="24"/>
                <w:highlight w:val="none"/>
                <w:lang w:val="en-US" w:eastAsia="zh-CN"/>
              </w:rPr>
              <w:t>符合性分析</w:t>
            </w:r>
            <w:r>
              <w:rPr>
                <w:rFonts w:hint="eastAsia"/>
                <w:color w:val="auto"/>
                <w:sz w:val="24"/>
                <w:highlight w:val="none"/>
                <w:lang w:eastAsia="zh-CN"/>
              </w:rPr>
              <w:t>见表</w:t>
            </w:r>
            <w:r>
              <w:rPr>
                <w:rFonts w:hint="eastAsia"/>
                <w:color w:val="auto"/>
                <w:sz w:val="24"/>
                <w:highlight w:val="none"/>
                <w:lang w:val="en-US" w:eastAsia="zh-CN"/>
              </w:rPr>
              <w:t>1-9~表1-11。</w:t>
            </w:r>
          </w:p>
          <w:p w14:paraId="535A8F05">
            <w:pPr>
              <w:widowControl/>
              <w:adjustRightInd w:val="0"/>
              <w:snapToGrid w:val="0"/>
              <w:jc w:val="center"/>
              <w:rPr>
                <w:rFonts w:hint="eastAsia" w:ascii="Times New Roman" w:hAnsi="Times New Roman" w:eastAsia="宋体" w:cs="Times New Roman"/>
                <w:b/>
                <w:color w:val="auto"/>
                <w:kern w:val="0"/>
                <w:highlight w:val="none"/>
                <w:lang w:eastAsia="zh-CN"/>
              </w:rPr>
            </w:pPr>
            <w:r>
              <w:rPr>
                <w:rFonts w:ascii="Times New Roman" w:hAnsi="Times New Roman" w:eastAsia="宋体" w:cs="Times New Roman"/>
                <w:b/>
                <w:color w:val="auto"/>
                <w:kern w:val="0"/>
                <w:highlight w:val="none"/>
              </w:rPr>
              <w:t>表1</w:t>
            </w:r>
            <w:r>
              <w:rPr>
                <w:rFonts w:hint="eastAsia" w:ascii="Times New Roman" w:hAnsi="Times New Roman" w:eastAsia="宋体" w:cs="Times New Roman"/>
                <w:b/>
                <w:color w:val="auto"/>
                <w:kern w:val="0"/>
                <w:highlight w:val="none"/>
                <w:lang w:val="en-US" w:eastAsia="zh-CN"/>
              </w:rPr>
              <w:t>-</w:t>
            </w:r>
            <w:r>
              <w:rPr>
                <w:rFonts w:hint="eastAsia" w:cs="Times New Roman"/>
                <w:b/>
                <w:color w:val="auto"/>
                <w:kern w:val="0"/>
                <w:highlight w:val="none"/>
                <w:lang w:val="en-US" w:eastAsia="zh-CN"/>
              </w:rPr>
              <w:t>9</w:t>
            </w:r>
            <w:r>
              <w:rPr>
                <w:rFonts w:ascii="Times New Roman" w:hAnsi="Times New Roman" w:eastAsia="宋体" w:cs="Times New Roman"/>
                <w:b/>
                <w:color w:val="auto"/>
                <w:kern w:val="0"/>
                <w:highlight w:val="none"/>
              </w:rPr>
              <w:t xml:space="preserve"> </w:t>
            </w:r>
            <w:r>
              <w:rPr>
                <w:rFonts w:hint="eastAsia" w:ascii="Times New Roman" w:hAnsi="Times New Roman" w:eastAsia="宋体" w:cs="Times New Roman"/>
                <w:b/>
                <w:color w:val="auto"/>
                <w:kern w:val="0"/>
                <w:highlight w:val="none"/>
                <w:lang w:val="en-US" w:eastAsia="zh-CN"/>
              </w:rPr>
              <w:t xml:space="preserve"> </w:t>
            </w:r>
            <w:r>
              <w:rPr>
                <w:rFonts w:ascii="Times New Roman" w:hAnsi="Times New Roman" w:eastAsia="宋体" w:cs="Times New Roman"/>
                <w:b/>
                <w:color w:val="auto"/>
                <w:kern w:val="0"/>
                <w:highlight w:val="none"/>
              </w:rPr>
              <w:t>项目与</w:t>
            </w:r>
            <w:r>
              <w:rPr>
                <w:rFonts w:hint="eastAsia" w:ascii="Times New Roman" w:hAnsi="Times New Roman" w:eastAsia="宋体" w:cs="Times New Roman"/>
                <w:b/>
                <w:color w:val="auto"/>
                <w:kern w:val="0"/>
                <w:highlight w:val="none"/>
              </w:rPr>
              <w:t>《江西省生态环境总体准入清单（2023版）》</w:t>
            </w:r>
            <w:r>
              <w:rPr>
                <w:rFonts w:ascii="Times New Roman" w:hAnsi="Times New Roman" w:eastAsia="宋体" w:cs="Times New Roman"/>
                <w:b/>
                <w:color w:val="auto"/>
                <w:kern w:val="0"/>
                <w:highlight w:val="none"/>
              </w:rPr>
              <w:t>符合性</w:t>
            </w:r>
            <w:r>
              <w:rPr>
                <w:rFonts w:hint="eastAsia" w:ascii="Times New Roman" w:hAnsi="Times New Roman" w:eastAsia="宋体" w:cs="Times New Roman"/>
                <w:b/>
                <w:color w:val="auto"/>
                <w:kern w:val="0"/>
                <w:highlight w:val="none"/>
                <w:lang w:eastAsia="zh-CN"/>
              </w:rPr>
              <w:t>分析</w:t>
            </w:r>
          </w:p>
          <w:tbl>
            <w:tblPr>
              <w:tblStyle w:val="77"/>
              <w:tblW w:w="499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61"/>
              <w:gridCol w:w="739"/>
              <w:gridCol w:w="4124"/>
              <w:gridCol w:w="1848"/>
            </w:tblGrid>
            <w:tr w14:paraId="70960EB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tblHeader/>
                <w:jc w:val="center"/>
              </w:trPr>
              <w:tc>
                <w:tcPr>
                  <w:tcW w:w="448" w:type="pct"/>
                  <w:tcBorders>
                    <w:tl2br w:val="nil"/>
                    <w:tr2bl w:val="nil"/>
                  </w:tcBorders>
                  <w:vAlign w:val="center"/>
                </w:tcPr>
                <w:p w14:paraId="076FBA2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单元</w:t>
                  </w:r>
                </w:p>
                <w:p w14:paraId="2669F86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类</w:t>
                  </w:r>
                  <w:r>
                    <w:rPr>
                      <w:rFonts w:hint="default" w:ascii="Times New Roman" w:hAnsi="Times New Roman" w:eastAsia="宋体" w:cs="Times New Roman"/>
                      <w:b/>
                      <w:bCs/>
                      <w:color w:val="auto"/>
                      <w:spacing w:val="-1"/>
                      <w:sz w:val="21"/>
                      <w:szCs w:val="21"/>
                    </w:rPr>
                    <w:t>别</w:t>
                  </w:r>
                </w:p>
              </w:tc>
              <w:tc>
                <w:tcPr>
                  <w:tcW w:w="501" w:type="pct"/>
                  <w:tcBorders>
                    <w:tl2br w:val="nil"/>
                    <w:tr2bl w:val="nil"/>
                  </w:tcBorders>
                  <w:vAlign w:val="center"/>
                </w:tcPr>
                <w:p w14:paraId="7D3A9D3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
                      <w:sz w:val="21"/>
                      <w:szCs w:val="21"/>
                    </w:rPr>
                    <w:t>维</w:t>
                  </w:r>
                  <w:r>
                    <w:rPr>
                      <w:rFonts w:hint="default" w:ascii="Times New Roman" w:hAnsi="Times New Roman" w:eastAsia="宋体" w:cs="Times New Roman"/>
                      <w:b/>
                      <w:bCs/>
                      <w:color w:val="auto"/>
                      <w:spacing w:val="-2"/>
                      <w:sz w:val="21"/>
                      <w:szCs w:val="21"/>
                    </w:rPr>
                    <w:t>度</w:t>
                  </w:r>
                </w:p>
              </w:tc>
              <w:tc>
                <w:tcPr>
                  <w:tcW w:w="2797" w:type="pct"/>
                  <w:tcBorders>
                    <w:tl2br w:val="nil"/>
                    <w:tr2bl w:val="nil"/>
                  </w:tcBorders>
                  <w:vAlign w:val="center"/>
                </w:tcPr>
                <w:p w14:paraId="07766BF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1"/>
                      <w:sz w:val="21"/>
                      <w:szCs w:val="21"/>
                      <w:lang w:eastAsia="zh-CN"/>
                    </w:rPr>
                  </w:pPr>
                  <w:r>
                    <w:rPr>
                      <w:rFonts w:hint="eastAsia" w:cs="Times New Roman"/>
                      <w:b/>
                      <w:bCs/>
                      <w:color w:val="auto"/>
                      <w:spacing w:val="-1"/>
                      <w:sz w:val="21"/>
                      <w:szCs w:val="21"/>
                      <w:lang w:val="en-US" w:eastAsia="zh-CN"/>
                    </w:rPr>
                    <w:t>生态</w:t>
                  </w:r>
                  <w:r>
                    <w:rPr>
                      <w:rFonts w:hint="default" w:ascii="Times New Roman" w:hAnsi="Times New Roman" w:eastAsia="宋体" w:cs="Times New Roman"/>
                      <w:b/>
                      <w:bCs/>
                      <w:color w:val="auto"/>
                      <w:spacing w:val="-1"/>
                      <w:sz w:val="21"/>
                      <w:szCs w:val="21"/>
                      <w:lang w:val="en-US" w:eastAsia="zh-CN"/>
                    </w:rPr>
                    <w:t>准入要求</w:t>
                  </w:r>
                </w:p>
              </w:tc>
              <w:tc>
                <w:tcPr>
                  <w:tcW w:w="1253" w:type="pct"/>
                  <w:tcBorders>
                    <w:tl2br w:val="nil"/>
                    <w:tr2bl w:val="nil"/>
                  </w:tcBorders>
                  <w:vAlign w:val="center"/>
                </w:tcPr>
                <w:p w14:paraId="4325189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bCs/>
                      <w:color w:val="auto"/>
                      <w:spacing w:val="-1"/>
                      <w:sz w:val="21"/>
                      <w:szCs w:val="21"/>
                      <w:lang w:val="en-US" w:eastAsia="zh-CN"/>
                    </w:rPr>
                  </w:pPr>
                  <w:r>
                    <w:rPr>
                      <w:rFonts w:hint="eastAsia" w:ascii="宋体" w:hAnsi="宋体" w:eastAsia="宋体" w:cs="宋体"/>
                      <w:b/>
                      <w:bCs/>
                      <w:color w:val="auto"/>
                      <w:sz w:val="21"/>
                      <w:szCs w:val="21"/>
                      <w:highlight w:val="none"/>
                      <w:u w:val="none"/>
                      <w:lang w:val="en-US" w:eastAsia="zh-CN"/>
                    </w:rPr>
                    <w:t>符合性分析</w:t>
                  </w:r>
                </w:p>
              </w:tc>
            </w:tr>
            <w:tr w14:paraId="0B27CA2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restart"/>
                  <w:tcBorders>
                    <w:tl2br w:val="nil"/>
                    <w:tr2bl w:val="nil"/>
                  </w:tcBorders>
                  <w:vAlign w:val="center"/>
                </w:tcPr>
                <w:p w14:paraId="4C6C2F6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优先</w:t>
                  </w:r>
                </w:p>
                <w:p w14:paraId="023C169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保护</w:t>
                  </w:r>
                </w:p>
                <w:p w14:paraId="090C465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单元</w:t>
                  </w:r>
                </w:p>
              </w:tc>
              <w:tc>
                <w:tcPr>
                  <w:tcW w:w="501" w:type="pct"/>
                  <w:vMerge w:val="restart"/>
                  <w:tcBorders>
                    <w:tl2br w:val="nil"/>
                    <w:tr2bl w:val="nil"/>
                  </w:tcBorders>
                  <w:vAlign w:val="center"/>
                </w:tcPr>
                <w:p w14:paraId="55C569C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w:t>
                  </w:r>
                </w:p>
                <w:p w14:paraId="146D3A4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局约束</w:t>
                  </w:r>
                </w:p>
              </w:tc>
              <w:tc>
                <w:tcPr>
                  <w:tcW w:w="2797" w:type="pct"/>
                  <w:tcBorders>
                    <w:tl2br w:val="nil"/>
                    <w:tr2bl w:val="nil"/>
                  </w:tcBorders>
                  <w:vAlign w:val="center"/>
                </w:tcPr>
                <w:p w14:paraId="709829A2">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禁止围垦河道。确需围垦的，应当进行科学论证，经水行政主管部门确认不妨碍行洪、输水后，报省级以上人民政府批准。河湖管理范围内的岸线整治修复、生态廊道建设、滩地生态治理、公共体育设施、渔业养殖设施、航运设施、航道整治工程、造（修、拆）船项目、文体活动等，依法办理许可手续。</w:t>
                  </w:r>
                </w:p>
              </w:tc>
              <w:tc>
                <w:tcPr>
                  <w:tcW w:w="1253" w:type="pct"/>
                  <w:tcBorders>
                    <w:tl2br w:val="nil"/>
                    <w:tr2bl w:val="nil"/>
                  </w:tcBorders>
                  <w:vAlign w:val="center"/>
                </w:tcPr>
                <w:p w14:paraId="35CE3613">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本项目不涉及</w:t>
                  </w:r>
                  <w:r>
                    <w:rPr>
                      <w:rFonts w:hint="default" w:ascii="Times New Roman" w:hAnsi="Times New Roman" w:eastAsia="宋体" w:cs="Times New Roman"/>
                      <w:color w:val="auto"/>
                      <w:spacing w:val="-2"/>
                      <w:sz w:val="21"/>
                      <w:szCs w:val="21"/>
                    </w:rPr>
                    <w:t>围垦河道</w:t>
                  </w:r>
                  <w:r>
                    <w:rPr>
                      <w:rFonts w:hint="eastAsia" w:cs="Times New Roman"/>
                      <w:color w:val="auto"/>
                      <w:spacing w:val="-2"/>
                      <w:sz w:val="21"/>
                      <w:szCs w:val="21"/>
                      <w:lang w:eastAsia="zh-CN"/>
                    </w:rPr>
                    <w:t>。</w:t>
                  </w:r>
                </w:p>
              </w:tc>
            </w:tr>
            <w:tr w14:paraId="4A86C92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6C86DF4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5FAA447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148EA06E">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严禁在禁止开发河段开发小水电，除巩固脱贫攻坚成果、保障海岛边防等偏远地区和电网未覆盖地区供电安全、建设引调水等综合利用水利工程兼顾发电外，原则上不再新建小水电项目。</w:t>
                  </w:r>
                </w:p>
              </w:tc>
              <w:tc>
                <w:tcPr>
                  <w:tcW w:w="1253" w:type="pct"/>
                  <w:tcBorders>
                    <w:tl2br w:val="nil"/>
                    <w:tr2bl w:val="nil"/>
                  </w:tcBorders>
                  <w:vAlign w:val="center"/>
                </w:tcPr>
                <w:p w14:paraId="28DB2141">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本项目不属于小水电项目</w:t>
                  </w:r>
                  <w:r>
                    <w:rPr>
                      <w:rFonts w:hint="eastAsia" w:cs="Times New Roman"/>
                      <w:color w:val="auto"/>
                      <w:spacing w:val="-2"/>
                      <w:sz w:val="21"/>
                      <w:szCs w:val="21"/>
                      <w:lang w:val="en-US" w:eastAsia="zh-CN"/>
                    </w:rPr>
                    <w:t>。</w:t>
                  </w:r>
                </w:p>
              </w:tc>
            </w:tr>
            <w:tr w14:paraId="001E646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2BDA5BA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5F738CA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5C278AE2">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禁止天然林、生态公益林商业性采伐。</w:t>
                  </w:r>
                </w:p>
              </w:tc>
              <w:tc>
                <w:tcPr>
                  <w:tcW w:w="1253" w:type="pct"/>
                  <w:tcBorders>
                    <w:tl2br w:val="nil"/>
                    <w:tr2bl w:val="nil"/>
                  </w:tcBorders>
                  <w:vAlign w:val="center"/>
                </w:tcPr>
                <w:p w14:paraId="067EDB4F">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本项目不涉及</w:t>
                  </w:r>
                  <w:r>
                    <w:rPr>
                      <w:rFonts w:hint="default" w:ascii="Times New Roman" w:hAnsi="Times New Roman" w:eastAsia="宋体" w:cs="Times New Roman"/>
                      <w:color w:val="auto"/>
                      <w:spacing w:val="-2"/>
                      <w:sz w:val="21"/>
                      <w:szCs w:val="21"/>
                    </w:rPr>
                    <w:t>天然林、生态公益林商业性采伐</w:t>
                  </w:r>
                  <w:r>
                    <w:rPr>
                      <w:rFonts w:hint="eastAsia" w:cs="Times New Roman"/>
                      <w:color w:val="auto"/>
                      <w:spacing w:val="-2"/>
                      <w:sz w:val="21"/>
                      <w:szCs w:val="21"/>
                      <w:lang w:eastAsia="zh-CN"/>
                    </w:rPr>
                    <w:t>。</w:t>
                  </w:r>
                </w:p>
              </w:tc>
            </w:tr>
            <w:tr w14:paraId="3F21F47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4F9BB5F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3185669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00DAA19A">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Style w:val="89"/>
                      <w:rFonts w:hint="default" w:ascii="Times New Roman" w:hAnsi="Times New Roman" w:eastAsia="宋体" w:cs="Times New Roman"/>
                      <w:color w:val="auto"/>
                      <w:sz w:val="21"/>
                      <w:szCs w:val="21"/>
                      <w:lang w:bidi="ar"/>
                    </w:rPr>
                  </w:pPr>
                  <w:r>
                    <w:rPr>
                      <w:rStyle w:val="89"/>
                      <w:rFonts w:hint="default" w:ascii="Times New Roman" w:hAnsi="Times New Roman" w:eastAsia="宋体" w:cs="Times New Roman"/>
                      <w:color w:val="auto"/>
                      <w:sz w:val="21"/>
                      <w:szCs w:val="21"/>
                      <w:lang w:bidi="ar"/>
                    </w:rPr>
                    <w:t>禁止在森林公园毁林开垦和毁林采石、采砂、采土以及其他毁林行为；在森林公园内不得进行商品房开发或修建破坏景观、污染环境的工程设施；森林公园的各项建设应当符合森林公园总体规划，并依法办理建设用地等相关审批手续。</w:t>
                  </w:r>
                </w:p>
              </w:tc>
              <w:tc>
                <w:tcPr>
                  <w:tcW w:w="1253" w:type="pct"/>
                  <w:tcBorders>
                    <w:tl2br w:val="nil"/>
                    <w:tr2bl w:val="nil"/>
                  </w:tcBorders>
                  <w:vAlign w:val="center"/>
                </w:tcPr>
                <w:p w14:paraId="27F4F213">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本项目</w:t>
                  </w:r>
                  <w:r>
                    <w:rPr>
                      <w:rFonts w:hint="eastAsia" w:cs="Times New Roman"/>
                      <w:color w:val="auto"/>
                      <w:spacing w:val="-2"/>
                      <w:sz w:val="21"/>
                      <w:szCs w:val="21"/>
                      <w:lang w:val="en-US" w:eastAsia="zh-CN"/>
                    </w:rPr>
                    <w:t>不在森林公园内建设</w:t>
                  </w:r>
                  <w:r>
                    <w:rPr>
                      <w:rFonts w:hint="eastAsia" w:cs="Times New Roman"/>
                      <w:color w:val="auto"/>
                      <w:spacing w:val="-2"/>
                      <w:sz w:val="21"/>
                      <w:szCs w:val="21"/>
                      <w:lang w:eastAsia="zh-CN"/>
                    </w:rPr>
                    <w:t>。</w:t>
                  </w:r>
                </w:p>
              </w:tc>
            </w:tr>
            <w:tr w14:paraId="0193E6C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44F5A4C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4050A72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6D34E4CE">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禁止在水产种质资源保护区内新建排污口，在附近新建、改建、扩建排污口需要专题论证。水生生物保护区水域不新设排污口和开展生产性捕捞；禁止在水产种质资源保护区的岸线和河段范围内新建围湖（河）造田（地）等投资建设项目。</w:t>
                  </w:r>
                </w:p>
              </w:tc>
              <w:tc>
                <w:tcPr>
                  <w:tcW w:w="1253" w:type="pct"/>
                  <w:tcBorders>
                    <w:tl2br w:val="nil"/>
                    <w:tr2bl w:val="nil"/>
                  </w:tcBorders>
                  <w:vAlign w:val="center"/>
                </w:tcPr>
                <w:p w14:paraId="3474A5F1">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lang w:val="en-US" w:eastAsia="zh-CN"/>
                    </w:rPr>
                    <w:t>本项目</w:t>
                  </w:r>
                  <w:r>
                    <w:rPr>
                      <w:rFonts w:hint="eastAsia" w:cs="Times New Roman"/>
                      <w:color w:val="auto"/>
                      <w:spacing w:val="-2"/>
                      <w:sz w:val="21"/>
                      <w:szCs w:val="21"/>
                      <w:lang w:val="en-US" w:eastAsia="zh-CN"/>
                    </w:rPr>
                    <w:t>不在</w:t>
                  </w:r>
                  <w:r>
                    <w:rPr>
                      <w:rFonts w:hint="default" w:ascii="Times New Roman" w:hAnsi="Times New Roman" w:eastAsia="宋体" w:cs="Times New Roman"/>
                      <w:color w:val="auto"/>
                      <w:spacing w:val="-2"/>
                      <w:sz w:val="21"/>
                      <w:szCs w:val="21"/>
                    </w:rPr>
                    <w:t>水产种质资源保护区</w:t>
                  </w:r>
                  <w:r>
                    <w:rPr>
                      <w:rFonts w:hint="eastAsia" w:cs="Times New Roman"/>
                      <w:color w:val="auto"/>
                      <w:spacing w:val="-2"/>
                      <w:sz w:val="21"/>
                      <w:szCs w:val="21"/>
                      <w:lang w:eastAsia="zh-CN"/>
                    </w:rPr>
                    <w:t>、</w:t>
                  </w:r>
                  <w:r>
                    <w:rPr>
                      <w:rFonts w:hint="default" w:ascii="Times New Roman" w:hAnsi="Times New Roman" w:eastAsia="宋体" w:cs="Times New Roman"/>
                      <w:color w:val="auto"/>
                      <w:spacing w:val="-2"/>
                      <w:sz w:val="21"/>
                      <w:szCs w:val="21"/>
                    </w:rPr>
                    <w:t>水生生物保护区水域</w:t>
                  </w:r>
                  <w:r>
                    <w:rPr>
                      <w:rFonts w:hint="eastAsia" w:cs="Times New Roman"/>
                      <w:color w:val="auto"/>
                      <w:spacing w:val="-2"/>
                      <w:sz w:val="21"/>
                      <w:szCs w:val="21"/>
                      <w:lang w:val="en-US" w:eastAsia="zh-CN"/>
                    </w:rPr>
                    <w:t>建设</w:t>
                  </w:r>
                  <w:r>
                    <w:rPr>
                      <w:rFonts w:hint="eastAsia" w:cs="Times New Roman"/>
                      <w:color w:val="auto"/>
                      <w:spacing w:val="-2"/>
                      <w:sz w:val="21"/>
                      <w:szCs w:val="21"/>
                      <w:lang w:eastAsia="zh-CN"/>
                    </w:rPr>
                    <w:t>。</w:t>
                  </w:r>
                </w:p>
              </w:tc>
            </w:tr>
            <w:tr w14:paraId="1DE9D66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42A5AEB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52D6261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314F0F73">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不在“五河一湖”(赣江、抚河、信江、饶河、修河和鄱阳湖)及东江源头保护区新建规模化畜禽养殖项目。</w:t>
                  </w:r>
                </w:p>
              </w:tc>
              <w:tc>
                <w:tcPr>
                  <w:tcW w:w="1253" w:type="pct"/>
                  <w:tcBorders>
                    <w:tl2br w:val="nil"/>
                    <w:tr2bl w:val="nil"/>
                  </w:tcBorders>
                  <w:vAlign w:val="center"/>
                </w:tcPr>
                <w:p w14:paraId="74D54939">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本项目</w:t>
                  </w:r>
                  <w:r>
                    <w:rPr>
                      <w:rFonts w:hint="eastAsia" w:cs="Times New Roman"/>
                      <w:color w:val="auto"/>
                      <w:spacing w:val="-2"/>
                      <w:sz w:val="21"/>
                      <w:szCs w:val="21"/>
                      <w:lang w:val="en-US" w:eastAsia="zh-CN"/>
                    </w:rPr>
                    <w:t>不属于</w:t>
                  </w:r>
                  <w:r>
                    <w:rPr>
                      <w:rFonts w:hint="default" w:ascii="Times New Roman" w:hAnsi="Times New Roman" w:eastAsia="宋体" w:cs="Times New Roman"/>
                      <w:color w:val="auto"/>
                      <w:spacing w:val="-2"/>
                      <w:sz w:val="21"/>
                      <w:szCs w:val="21"/>
                    </w:rPr>
                    <w:t>规模化畜禽养殖项目</w:t>
                  </w:r>
                  <w:r>
                    <w:rPr>
                      <w:rFonts w:hint="eastAsia" w:cs="Times New Roman"/>
                      <w:color w:val="auto"/>
                      <w:spacing w:val="-2"/>
                      <w:sz w:val="21"/>
                      <w:szCs w:val="21"/>
                      <w:lang w:eastAsia="zh-CN"/>
                    </w:rPr>
                    <w:t>。</w:t>
                  </w:r>
                </w:p>
              </w:tc>
            </w:tr>
            <w:tr w14:paraId="5517B9F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060EDCB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2C53B0A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4ED2DA76">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禁止在饮用水水源保护区内设置排污口。在水源地一级保护区内禁止新、改、扩建与供水设施和保护水源无关的建设项目，不得从事网箱养殖、旅游、游泳、垂钓或者其他可能污染水源的活动；在水源地二级保护区内禁止新建、改建、扩建排放污染物的建设项目；在水源地准保护区内禁止新、扩建对水体污染严重的建设项目，改建项目不得增加排污量。</w:t>
                  </w:r>
                </w:p>
              </w:tc>
              <w:tc>
                <w:tcPr>
                  <w:tcW w:w="1253" w:type="pct"/>
                  <w:tcBorders>
                    <w:tl2br w:val="nil"/>
                    <w:tr2bl w:val="nil"/>
                  </w:tcBorders>
                  <w:vAlign w:val="center"/>
                </w:tcPr>
                <w:p w14:paraId="615A1FDA">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本项目不在</w:t>
                  </w:r>
                  <w:r>
                    <w:rPr>
                      <w:rFonts w:hint="default" w:ascii="Times New Roman" w:hAnsi="Times New Roman" w:eastAsia="宋体" w:cs="Times New Roman"/>
                      <w:color w:val="auto"/>
                      <w:spacing w:val="-2"/>
                      <w:sz w:val="21"/>
                      <w:szCs w:val="21"/>
                    </w:rPr>
                    <w:t>饮用水水源保护区</w:t>
                  </w:r>
                  <w:r>
                    <w:rPr>
                      <w:rFonts w:hint="eastAsia" w:cs="Times New Roman"/>
                      <w:color w:val="auto"/>
                      <w:spacing w:val="-2"/>
                      <w:sz w:val="21"/>
                      <w:szCs w:val="21"/>
                      <w:lang w:eastAsia="zh-CN"/>
                    </w:rPr>
                    <w:t>、</w:t>
                  </w:r>
                  <w:r>
                    <w:rPr>
                      <w:rFonts w:hint="default" w:ascii="Times New Roman" w:hAnsi="Times New Roman" w:eastAsia="宋体" w:cs="Times New Roman"/>
                      <w:color w:val="auto"/>
                      <w:spacing w:val="-2"/>
                      <w:sz w:val="21"/>
                      <w:szCs w:val="21"/>
                    </w:rPr>
                    <w:t>水源地一级保护区</w:t>
                  </w:r>
                  <w:r>
                    <w:rPr>
                      <w:rFonts w:hint="eastAsia" w:cs="Times New Roman"/>
                      <w:color w:val="auto"/>
                      <w:spacing w:val="-2"/>
                      <w:sz w:val="21"/>
                      <w:szCs w:val="21"/>
                      <w:lang w:eastAsia="zh-CN"/>
                    </w:rPr>
                    <w:t>、</w:t>
                  </w:r>
                  <w:r>
                    <w:rPr>
                      <w:rFonts w:hint="default" w:ascii="Times New Roman" w:hAnsi="Times New Roman" w:eastAsia="宋体" w:cs="Times New Roman"/>
                      <w:color w:val="auto"/>
                      <w:spacing w:val="-2"/>
                      <w:sz w:val="21"/>
                      <w:szCs w:val="21"/>
                    </w:rPr>
                    <w:t>水源地二级保护区</w:t>
                  </w:r>
                  <w:r>
                    <w:rPr>
                      <w:rFonts w:hint="eastAsia" w:cs="Times New Roman"/>
                      <w:color w:val="auto"/>
                      <w:spacing w:val="-2"/>
                      <w:sz w:val="21"/>
                      <w:szCs w:val="21"/>
                      <w:lang w:eastAsia="zh-CN"/>
                    </w:rPr>
                    <w:t>、</w:t>
                  </w:r>
                  <w:r>
                    <w:rPr>
                      <w:rFonts w:hint="default" w:ascii="Times New Roman" w:hAnsi="Times New Roman" w:eastAsia="宋体" w:cs="Times New Roman"/>
                      <w:color w:val="auto"/>
                      <w:spacing w:val="-2"/>
                      <w:sz w:val="21"/>
                      <w:szCs w:val="21"/>
                    </w:rPr>
                    <w:t>水源地准保护区内</w:t>
                  </w:r>
                  <w:r>
                    <w:rPr>
                      <w:rFonts w:hint="eastAsia" w:cs="Times New Roman"/>
                      <w:color w:val="auto"/>
                      <w:spacing w:val="-2"/>
                      <w:sz w:val="21"/>
                      <w:szCs w:val="21"/>
                      <w:lang w:val="en-US" w:eastAsia="zh-CN"/>
                    </w:rPr>
                    <w:t>建设。</w:t>
                  </w:r>
                </w:p>
              </w:tc>
            </w:tr>
            <w:tr w14:paraId="5A08F14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6EE9319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0FCDA6D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53D20367">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生态保护红线内，自然保护地核心保护区原则上禁止人为活动；自然保护地核心保护区外，禁止开发性、生产性建设活动，在符合法律法规前提下，除国家重大战略项目外，仅允许对生态功能不造成破坏的有限人为活动。生态保护红线内国家公园、自然保护区、风景名胜区等自然保护地、重要湿地、饮用水水源保护区等区域，依照法律法规执行。生态保护红线内允许的有限人为活动涉及上述相关法定保护地的，应当征求相关主管部门或具有审批权限的相关机构的意见。生态保护红线内有限人为活动涉及新增建设用地的，在建设项目用地预审和选址时，应当附设区市政府出具的“符合生态保护红线内允许有限人为活动的初步认定意见”；在农用地转用、土地征收报批时，应当附省政府出具的“符合生态保护红线内允许有限人为活动的认定意见”。生态保护红线内允许的有限人为活动和国家重大项目所必须占用临时用地的，要论述其必要性和避让生态保护红线的充分性，且必须能够逐步恢复生态功能，确保生态功能不降低。</w:t>
                  </w:r>
                </w:p>
              </w:tc>
              <w:tc>
                <w:tcPr>
                  <w:tcW w:w="1253" w:type="pct"/>
                  <w:tcBorders>
                    <w:tl2br w:val="nil"/>
                    <w:tr2bl w:val="nil"/>
                  </w:tcBorders>
                  <w:vAlign w:val="center"/>
                </w:tcPr>
                <w:p w14:paraId="0E2F2845">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本项目不在生态保护红线范围内。</w:t>
                  </w:r>
                </w:p>
              </w:tc>
            </w:tr>
            <w:tr w14:paraId="7AD5DDE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43A1C4A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12D52EC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2755B03C">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一般生态空间内涉及的自然保护地、饮用水源保护区、水产种质资源保护区等各类受法定保护区域，按照相关管理条例、规定和办法执行。一般生态空间内所属的林地、湿地、河湖水域及自然岸线等，按照不同类型进行差异化管理。一般生态空间内的法定保护地外区域，不宜开展大规模的工业化和城镇化，应避免开发建设活动损害其生态服务功能和生态产品质量</w:t>
                  </w:r>
                  <w:r>
                    <w:rPr>
                      <w:rFonts w:hint="eastAsia" w:cs="Times New Roman"/>
                      <w:color w:val="auto"/>
                      <w:spacing w:val="-2"/>
                      <w:sz w:val="21"/>
                      <w:szCs w:val="21"/>
                      <w:lang w:eastAsia="zh-CN"/>
                    </w:rPr>
                    <w:t>；</w:t>
                  </w:r>
                  <w:r>
                    <w:rPr>
                      <w:rFonts w:hint="default" w:ascii="Times New Roman" w:hAnsi="Times New Roman" w:eastAsia="宋体" w:cs="Times New Roman"/>
                      <w:color w:val="auto"/>
                      <w:spacing w:val="-2"/>
                      <w:sz w:val="21"/>
                      <w:szCs w:val="21"/>
                    </w:rPr>
                    <w:t>零散城镇村建设用地、永久基本农田、特殊用地等，按国土空间规划的要求开展相关活动和开发行为。</w:t>
                  </w:r>
                </w:p>
              </w:tc>
              <w:tc>
                <w:tcPr>
                  <w:tcW w:w="1253" w:type="pct"/>
                  <w:tcBorders>
                    <w:tl2br w:val="nil"/>
                    <w:tr2bl w:val="nil"/>
                  </w:tcBorders>
                  <w:vAlign w:val="center"/>
                </w:tcPr>
                <w:p w14:paraId="09941708">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w:t>
                  </w:r>
                  <w:r>
                    <w:rPr>
                      <w:rFonts w:hint="default" w:ascii="Times New Roman" w:hAnsi="Times New Roman" w:eastAsia="宋体" w:cs="Times New Roman"/>
                      <w:color w:val="auto"/>
                      <w:spacing w:val="-2"/>
                      <w:sz w:val="21"/>
                      <w:szCs w:val="21"/>
                    </w:rPr>
                    <w:t>涉及的自然保护地、饮用水源保护区、水产种质资源保护区等各类受法定保护区域</w:t>
                  </w:r>
                  <w:r>
                    <w:rPr>
                      <w:rFonts w:hint="eastAsia" w:cs="Times New Roman"/>
                      <w:color w:val="auto"/>
                      <w:spacing w:val="-2"/>
                      <w:sz w:val="21"/>
                      <w:szCs w:val="21"/>
                      <w:lang w:eastAsia="zh-CN"/>
                    </w:rPr>
                    <w:t>。</w:t>
                  </w:r>
                </w:p>
              </w:tc>
            </w:tr>
            <w:tr w14:paraId="284D1AC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2A2F961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21B2116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39D2618E">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除国家规定的外，禁止在国家湿地公园的岸线和河段范围内挖沙、采矿以及任何不符合主体功能定位的投资建设项目。</w:t>
                  </w:r>
                </w:p>
              </w:tc>
              <w:tc>
                <w:tcPr>
                  <w:tcW w:w="1253" w:type="pct"/>
                  <w:tcBorders>
                    <w:tl2br w:val="nil"/>
                    <w:tr2bl w:val="nil"/>
                  </w:tcBorders>
                  <w:vAlign w:val="center"/>
                </w:tcPr>
                <w:p w14:paraId="3149B98A">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本项目不在</w:t>
                  </w:r>
                  <w:r>
                    <w:rPr>
                      <w:rFonts w:hint="default" w:ascii="Times New Roman" w:hAnsi="Times New Roman" w:eastAsia="宋体" w:cs="Times New Roman"/>
                      <w:color w:val="auto"/>
                      <w:spacing w:val="-2"/>
                      <w:sz w:val="21"/>
                      <w:szCs w:val="21"/>
                    </w:rPr>
                    <w:t>国家湿地公园的岸线和河段范围内</w:t>
                  </w:r>
                  <w:r>
                    <w:rPr>
                      <w:rFonts w:hint="eastAsia" w:cs="Times New Roman"/>
                      <w:color w:val="auto"/>
                      <w:spacing w:val="-2"/>
                      <w:sz w:val="21"/>
                      <w:szCs w:val="21"/>
                      <w:lang w:val="en-US" w:eastAsia="zh-CN"/>
                    </w:rPr>
                    <w:t>建设。</w:t>
                  </w:r>
                </w:p>
              </w:tc>
            </w:tr>
            <w:tr w14:paraId="74F2E68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restart"/>
                  <w:tcBorders>
                    <w:tl2br w:val="nil"/>
                    <w:tr2bl w:val="nil"/>
                  </w:tcBorders>
                  <w:vAlign w:val="center"/>
                </w:tcPr>
                <w:p w14:paraId="623C1AD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w:t>
                  </w:r>
                </w:p>
                <w:p w14:paraId="501614A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w:t>
                  </w:r>
                </w:p>
                <w:p w14:paraId="5E9E1BC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单元</w:t>
                  </w:r>
                </w:p>
              </w:tc>
              <w:tc>
                <w:tcPr>
                  <w:tcW w:w="501" w:type="pct"/>
                  <w:vMerge w:val="restart"/>
                  <w:tcBorders>
                    <w:tl2br w:val="nil"/>
                    <w:tr2bl w:val="nil"/>
                  </w:tcBorders>
                  <w:vAlign w:val="center"/>
                </w:tcPr>
                <w:p w14:paraId="656FA4A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w:t>
                  </w:r>
                </w:p>
                <w:p w14:paraId="22D0551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局约束</w:t>
                  </w:r>
                </w:p>
              </w:tc>
              <w:tc>
                <w:tcPr>
                  <w:tcW w:w="2797" w:type="pct"/>
                  <w:tcBorders>
                    <w:tl2br w:val="nil"/>
                    <w:tr2bl w:val="nil"/>
                  </w:tcBorders>
                  <w:shd w:val="clear" w:color="auto" w:fill="auto"/>
                  <w:vAlign w:val="center"/>
                </w:tcPr>
                <w:p w14:paraId="4E73F3A3">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禁止新、扩建不符合国家石化、现代煤化工等产业布局规划的项目。禁止新建、扩建法律法规和相关政策明令禁止的落后产能项目。禁止开展投资建设属于淘汰类的项目及其相关活动，禁止开展投资新建、扩建属于限制类的项目及其相关活动。禁止新建、扩建不符合国家产能置换要求的钢铁、电解铝、水泥熟料、平板玻璃、船舶等严重过剩产能行业的项目。对确有必要建设的，必须严格执行产能置换实施办法，实施减量或等量置换，依法依规办理有关手续。禁止新建、扩建不符合要求的高耗能高排放项目。</w:t>
                  </w:r>
                </w:p>
              </w:tc>
              <w:tc>
                <w:tcPr>
                  <w:tcW w:w="1253" w:type="pct"/>
                  <w:tcBorders>
                    <w:tl2br w:val="nil"/>
                    <w:tr2bl w:val="nil"/>
                  </w:tcBorders>
                  <w:shd w:val="clear" w:color="auto" w:fill="auto"/>
                  <w:vAlign w:val="center"/>
                </w:tcPr>
                <w:p w14:paraId="199D0AA2">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本项目不属于以上类型项目。</w:t>
                  </w:r>
                </w:p>
              </w:tc>
            </w:tr>
            <w:tr w14:paraId="4AC83F6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704F102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40D87F9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shd w:val="clear" w:color="auto" w:fill="auto"/>
                  <w:vAlign w:val="center"/>
                </w:tcPr>
                <w:p w14:paraId="0EDE760C">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县级及以上城市建成区原则上不再新建35蒸吨/小时及以下燃煤锅炉。</w:t>
                  </w:r>
                </w:p>
              </w:tc>
              <w:tc>
                <w:tcPr>
                  <w:tcW w:w="1253" w:type="pct"/>
                  <w:tcBorders>
                    <w:tl2br w:val="nil"/>
                    <w:tr2bl w:val="nil"/>
                  </w:tcBorders>
                  <w:shd w:val="clear" w:color="auto" w:fill="auto"/>
                  <w:vAlign w:val="center"/>
                </w:tcPr>
                <w:p w14:paraId="4A1F891E">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本项目不使用燃煤锅炉。</w:t>
                  </w:r>
                </w:p>
              </w:tc>
            </w:tr>
            <w:tr w14:paraId="11E839D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6B0CF5C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3994EE0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shd w:val="clear" w:color="auto" w:fill="auto"/>
                  <w:vAlign w:val="center"/>
                </w:tcPr>
                <w:p w14:paraId="2232E4DA">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禁止在长江干支流、重要湖泊岸线1公里范围内新建、扩建化工园区和化工项目。禁止在合规园区外新建、扩建钢铁、石化、化工、焦化、建材、有色、制浆造纸等高污染项目。</w:t>
                  </w:r>
                </w:p>
              </w:tc>
              <w:tc>
                <w:tcPr>
                  <w:tcW w:w="1253" w:type="pct"/>
                  <w:tcBorders>
                    <w:tl2br w:val="nil"/>
                    <w:tr2bl w:val="nil"/>
                  </w:tcBorders>
                  <w:shd w:val="clear" w:color="auto" w:fill="auto"/>
                  <w:vAlign w:val="center"/>
                </w:tcPr>
                <w:p w14:paraId="19D301C2">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w:t>
                  </w:r>
                  <w:r>
                    <w:rPr>
                      <w:rFonts w:hint="default" w:ascii="Times New Roman" w:hAnsi="Times New Roman" w:eastAsia="宋体" w:cs="Times New Roman"/>
                      <w:color w:val="auto"/>
                      <w:spacing w:val="-2"/>
                      <w:sz w:val="21"/>
                      <w:szCs w:val="21"/>
                    </w:rPr>
                    <w:t>在长江干支流、重要湖泊岸线1公里范围内</w:t>
                  </w:r>
                  <w:r>
                    <w:rPr>
                      <w:rFonts w:hint="eastAsia" w:cs="Times New Roman"/>
                      <w:color w:val="auto"/>
                      <w:spacing w:val="-2"/>
                      <w:sz w:val="21"/>
                      <w:szCs w:val="21"/>
                      <w:lang w:eastAsia="zh-CN"/>
                    </w:rPr>
                    <w:t>。</w:t>
                  </w:r>
                </w:p>
              </w:tc>
            </w:tr>
            <w:tr w14:paraId="45AEBF7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21548CB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6863C81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shd w:val="clear" w:color="auto" w:fill="auto"/>
                  <w:vAlign w:val="center"/>
                </w:tcPr>
                <w:p w14:paraId="765F4F5D">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禁止建设不符合国家和省级港口布局规划以及港口总体规划的码头项目。</w:t>
                  </w:r>
                </w:p>
              </w:tc>
              <w:tc>
                <w:tcPr>
                  <w:tcW w:w="1253" w:type="pct"/>
                  <w:tcBorders>
                    <w:tl2br w:val="nil"/>
                    <w:tr2bl w:val="nil"/>
                  </w:tcBorders>
                  <w:shd w:val="clear" w:color="auto" w:fill="auto"/>
                  <w:vAlign w:val="center"/>
                </w:tcPr>
                <w:p w14:paraId="37D3CA1C">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本项目不属于码头项目。</w:t>
                  </w:r>
                </w:p>
              </w:tc>
            </w:tr>
            <w:tr w14:paraId="1C90680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1E5B8FB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2F76C88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shd w:val="clear" w:color="auto" w:fill="auto"/>
                  <w:vAlign w:val="center"/>
                </w:tcPr>
                <w:p w14:paraId="5013C939">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禁止在江河、湖泊、运河、渠道、水库最高水位线以下的滩地和岸坡堆放、存贮固体废弃物和其他污染物。</w:t>
                  </w:r>
                </w:p>
              </w:tc>
              <w:tc>
                <w:tcPr>
                  <w:tcW w:w="1253" w:type="pct"/>
                  <w:tcBorders>
                    <w:tl2br w:val="nil"/>
                    <w:tr2bl w:val="nil"/>
                  </w:tcBorders>
                  <w:shd w:val="clear" w:color="auto" w:fill="auto"/>
                  <w:vAlign w:val="center"/>
                </w:tcPr>
                <w:p w14:paraId="459DFF32">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w:t>
                  </w:r>
                  <w:r>
                    <w:rPr>
                      <w:rFonts w:hint="default" w:ascii="Times New Roman" w:hAnsi="Times New Roman" w:eastAsia="宋体" w:cs="Times New Roman"/>
                      <w:color w:val="auto"/>
                      <w:spacing w:val="-2"/>
                      <w:sz w:val="21"/>
                      <w:szCs w:val="21"/>
                    </w:rPr>
                    <w:t>在江河、湖泊、运河、渠道、水库最高水位线以下的滩地和岸坡堆放、存贮固体废弃物和其他污染物</w:t>
                  </w:r>
                  <w:r>
                    <w:rPr>
                      <w:rFonts w:hint="eastAsia" w:cs="Times New Roman"/>
                      <w:color w:val="auto"/>
                      <w:spacing w:val="-2"/>
                      <w:sz w:val="21"/>
                      <w:szCs w:val="21"/>
                      <w:lang w:eastAsia="zh-CN"/>
                    </w:rPr>
                    <w:t>。</w:t>
                  </w:r>
                </w:p>
              </w:tc>
            </w:tr>
            <w:tr w14:paraId="7EFC920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04B0534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009E1F7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5ECC7F31">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城市建成区内人口密集区、环境脆弱敏感区周边的钢铁、石油、化工、有色金属、水泥、平板玻璃、建筑陶瓷等行业中的高排放、高污染项目，应当逐步进行搬迁、改造或者转型、退出。</w:t>
                  </w:r>
                </w:p>
              </w:tc>
              <w:tc>
                <w:tcPr>
                  <w:tcW w:w="1253" w:type="pct"/>
                  <w:tcBorders>
                    <w:tl2br w:val="nil"/>
                    <w:tr2bl w:val="nil"/>
                  </w:tcBorders>
                  <w:vAlign w:val="center"/>
                </w:tcPr>
                <w:p w14:paraId="6E002F50">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本项目在江西庐山工业园区建设，不在</w:t>
                  </w:r>
                  <w:r>
                    <w:rPr>
                      <w:rFonts w:hint="default" w:ascii="Times New Roman" w:hAnsi="Times New Roman" w:eastAsia="宋体" w:cs="Times New Roman"/>
                      <w:color w:val="auto"/>
                      <w:spacing w:val="-2"/>
                      <w:sz w:val="21"/>
                      <w:szCs w:val="21"/>
                    </w:rPr>
                    <w:t>城市建成区</w:t>
                  </w:r>
                  <w:r>
                    <w:rPr>
                      <w:rFonts w:hint="eastAsia" w:cs="Times New Roman"/>
                      <w:color w:val="auto"/>
                      <w:spacing w:val="-2"/>
                      <w:sz w:val="21"/>
                      <w:szCs w:val="21"/>
                      <w:lang w:eastAsia="zh-CN"/>
                    </w:rPr>
                    <w:t>。</w:t>
                  </w:r>
                </w:p>
              </w:tc>
            </w:tr>
            <w:tr w14:paraId="31BBC84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223B275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3D071BE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19FD5031">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禁止在居民区和学校、医院、疗养院、养老院等单位周边新建、改扩建可能造成土壤污染的建设项目；在永久基本农田集中区域，不得新建可能造成土壤污染的项目，已经建成的，限期关闭拆除。</w:t>
                  </w:r>
                </w:p>
              </w:tc>
              <w:tc>
                <w:tcPr>
                  <w:tcW w:w="1253" w:type="pct"/>
                  <w:tcBorders>
                    <w:tl2br w:val="nil"/>
                    <w:tr2bl w:val="nil"/>
                  </w:tcBorders>
                  <w:vAlign w:val="center"/>
                </w:tcPr>
                <w:p w14:paraId="5294C704">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本项目建设不会污染土壤，不涉及</w:t>
                  </w:r>
                  <w:r>
                    <w:rPr>
                      <w:rFonts w:hint="default" w:ascii="Times New Roman" w:hAnsi="Times New Roman" w:eastAsia="宋体" w:cs="Times New Roman"/>
                      <w:color w:val="auto"/>
                      <w:spacing w:val="-2"/>
                      <w:sz w:val="21"/>
                      <w:szCs w:val="21"/>
                    </w:rPr>
                    <w:t>永久基本农田</w:t>
                  </w:r>
                  <w:r>
                    <w:rPr>
                      <w:rFonts w:hint="eastAsia" w:cs="Times New Roman"/>
                      <w:color w:val="auto"/>
                      <w:spacing w:val="-2"/>
                      <w:sz w:val="21"/>
                      <w:szCs w:val="21"/>
                      <w:lang w:eastAsia="zh-CN"/>
                    </w:rPr>
                    <w:t>。</w:t>
                  </w:r>
                </w:p>
              </w:tc>
            </w:tr>
            <w:tr w14:paraId="619F3CC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14AB0DE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restart"/>
                  <w:tcBorders>
                    <w:tl2br w:val="nil"/>
                    <w:tr2bl w:val="nil"/>
                  </w:tcBorders>
                  <w:vAlign w:val="center"/>
                </w:tcPr>
                <w:p w14:paraId="3E2C2F6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p w14:paraId="5B42F55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排放管</w:t>
                  </w:r>
                </w:p>
                <w:p w14:paraId="1C553D1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w:t>
                  </w:r>
                </w:p>
              </w:tc>
              <w:tc>
                <w:tcPr>
                  <w:tcW w:w="2797" w:type="pct"/>
                  <w:tcBorders>
                    <w:tl2br w:val="nil"/>
                    <w:tr2bl w:val="nil"/>
                  </w:tcBorders>
                  <w:vAlign w:val="center"/>
                </w:tcPr>
                <w:p w14:paraId="73DE07F3">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城镇开发边界内划定的特别用途区原则上禁止任何新增城镇集中建设行为，实施建设用地总量控制，原则上不得新增除市政基础设施、交通物流基础设施、生态修复工程、必要的配套及游憩设施外的其他城镇建设用地。</w:t>
                  </w:r>
                </w:p>
              </w:tc>
              <w:tc>
                <w:tcPr>
                  <w:tcW w:w="1253" w:type="pct"/>
                  <w:tcBorders>
                    <w:tl2br w:val="nil"/>
                    <w:tr2bl w:val="nil"/>
                  </w:tcBorders>
                  <w:vAlign w:val="center"/>
                </w:tcPr>
                <w:p w14:paraId="760C5805">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本项目不在城镇开发边界内。</w:t>
                  </w:r>
                </w:p>
              </w:tc>
            </w:tr>
            <w:tr w14:paraId="026AF0B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4ADC2BF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4BF8551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306EC5BC">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到2025年，全省单位生产总值能源消耗比2020年下降14%，力争达到14.5%，能源消费总量得到合理控制，氮氧化物、挥发性有机物、化学需氧量、氨氮重点工程减排量分别达到2.73万吨、1.41万吨、8.41万吨、0.55万吨。</w:t>
                  </w:r>
                </w:p>
              </w:tc>
              <w:tc>
                <w:tcPr>
                  <w:tcW w:w="1253" w:type="pct"/>
                  <w:tcBorders>
                    <w:tl2br w:val="nil"/>
                    <w:tr2bl w:val="nil"/>
                  </w:tcBorders>
                  <w:vAlign w:val="center"/>
                </w:tcPr>
                <w:p w14:paraId="268FCC2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w:t>
                  </w:r>
                </w:p>
              </w:tc>
            </w:tr>
            <w:tr w14:paraId="349BFBB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167804B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2E34795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152A4103">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禁止新建不符合国家产业政策的小型造纸、制革、印染、染料、炼焦、炼硫、炼砷、炼汞、炼油、电镀、农药、石棉、水泥、玻璃、钢铁、火电以及其他严重污染水环境的生产项目。</w:t>
                  </w:r>
                </w:p>
              </w:tc>
              <w:tc>
                <w:tcPr>
                  <w:tcW w:w="1253" w:type="pct"/>
                  <w:tcBorders>
                    <w:tl2br w:val="nil"/>
                    <w:tr2bl w:val="nil"/>
                  </w:tcBorders>
                  <w:vAlign w:val="center"/>
                </w:tcPr>
                <w:p w14:paraId="08EDBD0F">
                  <w:pPr>
                    <w:keepNext w:val="0"/>
                    <w:keepLines w:val="0"/>
                    <w:pageBreakBefore w:val="0"/>
                    <w:widowControl w:val="0"/>
                    <w:kinsoku/>
                    <w:wordWrap/>
                    <w:overflowPunct/>
                    <w:topLinePunct w:val="0"/>
                    <w:autoSpaceDE/>
                    <w:autoSpaceDN/>
                    <w:bidi w:val="0"/>
                    <w:adjustRightInd w:val="0"/>
                    <w:snapToGrid w:val="0"/>
                    <w:spacing w:line="240" w:lineRule="auto"/>
                    <w:jc w:val="both"/>
                    <w:rPr>
                      <w:rFonts w:hint="eastAsia" w:ascii="Times New Roman" w:hAnsi="Times New Roman" w:eastAsia="宋体" w:cs="Times New Roman"/>
                      <w:color w:val="auto"/>
                      <w:spacing w:val="-2"/>
                      <w:sz w:val="21"/>
                      <w:szCs w:val="21"/>
                      <w:lang w:eastAsia="zh-CN"/>
                    </w:rPr>
                  </w:pPr>
                  <w:r>
                    <w:rPr>
                      <w:rFonts w:hint="eastAsia" w:cs="Times New Roman"/>
                      <w:color w:val="auto"/>
                      <w:spacing w:val="-2"/>
                      <w:sz w:val="21"/>
                      <w:szCs w:val="21"/>
                      <w:lang w:val="en-US" w:eastAsia="zh-CN"/>
                    </w:rPr>
                    <w:t>本项目不属于</w:t>
                  </w:r>
                  <w:r>
                    <w:rPr>
                      <w:rFonts w:hint="default" w:ascii="Times New Roman" w:hAnsi="Times New Roman" w:eastAsia="宋体" w:cs="Times New Roman"/>
                      <w:color w:val="auto"/>
                      <w:spacing w:val="-2"/>
                      <w:sz w:val="21"/>
                      <w:szCs w:val="21"/>
                    </w:rPr>
                    <w:t>小型造纸、制革、印染、染料、炼焦、炼硫、炼砷、炼汞、炼油、电镀、农药、石棉、水泥、玻璃、钢铁、火电以及其他严重污染水环境的生产项目</w:t>
                  </w:r>
                  <w:r>
                    <w:rPr>
                      <w:rFonts w:hint="eastAsia" w:cs="Times New Roman"/>
                      <w:color w:val="auto"/>
                      <w:spacing w:val="-2"/>
                      <w:sz w:val="21"/>
                      <w:szCs w:val="21"/>
                      <w:lang w:eastAsia="zh-CN"/>
                    </w:rPr>
                    <w:t>。</w:t>
                  </w:r>
                </w:p>
              </w:tc>
            </w:tr>
            <w:tr w14:paraId="55339F9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3797A05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579F1F8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shd w:val="clear" w:color="auto" w:fill="auto"/>
                  <w:vAlign w:val="center"/>
                </w:tcPr>
                <w:p w14:paraId="1822D254">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新建、改建、扩建造纸、焦化、氮肥、有色金属、印染、农副食品加工、原料药制造、制革、农药、电镀等重点行业建设项目，实行主要污染物排放等量或减量置换。</w:t>
                  </w:r>
                </w:p>
              </w:tc>
              <w:tc>
                <w:tcPr>
                  <w:tcW w:w="1253" w:type="pct"/>
                  <w:tcBorders>
                    <w:tl2br w:val="nil"/>
                    <w:tr2bl w:val="nil"/>
                  </w:tcBorders>
                  <w:shd w:val="clear" w:color="auto" w:fill="auto"/>
                  <w:vAlign w:val="center"/>
                </w:tcPr>
                <w:p w14:paraId="0D0A346E">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pacing w:val="-2"/>
                      <w:sz w:val="21"/>
                      <w:szCs w:val="21"/>
                      <w:lang w:val="en-US" w:eastAsia="zh-CN"/>
                    </w:rPr>
                  </w:pPr>
                  <w:r>
                    <w:rPr>
                      <w:rFonts w:hint="eastAsia" w:cs="Times New Roman"/>
                      <w:color w:val="auto"/>
                      <w:sz w:val="21"/>
                      <w:szCs w:val="21"/>
                      <w:lang w:val="en-US" w:eastAsia="zh-CN"/>
                    </w:rPr>
                    <w:t>本项目不属于</w:t>
                  </w:r>
                  <w:r>
                    <w:rPr>
                      <w:rFonts w:hint="default" w:ascii="Times New Roman" w:hAnsi="Times New Roman" w:eastAsia="宋体" w:cs="Times New Roman"/>
                      <w:color w:val="auto"/>
                      <w:sz w:val="21"/>
                      <w:szCs w:val="21"/>
                    </w:rPr>
                    <w:t>造纸、焦化、氮肥、有色金属、印染、农副食品加工、原料药制造、制革、农药、电镀等重点行业</w:t>
                  </w:r>
                  <w:r>
                    <w:rPr>
                      <w:rFonts w:hint="eastAsia" w:cs="Times New Roman"/>
                      <w:color w:val="auto"/>
                      <w:sz w:val="21"/>
                      <w:szCs w:val="21"/>
                      <w:lang w:eastAsia="zh-CN"/>
                    </w:rPr>
                    <w:t>。</w:t>
                  </w:r>
                </w:p>
              </w:tc>
            </w:tr>
            <w:tr w14:paraId="7571EAD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2E4EF3D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7BE1B49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shd w:val="clear" w:color="auto" w:fill="auto"/>
                  <w:vAlign w:val="center"/>
                </w:tcPr>
                <w:p w14:paraId="43FE0C98">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严格落实钢铁、水泥、平板玻璃产能减量置换政策。推进钢铁、水泥、焦化行业及燃煤锅炉超低排放改造。</w:t>
                  </w:r>
                </w:p>
              </w:tc>
              <w:tc>
                <w:tcPr>
                  <w:tcW w:w="1253" w:type="pct"/>
                  <w:tcBorders>
                    <w:tl2br w:val="nil"/>
                    <w:tr2bl w:val="nil"/>
                  </w:tcBorders>
                  <w:shd w:val="clear" w:color="auto" w:fill="auto"/>
                  <w:vAlign w:val="center"/>
                </w:tcPr>
                <w:p w14:paraId="5BCFA997">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本项目为</w:t>
                  </w:r>
                  <w:r>
                    <w:rPr>
                      <w:rFonts w:hint="eastAsia" w:ascii="Times New Roman" w:hAnsi="Times New Roman" w:eastAsia="宋体" w:cs="Times New Roman"/>
                      <w:color w:val="auto"/>
                      <w:sz w:val="21"/>
                      <w:szCs w:val="21"/>
                    </w:rPr>
                    <w:t>卫生材料及医药用品制造</w:t>
                  </w:r>
                  <w:r>
                    <w:rPr>
                      <w:rFonts w:hint="eastAsia" w:cs="Times New Roman"/>
                      <w:color w:val="auto"/>
                      <w:spacing w:val="-2"/>
                      <w:sz w:val="21"/>
                      <w:szCs w:val="21"/>
                      <w:lang w:val="en-US" w:eastAsia="zh-CN"/>
                    </w:rPr>
                    <w:t>，不属于</w:t>
                  </w:r>
                  <w:r>
                    <w:rPr>
                      <w:rFonts w:hint="default" w:ascii="Times New Roman" w:hAnsi="Times New Roman" w:eastAsia="宋体" w:cs="Times New Roman"/>
                      <w:color w:val="auto"/>
                      <w:spacing w:val="-2"/>
                      <w:sz w:val="21"/>
                      <w:szCs w:val="21"/>
                    </w:rPr>
                    <w:t>钢铁、水泥、平板玻璃</w:t>
                  </w:r>
                  <w:r>
                    <w:rPr>
                      <w:rFonts w:hint="eastAsia" w:cs="Times New Roman"/>
                      <w:color w:val="auto"/>
                      <w:spacing w:val="-2"/>
                      <w:sz w:val="21"/>
                      <w:szCs w:val="21"/>
                      <w:lang w:val="en-US" w:eastAsia="zh-CN"/>
                    </w:rPr>
                    <w:t>行业。</w:t>
                  </w:r>
                </w:p>
              </w:tc>
            </w:tr>
            <w:tr w14:paraId="7A9DE09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2630AF7E">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6DD51A4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shd w:val="clear" w:color="auto" w:fill="auto"/>
                  <w:vAlign w:val="center"/>
                </w:tcPr>
                <w:p w14:paraId="237A1212">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推动全省34个涉气重点行业企业绩效分级，积极引导污染物排放总量大、污染物排放浓度高的行业企业开展超低排放改造。</w:t>
                  </w:r>
                </w:p>
              </w:tc>
              <w:tc>
                <w:tcPr>
                  <w:tcW w:w="1253" w:type="pct"/>
                  <w:tcBorders>
                    <w:tl2br w:val="nil"/>
                    <w:tr2bl w:val="nil"/>
                  </w:tcBorders>
                  <w:shd w:val="clear" w:color="auto" w:fill="auto"/>
                  <w:vAlign w:val="center"/>
                </w:tcPr>
                <w:p w14:paraId="687FF5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w:t>
                  </w:r>
                </w:p>
              </w:tc>
            </w:tr>
            <w:tr w14:paraId="0711FE7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1F2EC2E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3971E39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shd w:val="clear" w:color="auto" w:fill="auto"/>
                  <w:vAlign w:val="center"/>
                </w:tcPr>
                <w:p w14:paraId="31359182">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禁止新建、扩建不符合要求的高耗能高排放项目。</w:t>
                  </w:r>
                </w:p>
              </w:tc>
              <w:tc>
                <w:tcPr>
                  <w:tcW w:w="1253" w:type="pct"/>
                  <w:tcBorders>
                    <w:tl2br w:val="nil"/>
                    <w:tr2bl w:val="nil"/>
                  </w:tcBorders>
                  <w:shd w:val="clear" w:color="auto" w:fill="auto"/>
                  <w:vAlign w:val="center"/>
                </w:tcPr>
                <w:p w14:paraId="540F75F2">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本项目不属于</w:t>
                  </w:r>
                  <w:r>
                    <w:rPr>
                      <w:rFonts w:hint="default" w:ascii="Times New Roman" w:hAnsi="Times New Roman" w:eastAsia="宋体" w:cs="Times New Roman"/>
                      <w:color w:val="auto"/>
                      <w:sz w:val="21"/>
                      <w:szCs w:val="21"/>
                    </w:rPr>
                    <w:t>高耗能高排放项目</w:t>
                  </w:r>
                  <w:r>
                    <w:rPr>
                      <w:rFonts w:hint="eastAsia" w:ascii="Times New Roman" w:hAnsi="Times New Roman" w:eastAsia="宋体" w:cs="Times New Roman"/>
                      <w:color w:val="auto"/>
                      <w:sz w:val="21"/>
                      <w:szCs w:val="21"/>
                      <w:lang w:eastAsia="zh-CN"/>
                    </w:rPr>
                    <w:t>。</w:t>
                  </w:r>
                </w:p>
              </w:tc>
            </w:tr>
            <w:tr w14:paraId="120A2FE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341A025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restart"/>
                  <w:tcBorders>
                    <w:tl2br w:val="nil"/>
                    <w:tr2bl w:val="nil"/>
                  </w:tcBorders>
                  <w:vAlign w:val="center"/>
                </w:tcPr>
                <w:p w14:paraId="682365C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w:t>
                  </w:r>
                </w:p>
                <w:p w14:paraId="20F8C68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险防控</w:t>
                  </w:r>
                </w:p>
              </w:tc>
              <w:tc>
                <w:tcPr>
                  <w:tcW w:w="2797" w:type="pct"/>
                  <w:tcBorders>
                    <w:tl2br w:val="nil"/>
                    <w:tr2bl w:val="nil"/>
                  </w:tcBorders>
                  <w:shd w:val="clear" w:color="auto" w:fill="auto"/>
                  <w:vAlign w:val="center"/>
                </w:tcPr>
                <w:p w14:paraId="7D7523D9">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在居民集中区、医院和学校附近、重要水源涵养生态功能区等环境风险防控重点区域，禁止新建或扩建化工石化、有色冶炼、制浆造纸等可能引发环境风险的项目。</w:t>
                  </w:r>
                </w:p>
              </w:tc>
              <w:tc>
                <w:tcPr>
                  <w:tcW w:w="1253" w:type="pct"/>
                  <w:tcBorders>
                    <w:tl2br w:val="nil"/>
                    <w:tr2bl w:val="nil"/>
                  </w:tcBorders>
                  <w:shd w:val="clear" w:color="auto" w:fill="auto"/>
                  <w:vAlign w:val="center"/>
                </w:tcPr>
                <w:p w14:paraId="78196BBF">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本项目为</w:t>
                  </w:r>
                  <w:r>
                    <w:rPr>
                      <w:rFonts w:hint="eastAsia" w:ascii="Times New Roman" w:hAnsi="Times New Roman" w:eastAsia="宋体" w:cs="Times New Roman"/>
                      <w:color w:val="auto"/>
                      <w:sz w:val="21"/>
                      <w:szCs w:val="21"/>
                    </w:rPr>
                    <w:t>卫生材料及医药用品制造</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rPr>
                    <w:t>化工石化、有色冶炼、制浆造纸等项目</w:t>
                  </w:r>
                  <w:r>
                    <w:rPr>
                      <w:rFonts w:hint="eastAsia" w:ascii="Times New Roman" w:hAnsi="Times New Roman" w:eastAsia="宋体" w:cs="Times New Roman"/>
                      <w:color w:val="auto"/>
                      <w:sz w:val="21"/>
                      <w:szCs w:val="21"/>
                      <w:lang w:eastAsia="zh-CN"/>
                    </w:rPr>
                    <w:t>。</w:t>
                  </w:r>
                </w:p>
              </w:tc>
            </w:tr>
            <w:tr w14:paraId="1C6E9A2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697BE97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781E969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shd w:val="clear" w:color="auto" w:fill="auto"/>
                  <w:vAlign w:val="center"/>
                </w:tcPr>
                <w:p w14:paraId="3C852EE4">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含有毒有害氰化物电镀工艺（电镀金、银、铜基合金及予镀铜打底工艺除外）。</w:t>
                  </w:r>
                </w:p>
              </w:tc>
              <w:tc>
                <w:tcPr>
                  <w:tcW w:w="1253" w:type="pct"/>
                  <w:tcBorders>
                    <w:tl2br w:val="nil"/>
                    <w:tr2bl w:val="nil"/>
                  </w:tcBorders>
                  <w:shd w:val="clear" w:color="auto" w:fill="auto"/>
                  <w:vAlign w:val="center"/>
                </w:tcPr>
                <w:p w14:paraId="7756BBAD">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本项目不涉及</w:t>
                  </w:r>
                  <w:r>
                    <w:rPr>
                      <w:rFonts w:hint="default" w:ascii="Times New Roman" w:hAnsi="Times New Roman" w:eastAsia="宋体" w:cs="Times New Roman"/>
                      <w:color w:val="auto"/>
                      <w:spacing w:val="-2"/>
                      <w:sz w:val="21"/>
                      <w:szCs w:val="21"/>
                    </w:rPr>
                    <w:t>电镀工艺</w:t>
                  </w:r>
                  <w:r>
                    <w:rPr>
                      <w:rFonts w:hint="eastAsia" w:cs="Times New Roman"/>
                      <w:color w:val="auto"/>
                      <w:spacing w:val="-2"/>
                      <w:sz w:val="21"/>
                      <w:szCs w:val="21"/>
                      <w:lang w:eastAsia="zh-CN"/>
                    </w:rPr>
                    <w:t>。</w:t>
                  </w:r>
                </w:p>
              </w:tc>
            </w:tr>
            <w:tr w14:paraId="7D48210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66DD440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2347913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shd w:val="clear" w:color="auto" w:fill="auto"/>
                  <w:vAlign w:val="center"/>
                </w:tcPr>
                <w:p w14:paraId="2E40D0F6">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港口、码头、装卸站和船舶修造厂应当备有足够的船舶污染物、废弃物的接收设施；从事船舶污染物、废弃物接收作业，或者从事装载油类、污染危害性货物船舱清洗作业的单位，应当具备与其运营规模相适应的接收处理能力。</w:t>
                  </w:r>
                </w:p>
              </w:tc>
              <w:tc>
                <w:tcPr>
                  <w:tcW w:w="1253" w:type="pct"/>
                  <w:tcBorders>
                    <w:tl2br w:val="nil"/>
                    <w:tr2bl w:val="nil"/>
                  </w:tcBorders>
                  <w:shd w:val="clear" w:color="auto" w:fill="auto"/>
                  <w:vAlign w:val="center"/>
                </w:tcPr>
                <w:p w14:paraId="3A6B216C">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eastAsia"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本项目不涉及</w:t>
                  </w:r>
                  <w:r>
                    <w:rPr>
                      <w:rFonts w:hint="default" w:ascii="Times New Roman" w:hAnsi="Times New Roman" w:eastAsia="宋体" w:cs="Times New Roman"/>
                      <w:color w:val="auto"/>
                      <w:spacing w:val="-2"/>
                      <w:sz w:val="21"/>
                      <w:szCs w:val="21"/>
                    </w:rPr>
                    <w:t>港口、码头、装卸站和船舶修造厂</w:t>
                  </w:r>
                  <w:r>
                    <w:rPr>
                      <w:rFonts w:hint="eastAsia" w:cs="Times New Roman"/>
                      <w:color w:val="auto"/>
                      <w:spacing w:val="-2"/>
                      <w:sz w:val="21"/>
                      <w:szCs w:val="21"/>
                      <w:lang w:eastAsia="zh-CN"/>
                    </w:rPr>
                    <w:t>。</w:t>
                  </w:r>
                </w:p>
              </w:tc>
            </w:tr>
            <w:tr w14:paraId="18DF2A6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6C5C2EA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24910F9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shd w:val="clear" w:color="auto" w:fill="auto"/>
                  <w:vAlign w:val="center"/>
                </w:tcPr>
                <w:p w14:paraId="7A8884C4">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位于城镇人口密集区内，安全、卫生防护距离不能满足相关要求和不符合规划的现有危险化学品生产企业限期退出或依法关停。</w:t>
                  </w:r>
                </w:p>
              </w:tc>
              <w:tc>
                <w:tcPr>
                  <w:tcW w:w="1253" w:type="pct"/>
                  <w:tcBorders>
                    <w:tl2br w:val="nil"/>
                    <w:tr2bl w:val="nil"/>
                  </w:tcBorders>
                  <w:shd w:val="clear" w:color="auto" w:fill="auto"/>
                  <w:vAlign w:val="center"/>
                </w:tcPr>
                <w:p w14:paraId="38CA4704">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本项目在江西庐山工业园内，</w:t>
                  </w:r>
                  <w:r>
                    <w:rPr>
                      <w:rFonts w:hint="eastAsia" w:cs="Times New Roman"/>
                      <w:color w:val="auto"/>
                      <w:spacing w:val="-2"/>
                      <w:sz w:val="21"/>
                      <w:szCs w:val="21"/>
                      <w:lang w:val="en-US" w:eastAsia="zh-CN"/>
                    </w:rPr>
                    <w:t>不在</w:t>
                  </w:r>
                  <w:r>
                    <w:rPr>
                      <w:rFonts w:hint="default" w:ascii="Times New Roman" w:hAnsi="Times New Roman" w:eastAsia="宋体" w:cs="Times New Roman"/>
                      <w:color w:val="auto"/>
                      <w:spacing w:val="-2"/>
                      <w:sz w:val="21"/>
                      <w:szCs w:val="21"/>
                    </w:rPr>
                    <w:t>城镇人口密集区内</w:t>
                  </w:r>
                  <w:r>
                    <w:rPr>
                      <w:rFonts w:hint="eastAsia" w:cs="Times New Roman"/>
                      <w:color w:val="auto"/>
                      <w:spacing w:val="-2"/>
                      <w:sz w:val="21"/>
                      <w:szCs w:val="21"/>
                      <w:lang w:eastAsia="zh-CN"/>
                    </w:rPr>
                    <w:t>。</w:t>
                  </w:r>
                </w:p>
              </w:tc>
            </w:tr>
            <w:tr w14:paraId="0408A03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377575F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5BBAEFC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shd w:val="clear" w:color="auto" w:fill="auto"/>
                  <w:vAlign w:val="center"/>
                </w:tcPr>
                <w:p w14:paraId="5F4A6ACB">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禁止在长江干流岸线三公里范围内和重要支流岸线一公里范围内新建、改建、扩建尾矿库、冶炼渣库和磷石膏库，以提升安全、生态环境保护水平为目的的改建除外。</w:t>
                  </w:r>
                </w:p>
              </w:tc>
              <w:tc>
                <w:tcPr>
                  <w:tcW w:w="1253" w:type="pct"/>
                  <w:tcBorders>
                    <w:tl2br w:val="nil"/>
                    <w:tr2bl w:val="nil"/>
                  </w:tcBorders>
                  <w:shd w:val="clear" w:color="auto" w:fill="auto"/>
                  <w:vAlign w:val="center"/>
                </w:tcPr>
                <w:p w14:paraId="7F7DF2C7">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ascii="Times New Roman" w:hAnsi="Times New Roman" w:eastAsia="宋体" w:cs="Times New Roman"/>
                      <w:color w:val="auto"/>
                      <w:spacing w:val="-2"/>
                      <w:sz w:val="21"/>
                      <w:szCs w:val="21"/>
                      <w:lang w:val="en-US" w:eastAsia="zh-CN"/>
                    </w:rPr>
                  </w:pPr>
                  <w:r>
                    <w:rPr>
                      <w:rFonts w:hint="eastAsia" w:cs="Times New Roman"/>
                      <w:color w:val="auto"/>
                      <w:spacing w:val="-2"/>
                      <w:sz w:val="21"/>
                      <w:szCs w:val="21"/>
                      <w:lang w:val="en-US" w:eastAsia="zh-CN"/>
                    </w:rPr>
                    <w:t>本项目不属于</w:t>
                  </w:r>
                  <w:r>
                    <w:rPr>
                      <w:rFonts w:hint="default" w:ascii="Times New Roman" w:hAnsi="Times New Roman" w:eastAsia="宋体" w:cs="Times New Roman"/>
                      <w:color w:val="auto"/>
                      <w:spacing w:val="-2"/>
                      <w:sz w:val="21"/>
                      <w:szCs w:val="21"/>
                    </w:rPr>
                    <w:t>尾矿库、冶炼渣库和磷石膏库</w:t>
                  </w:r>
                  <w:r>
                    <w:rPr>
                      <w:rFonts w:hint="eastAsia" w:cs="Times New Roman"/>
                      <w:color w:val="auto"/>
                      <w:spacing w:val="-2"/>
                      <w:sz w:val="21"/>
                      <w:szCs w:val="21"/>
                      <w:lang w:val="en-US" w:eastAsia="zh-CN"/>
                    </w:rPr>
                    <w:t>建设项目。</w:t>
                  </w:r>
                </w:p>
              </w:tc>
            </w:tr>
            <w:tr w14:paraId="4151673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5C2F8C3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restart"/>
                  <w:tcBorders>
                    <w:tl2br w:val="nil"/>
                    <w:tr2bl w:val="nil"/>
                  </w:tcBorders>
                  <w:vAlign w:val="center"/>
                </w:tcPr>
                <w:p w14:paraId="2295BFA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w:t>
                  </w:r>
                </w:p>
                <w:p w14:paraId="0C64948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用效率</w:t>
                  </w:r>
                </w:p>
              </w:tc>
              <w:tc>
                <w:tcPr>
                  <w:tcW w:w="2797" w:type="pct"/>
                  <w:tcBorders>
                    <w:tl2br w:val="nil"/>
                    <w:tr2bl w:val="nil"/>
                  </w:tcBorders>
                  <w:shd w:val="clear" w:color="auto" w:fill="auto"/>
                  <w:vAlign w:val="center"/>
                </w:tcPr>
                <w:p w14:paraId="5084E20E">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对取用水总量已达到或超过控制指标的地区，暂停审批建设项目新增取水。对取用水总量接近控制指标的地区，限制审批建设项目新增取水。</w:t>
                  </w:r>
                </w:p>
              </w:tc>
              <w:tc>
                <w:tcPr>
                  <w:tcW w:w="1253" w:type="pct"/>
                  <w:tcBorders>
                    <w:tl2br w:val="nil"/>
                    <w:tr2bl w:val="nil"/>
                  </w:tcBorders>
                  <w:shd w:val="clear" w:color="auto" w:fill="auto"/>
                  <w:vAlign w:val="center"/>
                </w:tcPr>
                <w:p w14:paraId="4EFCC09C">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本项目不涉及</w:t>
                  </w:r>
                  <w:r>
                    <w:rPr>
                      <w:rFonts w:hint="eastAsia" w:cs="Times New Roman"/>
                      <w:color w:val="auto"/>
                      <w:spacing w:val="-2"/>
                      <w:sz w:val="21"/>
                      <w:szCs w:val="21"/>
                      <w:lang w:val="en-US" w:eastAsia="zh-CN"/>
                    </w:rPr>
                    <w:t>新增取水</w:t>
                  </w:r>
                  <w:r>
                    <w:rPr>
                      <w:rFonts w:hint="default" w:ascii="Times New Roman" w:hAnsi="Times New Roman" w:eastAsia="宋体" w:cs="Times New Roman"/>
                      <w:color w:val="auto"/>
                      <w:spacing w:val="-2"/>
                      <w:sz w:val="21"/>
                      <w:szCs w:val="21"/>
                      <w:lang w:val="en-US" w:eastAsia="zh-CN"/>
                    </w:rPr>
                    <w:t>。</w:t>
                  </w:r>
                </w:p>
              </w:tc>
            </w:tr>
            <w:tr w14:paraId="1B476BB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30B544F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3191788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4"/>
                      <w:sz w:val="21"/>
                      <w:szCs w:val="21"/>
                    </w:rPr>
                  </w:pPr>
                </w:p>
              </w:tc>
              <w:tc>
                <w:tcPr>
                  <w:tcW w:w="2797" w:type="pct"/>
                  <w:tcBorders>
                    <w:tl2br w:val="nil"/>
                    <w:tr2bl w:val="nil"/>
                  </w:tcBorders>
                  <w:shd w:val="clear" w:color="auto" w:fill="auto"/>
                  <w:vAlign w:val="center"/>
                </w:tcPr>
                <w:p w14:paraId="5F1AE5C9">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在禁燃区内，禁止新建、扩建燃用高污染燃料的项目和设施，已建成的应逐步改用天然气、电或者其他清洁能源。</w:t>
                  </w:r>
                </w:p>
              </w:tc>
              <w:tc>
                <w:tcPr>
                  <w:tcW w:w="1253" w:type="pct"/>
                  <w:tcBorders>
                    <w:tl2br w:val="nil"/>
                    <w:tr2bl w:val="nil"/>
                  </w:tcBorders>
                  <w:shd w:val="clear" w:color="auto" w:fill="auto"/>
                  <w:vAlign w:val="center"/>
                </w:tcPr>
                <w:p w14:paraId="18EFCCB4">
                  <w:pPr>
                    <w:keepNext w:val="0"/>
                    <w:keepLines w:val="0"/>
                    <w:pageBreakBefore w:val="0"/>
                    <w:widowControl w:val="0"/>
                    <w:kinsoku/>
                    <w:wordWrap/>
                    <w:overflowPunct/>
                    <w:topLinePunct w:val="0"/>
                    <w:autoSpaceDE/>
                    <w:autoSpaceDN/>
                    <w:bidi w:val="0"/>
                    <w:adjustRightInd w:val="0"/>
                    <w:snapToGrid w:val="0"/>
                    <w:spacing w:line="240" w:lineRule="auto"/>
                    <w:jc w:val="both"/>
                    <w:textAlignment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本项目不使用高污染燃料，</w:t>
                  </w:r>
                  <w:r>
                    <w:rPr>
                      <w:rFonts w:hint="eastAsia" w:cs="Times New Roman"/>
                      <w:color w:val="auto"/>
                      <w:spacing w:val="-2"/>
                      <w:sz w:val="21"/>
                      <w:szCs w:val="21"/>
                      <w:lang w:val="en-US" w:eastAsia="zh-CN"/>
                    </w:rPr>
                    <w:t>采用天然气为热源</w:t>
                  </w:r>
                  <w:r>
                    <w:rPr>
                      <w:rFonts w:hint="default" w:ascii="Times New Roman" w:hAnsi="Times New Roman" w:eastAsia="宋体" w:cs="Times New Roman"/>
                      <w:color w:val="auto"/>
                      <w:spacing w:val="-2"/>
                      <w:sz w:val="21"/>
                      <w:szCs w:val="21"/>
                      <w:lang w:val="en-US" w:eastAsia="zh-CN"/>
                    </w:rPr>
                    <w:t>。</w:t>
                  </w:r>
                </w:p>
              </w:tc>
            </w:tr>
            <w:tr w14:paraId="40E1C05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restart"/>
                  <w:tcBorders>
                    <w:tl2br w:val="nil"/>
                    <w:tr2bl w:val="nil"/>
                  </w:tcBorders>
                  <w:vAlign w:val="center"/>
                </w:tcPr>
                <w:p w14:paraId="081CA759">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w:t>
                  </w:r>
                </w:p>
                <w:p w14:paraId="292C1F56">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管控</w:t>
                  </w:r>
                </w:p>
                <w:p w14:paraId="258A4EB8">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单元</w:t>
                  </w:r>
                </w:p>
              </w:tc>
              <w:tc>
                <w:tcPr>
                  <w:tcW w:w="501" w:type="pct"/>
                  <w:vMerge w:val="restart"/>
                  <w:tcBorders>
                    <w:tl2br w:val="nil"/>
                    <w:tr2bl w:val="nil"/>
                  </w:tcBorders>
                  <w:vAlign w:val="center"/>
                </w:tcPr>
                <w:p w14:paraId="5B38695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w:t>
                  </w:r>
                </w:p>
                <w:p w14:paraId="7E57772D">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局约束</w:t>
                  </w:r>
                </w:p>
              </w:tc>
              <w:tc>
                <w:tcPr>
                  <w:tcW w:w="2797" w:type="pct"/>
                  <w:tcBorders>
                    <w:tl2br w:val="nil"/>
                    <w:tr2bl w:val="nil"/>
                  </w:tcBorders>
                  <w:vAlign w:val="center"/>
                </w:tcPr>
                <w:p w14:paraId="4AA5D107">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严格执行畜禽养殖禁养区规定，根据区域用地和消纳水平合理确定养殖规模。</w:t>
                  </w:r>
                </w:p>
              </w:tc>
              <w:tc>
                <w:tcPr>
                  <w:tcW w:w="1253" w:type="pct"/>
                  <w:tcBorders>
                    <w:tl2br w:val="nil"/>
                    <w:tr2bl w:val="nil"/>
                  </w:tcBorders>
                  <w:vAlign w:val="center"/>
                </w:tcPr>
                <w:p w14:paraId="1A37EA31">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本项目不涉及畜禽养殖。</w:t>
                  </w:r>
                </w:p>
              </w:tc>
            </w:tr>
            <w:tr w14:paraId="3037A1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37FCC7D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4"/>
                      <w:sz w:val="21"/>
                      <w:szCs w:val="21"/>
                    </w:rPr>
                  </w:pPr>
                </w:p>
              </w:tc>
              <w:tc>
                <w:tcPr>
                  <w:tcW w:w="501" w:type="pct"/>
                  <w:vMerge w:val="continue"/>
                  <w:tcBorders>
                    <w:tl2br w:val="nil"/>
                    <w:tr2bl w:val="nil"/>
                  </w:tcBorders>
                  <w:vAlign w:val="center"/>
                </w:tcPr>
                <w:p w14:paraId="517F3C3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5"/>
                      <w:sz w:val="21"/>
                      <w:szCs w:val="21"/>
                    </w:rPr>
                  </w:pPr>
                </w:p>
              </w:tc>
              <w:tc>
                <w:tcPr>
                  <w:tcW w:w="2797" w:type="pct"/>
                  <w:tcBorders>
                    <w:tl2br w:val="nil"/>
                    <w:tr2bl w:val="nil"/>
                  </w:tcBorders>
                  <w:vAlign w:val="center"/>
                </w:tcPr>
                <w:p w14:paraId="2AC1CE93">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加强基本农田保护，严格限制非农项目占用耕地；严格控制在优先保护类耕地集中区域新建有色金属冶炼、石油加工、化工、焦化、电镀、制革等行业企业及新、改、扩建增加重金属污染物排放的项目。</w:t>
                  </w:r>
                </w:p>
              </w:tc>
              <w:tc>
                <w:tcPr>
                  <w:tcW w:w="1253" w:type="pct"/>
                  <w:tcBorders>
                    <w:tl2br w:val="nil"/>
                    <w:tr2bl w:val="nil"/>
                  </w:tcBorders>
                  <w:vAlign w:val="center"/>
                </w:tcPr>
                <w:p w14:paraId="5473EEC8">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本项目在江西庐山工业园内，不涉及基本农田。</w:t>
                  </w:r>
                </w:p>
              </w:tc>
            </w:tr>
            <w:tr w14:paraId="4DFE168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4DE65140">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4"/>
                      <w:sz w:val="21"/>
                      <w:szCs w:val="21"/>
                    </w:rPr>
                  </w:pPr>
                </w:p>
              </w:tc>
              <w:tc>
                <w:tcPr>
                  <w:tcW w:w="501" w:type="pct"/>
                  <w:vMerge w:val="continue"/>
                  <w:tcBorders>
                    <w:tl2br w:val="nil"/>
                    <w:tr2bl w:val="nil"/>
                  </w:tcBorders>
                  <w:vAlign w:val="center"/>
                </w:tcPr>
                <w:p w14:paraId="011007C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5"/>
                      <w:sz w:val="21"/>
                      <w:szCs w:val="21"/>
                    </w:rPr>
                  </w:pPr>
                </w:p>
              </w:tc>
              <w:tc>
                <w:tcPr>
                  <w:tcW w:w="2797" w:type="pct"/>
                  <w:tcBorders>
                    <w:tl2br w:val="nil"/>
                    <w:tr2bl w:val="nil"/>
                  </w:tcBorders>
                  <w:vAlign w:val="center"/>
                </w:tcPr>
                <w:p w14:paraId="269519A2">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城镇开发边界外按照国家和江西省相关规定管控开发建设活动，原则上不得进行城镇集中建设，不得设立各类开发区。</w:t>
                  </w:r>
                </w:p>
              </w:tc>
              <w:tc>
                <w:tcPr>
                  <w:tcW w:w="1253" w:type="pct"/>
                  <w:tcBorders>
                    <w:tl2br w:val="nil"/>
                    <w:tr2bl w:val="nil"/>
                  </w:tcBorders>
                  <w:vAlign w:val="center"/>
                </w:tcPr>
                <w:p w14:paraId="2C74A9ED">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本项目不涉及城镇开发边界。</w:t>
                  </w:r>
                </w:p>
              </w:tc>
            </w:tr>
            <w:tr w14:paraId="491A248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5274C133">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restart"/>
                  <w:tcBorders>
                    <w:tl2br w:val="nil"/>
                    <w:tr2bl w:val="nil"/>
                  </w:tcBorders>
                  <w:vAlign w:val="center"/>
                </w:tcPr>
                <w:p w14:paraId="7CF18CA2">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p w14:paraId="16119EF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排放管</w:t>
                  </w:r>
                </w:p>
                <w:p w14:paraId="3873401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w:t>
                  </w:r>
                </w:p>
              </w:tc>
              <w:tc>
                <w:tcPr>
                  <w:tcW w:w="2797" w:type="pct"/>
                  <w:tcBorders>
                    <w:tl2br w:val="nil"/>
                    <w:tr2bl w:val="nil"/>
                  </w:tcBorders>
                  <w:vAlign w:val="center"/>
                </w:tcPr>
                <w:p w14:paraId="75640F85">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提高农药利用率，开展农药使用安全风险评估，推广应用高效低毒低残留新型农药，逐步淘汰高毒高风险农药。提高农业废弃物资源化利用水平。</w:t>
                  </w:r>
                </w:p>
              </w:tc>
              <w:tc>
                <w:tcPr>
                  <w:tcW w:w="1253" w:type="pct"/>
                  <w:tcBorders>
                    <w:tl2br w:val="nil"/>
                    <w:tr2bl w:val="nil"/>
                  </w:tcBorders>
                  <w:vAlign w:val="center"/>
                </w:tcPr>
                <w:p w14:paraId="0C651528">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本项目不涉及</w:t>
                  </w:r>
                  <w:r>
                    <w:rPr>
                      <w:rFonts w:hint="eastAsia" w:cs="Times New Roman"/>
                      <w:color w:val="auto"/>
                      <w:spacing w:val="-2"/>
                      <w:sz w:val="21"/>
                      <w:szCs w:val="21"/>
                      <w:lang w:val="en-US" w:eastAsia="zh-CN"/>
                    </w:rPr>
                    <w:t>使用</w:t>
                  </w:r>
                  <w:r>
                    <w:rPr>
                      <w:rFonts w:hint="default" w:ascii="Times New Roman" w:hAnsi="Times New Roman" w:eastAsia="宋体" w:cs="Times New Roman"/>
                      <w:color w:val="auto"/>
                      <w:spacing w:val="-2"/>
                      <w:sz w:val="21"/>
                      <w:szCs w:val="21"/>
                      <w:lang w:val="en-US" w:eastAsia="zh-CN"/>
                    </w:rPr>
                    <w:t>农药。</w:t>
                  </w:r>
                </w:p>
              </w:tc>
            </w:tr>
            <w:tr w14:paraId="02B1ADB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5539628F">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4956235A">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7903707D">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加强规模养殖场粪污治理设施建设，推进粪污减量化、无害化、资源化利用。加强养殖规划管理，清理禁养区内“三网”养殖，已批准养殖的区域按照养殖容量等相关要求规范网围养殖。禁止河湖水库投肥养殖。</w:t>
                  </w:r>
                </w:p>
              </w:tc>
              <w:tc>
                <w:tcPr>
                  <w:tcW w:w="1253" w:type="pct"/>
                  <w:tcBorders>
                    <w:tl2br w:val="nil"/>
                    <w:tr2bl w:val="nil"/>
                  </w:tcBorders>
                  <w:vAlign w:val="center"/>
                </w:tcPr>
                <w:p w14:paraId="289B325B">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本项目不涉及养殖。</w:t>
                  </w:r>
                </w:p>
              </w:tc>
            </w:tr>
            <w:tr w14:paraId="1A47E9D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48" w:type="pct"/>
                  <w:vMerge w:val="continue"/>
                  <w:tcBorders>
                    <w:tl2br w:val="nil"/>
                    <w:tr2bl w:val="nil"/>
                  </w:tcBorders>
                  <w:vAlign w:val="center"/>
                </w:tcPr>
                <w:p w14:paraId="6F980684">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501" w:type="pct"/>
                  <w:vMerge w:val="continue"/>
                  <w:tcBorders>
                    <w:tl2br w:val="nil"/>
                    <w:tr2bl w:val="nil"/>
                  </w:tcBorders>
                  <w:vAlign w:val="center"/>
                </w:tcPr>
                <w:p w14:paraId="5A3A5C9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z w:val="21"/>
                      <w:szCs w:val="21"/>
                    </w:rPr>
                  </w:pPr>
                </w:p>
              </w:tc>
              <w:tc>
                <w:tcPr>
                  <w:tcW w:w="2797" w:type="pct"/>
                  <w:tcBorders>
                    <w:tl2br w:val="nil"/>
                    <w:tr2bl w:val="nil"/>
                  </w:tcBorders>
                  <w:vAlign w:val="center"/>
                </w:tcPr>
                <w:p w14:paraId="63118D5A">
                  <w:pPr>
                    <w:keepNext w:val="0"/>
                    <w:keepLines w:val="0"/>
                    <w:pageBreakBefore w:val="0"/>
                    <w:widowControl w:val="0"/>
                    <w:kinsoku/>
                    <w:wordWrap/>
                    <w:overflowPunct/>
                    <w:topLinePunct w:val="0"/>
                    <w:autoSpaceDE/>
                    <w:autoSpaceDN/>
                    <w:bidi w:val="0"/>
                    <w:adjustRightInd w:val="0"/>
                    <w:snapToGrid w:val="0"/>
                    <w:spacing w:line="240" w:lineRule="auto"/>
                    <w:jc w:val="both"/>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稳步推进农村生活污水治理设施建设改造，2023年底前完成集中式（日处理规模20吨以上）设施改造，2025年底前基本完成现有设施改造。</w:t>
                  </w:r>
                </w:p>
              </w:tc>
              <w:tc>
                <w:tcPr>
                  <w:tcW w:w="1253" w:type="pct"/>
                  <w:tcBorders>
                    <w:tl2br w:val="nil"/>
                    <w:tr2bl w:val="nil"/>
                  </w:tcBorders>
                  <w:vAlign w:val="center"/>
                </w:tcPr>
                <w:p w14:paraId="3194207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2"/>
                      <w:sz w:val="21"/>
                      <w:szCs w:val="21"/>
                      <w:lang w:val="en-US" w:eastAsia="zh-CN"/>
                    </w:rPr>
                  </w:pPr>
                  <w:r>
                    <w:rPr>
                      <w:rFonts w:hint="default" w:ascii="Times New Roman" w:hAnsi="Times New Roman" w:eastAsia="宋体" w:cs="Times New Roman"/>
                      <w:color w:val="auto"/>
                      <w:spacing w:val="-2"/>
                      <w:sz w:val="21"/>
                      <w:szCs w:val="21"/>
                      <w:lang w:val="en-US" w:eastAsia="zh-CN"/>
                    </w:rPr>
                    <w:t>/</w:t>
                  </w:r>
                </w:p>
              </w:tc>
            </w:tr>
          </w:tbl>
          <w:p w14:paraId="297F0638">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color w:val="FF0000"/>
                <w:sz w:val="24"/>
                <w:szCs w:val="24"/>
                <w:highlight w:val="none"/>
              </w:rPr>
            </w:pPr>
            <w:commentRangeStart w:id="4"/>
            <w:r>
              <w:rPr>
                <w:rFonts w:hint="default" w:ascii="Times New Roman" w:hAnsi="Times New Roman" w:eastAsia="宋体" w:cs="Times New Roman"/>
                <w:b/>
                <w:bCs/>
                <w:color w:val="FF0000"/>
                <w:kern w:val="0"/>
                <w:sz w:val="24"/>
                <w:szCs w:val="24"/>
                <w:highlight w:val="none"/>
                <w:lang w:val="en-US" w:eastAsia="zh-CN" w:bidi="ar"/>
              </w:rPr>
              <w:t>与九</w:t>
            </w:r>
            <w:commentRangeEnd w:id="4"/>
            <w:r>
              <w:commentReference w:id="4"/>
            </w:r>
            <w:r>
              <w:rPr>
                <w:rFonts w:hint="default" w:ascii="Times New Roman" w:hAnsi="Times New Roman" w:eastAsia="宋体" w:cs="Times New Roman"/>
                <w:b/>
                <w:bCs/>
                <w:color w:val="FF0000"/>
                <w:kern w:val="0"/>
                <w:sz w:val="24"/>
                <w:szCs w:val="24"/>
                <w:highlight w:val="none"/>
                <w:lang w:val="en-US" w:eastAsia="zh-CN" w:bidi="ar"/>
              </w:rPr>
              <w:t>江市生态环境总体准入清单（2023年版）</w:t>
            </w:r>
            <w:r>
              <w:rPr>
                <w:rFonts w:hint="eastAsia" w:ascii="Times New Roman" w:hAnsi="Times New Roman" w:eastAsia="宋体" w:cs="Times New Roman"/>
                <w:b/>
                <w:bCs/>
                <w:color w:val="FF0000"/>
                <w:kern w:val="0"/>
                <w:sz w:val="24"/>
                <w:szCs w:val="24"/>
                <w:highlight w:val="none"/>
                <w:lang w:val="en-US" w:eastAsia="zh-CN" w:bidi="ar"/>
              </w:rPr>
              <w:t>相符性</w:t>
            </w:r>
            <w:r>
              <w:rPr>
                <w:rFonts w:hint="default" w:ascii="Times New Roman" w:hAnsi="Times New Roman" w:eastAsia="宋体" w:cs="Times New Roman"/>
                <w:b/>
                <w:bCs/>
                <w:color w:val="FF0000"/>
                <w:kern w:val="0"/>
                <w:sz w:val="24"/>
                <w:szCs w:val="24"/>
                <w:highlight w:val="none"/>
                <w:lang w:val="en-US" w:eastAsia="zh-CN" w:bidi="ar"/>
              </w:rPr>
              <w:t xml:space="preserve">分析 </w:t>
            </w:r>
          </w:p>
          <w:p w14:paraId="1B1A1046">
            <w:pPr>
              <w:widowControl/>
              <w:adjustRightInd w:val="0"/>
              <w:snapToGrid w:val="0"/>
              <w:spacing w:line="360" w:lineRule="auto"/>
              <w:ind w:firstLine="480" w:firstLineChars="200"/>
              <w:jc w:val="both"/>
              <w:rPr>
                <w:rFonts w:ascii="Times New Roman" w:hAnsi="Times New Roman" w:eastAsia="宋体" w:cs="Times New Roman"/>
                <w:b/>
                <w:color w:val="FF0000"/>
                <w:kern w:val="0"/>
                <w:highlight w:val="none"/>
              </w:rPr>
            </w:pPr>
            <w:r>
              <w:rPr>
                <w:rFonts w:hint="default" w:ascii="Times New Roman" w:hAnsi="Times New Roman" w:eastAsia="宋体" w:cs="Times New Roman"/>
                <w:color w:val="FF0000"/>
                <w:kern w:val="0"/>
                <w:sz w:val="24"/>
                <w:szCs w:val="24"/>
                <w:highlight w:val="none"/>
                <w:lang w:val="en-US" w:eastAsia="zh-CN" w:bidi="ar"/>
              </w:rPr>
              <w:t>本项目位于</w:t>
            </w:r>
            <w:r>
              <w:rPr>
                <w:rFonts w:hint="eastAsia" w:ascii="Times New Roman" w:hAnsi="Times New Roman" w:eastAsia="宋体" w:cs="Times New Roman"/>
                <w:color w:val="FF0000"/>
                <w:sz w:val="24"/>
                <w:highlight w:val="none"/>
                <w:lang w:val="en-US" w:eastAsia="zh-CN"/>
              </w:rPr>
              <w:t>江西省九江市庐山市工业园区综合产业园内</w:t>
            </w:r>
            <w:r>
              <w:rPr>
                <w:rFonts w:hint="default" w:ascii="Times New Roman" w:hAnsi="Times New Roman" w:eastAsia="宋体" w:cs="Times New Roman"/>
                <w:color w:val="FF0000"/>
                <w:kern w:val="0"/>
                <w:sz w:val="24"/>
                <w:szCs w:val="24"/>
                <w:highlight w:val="none"/>
                <w:lang w:val="en-US" w:eastAsia="zh-CN" w:bidi="ar"/>
              </w:rPr>
              <w:t>，项目与九江市生态环境总体准入清单（2023年版）相符性分析见</w:t>
            </w:r>
            <w:r>
              <w:rPr>
                <w:rFonts w:hint="eastAsia" w:cs="Times New Roman"/>
                <w:color w:val="FF0000"/>
                <w:kern w:val="0"/>
                <w:sz w:val="24"/>
                <w:szCs w:val="24"/>
                <w:highlight w:val="none"/>
                <w:lang w:val="en-US" w:eastAsia="zh-CN" w:bidi="ar"/>
              </w:rPr>
              <w:t>下</w:t>
            </w:r>
            <w:r>
              <w:rPr>
                <w:rFonts w:hint="default" w:ascii="Times New Roman" w:hAnsi="Times New Roman" w:eastAsia="宋体" w:cs="Times New Roman"/>
                <w:color w:val="FF0000"/>
                <w:kern w:val="0"/>
                <w:sz w:val="24"/>
                <w:szCs w:val="24"/>
                <w:highlight w:val="none"/>
                <w:lang w:val="en-US" w:eastAsia="zh-CN" w:bidi="ar"/>
              </w:rPr>
              <w:t>表</w:t>
            </w:r>
          </w:p>
          <w:p w14:paraId="13C5E714">
            <w:pPr>
              <w:widowControl/>
              <w:adjustRightInd w:val="0"/>
              <w:snapToGrid w:val="0"/>
              <w:jc w:val="center"/>
              <w:rPr>
                <w:rFonts w:hint="eastAsia" w:ascii="Times New Roman" w:hAnsi="Times New Roman" w:eastAsia="宋体" w:cs="Times New Roman"/>
                <w:b/>
                <w:color w:val="FF0000"/>
                <w:kern w:val="0"/>
                <w:highlight w:val="none"/>
                <w:lang w:eastAsia="zh-CN"/>
              </w:rPr>
            </w:pPr>
            <w:r>
              <w:rPr>
                <w:rFonts w:ascii="Times New Roman" w:hAnsi="Times New Roman" w:eastAsia="宋体" w:cs="Times New Roman"/>
                <w:b/>
                <w:color w:val="FF0000"/>
                <w:kern w:val="0"/>
                <w:highlight w:val="none"/>
              </w:rPr>
              <w:t>表1</w:t>
            </w:r>
            <w:r>
              <w:rPr>
                <w:rFonts w:hint="eastAsia" w:ascii="Times New Roman" w:hAnsi="Times New Roman" w:eastAsia="宋体" w:cs="Times New Roman"/>
                <w:b/>
                <w:color w:val="FF0000"/>
                <w:kern w:val="0"/>
                <w:highlight w:val="none"/>
                <w:lang w:val="en-US" w:eastAsia="zh-CN"/>
              </w:rPr>
              <w:t>-</w:t>
            </w:r>
            <w:r>
              <w:rPr>
                <w:rFonts w:hint="eastAsia" w:cs="Times New Roman"/>
                <w:b/>
                <w:color w:val="FF0000"/>
                <w:kern w:val="0"/>
                <w:highlight w:val="none"/>
                <w:lang w:val="en-US" w:eastAsia="zh-CN"/>
              </w:rPr>
              <w:t>10</w:t>
            </w:r>
            <w:r>
              <w:rPr>
                <w:rFonts w:ascii="Times New Roman" w:hAnsi="Times New Roman" w:eastAsia="宋体" w:cs="Times New Roman"/>
                <w:b/>
                <w:color w:val="FF0000"/>
                <w:kern w:val="0"/>
                <w:highlight w:val="none"/>
              </w:rPr>
              <w:t xml:space="preserve"> </w:t>
            </w:r>
            <w:r>
              <w:rPr>
                <w:rFonts w:hint="eastAsia" w:ascii="Times New Roman" w:hAnsi="Times New Roman" w:eastAsia="宋体" w:cs="Times New Roman"/>
                <w:b/>
                <w:color w:val="FF0000"/>
                <w:kern w:val="0"/>
                <w:highlight w:val="none"/>
                <w:lang w:val="en-US" w:eastAsia="zh-CN"/>
              </w:rPr>
              <w:t xml:space="preserve"> </w:t>
            </w:r>
            <w:r>
              <w:rPr>
                <w:rFonts w:ascii="Times New Roman" w:hAnsi="Times New Roman" w:eastAsia="宋体" w:cs="Times New Roman"/>
                <w:b/>
                <w:color w:val="FF0000"/>
                <w:kern w:val="0"/>
                <w:highlight w:val="none"/>
              </w:rPr>
              <w:t>项目与</w:t>
            </w:r>
            <w:r>
              <w:rPr>
                <w:rFonts w:hint="eastAsia" w:ascii="Times New Roman" w:hAnsi="Times New Roman" w:eastAsia="宋体" w:cs="Times New Roman"/>
                <w:b/>
                <w:color w:val="FF0000"/>
                <w:kern w:val="0"/>
                <w:highlight w:val="none"/>
                <w:lang w:eastAsia="zh-CN"/>
              </w:rPr>
              <w:t>《</w:t>
            </w:r>
            <w:r>
              <w:rPr>
                <w:rFonts w:hint="default" w:ascii="Times New Roman" w:hAnsi="Times New Roman" w:eastAsia="宋体" w:cs="Times New Roman"/>
                <w:b/>
                <w:color w:val="FF0000"/>
                <w:kern w:val="0"/>
                <w:highlight w:val="none"/>
                <w:lang w:val="en-US" w:eastAsia="zh-CN"/>
              </w:rPr>
              <w:t>九江市生态环境总体准入清单（2023年版）</w:t>
            </w:r>
            <w:r>
              <w:rPr>
                <w:rFonts w:hint="eastAsia" w:ascii="Times New Roman" w:hAnsi="Times New Roman" w:eastAsia="宋体" w:cs="Times New Roman"/>
                <w:b/>
                <w:color w:val="FF0000"/>
                <w:kern w:val="0"/>
                <w:highlight w:val="none"/>
                <w:lang w:eastAsia="zh-CN"/>
              </w:rPr>
              <w:t>》</w:t>
            </w:r>
            <w:r>
              <w:rPr>
                <w:rFonts w:ascii="Times New Roman" w:hAnsi="Times New Roman" w:eastAsia="宋体" w:cs="Times New Roman"/>
                <w:b/>
                <w:color w:val="FF0000"/>
                <w:kern w:val="0"/>
                <w:highlight w:val="none"/>
              </w:rPr>
              <w:t>符合性</w:t>
            </w:r>
            <w:r>
              <w:rPr>
                <w:rFonts w:hint="eastAsia" w:ascii="Times New Roman" w:hAnsi="Times New Roman" w:eastAsia="宋体" w:cs="Times New Roman"/>
                <w:b/>
                <w:color w:val="FF0000"/>
                <w:kern w:val="0"/>
                <w:highlight w:val="none"/>
                <w:lang w:eastAsia="zh-CN"/>
              </w:rPr>
              <w:t>分析</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42"/>
              <w:gridCol w:w="577"/>
              <w:gridCol w:w="3763"/>
              <w:gridCol w:w="2055"/>
              <w:gridCol w:w="535"/>
            </w:tblGrid>
            <w:tr w14:paraId="4DCF89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300" w:type="pct"/>
                  <w:noWrap w:val="0"/>
                  <w:vAlign w:val="center"/>
                </w:tcPr>
                <w:p w14:paraId="39E91963">
                  <w:pPr>
                    <w:keepNext w:val="0"/>
                    <w:keepLines w:val="0"/>
                    <w:pageBreakBefore w:val="0"/>
                    <w:kinsoku/>
                    <w:wordWrap/>
                    <w:overflowPunct/>
                    <w:topLinePunct w:val="0"/>
                    <w:autoSpaceDE/>
                    <w:autoSpaceDN/>
                    <w:bidi w:val="0"/>
                    <w:adjustRightInd/>
                    <w:snapToGrid/>
                    <w:spacing w:line="240" w:lineRule="auto"/>
                    <w:jc w:val="center"/>
                    <w:rPr>
                      <w:rFonts w:hint="eastAsia" w:eastAsia="宋体"/>
                      <w:b/>
                      <w:color w:val="FF0000"/>
                      <w:sz w:val="21"/>
                      <w:szCs w:val="21"/>
                      <w:lang w:eastAsia="zh-CN"/>
                    </w:rPr>
                  </w:pPr>
                  <w:r>
                    <w:rPr>
                      <w:rFonts w:hint="eastAsia"/>
                      <w:b/>
                      <w:color w:val="FF0000"/>
                      <w:sz w:val="21"/>
                      <w:szCs w:val="21"/>
                      <w:lang w:eastAsia="zh-CN"/>
                    </w:rPr>
                    <w:t>单元类别</w:t>
                  </w:r>
                </w:p>
              </w:tc>
              <w:tc>
                <w:tcPr>
                  <w:tcW w:w="391" w:type="pct"/>
                  <w:noWrap w:val="0"/>
                  <w:vAlign w:val="center"/>
                </w:tcPr>
                <w:p w14:paraId="248387A5">
                  <w:pPr>
                    <w:keepNext w:val="0"/>
                    <w:keepLines w:val="0"/>
                    <w:pageBreakBefore w:val="0"/>
                    <w:kinsoku/>
                    <w:wordWrap/>
                    <w:overflowPunct/>
                    <w:topLinePunct w:val="0"/>
                    <w:autoSpaceDE/>
                    <w:autoSpaceDN/>
                    <w:bidi w:val="0"/>
                    <w:adjustRightInd/>
                    <w:snapToGrid/>
                    <w:spacing w:line="240" w:lineRule="auto"/>
                    <w:jc w:val="center"/>
                    <w:rPr>
                      <w:rFonts w:hint="eastAsia" w:eastAsia="宋体"/>
                      <w:b/>
                      <w:color w:val="FF0000"/>
                      <w:sz w:val="21"/>
                      <w:szCs w:val="21"/>
                      <w:lang w:eastAsia="zh-CN"/>
                    </w:rPr>
                  </w:pPr>
                  <w:r>
                    <w:rPr>
                      <w:rFonts w:hint="eastAsia"/>
                      <w:b/>
                      <w:color w:val="FF0000"/>
                      <w:sz w:val="21"/>
                      <w:szCs w:val="21"/>
                      <w:lang w:eastAsia="zh-CN"/>
                    </w:rPr>
                    <w:t>维度</w:t>
                  </w:r>
                </w:p>
              </w:tc>
              <w:tc>
                <w:tcPr>
                  <w:tcW w:w="2551" w:type="pct"/>
                  <w:noWrap w:val="0"/>
                  <w:vAlign w:val="center"/>
                </w:tcPr>
                <w:p w14:paraId="52CB8DB1">
                  <w:pPr>
                    <w:keepNext w:val="0"/>
                    <w:keepLines w:val="0"/>
                    <w:pageBreakBefore w:val="0"/>
                    <w:kinsoku/>
                    <w:wordWrap/>
                    <w:overflowPunct/>
                    <w:topLinePunct w:val="0"/>
                    <w:autoSpaceDE/>
                    <w:autoSpaceDN/>
                    <w:bidi w:val="0"/>
                    <w:adjustRightInd/>
                    <w:snapToGrid/>
                    <w:spacing w:line="240" w:lineRule="auto"/>
                    <w:jc w:val="center"/>
                    <w:rPr>
                      <w:b/>
                      <w:color w:val="FF0000"/>
                      <w:sz w:val="21"/>
                      <w:szCs w:val="21"/>
                    </w:rPr>
                  </w:pPr>
                  <w:r>
                    <w:rPr>
                      <w:b/>
                      <w:color w:val="FF0000"/>
                      <w:sz w:val="21"/>
                      <w:szCs w:val="21"/>
                    </w:rPr>
                    <w:t>生态环境准入要求</w:t>
                  </w:r>
                </w:p>
              </w:tc>
              <w:tc>
                <w:tcPr>
                  <w:tcW w:w="1393" w:type="pct"/>
                  <w:noWrap w:val="0"/>
                  <w:vAlign w:val="center"/>
                </w:tcPr>
                <w:p w14:paraId="402C5284">
                  <w:pPr>
                    <w:keepNext w:val="0"/>
                    <w:keepLines w:val="0"/>
                    <w:pageBreakBefore w:val="0"/>
                    <w:kinsoku/>
                    <w:wordWrap/>
                    <w:overflowPunct/>
                    <w:topLinePunct w:val="0"/>
                    <w:autoSpaceDE/>
                    <w:autoSpaceDN/>
                    <w:bidi w:val="0"/>
                    <w:adjustRightInd/>
                    <w:snapToGrid/>
                    <w:spacing w:line="240" w:lineRule="auto"/>
                    <w:jc w:val="center"/>
                    <w:rPr>
                      <w:b/>
                      <w:color w:val="FF0000"/>
                      <w:sz w:val="21"/>
                      <w:szCs w:val="21"/>
                    </w:rPr>
                  </w:pPr>
                  <w:r>
                    <w:rPr>
                      <w:b/>
                      <w:color w:val="FF0000"/>
                      <w:sz w:val="21"/>
                      <w:szCs w:val="21"/>
                    </w:rPr>
                    <w:t>符合性分析</w:t>
                  </w:r>
                </w:p>
              </w:tc>
              <w:tc>
                <w:tcPr>
                  <w:tcW w:w="363" w:type="pct"/>
                  <w:noWrap w:val="0"/>
                  <w:vAlign w:val="center"/>
                </w:tcPr>
                <w:p w14:paraId="72E9345D">
                  <w:pPr>
                    <w:keepNext w:val="0"/>
                    <w:keepLines w:val="0"/>
                    <w:pageBreakBefore w:val="0"/>
                    <w:kinsoku/>
                    <w:wordWrap/>
                    <w:overflowPunct/>
                    <w:topLinePunct w:val="0"/>
                    <w:autoSpaceDE/>
                    <w:autoSpaceDN/>
                    <w:bidi w:val="0"/>
                    <w:adjustRightInd/>
                    <w:snapToGrid/>
                    <w:spacing w:line="240" w:lineRule="auto"/>
                    <w:jc w:val="center"/>
                    <w:rPr>
                      <w:b/>
                      <w:color w:val="FF0000"/>
                      <w:sz w:val="21"/>
                      <w:szCs w:val="21"/>
                    </w:rPr>
                  </w:pPr>
                  <w:r>
                    <w:rPr>
                      <w:b/>
                      <w:color w:val="FF0000"/>
                      <w:sz w:val="21"/>
                      <w:szCs w:val="21"/>
                    </w:rPr>
                    <w:t>是否符合</w:t>
                  </w:r>
                </w:p>
              </w:tc>
            </w:tr>
            <w:tr w14:paraId="6E0346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81" w:hRule="atLeast"/>
                <w:jc w:val="center"/>
              </w:trPr>
              <w:tc>
                <w:tcPr>
                  <w:tcW w:w="300" w:type="pct"/>
                  <w:vMerge w:val="restart"/>
                  <w:noWrap w:val="0"/>
                  <w:vAlign w:val="center"/>
                </w:tcPr>
                <w:p w14:paraId="4446CBB5">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eastAsia"/>
                      <w:color w:val="FF0000"/>
                      <w:sz w:val="21"/>
                      <w:szCs w:val="21"/>
                      <w:lang w:eastAsia="zh-CN"/>
                    </w:rPr>
                    <w:t>优先保护单元</w:t>
                  </w:r>
                </w:p>
              </w:tc>
              <w:tc>
                <w:tcPr>
                  <w:tcW w:w="391" w:type="pct"/>
                  <w:vMerge w:val="restart"/>
                  <w:noWrap w:val="0"/>
                  <w:vAlign w:val="center"/>
                </w:tcPr>
                <w:p w14:paraId="4DC35418">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eastAsia"/>
                      <w:color w:val="FF0000"/>
                      <w:sz w:val="21"/>
                      <w:szCs w:val="21"/>
                    </w:rPr>
                    <w:t>空间布局约束</w:t>
                  </w:r>
                </w:p>
              </w:tc>
              <w:tc>
                <w:tcPr>
                  <w:tcW w:w="2551" w:type="pct"/>
                  <w:noWrap w:val="0"/>
                  <w:vAlign w:val="center"/>
                </w:tcPr>
                <w:p w14:paraId="232D1C4E">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1.严禁在禁止开发河段开发小水电，除巩固脱贫攻坚成果、保障海岛边防等偏远地区和电网未覆盖地区供电安全、建设引调水等综合利用水利工程兼顾发电外，原则上不再新建小水电项目。</w:t>
                  </w:r>
                </w:p>
              </w:tc>
              <w:tc>
                <w:tcPr>
                  <w:tcW w:w="1393" w:type="pct"/>
                  <w:noWrap w:val="0"/>
                  <w:vAlign w:val="center"/>
                </w:tcPr>
                <w:p w14:paraId="1ED6BF2E">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default"/>
                      <w:color w:val="FF0000"/>
                      <w:sz w:val="21"/>
                      <w:szCs w:val="21"/>
                      <w:lang w:eastAsia="zh-CN"/>
                    </w:rPr>
                    <w:t>本项目</w:t>
                  </w:r>
                  <w:r>
                    <w:rPr>
                      <w:rFonts w:hint="eastAsia"/>
                      <w:color w:val="FF0000"/>
                      <w:sz w:val="21"/>
                      <w:szCs w:val="21"/>
                      <w:lang w:eastAsia="zh-CN"/>
                    </w:rPr>
                    <w:t>不属于水电项目</w:t>
                  </w:r>
                </w:p>
              </w:tc>
              <w:tc>
                <w:tcPr>
                  <w:tcW w:w="363" w:type="pct"/>
                  <w:noWrap w:val="0"/>
                  <w:vAlign w:val="center"/>
                </w:tcPr>
                <w:p w14:paraId="59BEE5E6">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4D7602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45" w:hRule="atLeast"/>
                <w:jc w:val="center"/>
              </w:trPr>
              <w:tc>
                <w:tcPr>
                  <w:tcW w:w="300" w:type="pct"/>
                  <w:vMerge w:val="continue"/>
                  <w:noWrap w:val="0"/>
                  <w:vAlign w:val="center"/>
                </w:tcPr>
                <w:p w14:paraId="3C517A99">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391" w:type="pct"/>
                  <w:vMerge w:val="continue"/>
                  <w:noWrap w:val="0"/>
                  <w:vAlign w:val="center"/>
                </w:tcPr>
                <w:p w14:paraId="5FB84CED">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34BB1A73">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2.禁止新建、扩建法律法规和相关政策明令禁止的落后产能项目，严格执行《产业结构调整指导目录》中淘汰类和限制类有关规定；禁止新建、扩建不符合国家产能置换要求的钢铁、电解铝、水泥熟料、平板玻璃、船舶等严重过剩产能行业的项目。对确有必要建设的，必须严格执行产能置换实施办法，实施减量或等量置换，依法依规办理有关手续。</w:t>
                  </w:r>
                </w:p>
              </w:tc>
              <w:tc>
                <w:tcPr>
                  <w:tcW w:w="1393" w:type="pct"/>
                  <w:noWrap w:val="0"/>
                  <w:vAlign w:val="center"/>
                </w:tcPr>
                <w:p w14:paraId="1BB0A29F">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default"/>
                      <w:color w:val="FF0000"/>
                      <w:sz w:val="21"/>
                      <w:szCs w:val="21"/>
                    </w:rPr>
                    <w:t>项目为</w:t>
                  </w:r>
                  <w:r>
                    <w:rPr>
                      <w:rFonts w:hint="eastAsia" w:ascii="Times New Roman" w:hAnsi="Times New Roman" w:eastAsia="宋体" w:cs="Times New Roman"/>
                      <w:color w:val="FF0000"/>
                      <w:sz w:val="21"/>
                      <w:szCs w:val="21"/>
                    </w:rPr>
                    <w:t>卫生材料及医药用品制造</w:t>
                  </w:r>
                  <w:r>
                    <w:rPr>
                      <w:rFonts w:hint="default"/>
                      <w:color w:val="FF0000"/>
                      <w:sz w:val="21"/>
                      <w:szCs w:val="21"/>
                    </w:rPr>
                    <w:t>项目</w:t>
                  </w:r>
                  <w:r>
                    <w:rPr>
                      <w:rFonts w:hint="eastAsia"/>
                      <w:color w:val="FF0000"/>
                      <w:sz w:val="21"/>
                      <w:szCs w:val="21"/>
                      <w:lang w:eastAsia="zh-CN"/>
                    </w:rPr>
                    <w:t>，</w:t>
                  </w:r>
                  <w:r>
                    <w:rPr>
                      <w:rFonts w:hint="default"/>
                      <w:color w:val="FF0000"/>
                      <w:sz w:val="21"/>
                      <w:szCs w:val="21"/>
                    </w:rPr>
                    <w:t>不属于落后和严重过剩产能</w:t>
                  </w:r>
                  <w:r>
                    <w:rPr>
                      <w:rFonts w:hint="default"/>
                      <w:color w:val="FF0000"/>
                      <w:sz w:val="21"/>
                      <w:szCs w:val="21"/>
                      <w:lang w:eastAsia="zh-CN"/>
                    </w:rPr>
                    <w:t>项目</w:t>
                  </w:r>
                </w:p>
              </w:tc>
              <w:tc>
                <w:tcPr>
                  <w:tcW w:w="363" w:type="pct"/>
                  <w:noWrap w:val="0"/>
                  <w:vAlign w:val="center"/>
                </w:tcPr>
                <w:p w14:paraId="2BA3741B">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15C56D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11" w:hRule="atLeast"/>
                <w:jc w:val="center"/>
              </w:trPr>
              <w:tc>
                <w:tcPr>
                  <w:tcW w:w="300" w:type="pct"/>
                  <w:vMerge w:val="continue"/>
                  <w:noWrap w:val="0"/>
                  <w:vAlign w:val="center"/>
                </w:tcPr>
                <w:p w14:paraId="599C6CB4">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391" w:type="pct"/>
                  <w:vMerge w:val="continue"/>
                  <w:noWrap w:val="0"/>
                  <w:vAlign w:val="center"/>
                </w:tcPr>
                <w:p w14:paraId="7BB7D356">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625C453A">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3. 投饵养殖按照水产养殖规划控制投饵容量，不得在饮用水水源保护区进行投饵养殖; 不得在江河、湖泊、水库使用无机肥、有机肥、生物复合肥等进行水产养殖。</w:t>
                  </w:r>
                </w:p>
              </w:tc>
              <w:tc>
                <w:tcPr>
                  <w:tcW w:w="1393" w:type="pct"/>
                  <w:noWrap w:val="0"/>
                  <w:vAlign w:val="center"/>
                </w:tcPr>
                <w:p w14:paraId="3A492EE2">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eastAsia"/>
                      <w:color w:val="FF0000"/>
                      <w:sz w:val="21"/>
                      <w:szCs w:val="21"/>
                      <w:lang w:eastAsia="zh-CN"/>
                    </w:rPr>
                    <w:t>本项目为</w:t>
                  </w:r>
                  <w:r>
                    <w:rPr>
                      <w:rFonts w:hint="eastAsia" w:ascii="Times New Roman" w:hAnsi="Times New Roman" w:eastAsia="宋体" w:cs="Times New Roman"/>
                      <w:color w:val="FF0000"/>
                      <w:sz w:val="21"/>
                      <w:szCs w:val="21"/>
                    </w:rPr>
                    <w:t>卫生材料及医药用品制造</w:t>
                  </w:r>
                  <w:r>
                    <w:rPr>
                      <w:rFonts w:hint="eastAsia"/>
                      <w:color w:val="FF0000"/>
                      <w:sz w:val="21"/>
                      <w:szCs w:val="21"/>
                      <w:lang w:val="en-US" w:eastAsia="zh-CN"/>
                    </w:rPr>
                    <w:t>项目</w:t>
                  </w:r>
                  <w:r>
                    <w:rPr>
                      <w:rFonts w:hint="eastAsia"/>
                      <w:color w:val="FF0000"/>
                      <w:sz w:val="21"/>
                      <w:szCs w:val="21"/>
                      <w:lang w:eastAsia="zh-CN"/>
                    </w:rPr>
                    <w:t>，不属于此类项目</w:t>
                  </w:r>
                </w:p>
              </w:tc>
              <w:tc>
                <w:tcPr>
                  <w:tcW w:w="363" w:type="pct"/>
                  <w:noWrap w:val="0"/>
                  <w:vAlign w:val="center"/>
                </w:tcPr>
                <w:p w14:paraId="3D59EE1E">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6018E3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22" w:hRule="atLeast"/>
                <w:jc w:val="center"/>
              </w:trPr>
              <w:tc>
                <w:tcPr>
                  <w:tcW w:w="300" w:type="pct"/>
                  <w:vMerge w:val="continue"/>
                  <w:noWrap w:val="0"/>
                  <w:vAlign w:val="center"/>
                </w:tcPr>
                <w:p w14:paraId="26A1FC55">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391" w:type="pct"/>
                  <w:vMerge w:val="continue"/>
                  <w:noWrap w:val="0"/>
                  <w:vAlign w:val="center"/>
                </w:tcPr>
                <w:p w14:paraId="0045B5A6">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1CE1ADD0">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4.牯岭地区和风景区其他景点内除符合规划要求的保护、游览和附属设施外，不得增设其他工程设施。禁止违反风景名胜区规划，在风景名胜区内设立各类开发区和在核心景区内建设宾馆、招待所、培训中心、疗养院以及与风景名胜资源保护无关的其他建筑物。</w:t>
                  </w:r>
                </w:p>
              </w:tc>
              <w:tc>
                <w:tcPr>
                  <w:tcW w:w="1393" w:type="pct"/>
                  <w:noWrap w:val="0"/>
                  <w:vAlign w:val="center"/>
                </w:tcPr>
                <w:p w14:paraId="5EDAA50E">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eastAsia" w:cs="Times New Roman"/>
                      <w:color w:val="FF0000"/>
                      <w:kern w:val="0"/>
                      <w:sz w:val="21"/>
                      <w:szCs w:val="21"/>
                      <w:lang w:val="en-US" w:eastAsia="zh-CN" w:bidi="ar-SA"/>
                    </w:rPr>
                    <w:t>项目不涉及</w:t>
                  </w:r>
                </w:p>
              </w:tc>
              <w:tc>
                <w:tcPr>
                  <w:tcW w:w="363" w:type="pct"/>
                  <w:noWrap w:val="0"/>
                  <w:vAlign w:val="center"/>
                </w:tcPr>
                <w:p w14:paraId="43BC01CD">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2238A3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92" w:hRule="atLeast"/>
                <w:jc w:val="center"/>
              </w:trPr>
              <w:tc>
                <w:tcPr>
                  <w:tcW w:w="300" w:type="pct"/>
                  <w:vMerge w:val="continue"/>
                  <w:noWrap w:val="0"/>
                  <w:vAlign w:val="center"/>
                </w:tcPr>
                <w:p w14:paraId="07F5ECBF">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391" w:type="pct"/>
                  <w:vMerge w:val="continue"/>
                  <w:noWrap w:val="0"/>
                  <w:vAlign w:val="center"/>
                </w:tcPr>
                <w:p w14:paraId="1C8229D3">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465DCF28">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5.禁止向庐山风景区内的水体超标排放污染物或者倾倒污水、垃圾。风景区内的溪流、泉水、瀑布、深潭、水源，除按风景区规划的要求整修、利用外，均应当保持原状，不得截流、改向或者作其他改变。林木不得擅自砍伐。在风景区内严禁修建储存爆炸性、易燃性、放射性、毒害性、腐蚀性物品的设施。</w:t>
                  </w:r>
                </w:p>
              </w:tc>
              <w:tc>
                <w:tcPr>
                  <w:tcW w:w="1393" w:type="pct"/>
                  <w:noWrap w:val="0"/>
                  <w:vAlign w:val="center"/>
                </w:tcPr>
                <w:p w14:paraId="79269F5A">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eastAsia"/>
                      <w:color w:val="FF0000"/>
                      <w:sz w:val="21"/>
                      <w:szCs w:val="21"/>
                      <w:lang w:eastAsia="zh-CN"/>
                    </w:rPr>
                    <w:t>项目不涉及</w:t>
                  </w:r>
                </w:p>
              </w:tc>
              <w:tc>
                <w:tcPr>
                  <w:tcW w:w="363" w:type="pct"/>
                  <w:noWrap w:val="0"/>
                  <w:vAlign w:val="center"/>
                </w:tcPr>
                <w:p w14:paraId="42C77FE1">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31E707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11" w:hRule="atLeast"/>
                <w:jc w:val="center"/>
              </w:trPr>
              <w:tc>
                <w:tcPr>
                  <w:tcW w:w="300" w:type="pct"/>
                  <w:vMerge w:val="continue"/>
                  <w:noWrap w:val="0"/>
                  <w:vAlign w:val="center"/>
                </w:tcPr>
                <w:p w14:paraId="1ADD3A4F">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391" w:type="pct"/>
                  <w:vMerge w:val="continue"/>
                  <w:noWrap w:val="0"/>
                  <w:vAlign w:val="center"/>
                </w:tcPr>
                <w:p w14:paraId="2F65126A">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69CF3262">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6.水生生物保护区水域不新设排污口和开展生产性捕捞；禁止在水产种质资源保护区的岸线和河段范围内新建围湖（河）造田（地）等投资建设项目。</w:t>
                  </w:r>
                </w:p>
              </w:tc>
              <w:tc>
                <w:tcPr>
                  <w:tcW w:w="1393" w:type="pct"/>
                  <w:noWrap w:val="0"/>
                  <w:vAlign w:val="center"/>
                </w:tcPr>
                <w:p w14:paraId="0EA3B324">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eastAsia" w:eastAsia="宋体" w:cs="Times New Roman"/>
                      <w:color w:val="FF0000"/>
                      <w:kern w:val="0"/>
                      <w:sz w:val="21"/>
                      <w:szCs w:val="21"/>
                      <w:lang w:val="en-US" w:eastAsia="zh-CN" w:bidi="ar-SA"/>
                    </w:rPr>
                    <w:t>项目不在</w:t>
                  </w:r>
                  <w:r>
                    <w:rPr>
                      <w:rFonts w:hint="default"/>
                      <w:color w:val="FF0000"/>
                      <w:sz w:val="21"/>
                      <w:szCs w:val="21"/>
                    </w:rPr>
                    <w:t>水产种质资源保护区的岸线和河段范围内</w:t>
                  </w:r>
                </w:p>
              </w:tc>
              <w:tc>
                <w:tcPr>
                  <w:tcW w:w="363" w:type="pct"/>
                  <w:noWrap w:val="0"/>
                  <w:vAlign w:val="center"/>
                </w:tcPr>
                <w:p w14:paraId="12E58919">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6DAF91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81" w:hRule="atLeast"/>
                <w:jc w:val="center"/>
              </w:trPr>
              <w:tc>
                <w:tcPr>
                  <w:tcW w:w="300" w:type="pct"/>
                  <w:vMerge w:val="continue"/>
                  <w:noWrap w:val="0"/>
                  <w:vAlign w:val="center"/>
                </w:tcPr>
                <w:p w14:paraId="3532A43E">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391" w:type="pct"/>
                  <w:vMerge w:val="continue"/>
                  <w:noWrap w:val="0"/>
                  <w:vAlign w:val="center"/>
                </w:tcPr>
                <w:p w14:paraId="552D9E9B">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0CF45D27">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7.一般生态空间内的自然保护地、水产种质资源保护区等各类受保护区域，按照相关管理条例、规定和办法执行；一般生态空间内的林地、湿地、河湖水域及自然岸线等，按照不同类型进行差异化管理；一般生态空间中零散城镇村建设用地、永久基本农田、特殊用地等，按国土空间规划的要求开展相关活动和开发行为。</w:t>
                  </w:r>
                </w:p>
              </w:tc>
              <w:tc>
                <w:tcPr>
                  <w:tcW w:w="1393" w:type="pct"/>
                  <w:noWrap w:val="0"/>
                  <w:vAlign w:val="center"/>
                </w:tcPr>
                <w:p w14:paraId="49B6919C">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eastAsia" w:cs="Times New Roman"/>
                      <w:color w:val="FF0000"/>
                      <w:kern w:val="0"/>
                      <w:sz w:val="21"/>
                      <w:szCs w:val="21"/>
                      <w:lang w:val="en-US" w:eastAsia="zh-CN" w:bidi="ar-SA"/>
                    </w:rPr>
                    <w:t>项目不涉及</w:t>
                  </w:r>
                </w:p>
              </w:tc>
              <w:tc>
                <w:tcPr>
                  <w:tcW w:w="363" w:type="pct"/>
                  <w:noWrap w:val="0"/>
                  <w:vAlign w:val="center"/>
                </w:tcPr>
                <w:p w14:paraId="31C82DEB">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4B0C47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40" w:hRule="atLeast"/>
                <w:jc w:val="center"/>
              </w:trPr>
              <w:tc>
                <w:tcPr>
                  <w:tcW w:w="300" w:type="pct"/>
                  <w:vMerge w:val="continue"/>
                  <w:noWrap w:val="0"/>
                  <w:vAlign w:val="center"/>
                </w:tcPr>
                <w:p w14:paraId="4A180A42">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391" w:type="pct"/>
                  <w:vMerge w:val="continue"/>
                  <w:noWrap w:val="0"/>
                  <w:vAlign w:val="center"/>
                </w:tcPr>
                <w:p w14:paraId="436813B0">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22C0CD50">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8.除国家规定的外，禁止在国家湿地公园的岸线和河段范围内挖沙、采矿以及任何不符合主体功能定位的投资建设项目。</w:t>
                  </w:r>
                </w:p>
              </w:tc>
              <w:tc>
                <w:tcPr>
                  <w:tcW w:w="1393" w:type="pct"/>
                  <w:noWrap w:val="0"/>
                  <w:vAlign w:val="center"/>
                </w:tcPr>
                <w:p w14:paraId="7CB4852F">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eastAsia" w:cs="Times New Roman"/>
                      <w:color w:val="FF0000"/>
                      <w:kern w:val="0"/>
                      <w:sz w:val="21"/>
                      <w:szCs w:val="21"/>
                      <w:lang w:val="en-US" w:eastAsia="zh-CN" w:bidi="ar-SA"/>
                    </w:rPr>
                    <w:t>项目不涉及</w:t>
                  </w:r>
                </w:p>
              </w:tc>
              <w:tc>
                <w:tcPr>
                  <w:tcW w:w="363" w:type="pct"/>
                  <w:noWrap w:val="0"/>
                  <w:vAlign w:val="center"/>
                </w:tcPr>
                <w:p w14:paraId="06D6F6DF">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308443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81" w:hRule="atLeast"/>
                <w:jc w:val="center"/>
              </w:trPr>
              <w:tc>
                <w:tcPr>
                  <w:tcW w:w="300" w:type="pct"/>
                  <w:vMerge w:val="continue"/>
                  <w:noWrap w:val="0"/>
                  <w:vAlign w:val="center"/>
                </w:tcPr>
                <w:p w14:paraId="574108B9">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391" w:type="pct"/>
                  <w:noWrap w:val="0"/>
                  <w:vAlign w:val="center"/>
                </w:tcPr>
                <w:p w14:paraId="2BABB41E">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r>
                    <w:rPr>
                      <w:rFonts w:hint="eastAsia" w:ascii="Times New Roman" w:hAnsi="Times New Roman" w:eastAsia="宋体"/>
                      <w:color w:val="FF0000"/>
                      <w:sz w:val="21"/>
                      <w:szCs w:val="21"/>
                    </w:rPr>
                    <w:t>空间布局约束(正面清单)</w:t>
                  </w:r>
                </w:p>
              </w:tc>
              <w:tc>
                <w:tcPr>
                  <w:tcW w:w="2551" w:type="pct"/>
                  <w:noWrap w:val="0"/>
                  <w:vAlign w:val="center"/>
                </w:tcPr>
                <w:p w14:paraId="77DEEB02">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9.生态保护红线内，在符合法律法规的前提下，仅允许10大类对生态功能不造成破坏的有限人为活动。生态保护红线内自然保护区、风景名胜区、饮用水水源保护区等区域，依照法律法规执行。</w:t>
                  </w:r>
                </w:p>
              </w:tc>
              <w:tc>
                <w:tcPr>
                  <w:tcW w:w="1393" w:type="pct"/>
                  <w:noWrap w:val="0"/>
                  <w:vAlign w:val="center"/>
                </w:tcPr>
                <w:p w14:paraId="52E177D2">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eastAsia" w:cs="Times New Roman"/>
                      <w:color w:val="FF0000"/>
                      <w:kern w:val="0"/>
                      <w:sz w:val="21"/>
                      <w:szCs w:val="21"/>
                      <w:lang w:val="en-US" w:eastAsia="zh-CN" w:bidi="ar-SA"/>
                    </w:rPr>
                    <w:t>项目不涉及</w:t>
                  </w:r>
                </w:p>
              </w:tc>
              <w:tc>
                <w:tcPr>
                  <w:tcW w:w="363" w:type="pct"/>
                  <w:noWrap w:val="0"/>
                  <w:vAlign w:val="center"/>
                </w:tcPr>
                <w:p w14:paraId="285A5F3D">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25CF3A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2" w:hRule="atLeast"/>
                <w:jc w:val="center"/>
              </w:trPr>
              <w:tc>
                <w:tcPr>
                  <w:tcW w:w="300" w:type="pct"/>
                  <w:vMerge w:val="restart"/>
                  <w:noWrap w:val="0"/>
                  <w:vAlign w:val="center"/>
                </w:tcPr>
                <w:p w14:paraId="78D11714">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r>
                    <w:rPr>
                      <w:rFonts w:hint="eastAsia" w:ascii="Times New Roman" w:hAnsi="Times New Roman" w:eastAsia="宋体"/>
                      <w:color w:val="FF0000"/>
                      <w:sz w:val="21"/>
                      <w:szCs w:val="21"/>
                    </w:rPr>
                    <w:t>重点管控单元</w:t>
                  </w:r>
                </w:p>
              </w:tc>
              <w:tc>
                <w:tcPr>
                  <w:tcW w:w="391" w:type="pct"/>
                  <w:vMerge w:val="restart"/>
                  <w:noWrap w:val="0"/>
                  <w:vAlign w:val="center"/>
                </w:tcPr>
                <w:p w14:paraId="79E32F90">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r>
                    <w:rPr>
                      <w:rFonts w:hint="eastAsia" w:ascii="Times New Roman" w:hAnsi="Times New Roman" w:eastAsia="宋体"/>
                      <w:color w:val="FF0000"/>
                      <w:sz w:val="21"/>
                      <w:szCs w:val="21"/>
                    </w:rPr>
                    <w:t>空间布局约束</w:t>
                  </w:r>
                </w:p>
              </w:tc>
              <w:tc>
                <w:tcPr>
                  <w:tcW w:w="2551" w:type="pct"/>
                  <w:noWrap w:val="0"/>
                  <w:vAlign w:val="center"/>
                </w:tcPr>
                <w:p w14:paraId="1A2CB216">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1.强化燃煤锅炉废气精细管控，不再审批35蒸吨/小时以下燃煤锅炉，不再新增燃煤导热油炉，鼓励现有燃煤锅炉、导热油炉改为清洁能源。</w:t>
                  </w:r>
                </w:p>
              </w:tc>
              <w:tc>
                <w:tcPr>
                  <w:tcW w:w="1393" w:type="pct"/>
                  <w:noWrap w:val="0"/>
                  <w:vAlign w:val="center"/>
                </w:tcPr>
                <w:p w14:paraId="651181E2">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s="Times New Roman"/>
                      <w:color w:val="FF0000"/>
                      <w:sz w:val="21"/>
                      <w:szCs w:val="21"/>
                      <w:lang w:eastAsia="zh-CN"/>
                    </w:rPr>
                    <w:t>本项目不涉及锅炉。</w:t>
                  </w:r>
                </w:p>
              </w:tc>
              <w:tc>
                <w:tcPr>
                  <w:tcW w:w="363" w:type="pct"/>
                  <w:noWrap w:val="0"/>
                  <w:vAlign w:val="center"/>
                </w:tcPr>
                <w:p w14:paraId="126AFE87">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符合</w:t>
                  </w:r>
                </w:p>
              </w:tc>
            </w:tr>
            <w:tr w14:paraId="63D146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2" w:hRule="atLeast"/>
                <w:jc w:val="center"/>
              </w:trPr>
              <w:tc>
                <w:tcPr>
                  <w:tcW w:w="300" w:type="pct"/>
                  <w:vMerge w:val="continue"/>
                  <w:noWrap w:val="0"/>
                  <w:vAlign w:val="center"/>
                </w:tcPr>
                <w:p w14:paraId="411DC864">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4F17FF74">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2551" w:type="pct"/>
                  <w:noWrap w:val="0"/>
                  <w:vAlign w:val="center"/>
                </w:tcPr>
                <w:p w14:paraId="3618864A">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2.禁止新、扩建不符合国家产业布局规划的石化、现代煤化工项目和不符合国家产能置换要求的严重产能过剩项目。禁止新建、扩建不符合要求的高耗能高排放项目。</w:t>
                  </w:r>
                </w:p>
              </w:tc>
              <w:tc>
                <w:tcPr>
                  <w:tcW w:w="1393" w:type="pct"/>
                  <w:noWrap w:val="0"/>
                  <w:vAlign w:val="center"/>
                </w:tcPr>
                <w:p w14:paraId="51BCDDCB">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s="Times New Roman"/>
                      <w:color w:val="FF0000"/>
                      <w:sz w:val="21"/>
                      <w:szCs w:val="21"/>
                      <w:lang w:eastAsia="zh-CN"/>
                    </w:rPr>
                    <w:t>本项目为</w:t>
                  </w:r>
                  <w:r>
                    <w:rPr>
                      <w:rFonts w:hint="eastAsia" w:ascii="Times New Roman" w:hAnsi="Times New Roman" w:eastAsia="宋体" w:cs="Times New Roman"/>
                      <w:color w:val="FF0000"/>
                      <w:sz w:val="21"/>
                      <w:szCs w:val="21"/>
                    </w:rPr>
                    <w:t>卫生材料及医药用品制造</w:t>
                  </w:r>
                  <w:r>
                    <w:rPr>
                      <w:rFonts w:hint="eastAsia" w:ascii="Times New Roman" w:hAnsi="Times New Roman" w:eastAsia="宋体" w:cs="Times New Roman"/>
                      <w:color w:val="FF0000"/>
                      <w:sz w:val="21"/>
                      <w:szCs w:val="21"/>
                      <w:lang w:eastAsia="zh-CN"/>
                    </w:rPr>
                    <w:t>项目</w:t>
                  </w:r>
                  <w:r>
                    <w:rPr>
                      <w:rFonts w:hint="eastAsia" w:ascii="Times New Roman" w:hAnsi="Times New Roman" w:eastAsia="宋体"/>
                      <w:color w:val="FF0000"/>
                      <w:sz w:val="21"/>
                      <w:szCs w:val="21"/>
                      <w:lang w:val="en-US" w:eastAsia="zh-CN"/>
                    </w:rPr>
                    <w:t>，不属于</w:t>
                  </w:r>
                  <w:r>
                    <w:rPr>
                      <w:rFonts w:hint="default" w:ascii="Times New Roman" w:hAnsi="Times New Roman" w:eastAsia="宋体" w:cs="Times New Roman"/>
                      <w:color w:val="FF0000"/>
                      <w:sz w:val="21"/>
                      <w:szCs w:val="21"/>
                    </w:rPr>
                    <w:t>石化、现代煤化工项目</w:t>
                  </w:r>
                  <w:r>
                    <w:rPr>
                      <w:rFonts w:hint="eastAsia" w:ascii="Times New Roman" w:hAnsi="Times New Roman" w:eastAsia="宋体" w:cs="Times New Roman"/>
                      <w:color w:val="FF0000"/>
                      <w:sz w:val="21"/>
                      <w:szCs w:val="21"/>
                      <w:lang w:eastAsia="zh-CN"/>
                    </w:rPr>
                    <w:t>，也不属于</w:t>
                  </w:r>
                  <w:r>
                    <w:rPr>
                      <w:rFonts w:hint="default" w:ascii="Times New Roman" w:hAnsi="Times New Roman" w:eastAsia="宋体" w:cs="Times New Roman"/>
                      <w:color w:val="FF0000"/>
                      <w:sz w:val="21"/>
                      <w:szCs w:val="21"/>
                    </w:rPr>
                    <w:t>高耗能高排放项目</w:t>
                  </w:r>
                  <w:r>
                    <w:rPr>
                      <w:rFonts w:hint="eastAsia" w:ascii="Times New Roman" w:hAnsi="Times New Roman" w:eastAsia="宋体" w:cs="Times New Roman"/>
                      <w:color w:val="FF0000"/>
                      <w:sz w:val="21"/>
                      <w:szCs w:val="21"/>
                      <w:lang w:eastAsia="zh-CN"/>
                    </w:rPr>
                    <w:t>。</w:t>
                  </w:r>
                </w:p>
              </w:tc>
              <w:tc>
                <w:tcPr>
                  <w:tcW w:w="363" w:type="pct"/>
                  <w:noWrap w:val="0"/>
                  <w:vAlign w:val="center"/>
                </w:tcPr>
                <w:p w14:paraId="6A6BCFA0">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符合</w:t>
                  </w:r>
                </w:p>
              </w:tc>
            </w:tr>
            <w:tr w14:paraId="307954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3" w:hRule="atLeast"/>
                <w:jc w:val="center"/>
              </w:trPr>
              <w:tc>
                <w:tcPr>
                  <w:tcW w:w="300" w:type="pct"/>
                  <w:vMerge w:val="continue"/>
                  <w:noWrap w:val="0"/>
                  <w:vAlign w:val="center"/>
                </w:tcPr>
                <w:p w14:paraId="0EDEA7FD">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4927200F">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2551" w:type="pct"/>
                  <w:noWrap w:val="0"/>
                  <w:vAlign w:val="center"/>
                </w:tcPr>
                <w:p w14:paraId="380241FF">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3.长江干流九江段、修河干流及鄱阳湖岸线1公里范围内禁止新建化工、造纸、印染、制革、冶炼等重污染项目。</w:t>
                  </w:r>
                </w:p>
              </w:tc>
              <w:tc>
                <w:tcPr>
                  <w:tcW w:w="1393" w:type="pct"/>
                  <w:noWrap w:val="0"/>
                  <w:vAlign w:val="center"/>
                </w:tcPr>
                <w:p w14:paraId="39C09558">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z w:val="21"/>
                      <w:szCs w:val="21"/>
                      <w:lang w:val="en-US" w:eastAsia="zh-CN"/>
                    </w:rPr>
                    <w:t>项目不在</w:t>
                  </w:r>
                  <w:r>
                    <w:rPr>
                      <w:rFonts w:hint="default" w:ascii="Times New Roman" w:hAnsi="Times New Roman" w:eastAsia="宋体" w:cs="Times New Roman"/>
                      <w:color w:val="FF0000"/>
                      <w:sz w:val="21"/>
                      <w:szCs w:val="21"/>
                    </w:rPr>
                    <w:t>长江干流九江段、修河干流及鄱阳湖岸线1公里</w:t>
                  </w:r>
                  <w:r>
                    <w:rPr>
                      <w:rFonts w:hint="default" w:ascii="Times New Roman" w:hAnsi="Times New Roman" w:eastAsia="宋体" w:cs="Times New Roman"/>
                      <w:color w:val="FF0000"/>
                      <w:sz w:val="21"/>
                      <w:szCs w:val="21"/>
                      <w:lang w:val="en-US" w:eastAsia="zh-CN"/>
                    </w:rPr>
                    <w:t>一公里范围内</w:t>
                  </w:r>
                  <w:r>
                    <w:rPr>
                      <w:rFonts w:hint="eastAsia" w:ascii="Times New Roman" w:hAnsi="Times New Roman" w:eastAsia="宋体" w:cs="Times New Roman"/>
                      <w:color w:val="FF0000"/>
                      <w:sz w:val="21"/>
                      <w:szCs w:val="21"/>
                      <w:lang w:val="en-US" w:eastAsia="zh-CN"/>
                    </w:rPr>
                    <w:t>，不属于</w:t>
                  </w:r>
                  <w:r>
                    <w:rPr>
                      <w:rFonts w:hint="default" w:ascii="Times New Roman" w:hAnsi="Times New Roman" w:eastAsia="宋体" w:cs="Times New Roman"/>
                      <w:color w:val="FF0000"/>
                      <w:sz w:val="21"/>
                      <w:szCs w:val="21"/>
                    </w:rPr>
                    <w:t>化工、造纸、印染、制革、冶炼等重污染项目</w:t>
                  </w:r>
                </w:p>
              </w:tc>
              <w:tc>
                <w:tcPr>
                  <w:tcW w:w="363" w:type="pct"/>
                  <w:noWrap w:val="0"/>
                  <w:vAlign w:val="center"/>
                </w:tcPr>
                <w:p w14:paraId="30C7DDE5">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符合</w:t>
                  </w:r>
                </w:p>
              </w:tc>
            </w:tr>
            <w:tr w14:paraId="43D986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45" w:hRule="atLeast"/>
                <w:jc w:val="center"/>
              </w:trPr>
              <w:tc>
                <w:tcPr>
                  <w:tcW w:w="300" w:type="pct"/>
                  <w:vMerge w:val="continue"/>
                  <w:noWrap w:val="0"/>
                  <w:vAlign w:val="center"/>
                </w:tcPr>
                <w:p w14:paraId="4731AC37">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54C840DA">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2551" w:type="pct"/>
                  <w:noWrap w:val="0"/>
                  <w:vAlign w:val="center"/>
                </w:tcPr>
                <w:p w14:paraId="3518B259">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4.禁止在长江干支流、重要湖泊岸线一公里范围内新建、扩建化工园区和化工项目。</w:t>
                  </w:r>
                </w:p>
              </w:tc>
              <w:tc>
                <w:tcPr>
                  <w:tcW w:w="1393" w:type="pct"/>
                  <w:noWrap w:val="0"/>
                  <w:vAlign w:val="center"/>
                </w:tcPr>
                <w:p w14:paraId="362C46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kern w:val="2"/>
                      <w:sz w:val="21"/>
                      <w:szCs w:val="21"/>
                      <w:highlight w:val="none"/>
                      <w:u w:val="none"/>
                      <w:lang w:val="en-US" w:eastAsia="zh-CN" w:bidi="ar-SA"/>
                    </w:rPr>
                  </w:pPr>
                  <w:r>
                    <w:rPr>
                      <w:rFonts w:hint="eastAsia" w:ascii="Times New Roman" w:hAnsi="Times New Roman" w:eastAsia="宋体"/>
                      <w:color w:val="FF0000"/>
                      <w:sz w:val="21"/>
                      <w:szCs w:val="21"/>
                      <w:lang w:val="en-US" w:eastAsia="zh-CN"/>
                    </w:rPr>
                    <w:t>项目为</w:t>
                  </w:r>
                  <w:r>
                    <w:rPr>
                      <w:rFonts w:hint="eastAsia" w:ascii="Times New Roman" w:hAnsi="Times New Roman" w:eastAsia="宋体" w:cs="Times New Roman"/>
                      <w:color w:val="FF0000"/>
                      <w:sz w:val="21"/>
                      <w:szCs w:val="21"/>
                    </w:rPr>
                    <w:t>卫生材料及医药用品制造</w:t>
                  </w:r>
                  <w:r>
                    <w:rPr>
                      <w:rFonts w:hint="eastAsia" w:ascii="Times New Roman" w:hAnsi="Times New Roman" w:eastAsia="宋体"/>
                      <w:color w:val="FF0000"/>
                      <w:sz w:val="21"/>
                      <w:szCs w:val="21"/>
                      <w:lang w:val="en-US" w:eastAsia="zh-CN"/>
                    </w:rPr>
                    <w:t>项目，不属于</w:t>
                  </w:r>
                  <w:r>
                    <w:rPr>
                      <w:rFonts w:hint="default" w:ascii="Times New Roman" w:hAnsi="Times New Roman" w:eastAsia="宋体" w:cs="Times New Roman"/>
                      <w:color w:val="FF0000"/>
                      <w:sz w:val="21"/>
                      <w:szCs w:val="21"/>
                    </w:rPr>
                    <w:t>化工项目</w:t>
                  </w:r>
                  <w:r>
                    <w:rPr>
                      <w:rFonts w:hint="eastAsia" w:ascii="Times New Roman" w:hAnsi="Times New Roman" w:eastAsia="宋体" w:cs="Times New Roman"/>
                      <w:color w:val="FF0000"/>
                      <w:sz w:val="21"/>
                      <w:szCs w:val="21"/>
                      <w:lang w:eastAsia="zh-CN"/>
                    </w:rPr>
                    <w:t>。</w:t>
                  </w:r>
                </w:p>
              </w:tc>
              <w:tc>
                <w:tcPr>
                  <w:tcW w:w="363" w:type="pct"/>
                  <w:noWrap w:val="0"/>
                  <w:vAlign w:val="center"/>
                </w:tcPr>
                <w:p w14:paraId="04D12E1E">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符合</w:t>
                  </w:r>
                </w:p>
              </w:tc>
            </w:tr>
            <w:tr w14:paraId="44484D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2" w:hRule="atLeast"/>
                <w:jc w:val="center"/>
              </w:trPr>
              <w:tc>
                <w:tcPr>
                  <w:tcW w:w="300" w:type="pct"/>
                  <w:vMerge w:val="continue"/>
                  <w:noWrap w:val="0"/>
                  <w:vAlign w:val="center"/>
                </w:tcPr>
                <w:p w14:paraId="678D2716">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2916D02D">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2551" w:type="pct"/>
                  <w:noWrap w:val="0"/>
                  <w:vAlign w:val="center"/>
                </w:tcPr>
                <w:p w14:paraId="0A2442C0">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5.禁止在城市湖泊水域范围内建设除防洪、改善水生态环境、跨湖桥梁、湖底隧道之外的建筑物、构筑物。</w:t>
                  </w:r>
                </w:p>
              </w:tc>
              <w:tc>
                <w:tcPr>
                  <w:tcW w:w="1393" w:type="pct"/>
                  <w:noWrap w:val="0"/>
                  <w:vAlign w:val="center"/>
                </w:tcPr>
                <w:p w14:paraId="3E745C2E">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s="Times New Roman"/>
                      <w:color w:val="FF0000"/>
                      <w:sz w:val="21"/>
                      <w:szCs w:val="21"/>
                      <w:lang w:eastAsia="zh-CN"/>
                    </w:rPr>
                    <w:t>项目不涉及。</w:t>
                  </w:r>
                </w:p>
              </w:tc>
              <w:tc>
                <w:tcPr>
                  <w:tcW w:w="363" w:type="pct"/>
                  <w:noWrap w:val="0"/>
                  <w:vAlign w:val="center"/>
                </w:tcPr>
                <w:p w14:paraId="6908AC5B">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260CA1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3" w:hRule="atLeast"/>
                <w:jc w:val="center"/>
              </w:trPr>
              <w:tc>
                <w:tcPr>
                  <w:tcW w:w="300" w:type="pct"/>
                  <w:vMerge w:val="continue"/>
                  <w:noWrap w:val="0"/>
                  <w:vAlign w:val="center"/>
                </w:tcPr>
                <w:p w14:paraId="5596E899">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17848BD0">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2551" w:type="pct"/>
                  <w:noWrap w:val="0"/>
                  <w:vAlign w:val="center"/>
                </w:tcPr>
                <w:p w14:paraId="07B9D625">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6.禁止在合规园区外新建、扩建钢铁、石化、化工、焦化、建材、有色、制浆造纸等高污染项目。</w:t>
                  </w:r>
                </w:p>
              </w:tc>
              <w:tc>
                <w:tcPr>
                  <w:tcW w:w="1393" w:type="pct"/>
                  <w:noWrap w:val="0"/>
                  <w:vAlign w:val="center"/>
                </w:tcPr>
                <w:p w14:paraId="7E4654EA">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olor w:val="FF0000"/>
                      <w:sz w:val="21"/>
                      <w:szCs w:val="21"/>
                      <w:lang w:eastAsia="zh-CN"/>
                    </w:rPr>
                    <w:t>本项目位于合规工业园区内，</w:t>
                  </w:r>
                  <w:r>
                    <w:rPr>
                      <w:rFonts w:hint="eastAsia" w:ascii="Times New Roman" w:hAnsi="Times New Roman" w:eastAsia="宋体" w:cs="Times New Roman"/>
                      <w:color w:val="FF0000"/>
                      <w:sz w:val="21"/>
                      <w:szCs w:val="21"/>
                      <w:lang w:eastAsia="zh-CN"/>
                    </w:rPr>
                    <w:t>为</w:t>
                  </w:r>
                  <w:r>
                    <w:rPr>
                      <w:rFonts w:hint="eastAsia" w:ascii="Times New Roman" w:hAnsi="Times New Roman" w:eastAsia="宋体" w:cs="Times New Roman"/>
                      <w:color w:val="FF0000"/>
                      <w:sz w:val="21"/>
                      <w:szCs w:val="21"/>
                    </w:rPr>
                    <w:t>卫生材料及医药用品制造</w:t>
                  </w:r>
                  <w:r>
                    <w:rPr>
                      <w:rFonts w:hint="eastAsia" w:ascii="Times New Roman" w:hAnsi="Times New Roman" w:eastAsia="宋体" w:cs="Times New Roman"/>
                      <w:color w:val="FF0000"/>
                      <w:sz w:val="21"/>
                      <w:szCs w:val="21"/>
                      <w:lang w:eastAsia="zh-CN"/>
                    </w:rPr>
                    <w:t>项目</w:t>
                  </w:r>
                  <w:r>
                    <w:rPr>
                      <w:rFonts w:hint="eastAsia" w:ascii="Times New Roman" w:hAnsi="Times New Roman" w:eastAsia="宋体"/>
                      <w:color w:val="FF0000"/>
                      <w:sz w:val="21"/>
                      <w:szCs w:val="21"/>
                      <w:lang w:val="en-US" w:eastAsia="zh-CN"/>
                    </w:rPr>
                    <w:t>，不属于</w:t>
                  </w:r>
                  <w:r>
                    <w:rPr>
                      <w:rFonts w:hint="default" w:ascii="Times New Roman" w:hAnsi="Times New Roman" w:eastAsia="宋体" w:cs="Times New Roman"/>
                      <w:color w:val="FF0000"/>
                      <w:sz w:val="21"/>
                      <w:szCs w:val="21"/>
                    </w:rPr>
                    <w:t>钢铁、石化、化工、焦化、建材、有色、制浆造纸等高污染项目</w:t>
                  </w:r>
                  <w:r>
                    <w:rPr>
                      <w:rFonts w:hint="eastAsia" w:ascii="Times New Roman" w:hAnsi="Times New Roman" w:eastAsia="宋体"/>
                      <w:color w:val="FF0000"/>
                      <w:sz w:val="21"/>
                      <w:szCs w:val="21"/>
                      <w:lang w:eastAsia="zh-CN"/>
                    </w:rPr>
                    <w:t>。</w:t>
                  </w:r>
                </w:p>
              </w:tc>
              <w:tc>
                <w:tcPr>
                  <w:tcW w:w="363" w:type="pct"/>
                  <w:noWrap w:val="0"/>
                  <w:vAlign w:val="center"/>
                </w:tcPr>
                <w:p w14:paraId="618995B2">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6BAC87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2" w:hRule="atLeast"/>
                <w:jc w:val="center"/>
              </w:trPr>
              <w:tc>
                <w:tcPr>
                  <w:tcW w:w="300" w:type="pct"/>
                  <w:vMerge w:val="continue"/>
                  <w:noWrap w:val="0"/>
                  <w:vAlign w:val="center"/>
                </w:tcPr>
                <w:p w14:paraId="1B0667E3">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39B6B505">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2551" w:type="pct"/>
                  <w:noWrap w:val="0"/>
                  <w:vAlign w:val="center"/>
                </w:tcPr>
                <w:p w14:paraId="21F52379">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7.对不符合产业政策要求以及环境风险、安全隐患突出而又无法搬迁或转型企业，依法实施关停。</w:t>
                  </w:r>
                </w:p>
              </w:tc>
              <w:tc>
                <w:tcPr>
                  <w:tcW w:w="1393" w:type="pct"/>
                  <w:noWrap w:val="0"/>
                  <w:vAlign w:val="center"/>
                </w:tcPr>
                <w:p w14:paraId="33E7B63D">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s="Times New Roman"/>
                      <w:color w:val="FF0000"/>
                      <w:sz w:val="21"/>
                      <w:szCs w:val="21"/>
                      <w:lang w:eastAsia="zh-CN"/>
                    </w:rPr>
                    <w:t>本项目为新建项目，不属于</w:t>
                  </w:r>
                  <w:r>
                    <w:rPr>
                      <w:rFonts w:hint="default" w:ascii="Times New Roman" w:hAnsi="Times New Roman" w:eastAsia="宋体" w:cs="Times New Roman"/>
                      <w:color w:val="FF0000"/>
                      <w:sz w:val="21"/>
                      <w:szCs w:val="21"/>
                    </w:rPr>
                    <w:t>环境风险、安全隐患突出而又无法搬迁或转型企业</w:t>
                  </w:r>
                </w:p>
              </w:tc>
              <w:tc>
                <w:tcPr>
                  <w:tcW w:w="363" w:type="pct"/>
                  <w:noWrap w:val="0"/>
                  <w:vAlign w:val="center"/>
                </w:tcPr>
                <w:p w14:paraId="3813D40C">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23B0A6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300" w:type="pct"/>
                  <w:vMerge w:val="continue"/>
                  <w:noWrap w:val="0"/>
                  <w:vAlign w:val="center"/>
                </w:tcPr>
                <w:p w14:paraId="52EAB20B">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6DF1006D">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2551" w:type="pct"/>
                  <w:noWrap w:val="0"/>
                  <w:vAlign w:val="center"/>
                </w:tcPr>
                <w:p w14:paraId="25441F8B">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8.城市建成区内的现有污染较重或严重影响环境的企业应有序搬迁改造或依法关闭。</w:t>
                  </w:r>
                </w:p>
              </w:tc>
              <w:tc>
                <w:tcPr>
                  <w:tcW w:w="1393" w:type="pct"/>
                  <w:noWrap w:val="0"/>
                  <w:vAlign w:val="center"/>
                </w:tcPr>
                <w:p w14:paraId="7ACD2D77">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s="Times New Roman"/>
                      <w:color w:val="FF0000"/>
                      <w:sz w:val="21"/>
                      <w:szCs w:val="21"/>
                      <w:lang w:eastAsia="zh-CN"/>
                    </w:rPr>
                    <w:t>本项目为新建项目，不属于</w:t>
                  </w:r>
                  <w:r>
                    <w:rPr>
                      <w:rFonts w:hint="default" w:ascii="Times New Roman" w:hAnsi="Times New Roman" w:eastAsia="宋体" w:cs="Times New Roman"/>
                      <w:color w:val="FF0000"/>
                      <w:sz w:val="21"/>
                      <w:szCs w:val="21"/>
                    </w:rPr>
                    <w:t>现有污染较重或严重影响环境的企业</w:t>
                  </w:r>
                </w:p>
              </w:tc>
              <w:tc>
                <w:tcPr>
                  <w:tcW w:w="363" w:type="pct"/>
                  <w:noWrap w:val="0"/>
                  <w:vAlign w:val="center"/>
                </w:tcPr>
                <w:p w14:paraId="3B70B881">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73E094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2" w:hRule="atLeast"/>
                <w:jc w:val="center"/>
              </w:trPr>
              <w:tc>
                <w:tcPr>
                  <w:tcW w:w="300" w:type="pct"/>
                  <w:vMerge w:val="continue"/>
                  <w:noWrap w:val="0"/>
                  <w:vAlign w:val="center"/>
                </w:tcPr>
                <w:p w14:paraId="4CEBDB40">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restart"/>
                  <w:noWrap w:val="0"/>
                  <w:vAlign w:val="center"/>
                </w:tcPr>
                <w:p w14:paraId="47EFC73B">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lang w:eastAsia="zh-CN"/>
                    </w:rPr>
                  </w:pPr>
                  <w:r>
                    <w:rPr>
                      <w:rFonts w:hint="eastAsia" w:ascii="Times New Roman" w:hAnsi="Times New Roman" w:eastAsia="宋体"/>
                      <w:color w:val="FF0000"/>
                      <w:sz w:val="21"/>
                      <w:szCs w:val="21"/>
                      <w:lang w:eastAsia="zh-CN"/>
                    </w:rPr>
                    <w:t>污染物排放管控</w:t>
                  </w:r>
                </w:p>
              </w:tc>
              <w:tc>
                <w:tcPr>
                  <w:tcW w:w="2551" w:type="pct"/>
                  <w:noWrap w:val="0"/>
                  <w:vAlign w:val="center"/>
                </w:tcPr>
                <w:p w14:paraId="25DA2067">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9. “十四五”期间，全市氮氧化物、挥发性有机物、化学需氧量和氨氮等主要污染物减排量分别为4098吨、2035吨、10031吨和658吨。</w:t>
                  </w:r>
                </w:p>
              </w:tc>
              <w:tc>
                <w:tcPr>
                  <w:tcW w:w="1393" w:type="pct"/>
                  <w:noWrap w:val="0"/>
                  <w:vAlign w:val="center"/>
                </w:tcPr>
                <w:p w14:paraId="539CED04">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s="Times New Roman"/>
                      <w:color w:val="FF0000"/>
                      <w:sz w:val="21"/>
                      <w:szCs w:val="21"/>
                      <w:lang w:val="en-US" w:eastAsia="zh-CN"/>
                    </w:rPr>
                    <w:t>本项目</w:t>
                  </w:r>
                  <w:r>
                    <w:rPr>
                      <w:rFonts w:hint="default" w:ascii="Times New Roman" w:hAnsi="Times New Roman" w:eastAsia="宋体" w:cs="Times New Roman"/>
                      <w:color w:val="FF0000"/>
                      <w:sz w:val="21"/>
                      <w:szCs w:val="21"/>
                    </w:rPr>
                    <w:t>主要污染物</w:t>
                  </w:r>
                  <w:r>
                    <w:rPr>
                      <w:rFonts w:hint="eastAsia" w:ascii="Times New Roman" w:hAnsi="Times New Roman" w:eastAsia="宋体" w:cs="Times New Roman"/>
                      <w:color w:val="FF0000"/>
                      <w:sz w:val="21"/>
                      <w:szCs w:val="21"/>
                      <w:lang w:eastAsia="zh-CN"/>
                    </w:rPr>
                    <w:t>排放应符合总量控制要求。</w:t>
                  </w:r>
                </w:p>
              </w:tc>
              <w:tc>
                <w:tcPr>
                  <w:tcW w:w="363" w:type="pct"/>
                  <w:noWrap w:val="0"/>
                  <w:vAlign w:val="center"/>
                </w:tcPr>
                <w:p w14:paraId="749AB5C3">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符合</w:t>
                  </w:r>
                </w:p>
              </w:tc>
            </w:tr>
            <w:tr w14:paraId="71F801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2" w:hRule="atLeast"/>
                <w:jc w:val="center"/>
              </w:trPr>
              <w:tc>
                <w:tcPr>
                  <w:tcW w:w="300" w:type="pct"/>
                  <w:vMerge w:val="continue"/>
                  <w:noWrap w:val="0"/>
                  <w:vAlign w:val="center"/>
                </w:tcPr>
                <w:p w14:paraId="22123853">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620B2E2D">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lang w:eastAsia="zh-CN"/>
                    </w:rPr>
                  </w:pPr>
                </w:p>
              </w:tc>
              <w:tc>
                <w:tcPr>
                  <w:tcW w:w="2551" w:type="pct"/>
                  <w:noWrap w:val="0"/>
                  <w:vAlign w:val="center"/>
                </w:tcPr>
                <w:p w14:paraId="22476B61">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10.造纸、焦化、氮肥、有色金属、印染、农副食品加工、原料药制造、制革、农药、电镀等重点行业建设项目新建、改建、扩建实施主要水污染排放总量等量或减量置换。</w:t>
                  </w:r>
                </w:p>
              </w:tc>
              <w:tc>
                <w:tcPr>
                  <w:tcW w:w="1393" w:type="pct"/>
                  <w:noWrap w:val="0"/>
                  <w:vAlign w:val="center"/>
                </w:tcPr>
                <w:p w14:paraId="3F3545F1">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olor w:val="FF0000"/>
                      <w:sz w:val="21"/>
                      <w:szCs w:val="21"/>
                      <w:lang w:eastAsia="zh-CN"/>
                    </w:rPr>
                    <w:t>本项目为</w:t>
                  </w:r>
                  <w:r>
                    <w:rPr>
                      <w:rFonts w:hint="eastAsia" w:ascii="Times New Roman" w:hAnsi="Times New Roman" w:eastAsia="宋体" w:cs="Times New Roman"/>
                      <w:color w:val="FF0000"/>
                      <w:sz w:val="21"/>
                      <w:szCs w:val="21"/>
                    </w:rPr>
                    <w:t>卫生材料及医药用品制造</w:t>
                  </w:r>
                  <w:r>
                    <w:rPr>
                      <w:rFonts w:hint="eastAsia" w:ascii="Times New Roman" w:hAnsi="Times New Roman" w:eastAsia="宋体" w:cs="Times New Roman"/>
                      <w:color w:val="FF0000"/>
                      <w:sz w:val="21"/>
                      <w:szCs w:val="21"/>
                      <w:lang w:val="en-US" w:eastAsia="zh-CN"/>
                    </w:rPr>
                    <w:t>项目</w:t>
                  </w:r>
                  <w:r>
                    <w:rPr>
                      <w:rFonts w:hint="eastAsia" w:ascii="Times New Roman" w:hAnsi="Times New Roman" w:eastAsia="宋体"/>
                      <w:color w:val="FF0000"/>
                      <w:sz w:val="21"/>
                      <w:szCs w:val="21"/>
                      <w:lang w:val="en-US" w:eastAsia="zh-CN"/>
                    </w:rPr>
                    <w:t>，</w:t>
                  </w:r>
                  <w:r>
                    <w:rPr>
                      <w:rFonts w:ascii="Times New Roman" w:hAnsi="Times New Roman" w:eastAsia="宋体"/>
                      <w:color w:val="FF0000"/>
                      <w:sz w:val="21"/>
                      <w:szCs w:val="21"/>
                    </w:rPr>
                    <w:t>项目不属于造纸、焦化等行业</w:t>
                  </w:r>
                </w:p>
              </w:tc>
              <w:tc>
                <w:tcPr>
                  <w:tcW w:w="363" w:type="pct"/>
                  <w:noWrap w:val="0"/>
                  <w:vAlign w:val="center"/>
                </w:tcPr>
                <w:p w14:paraId="5C8D49FF">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0C213C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300" w:type="pct"/>
                  <w:vMerge w:val="continue"/>
                  <w:noWrap w:val="0"/>
                  <w:vAlign w:val="center"/>
                </w:tcPr>
                <w:p w14:paraId="6E3C873F">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4FE55D40">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lang w:eastAsia="zh-CN"/>
                    </w:rPr>
                  </w:pPr>
                </w:p>
              </w:tc>
              <w:tc>
                <w:tcPr>
                  <w:tcW w:w="2551" w:type="pct"/>
                  <w:noWrap w:val="0"/>
                  <w:vAlign w:val="center"/>
                </w:tcPr>
                <w:p w14:paraId="24A19D06">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11.到2025年，单位生产总值二氧化碳排放确保完成省下达的指标。</w:t>
                  </w:r>
                </w:p>
              </w:tc>
              <w:tc>
                <w:tcPr>
                  <w:tcW w:w="1393" w:type="pct"/>
                  <w:noWrap w:val="0"/>
                  <w:vAlign w:val="center"/>
                </w:tcPr>
                <w:p w14:paraId="0C2FC6FA">
                  <w:pPr>
                    <w:pStyle w:val="97"/>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宋体" w:cs="Times New Roman"/>
                      <w:color w:val="FF0000"/>
                      <w:spacing w:val="2"/>
                      <w:kern w:val="2"/>
                      <w:sz w:val="21"/>
                      <w:szCs w:val="21"/>
                      <w:lang w:val="en-US" w:eastAsia="zh-CN" w:bidi="ar-SA"/>
                    </w:rPr>
                  </w:pPr>
                  <w:r>
                    <w:rPr>
                      <w:rFonts w:ascii="Times New Roman" w:hAnsi="Times New Roman" w:eastAsia="宋体"/>
                      <w:color w:val="FF0000"/>
                      <w:sz w:val="21"/>
                      <w:szCs w:val="21"/>
                    </w:rPr>
                    <w:t>项目不排放</w:t>
                  </w:r>
                  <w:r>
                    <w:rPr>
                      <w:rFonts w:hint="eastAsia" w:ascii="Times New Roman" w:hAnsi="Times New Roman" w:eastAsia="宋体"/>
                      <w:color w:val="FF0000"/>
                      <w:sz w:val="21"/>
                      <w:szCs w:val="21"/>
                      <w:lang w:eastAsia="zh-CN"/>
                    </w:rPr>
                    <w:t>二</w:t>
                  </w:r>
                  <w:r>
                    <w:rPr>
                      <w:rFonts w:ascii="Times New Roman" w:hAnsi="Times New Roman" w:eastAsia="宋体"/>
                      <w:color w:val="FF0000"/>
                      <w:sz w:val="21"/>
                      <w:szCs w:val="21"/>
                    </w:rPr>
                    <w:t>氧化碳</w:t>
                  </w:r>
                </w:p>
              </w:tc>
              <w:tc>
                <w:tcPr>
                  <w:tcW w:w="363" w:type="pct"/>
                  <w:noWrap w:val="0"/>
                  <w:vAlign w:val="center"/>
                </w:tcPr>
                <w:p w14:paraId="76606D17">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3C662D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2" w:hRule="atLeast"/>
                <w:jc w:val="center"/>
              </w:trPr>
              <w:tc>
                <w:tcPr>
                  <w:tcW w:w="300" w:type="pct"/>
                  <w:vMerge w:val="continue"/>
                  <w:noWrap w:val="0"/>
                  <w:vAlign w:val="center"/>
                </w:tcPr>
                <w:p w14:paraId="7BD59A86">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04277276">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lang w:eastAsia="zh-CN"/>
                    </w:rPr>
                  </w:pPr>
                </w:p>
              </w:tc>
              <w:tc>
                <w:tcPr>
                  <w:tcW w:w="2551" w:type="pct"/>
                  <w:noWrap w:val="0"/>
                  <w:vAlign w:val="center"/>
                </w:tcPr>
                <w:p w14:paraId="08D0BD76">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12.推进重点重金属减排，加强重金属污染综合治理，推进重点行业企业废水总铊治理。</w:t>
                  </w:r>
                </w:p>
              </w:tc>
              <w:tc>
                <w:tcPr>
                  <w:tcW w:w="1393" w:type="pct"/>
                  <w:noWrap w:val="0"/>
                  <w:vAlign w:val="center"/>
                </w:tcPr>
                <w:p w14:paraId="2A5AA9AA">
                  <w:pPr>
                    <w:pStyle w:val="97"/>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宋体" w:cs="Times New Roman"/>
                      <w:color w:val="FF0000"/>
                      <w:spacing w:val="2"/>
                      <w:kern w:val="2"/>
                      <w:sz w:val="21"/>
                      <w:szCs w:val="21"/>
                      <w:lang w:val="en-US" w:eastAsia="zh-CN" w:bidi="ar-SA"/>
                    </w:rPr>
                  </w:pPr>
                  <w:r>
                    <w:rPr>
                      <w:rFonts w:ascii="Times New Roman" w:hAnsi="Times New Roman" w:eastAsia="宋体"/>
                      <w:color w:val="FF0000"/>
                      <w:sz w:val="21"/>
                      <w:szCs w:val="21"/>
                    </w:rPr>
                    <w:t>项目不排放重金属</w:t>
                  </w:r>
                </w:p>
              </w:tc>
              <w:tc>
                <w:tcPr>
                  <w:tcW w:w="363" w:type="pct"/>
                  <w:noWrap w:val="0"/>
                  <w:vAlign w:val="center"/>
                </w:tcPr>
                <w:p w14:paraId="0387E442">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54F558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2" w:hRule="atLeast"/>
                <w:jc w:val="center"/>
              </w:trPr>
              <w:tc>
                <w:tcPr>
                  <w:tcW w:w="300" w:type="pct"/>
                  <w:vMerge w:val="continue"/>
                  <w:noWrap w:val="0"/>
                  <w:vAlign w:val="center"/>
                </w:tcPr>
                <w:p w14:paraId="591D3BE4">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635A7D68">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lang w:eastAsia="zh-CN"/>
                    </w:rPr>
                  </w:pPr>
                </w:p>
              </w:tc>
              <w:tc>
                <w:tcPr>
                  <w:tcW w:w="2551" w:type="pct"/>
                  <w:noWrap w:val="0"/>
                  <w:vAlign w:val="center"/>
                </w:tcPr>
                <w:p w14:paraId="7E074F1F">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13.持续提升工业园区污水收集处理水平，推进园区污水处理设施一级A提标改造。推进污泥减量化资源化无害化处置。</w:t>
                  </w:r>
                </w:p>
              </w:tc>
              <w:tc>
                <w:tcPr>
                  <w:tcW w:w="1393" w:type="pct"/>
                  <w:noWrap w:val="0"/>
                  <w:vAlign w:val="center"/>
                </w:tcPr>
                <w:p w14:paraId="566892DA">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s="Times New Roman"/>
                      <w:color w:val="FF0000"/>
                      <w:sz w:val="21"/>
                      <w:szCs w:val="21"/>
                      <w:lang w:val="en-US" w:eastAsia="zh-CN"/>
                    </w:rPr>
                    <w:t>/</w:t>
                  </w:r>
                </w:p>
              </w:tc>
              <w:tc>
                <w:tcPr>
                  <w:tcW w:w="363" w:type="pct"/>
                  <w:noWrap w:val="0"/>
                  <w:vAlign w:val="center"/>
                </w:tcPr>
                <w:p w14:paraId="72970D58">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r>
            <w:tr w14:paraId="207438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2" w:hRule="atLeast"/>
                <w:jc w:val="center"/>
              </w:trPr>
              <w:tc>
                <w:tcPr>
                  <w:tcW w:w="300" w:type="pct"/>
                  <w:vMerge w:val="continue"/>
                  <w:noWrap w:val="0"/>
                  <w:vAlign w:val="center"/>
                </w:tcPr>
                <w:p w14:paraId="108FE5D0">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332848AF">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lang w:eastAsia="zh-CN"/>
                    </w:rPr>
                  </w:pPr>
                </w:p>
              </w:tc>
              <w:tc>
                <w:tcPr>
                  <w:tcW w:w="2551" w:type="pct"/>
                  <w:noWrap w:val="0"/>
                  <w:vAlign w:val="center"/>
                </w:tcPr>
                <w:p w14:paraId="377B0D50">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FF0000"/>
                      <w:spacing w:val="-2"/>
                      <w:kern w:val="2"/>
                      <w:sz w:val="21"/>
                      <w:szCs w:val="21"/>
                      <w:highlight w:val="yellow"/>
                      <w:lang w:val="en-US" w:eastAsia="zh-CN" w:bidi="ar-SA"/>
                    </w:rPr>
                  </w:pPr>
                  <w:r>
                    <w:rPr>
                      <w:rFonts w:hint="default" w:ascii="Times New Roman" w:hAnsi="Times New Roman" w:eastAsia="宋体" w:cs="Times New Roman"/>
                      <w:color w:val="FF0000"/>
                      <w:spacing w:val="-2"/>
                      <w:sz w:val="21"/>
                      <w:szCs w:val="21"/>
                    </w:rPr>
                    <w:t>14.对长江干流及鄱阳湖区从严审批产生有毒有害污染物的新建和改扩建项目，新建、改建、扩建重点行业项目实行主要水污染物排放等量或减量置换，严控新增污染物排放量。</w:t>
                  </w:r>
                </w:p>
              </w:tc>
              <w:tc>
                <w:tcPr>
                  <w:tcW w:w="1393" w:type="pct"/>
                  <w:noWrap w:val="0"/>
                  <w:vAlign w:val="center"/>
                </w:tcPr>
                <w:p w14:paraId="021AFC37">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olor w:val="FF0000"/>
                      <w:sz w:val="21"/>
                      <w:szCs w:val="21"/>
                      <w:lang w:eastAsia="zh-CN"/>
                    </w:rPr>
                    <w:t>本项目不属于</w:t>
                  </w:r>
                  <w:r>
                    <w:rPr>
                      <w:rFonts w:hint="default" w:ascii="Times New Roman" w:hAnsi="Times New Roman" w:eastAsia="宋体" w:cs="Times New Roman"/>
                      <w:color w:val="FF0000"/>
                      <w:spacing w:val="-2"/>
                      <w:sz w:val="21"/>
                      <w:szCs w:val="21"/>
                    </w:rPr>
                    <w:t>产生有毒有害污染物的新建项目</w:t>
                  </w:r>
                  <w:r>
                    <w:rPr>
                      <w:rFonts w:hint="eastAsia" w:ascii="Times New Roman" w:hAnsi="Times New Roman" w:eastAsia="宋体" w:cs="Times New Roman"/>
                      <w:color w:val="FF0000"/>
                      <w:spacing w:val="-2"/>
                      <w:sz w:val="21"/>
                      <w:szCs w:val="21"/>
                      <w:lang w:eastAsia="zh-CN"/>
                    </w:rPr>
                    <w:t>，</w:t>
                  </w:r>
                  <w:r>
                    <w:rPr>
                      <w:rFonts w:ascii="Times New Roman" w:hAnsi="Times New Roman" w:eastAsia="宋体"/>
                      <w:color w:val="FF0000"/>
                      <w:sz w:val="21"/>
                      <w:szCs w:val="21"/>
                    </w:rPr>
                    <w:t>项目不属于造纸、焦化等行业</w:t>
                  </w:r>
                  <w:r>
                    <w:rPr>
                      <w:rFonts w:hint="eastAsia" w:ascii="Times New Roman" w:hAnsi="Times New Roman" w:eastAsia="宋体"/>
                      <w:color w:val="FF0000"/>
                      <w:sz w:val="21"/>
                      <w:szCs w:val="21"/>
                      <w:lang w:eastAsia="zh-CN"/>
                    </w:rPr>
                    <w:t>等重点行业</w:t>
                  </w:r>
                </w:p>
              </w:tc>
              <w:tc>
                <w:tcPr>
                  <w:tcW w:w="363" w:type="pct"/>
                  <w:noWrap w:val="0"/>
                  <w:vAlign w:val="center"/>
                </w:tcPr>
                <w:p w14:paraId="25356ED1">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136B12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2" w:hRule="atLeast"/>
                <w:jc w:val="center"/>
              </w:trPr>
              <w:tc>
                <w:tcPr>
                  <w:tcW w:w="300" w:type="pct"/>
                  <w:vMerge w:val="continue"/>
                  <w:noWrap w:val="0"/>
                  <w:vAlign w:val="center"/>
                </w:tcPr>
                <w:p w14:paraId="1A6F1CBB">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21A8210C">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lang w:eastAsia="zh-CN"/>
                    </w:rPr>
                  </w:pPr>
                </w:p>
              </w:tc>
              <w:tc>
                <w:tcPr>
                  <w:tcW w:w="2551" w:type="pct"/>
                  <w:noWrap w:val="0"/>
                  <w:vAlign w:val="center"/>
                </w:tcPr>
                <w:p w14:paraId="612E177C">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spacing w:val="-2"/>
                      <w:sz w:val="21"/>
                      <w:szCs w:val="21"/>
                    </w:rPr>
                    <w:t>15.大力推进挥发性有机物和氮氧化物源头协同减排，加强消耗臭氧层物质和氢氟碳化物环境管理，推进企业升级改造和区域环境综合整治。实施溶剂型工业涂料等清洁原料替代。</w:t>
                  </w:r>
                </w:p>
              </w:tc>
              <w:tc>
                <w:tcPr>
                  <w:tcW w:w="1393" w:type="pct"/>
                  <w:noWrap w:val="0"/>
                  <w:vAlign w:val="center"/>
                </w:tcPr>
                <w:p w14:paraId="0113C6B9">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s="Times New Roman"/>
                      <w:color w:val="FF0000"/>
                      <w:sz w:val="21"/>
                      <w:szCs w:val="21"/>
                      <w:lang w:val="en-US" w:eastAsia="zh-CN"/>
                    </w:rPr>
                    <w:t>本项目污染物</w:t>
                  </w:r>
                  <w:r>
                    <w:rPr>
                      <w:rFonts w:hint="eastAsia" w:ascii="Times New Roman" w:hAnsi="Times New Roman" w:eastAsia="宋体" w:cs="Times New Roman"/>
                      <w:color w:val="FF0000"/>
                      <w:spacing w:val="-2"/>
                      <w:sz w:val="21"/>
                      <w:szCs w:val="21"/>
                      <w:lang w:eastAsia="zh-CN"/>
                    </w:rPr>
                    <w:t>排放满足总量控制要求</w:t>
                  </w:r>
                </w:p>
              </w:tc>
              <w:tc>
                <w:tcPr>
                  <w:tcW w:w="363" w:type="pct"/>
                  <w:noWrap w:val="0"/>
                  <w:vAlign w:val="center"/>
                </w:tcPr>
                <w:p w14:paraId="126194DA">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71654C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300" w:type="pct"/>
                  <w:vMerge w:val="continue"/>
                  <w:noWrap w:val="0"/>
                  <w:vAlign w:val="center"/>
                </w:tcPr>
                <w:p w14:paraId="3F0AE25D">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restart"/>
                  <w:noWrap w:val="0"/>
                  <w:vAlign w:val="center"/>
                </w:tcPr>
                <w:p w14:paraId="3F7799B8">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r>
                    <w:rPr>
                      <w:rFonts w:hint="eastAsia" w:ascii="Times New Roman" w:hAnsi="Times New Roman" w:eastAsia="宋体"/>
                      <w:color w:val="FF0000"/>
                      <w:sz w:val="21"/>
                      <w:szCs w:val="21"/>
                    </w:rPr>
                    <w:t>环境风险防控</w:t>
                  </w:r>
                </w:p>
              </w:tc>
              <w:tc>
                <w:tcPr>
                  <w:tcW w:w="2551" w:type="pct"/>
                  <w:noWrap w:val="0"/>
                  <w:vAlign w:val="center"/>
                </w:tcPr>
                <w:p w14:paraId="71686F4E">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pacing w:val="-2"/>
                      <w:sz w:val="21"/>
                      <w:szCs w:val="21"/>
                    </w:rPr>
                    <w:t>16.继续加强九江与南昌、九江与黄冈区域大气污染联防联控机制。</w:t>
                  </w:r>
                </w:p>
              </w:tc>
              <w:tc>
                <w:tcPr>
                  <w:tcW w:w="1393" w:type="pct"/>
                  <w:noWrap w:val="0"/>
                  <w:vAlign w:val="center"/>
                </w:tcPr>
                <w:p w14:paraId="6DC00100">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z w:val="21"/>
                      <w:szCs w:val="21"/>
                    </w:rPr>
                    <w:t>/</w:t>
                  </w:r>
                </w:p>
              </w:tc>
              <w:tc>
                <w:tcPr>
                  <w:tcW w:w="363" w:type="pct"/>
                  <w:noWrap w:val="0"/>
                  <w:vAlign w:val="center"/>
                </w:tcPr>
                <w:p w14:paraId="4C2FEB75">
                  <w:pPr>
                    <w:pStyle w:val="9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r>
            <w:tr w14:paraId="63EF5F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2" w:hRule="atLeast"/>
                <w:jc w:val="center"/>
              </w:trPr>
              <w:tc>
                <w:tcPr>
                  <w:tcW w:w="300" w:type="pct"/>
                  <w:vMerge w:val="continue"/>
                  <w:noWrap w:val="0"/>
                  <w:vAlign w:val="center"/>
                </w:tcPr>
                <w:p w14:paraId="3F964374">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280ACCA3">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2551" w:type="pct"/>
                  <w:noWrap w:val="0"/>
                  <w:vAlign w:val="center"/>
                </w:tcPr>
                <w:p w14:paraId="48B61786">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pacing w:val="-2"/>
                      <w:sz w:val="21"/>
                      <w:szCs w:val="21"/>
                    </w:rPr>
                    <w:t>17.加强区域污染天气监测预警体系建设，完善细颗粒物和臭氧污染天气预警应急启动、响应和解除机制。</w:t>
                  </w:r>
                </w:p>
              </w:tc>
              <w:tc>
                <w:tcPr>
                  <w:tcW w:w="1393" w:type="pct"/>
                  <w:noWrap w:val="0"/>
                  <w:vAlign w:val="center"/>
                </w:tcPr>
                <w:p w14:paraId="139C9D86">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z w:val="21"/>
                      <w:szCs w:val="21"/>
                    </w:rPr>
                    <w:t>/</w:t>
                  </w:r>
                </w:p>
              </w:tc>
              <w:tc>
                <w:tcPr>
                  <w:tcW w:w="363" w:type="pct"/>
                  <w:noWrap w:val="0"/>
                  <w:vAlign w:val="center"/>
                </w:tcPr>
                <w:p w14:paraId="4B96B240">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w:t>
                  </w:r>
                </w:p>
              </w:tc>
            </w:tr>
            <w:tr w14:paraId="119A32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2" w:hRule="atLeast"/>
                <w:jc w:val="center"/>
              </w:trPr>
              <w:tc>
                <w:tcPr>
                  <w:tcW w:w="300" w:type="pct"/>
                  <w:vMerge w:val="continue"/>
                  <w:noWrap w:val="0"/>
                  <w:vAlign w:val="center"/>
                </w:tcPr>
                <w:p w14:paraId="78F33754">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37D9A453">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2551" w:type="pct"/>
                  <w:noWrap w:val="0"/>
                  <w:vAlign w:val="center"/>
                </w:tcPr>
                <w:p w14:paraId="4062960A">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pacing w:val="-2"/>
                      <w:sz w:val="21"/>
                      <w:szCs w:val="21"/>
                    </w:rPr>
                    <w:t>18.在居民集中区、医院和学校附近、重要水源涵养生态功能区等环境风险防控重点区域，禁止新建或扩建易引发环境风险的项目。</w:t>
                  </w:r>
                </w:p>
              </w:tc>
              <w:tc>
                <w:tcPr>
                  <w:tcW w:w="1393" w:type="pct"/>
                  <w:noWrap w:val="0"/>
                  <w:vAlign w:val="center"/>
                </w:tcPr>
                <w:p w14:paraId="37A744DB">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宋体" w:hAnsi="新宋体" w:eastAsia="宋体" w:cs="宋体"/>
                      <w:color w:val="FF0000"/>
                      <w:spacing w:val="2"/>
                      <w:kern w:val="2"/>
                      <w:sz w:val="21"/>
                      <w:szCs w:val="21"/>
                      <w:lang w:val="en-US" w:eastAsia="zh-CN" w:bidi="ar-SA"/>
                    </w:rPr>
                  </w:pPr>
                  <w:r>
                    <w:rPr>
                      <w:rFonts w:hint="eastAsia" w:ascii="Times New Roman" w:hAnsi="Times New Roman" w:eastAsia="宋体" w:cs="Times New Roman"/>
                      <w:color w:val="FF0000"/>
                      <w:sz w:val="21"/>
                      <w:szCs w:val="21"/>
                      <w:lang w:eastAsia="zh-CN"/>
                    </w:rPr>
                    <w:t>本项目位于工业园区内，不属于环境风险等级高的项目。</w:t>
                  </w:r>
                </w:p>
              </w:tc>
              <w:tc>
                <w:tcPr>
                  <w:tcW w:w="363" w:type="pct"/>
                  <w:noWrap w:val="0"/>
                  <w:vAlign w:val="center"/>
                </w:tcPr>
                <w:p w14:paraId="64BBF9CE">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01CDFA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2" w:hRule="atLeast"/>
                <w:jc w:val="center"/>
              </w:trPr>
              <w:tc>
                <w:tcPr>
                  <w:tcW w:w="300" w:type="pct"/>
                  <w:vMerge w:val="continue"/>
                  <w:noWrap w:val="0"/>
                  <w:vAlign w:val="center"/>
                </w:tcPr>
                <w:p w14:paraId="4B289F67">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06695157">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2551" w:type="pct"/>
                  <w:noWrap w:val="0"/>
                  <w:vAlign w:val="center"/>
                </w:tcPr>
                <w:p w14:paraId="0A53195B">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pacing w:val="-2"/>
                      <w:sz w:val="21"/>
                      <w:szCs w:val="21"/>
                    </w:rPr>
                    <w:t>19. 定期开展涉磷行业生态环境安全隐患排查，强化湖区环境安全风险防控，提升鄱阳湖滨湖地区联防联控突发水污染事件能力。</w:t>
                  </w:r>
                </w:p>
              </w:tc>
              <w:tc>
                <w:tcPr>
                  <w:tcW w:w="1393" w:type="pct"/>
                  <w:noWrap w:val="0"/>
                  <w:vAlign w:val="center"/>
                </w:tcPr>
                <w:p w14:paraId="304B8B4C">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s="Times New Roman"/>
                      <w:color w:val="FF0000"/>
                      <w:sz w:val="21"/>
                      <w:szCs w:val="21"/>
                      <w:lang w:eastAsia="zh-CN"/>
                    </w:rPr>
                    <w:t>本项目不属于</w:t>
                  </w:r>
                  <w:r>
                    <w:rPr>
                      <w:rFonts w:hint="default" w:ascii="Times New Roman" w:hAnsi="Times New Roman" w:eastAsia="宋体" w:cs="Times New Roman"/>
                      <w:color w:val="FF0000"/>
                      <w:spacing w:val="-2"/>
                      <w:sz w:val="21"/>
                      <w:szCs w:val="21"/>
                    </w:rPr>
                    <w:t>涉磷行业</w:t>
                  </w:r>
                  <w:r>
                    <w:rPr>
                      <w:rFonts w:hint="eastAsia" w:ascii="Times New Roman" w:hAnsi="Times New Roman" w:eastAsia="宋体" w:cs="Times New Roman"/>
                      <w:color w:val="FF0000"/>
                      <w:spacing w:val="-2"/>
                      <w:sz w:val="21"/>
                      <w:szCs w:val="21"/>
                      <w:lang w:eastAsia="zh-CN"/>
                    </w:rPr>
                    <w:t>。</w:t>
                  </w:r>
                </w:p>
              </w:tc>
              <w:tc>
                <w:tcPr>
                  <w:tcW w:w="363" w:type="pct"/>
                  <w:noWrap w:val="0"/>
                  <w:vAlign w:val="center"/>
                </w:tcPr>
                <w:p w14:paraId="5BA89B26">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551385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2" w:hRule="atLeast"/>
                <w:jc w:val="center"/>
              </w:trPr>
              <w:tc>
                <w:tcPr>
                  <w:tcW w:w="300" w:type="pct"/>
                  <w:vMerge w:val="continue"/>
                  <w:noWrap w:val="0"/>
                  <w:vAlign w:val="center"/>
                </w:tcPr>
                <w:p w14:paraId="09312C64">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45AAD524">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2551" w:type="pct"/>
                  <w:noWrap w:val="0"/>
                  <w:vAlign w:val="center"/>
                </w:tcPr>
                <w:p w14:paraId="43680AB9">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pacing w:val="-2"/>
                      <w:sz w:val="21"/>
                      <w:szCs w:val="21"/>
                    </w:rPr>
                    <w:t>20.禁止在长江干流岸线三公里范围内和重要支流岸线一公里范围内新建、改建、扩建尾矿库、冶炼渣库和磷石膏库，以提升安全、生态环境保护水平为目的的改建除外。</w:t>
                  </w:r>
                </w:p>
              </w:tc>
              <w:tc>
                <w:tcPr>
                  <w:tcW w:w="1393" w:type="pct"/>
                  <w:noWrap w:val="0"/>
                  <w:vAlign w:val="center"/>
                </w:tcPr>
                <w:p w14:paraId="7BA94B85">
                  <w:pPr>
                    <w:pStyle w:val="97"/>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z w:val="21"/>
                      <w:szCs w:val="21"/>
                      <w:highlight w:val="none"/>
                      <w:u w:val="none"/>
                      <w:lang w:val="en-US" w:eastAsia="zh-CN"/>
                    </w:rPr>
                    <w:t>本项目不属于新建、改建、扩建尾矿库、冶炼渣库和磷石膏库</w:t>
                  </w:r>
                </w:p>
              </w:tc>
              <w:tc>
                <w:tcPr>
                  <w:tcW w:w="363" w:type="pct"/>
                  <w:noWrap w:val="0"/>
                  <w:vAlign w:val="center"/>
                </w:tcPr>
                <w:p w14:paraId="7F48C845">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33F890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2" w:hRule="atLeast"/>
                <w:jc w:val="center"/>
              </w:trPr>
              <w:tc>
                <w:tcPr>
                  <w:tcW w:w="300" w:type="pct"/>
                  <w:vMerge w:val="continue"/>
                  <w:noWrap w:val="0"/>
                  <w:vAlign w:val="center"/>
                </w:tcPr>
                <w:p w14:paraId="7C606CBB">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restart"/>
                  <w:noWrap w:val="0"/>
                  <w:vAlign w:val="center"/>
                </w:tcPr>
                <w:p w14:paraId="16D3A676">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r>
                    <w:rPr>
                      <w:rFonts w:hint="eastAsia" w:ascii="Times New Roman" w:hAnsi="Times New Roman" w:eastAsia="宋体"/>
                      <w:color w:val="FF0000"/>
                      <w:sz w:val="21"/>
                      <w:szCs w:val="21"/>
                    </w:rPr>
                    <w:t>资源利用效率要求</w:t>
                  </w:r>
                </w:p>
              </w:tc>
              <w:tc>
                <w:tcPr>
                  <w:tcW w:w="2551" w:type="pct"/>
                  <w:noWrap w:val="0"/>
                  <w:vAlign w:val="center"/>
                </w:tcPr>
                <w:p w14:paraId="36286A18">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pacing w:val="-2"/>
                      <w:sz w:val="21"/>
                      <w:szCs w:val="21"/>
                    </w:rPr>
                    <w:t>21.2025年九江市用水总量指标为23.41亿立方米，万元国内生产总值用水量比2020年下降17%，万元工业增加值用水量比2020年下降16%；“十四五”时期，规模以上万元工业单位增加值用水量下降18%。</w:t>
                  </w:r>
                </w:p>
              </w:tc>
              <w:tc>
                <w:tcPr>
                  <w:tcW w:w="1393" w:type="pct"/>
                  <w:noWrap w:val="0"/>
                  <w:vAlign w:val="center"/>
                </w:tcPr>
                <w:p w14:paraId="2DB2D830">
                  <w:pPr>
                    <w:pStyle w:val="97"/>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宋体" w:cs="Times New Roman"/>
                      <w:color w:val="FF0000"/>
                      <w:spacing w:val="2"/>
                      <w:kern w:val="2"/>
                      <w:sz w:val="21"/>
                      <w:szCs w:val="21"/>
                      <w:lang w:val="en-US" w:eastAsia="zh-CN" w:bidi="ar-SA"/>
                    </w:rPr>
                  </w:pPr>
                  <w:r>
                    <w:rPr>
                      <w:rFonts w:ascii="Times New Roman" w:hAnsi="Times New Roman" w:eastAsia="宋体"/>
                      <w:color w:val="FF0000"/>
                      <w:sz w:val="21"/>
                      <w:szCs w:val="21"/>
                    </w:rPr>
                    <w:t>项目用水量较少</w:t>
                  </w:r>
                </w:p>
              </w:tc>
              <w:tc>
                <w:tcPr>
                  <w:tcW w:w="363" w:type="pct"/>
                  <w:noWrap w:val="0"/>
                  <w:vAlign w:val="center"/>
                </w:tcPr>
                <w:p w14:paraId="1C1BF1DF">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70CD14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300" w:type="pct"/>
                  <w:vMerge w:val="continue"/>
                  <w:noWrap w:val="0"/>
                  <w:vAlign w:val="center"/>
                </w:tcPr>
                <w:p w14:paraId="162B40A2">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45CE342C">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6BC1702F">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pacing w:val="-2"/>
                      <w:sz w:val="21"/>
                      <w:szCs w:val="21"/>
                    </w:rPr>
                    <w:t>22.在城市公共供水管网供水规模能满足用水需要的地区，不得新增开采地下水，原有的自备水井应当限期封闭，经依法批准开采的矿泉水、地热水除外。</w:t>
                  </w:r>
                </w:p>
              </w:tc>
              <w:tc>
                <w:tcPr>
                  <w:tcW w:w="1393" w:type="pct"/>
                  <w:noWrap w:val="0"/>
                  <w:vAlign w:val="center"/>
                </w:tcPr>
                <w:p w14:paraId="724A62D7">
                  <w:pPr>
                    <w:pStyle w:val="97"/>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宋体" w:cs="Times New Roman"/>
                      <w:color w:val="FF0000"/>
                      <w:spacing w:val="2"/>
                      <w:kern w:val="2"/>
                      <w:sz w:val="21"/>
                      <w:szCs w:val="21"/>
                      <w:lang w:val="en-US" w:eastAsia="zh-CN" w:bidi="ar-SA"/>
                    </w:rPr>
                  </w:pPr>
                  <w:r>
                    <w:rPr>
                      <w:rFonts w:ascii="Times New Roman" w:hAnsi="Times New Roman" w:eastAsia="宋体"/>
                      <w:color w:val="FF0000"/>
                      <w:sz w:val="21"/>
                      <w:szCs w:val="21"/>
                    </w:rPr>
                    <w:t>项目不采用地下水</w:t>
                  </w:r>
                </w:p>
              </w:tc>
              <w:tc>
                <w:tcPr>
                  <w:tcW w:w="363" w:type="pct"/>
                  <w:noWrap w:val="0"/>
                  <w:vAlign w:val="center"/>
                </w:tcPr>
                <w:p w14:paraId="50810DC6">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03ED70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300" w:type="pct"/>
                  <w:vMerge w:val="continue"/>
                  <w:noWrap w:val="0"/>
                  <w:vAlign w:val="center"/>
                </w:tcPr>
                <w:p w14:paraId="6EAF708F">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6BB7F7AA">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5794F950">
                  <w:pPr>
                    <w:keepNext w:val="0"/>
                    <w:keepLines w:val="0"/>
                    <w:pageBreakBefore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pacing w:val="-2"/>
                      <w:sz w:val="21"/>
                      <w:szCs w:val="21"/>
                    </w:rPr>
                    <w:t>23.到2025年，全市单位生产总值能耗消耗比2020年下降15%。</w:t>
                  </w:r>
                </w:p>
              </w:tc>
              <w:tc>
                <w:tcPr>
                  <w:tcW w:w="1393" w:type="pct"/>
                  <w:noWrap w:val="0"/>
                  <w:vAlign w:val="center"/>
                </w:tcPr>
                <w:p w14:paraId="1027BA46">
                  <w:pPr>
                    <w:pStyle w:val="97"/>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宋体" w:cs="Times New Roman"/>
                      <w:color w:val="FF0000"/>
                      <w:spacing w:val="2"/>
                      <w:kern w:val="2"/>
                      <w:sz w:val="21"/>
                      <w:szCs w:val="21"/>
                      <w:lang w:val="en-US" w:eastAsia="zh-CN" w:bidi="ar-SA"/>
                    </w:rPr>
                  </w:pPr>
                  <w:r>
                    <w:rPr>
                      <w:rFonts w:hint="eastAsia" w:ascii="Times New Roman" w:hAnsi="Times New Roman" w:eastAsia="宋体" w:cs="Times New Roman"/>
                      <w:color w:val="FF0000"/>
                      <w:spacing w:val="2"/>
                      <w:kern w:val="2"/>
                      <w:sz w:val="21"/>
                      <w:szCs w:val="21"/>
                      <w:lang w:val="en-US" w:eastAsia="zh-CN" w:bidi="ar-SA"/>
                    </w:rPr>
                    <w:t>本项目能耗用量较小</w:t>
                  </w:r>
                </w:p>
              </w:tc>
              <w:tc>
                <w:tcPr>
                  <w:tcW w:w="363" w:type="pct"/>
                  <w:noWrap w:val="0"/>
                  <w:vAlign w:val="center"/>
                </w:tcPr>
                <w:p w14:paraId="4C3698E3">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4E0646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2" w:hRule="atLeast"/>
                <w:jc w:val="center"/>
              </w:trPr>
              <w:tc>
                <w:tcPr>
                  <w:tcW w:w="300" w:type="pct"/>
                  <w:vMerge w:val="continue"/>
                  <w:noWrap w:val="0"/>
                  <w:vAlign w:val="center"/>
                </w:tcPr>
                <w:p w14:paraId="1B9D4910">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413B0919">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450BC059">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FF0000"/>
                      <w:spacing w:val="-2"/>
                      <w:kern w:val="2"/>
                      <w:sz w:val="21"/>
                      <w:szCs w:val="21"/>
                      <w:lang w:val="en-US" w:eastAsia="zh-CN" w:bidi="ar-SA"/>
                    </w:rPr>
                  </w:pPr>
                  <w:r>
                    <w:rPr>
                      <w:rFonts w:hint="default" w:ascii="Times New Roman" w:hAnsi="Times New Roman" w:eastAsia="宋体" w:cs="Times New Roman"/>
                      <w:color w:val="FF0000"/>
                      <w:spacing w:val="-2"/>
                      <w:sz w:val="21"/>
                      <w:szCs w:val="21"/>
                    </w:rPr>
                    <w:t>24.禁止在禁燃区内新建、扩建、改建使用高污染燃料的项目，禁燃区的所有锅炉要按照使用规定全部淘汰或改造到位。</w:t>
                  </w:r>
                </w:p>
              </w:tc>
              <w:tc>
                <w:tcPr>
                  <w:tcW w:w="1393" w:type="pct"/>
                  <w:noWrap w:val="0"/>
                  <w:vAlign w:val="center"/>
                </w:tcPr>
                <w:p w14:paraId="4A427F54">
                  <w:pPr>
                    <w:pStyle w:val="97"/>
                    <w:keepNext w:val="0"/>
                    <w:keepLines w:val="0"/>
                    <w:pageBreakBefore w:val="0"/>
                    <w:kinsoku/>
                    <w:wordWrap/>
                    <w:overflowPunct/>
                    <w:topLinePunct w:val="0"/>
                    <w:autoSpaceDE/>
                    <w:autoSpaceDN/>
                    <w:bidi w:val="0"/>
                    <w:adjustRightInd/>
                    <w:snapToGrid/>
                    <w:spacing w:line="240" w:lineRule="auto"/>
                    <w:ind w:firstLine="0" w:firstLineChars="0"/>
                    <w:rPr>
                      <w:rFonts w:hint="eastAsia" w:ascii="Times New Roman" w:hAnsi="Times New Roman" w:eastAsia="宋体" w:cs="Times New Roman"/>
                      <w:color w:val="FF0000"/>
                      <w:spacing w:val="2"/>
                      <w:kern w:val="2"/>
                      <w:sz w:val="21"/>
                      <w:szCs w:val="21"/>
                      <w:lang w:val="en-US" w:eastAsia="zh-CN" w:bidi="ar-SA"/>
                    </w:rPr>
                  </w:pPr>
                  <w:r>
                    <w:rPr>
                      <w:rFonts w:ascii="Times New Roman" w:hAnsi="Times New Roman" w:eastAsia="宋体"/>
                      <w:color w:val="FF0000"/>
                      <w:sz w:val="21"/>
                      <w:szCs w:val="21"/>
                    </w:rPr>
                    <w:t>项目不使用锅炉</w:t>
                  </w:r>
                </w:p>
              </w:tc>
              <w:tc>
                <w:tcPr>
                  <w:tcW w:w="363" w:type="pct"/>
                  <w:noWrap w:val="0"/>
                  <w:vAlign w:val="center"/>
                </w:tcPr>
                <w:p w14:paraId="32A66268">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0B9156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300" w:type="pct"/>
                  <w:vMerge w:val="restart"/>
                  <w:noWrap w:val="0"/>
                  <w:vAlign w:val="center"/>
                </w:tcPr>
                <w:p w14:paraId="1822284D">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r>
                    <w:rPr>
                      <w:rFonts w:hint="eastAsia" w:ascii="Times New Roman" w:hAnsi="Times New Roman" w:eastAsia="宋体"/>
                      <w:color w:val="FF0000"/>
                      <w:sz w:val="21"/>
                      <w:szCs w:val="21"/>
                      <w:lang w:eastAsia="zh-CN"/>
                    </w:rPr>
                    <w:t>一般管控单元</w:t>
                  </w:r>
                </w:p>
              </w:tc>
              <w:tc>
                <w:tcPr>
                  <w:tcW w:w="391" w:type="pct"/>
                  <w:vMerge w:val="restart"/>
                  <w:noWrap w:val="0"/>
                  <w:vAlign w:val="center"/>
                </w:tcPr>
                <w:p w14:paraId="078269AA">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r>
                    <w:rPr>
                      <w:rFonts w:hint="eastAsia" w:ascii="Times New Roman" w:hAnsi="Times New Roman" w:eastAsia="宋体"/>
                      <w:color w:val="FF0000"/>
                      <w:sz w:val="21"/>
                      <w:szCs w:val="21"/>
                    </w:rPr>
                    <w:t>空间布局约束</w:t>
                  </w:r>
                </w:p>
              </w:tc>
              <w:tc>
                <w:tcPr>
                  <w:tcW w:w="2551" w:type="pct"/>
                  <w:noWrap w:val="0"/>
                  <w:vAlign w:val="center"/>
                </w:tcPr>
                <w:p w14:paraId="0F6D3F05">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1.严格执行畜禽养殖禁养区规定，根据区域用地和消纳水平合理确定养殖规模。</w:t>
                  </w:r>
                </w:p>
              </w:tc>
              <w:tc>
                <w:tcPr>
                  <w:tcW w:w="1393" w:type="pct"/>
                  <w:noWrap w:val="0"/>
                  <w:vAlign w:val="center"/>
                </w:tcPr>
                <w:p w14:paraId="1BE86E03">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eastAsia"/>
                      <w:color w:val="FF0000"/>
                      <w:sz w:val="21"/>
                      <w:szCs w:val="21"/>
                      <w:lang w:eastAsia="zh-CN"/>
                    </w:rPr>
                    <w:t>项目不涉及</w:t>
                  </w:r>
                </w:p>
              </w:tc>
              <w:tc>
                <w:tcPr>
                  <w:tcW w:w="363" w:type="pct"/>
                  <w:noWrap w:val="0"/>
                  <w:vAlign w:val="center"/>
                </w:tcPr>
                <w:p w14:paraId="52BFB5F5">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7F62EF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40" w:hRule="atLeast"/>
                <w:jc w:val="center"/>
              </w:trPr>
              <w:tc>
                <w:tcPr>
                  <w:tcW w:w="300" w:type="pct"/>
                  <w:vMerge w:val="continue"/>
                  <w:noWrap w:val="0"/>
                  <w:vAlign w:val="center"/>
                </w:tcPr>
                <w:p w14:paraId="7DF43280">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429E4E90">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7A24ACAC">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2.城镇开发边界外按照国家和江西省相关规定管控开发建设活动，原则上不得进行城镇集中建设，不得设立各类开发区。</w:t>
                  </w:r>
                </w:p>
              </w:tc>
              <w:tc>
                <w:tcPr>
                  <w:tcW w:w="1393" w:type="pct"/>
                  <w:noWrap w:val="0"/>
                  <w:vAlign w:val="center"/>
                </w:tcPr>
                <w:p w14:paraId="393CACD3">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eastAsia"/>
                      <w:color w:val="FF0000"/>
                      <w:sz w:val="21"/>
                      <w:szCs w:val="21"/>
                      <w:lang w:eastAsia="zh-CN"/>
                    </w:rPr>
                    <w:t>本项目位于</w:t>
                  </w:r>
                  <w:r>
                    <w:rPr>
                      <w:rFonts w:hint="default"/>
                      <w:color w:val="FF0000"/>
                      <w:sz w:val="21"/>
                      <w:szCs w:val="21"/>
                    </w:rPr>
                    <w:t>城镇开发边界</w:t>
                  </w:r>
                  <w:r>
                    <w:rPr>
                      <w:rFonts w:hint="eastAsia"/>
                      <w:color w:val="FF0000"/>
                      <w:sz w:val="21"/>
                      <w:szCs w:val="21"/>
                      <w:lang w:eastAsia="zh-CN"/>
                    </w:rPr>
                    <w:t>范围内</w:t>
                  </w:r>
                </w:p>
              </w:tc>
              <w:tc>
                <w:tcPr>
                  <w:tcW w:w="363" w:type="pct"/>
                  <w:noWrap w:val="0"/>
                  <w:vAlign w:val="center"/>
                </w:tcPr>
                <w:p w14:paraId="1421A2DE">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48361D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81" w:hRule="atLeast"/>
                <w:jc w:val="center"/>
              </w:trPr>
              <w:tc>
                <w:tcPr>
                  <w:tcW w:w="300" w:type="pct"/>
                  <w:vMerge w:val="continue"/>
                  <w:noWrap w:val="0"/>
                  <w:vAlign w:val="center"/>
                </w:tcPr>
                <w:p w14:paraId="2871510C">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242D8F8A">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0D829FC7">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3.加强基本农田保护，严格限制非农项目占用耕地；严格控制在优先保护类耕地集中区域新建有色金属冶炼、石油加工、化工、焦化、电镀、制革等行业企业及新、改、扩建增加重金属污染物排放的项目。</w:t>
                  </w:r>
                </w:p>
              </w:tc>
              <w:tc>
                <w:tcPr>
                  <w:tcW w:w="1393" w:type="pct"/>
                  <w:noWrap w:val="0"/>
                  <w:vAlign w:val="center"/>
                </w:tcPr>
                <w:p w14:paraId="75CA2EDF">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eastAsia"/>
                      <w:color w:val="FF0000"/>
                      <w:sz w:val="21"/>
                      <w:szCs w:val="21"/>
                      <w:lang w:eastAsia="zh-CN"/>
                    </w:rPr>
                    <w:t>项目不占用耕地；不属于</w:t>
                  </w:r>
                  <w:r>
                    <w:rPr>
                      <w:rFonts w:hint="default"/>
                      <w:color w:val="FF0000"/>
                      <w:sz w:val="21"/>
                      <w:szCs w:val="21"/>
                    </w:rPr>
                    <w:t>金属冶炼、石油加工、化工、焦化、电镀、制革等行业</w:t>
                  </w:r>
                </w:p>
              </w:tc>
              <w:tc>
                <w:tcPr>
                  <w:tcW w:w="363" w:type="pct"/>
                  <w:noWrap w:val="0"/>
                  <w:vAlign w:val="center"/>
                </w:tcPr>
                <w:p w14:paraId="3BA56FF5">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327237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11" w:hRule="atLeast"/>
                <w:jc w:val="center"/>
              </w:trPr>
              <w:tc>
                <w:tcPr>
                  <w:tcW w:w="300" w:type="pct"/>
                  <w:vMerge w:val="continue"/>
                  <w:noWrap w:val="0"/>
                  <w:vAlign w:val="center"/>
                </w:tcPr>
                <w:p w14:paraId="6496F323">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restart"/>
                  <w:noWrap w:val="0"/>
                  <w:vAlign w:val="center"/>
                </w:tcPr>
                <w:p w14:paraId="7EFCA3E2">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r>
                    <w:rPr>
                      <w:rFonts w:hint="eastAsia" w:ascii="Times New Roman" w:hAnsi="Times New Roman" w:eastAsia="宋体"/>
                      <w:color w:val="FF0000"/>
                      <w:sz w:val="21"/>
                      <w:szCs w:val="21"/>
                    </w:rPr>
                    <w:t>污染物排放管控</w:t>
                  </w:r>
                </w:p>
              </w:tc>
              <w:tc>
                <w:tcPr>
                  <w:tcW w:w="2551" w:type="pct"/>
                  <w:noWrap w:val="0"/>
                  <w:vAlign w:val="center"/>
                </w:tcPr>
                <w:p w14:paraId="6B70B6AB">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4. 提高农药利用率，开展农药使用安全风险评估，推广应用高效低毒低残留新型农药，逐步淘汰高毒高风险农药。提高农业废弃物资源化利用水平。</w:t>
                  </w:r>
                </w:p>
              </w:tc>
              <w:tc>
                <w:tcPr>
                  <w:tcW w:w="1393" w:type="pct"/>
                  <w:noWrap w:val="0"/>
                  <w:vAlign w:val="center"/>
                </w:tcPr>
                <w:p w14:paraId="0B829F90">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eastAsia" w:cs="Times New Roman"/>
                      <w:color w:val="FF0000"/>
                      <w:kern w:val="0"/>
                      <w:sz w:val="21"/>
                      <w:szCs w:val="21"/>
                      <w:lang w:val="en-US" w:eastAsia="zh-CN" w:bidi="ar-SA"/>
                    </w:rPr>
                    <w:t>项目不涉及</w:t>
                  </w:r>
                </w:p>
              </w:tc>
              <w:tc>
                <w:tcPr>
                  <w:tcW w:w="363" w:type="pct"/>
                  <w:noWrap w:val="0"/>
                  <w:vAlign w:val="center"/>
                </w:tcPr>
                <w:p w14:paraId="77FE914A">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3C112C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52" w:hRule="atLeast"/>
                <w:jc w:val="center"/>
              </w:trPr>
              <w:tc>
                <w:tcPr>
                  <w:tcW w:w="300" w:type="pct"/>
                  <w:vMerge w:val="continue"/>
                  <w:noWrap w:val="0"/>
                  <w:vAlign w:val="center"/>
                </w:tcPr>
                <w:p w14:paraId="45B83C34">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4C501321">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4203CD65">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5. 加强规模养殖场粪污治理设施建设，推进粪污减量化、无害化、资源化利用。加强养殖规划管理，清理禁养区内“三网”养殖，已批准养殖的区域按照养殖容量等相关要求规范网围养殖。禁止河湖水库投肥养殖。</w:t>
                  </w:r>
                </w:p>
              </w:tc>
              <w:tc>
                <w:tcPr>
                  <w:tcW w:w="1393" w:type="pct"/>
                  <w:noWrap w:val="0"/>
                  <w:vAlign w:val="center"/>
                </w:tcPr>
                <w:p w14:paraId="69071FEE">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default"/>
                      <w:color w:val="FF0000"/>
                      <w:sz w:val="21"/>
                      <w:szCs w:val="21"/>
                    </w:rPr>
                    <w:t>项目</w:t>
                  </w:r>
                  <w:r>
                    <w:rPr>
                      <w:rFonts w:hint="eastAsia"/>
                      <w:color w:val="FF0000"/>
                      <w:sz w:val="21"/>
                      <w:szCs w:val="21"/>
                      <w:lang w:eastAsia="zh-CN"/>
                    </w:rPr>
                    <w:t>不涉及</w:t>
                  </w:r>
                </w:p>
              </w:tc>
              <w:tc>
                <w:tcPr>
                  <w:tcW w:w="363" w:type="pct"/>
                  <w:noWrap w:val="0"/>
                  <w:vAlign w:val="center"/>
                </w:tcPr>
                <w:p w14:paraId="1C5A3555">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r w14:paraId="589D2E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40" w:hRule="atLeast"/>
                <w:jc w:val="center"/>
              </w:trPr>
              <w:tc>
                <w:tcPr>
                  <w:tcW w:w="300" w:type="pct"/>
                  <w:vMerge w:val="continue"/>
                  <w:noWrap w:val="0"/>
                  <w:vAlign w:val="center"/>
                </w:tcPr>
                <w:p w14:paraId="79C0C072">
                  <w:pPr>
                    <w:pStyle w:val="97"/>
                    <w:keepNext w:val="0"/>
                    <w:keepLines w:val="0"/>
                    <w:pageBreakBefore w:val="0"/>
                    <w:kinsoku/>
                    <w:wordWrap/>
                    <w:overflowPunct/>
                    <w:topLinePunct w:val="0"/>
                    <w:autoSpaceDE/>
                    <w:autoSpaceDN/>
                    <w:bidi w:val="0"/>
                    <w:adjustRightInd/>
                    <w:snapToGrid/>
                    <w:spacing w:line="240" w:lineRule="auto"/>
                    <w:rPr>
                      <w:rFonts w:ascii="Times New Roman" w:hAnsi="Times New Roman" w:eastAsia="宋体"/>
                      <w:color w:val="FF0000"/>
                      <w:sz w:val="21"/>
                      <w:szCs w:val="21"/>
                    </w:rPr>
                  </w:pPr>
                </w:p>
              </w:tc>
              <w:tc>
                <w:tcPr>
                  <w:tcW w:w="391" w:type="pct"/>
                  <w:vMerge w:val="continue"/>
                  <w:noWrap w:val="0"/>
                  <w:vAlign w:val="center"/>
                </w:tcPr>
                <w:p w14:paraId="15ADFEAF">
                  <w:pPr>
                    <w:pStyle w:val="97"/>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olor w:val="FF0000"/>
                      <w:sz w:val="21"/>
                      <w:szCs w:val="21"/>
                    </w:rPr>
                  </w:pPr>
                </w:p>
              </w:tc>
              <w:tc>
                <w:tcPr>
                  <w:tcW w:w="2551" w:type="pct"/>
                  <w:noWrap w:val="0"/>
                  <w:vAlign w:val="center"/>
                </w:tcPr>
                <w:p w14:paraId="61A18CA3">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default" w:ascii="Times New Roman" w:hAnsi="Times New Roman" w:eastAsia="宋体" w:cs="Times New Roman"/>
                      <w:color w:val="FF0000"/>
                      <w:kern w:val="0"/>
                      <w:sz w:val="21"/>
                      <w:szCs w:val="21"/>
                      <w:lang w:val="en-US" w:eastAsia="zh-CN" w:bidi="ar-SA"/>
                    </w:rPr>
                  </w:pPr>
                  <w:r>
                    <w:rPr>
                      <w:rFonts w:hint="default"/>
                      <w:color w:val="FF0000"/>
                      <w:sz w:val="21"/>
                      <w:szCs w:val="21"/>
                    </w:rPr>
                    <w:t>6. 稳步推进，改造提升农村生活污水治理设施建设，2023年底前完成集中式（日处理规模20吨以上）设施改造，2025年底前基本完成现有设施改造。</w:t>
                  </w:r>
                </w:p>
              </w:tc>
              <w:tc>
                <w:tcPr>
                  <w:tcW w:w="1393" w:type="pct"/>
                  <w:noWrap w:val="0"/>
                  <w:vAlign w:val="center"/>
                </w:tcPr>
                <w:p w14:paraId="3AE67093">
                  <w:pPr>
                    <w:pStyle w:val="10"/>
                    <w:keepNext w:val="0"/>
                    <w:keepLines w:val="0"/>
                    <w:pageBreakBefore w:val="0"/>
                    <w:kinsoku/>
                    <w:wordWrap/>
                    <w:overflowPunct/>
                    <w:topLinePunct w:val="0"/>
                    <w:autoSpaceDE/>
                    <w:autoSpaceDN/>
                    <w:bidi w:val="0"/>
                    <w:adjustRightInd/>
                    <w:snapToGrid/>
                    <w:spacing w:before="0" w:after="0" w:line="240" w:lineRule="auto"/>
                    <w:ind w:right="113" w:rightChars="0"/>
                    <w:jc w:val="center"/>
                    <w:rPr>
                      <w:rFonts w:hint="eastAsia" w:ascii="Times New Roman" w:hAnsi="Times New Roman" w:eastAsia="宋体" w:cs="Times New Roman"/>
                      <w:color w:val="FF0000"/>
                      <w:kern w:val="0"/>
                      <w:sz w:val="21"/>
                      <w:szCs w:val="21"/>
                      <w:lang w:val="en-US" w:eastAsia="zh-CN" w:bidi="ar-SA"/>
                    </w:rPr>
                  </w:pPr>
                  <w:r>
                    <w:rPr>
                      <w:rFonts w:hint="default"/>
                      <w:color w:val="FF0000"/>
                      <w:sz w:val="21"/>
                      <w:szCs w:val="21"/>
                    </w:rPr>
                    <w:t>项目</w:t>
                  </w:r>
                  <w:r>
                    <w:rPr>
                      <w:rFonts w:hint="eastAsia"/>
                      <w:color w:val="FF0000"/>
                      <w:sz w:val="21"/>
                      <w:szCs w:val="21"/>
                      <w:lang w:eastAsia="zh-CN"/>
                    </w:rPr>
                    <w:t>不涉及</w:t>
                  </w:r>
                </w:p>
              </w:tc>
              <w:tc>
                <w:tcPr>
                  <w:tcW w:w="363" w:type="pct"/>
                  <w:noWrap w:val="0"/>
                  <w:vAlign w:val="center"/>
                </w:tcPr>
                <w:p w14:paraId="58895B34">
                  <w:pPr>
                    <w:pStyle w:val="97"/>
                    <w:keepNext w:val="0"/>
                    <w:keepLines w:val="0"/>
                    <w:pageBreakBefore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eastAsia="zh-CN"/>
                    </w:rPr>
                    <w:t>符合</w:t>
                  </w:r>
                </w:p>
              </w:tc>
            </w:tr>
          </w:tbl>
          <w:p w14:paraId="0AE8C9FD">
            <w:pPr>
              <w:keepNext w:val="0"/>
              <w:keepLines w:val="0"/>
              <w:pageBreakBefore w:val="0"/>
              <w:widowControl w:val="0"/>
              <w:shd w:val="clear" w:color="auto" w:fill="auto"/>
              <w:tabs>
                <w:tab w:val="left" w:pos="7821"/>
              </w:tabs>
              <w:kinsoku/>
              <w:wordWrap/>
              <w:overflowPunct/>
              <w:topLinePunct w:val="0"/>
              <w:bidi w:val="0"/>
              <w:adjustRightInd/>
              <w:snapToGrid/>
              <w:spacing w:line="360" w:lineRule="auto"/>
              <w:ind w:firstLine="480" w:firstLineChars="200"/>
              <w:jc w:val="left"/>
              <w:textAlignment w:val="auto"/>
              <w:rPr>
                <w:rFonts w:ascii="Times New Roman" w:hAnsi="Times New Roman" w:eastAsia="宋体" w:cs="Times New Roman"/>
                <w:color w:val="auto"/>
                <w:sz w:val="24"/>
                <w:szCs w:val="24"/>
                <w:highlight w:val="none"/>
              </w:rPr>
            </w:pPr>
            <w:r>
              <w:rPr>
                <w:rFonts w:hint="eastAsia" w:ascii="Times New Roman" w:hAnsi="Times New Roman" w:cs="Times New Roman"/>
                <w:b w:val="0"/>
                <w:bCs/>
                <w:color w:val="auto"/>
                <w:sz w:val="24"/>
                <w:szCs w:val="24"/>
                <w:lang w:val="en-US" w:eastAsia="zh-CN"/>
              </w:rPr>
              <w:t>本项目位于星子工业园区金鹿科技园内，属于重点管控单元，环境管控单元编码为</w:t>
            </w:r>
            <w:r>
              <w:rPr>
                <w:rFonts w:hint="default" w:ascii="Times New Roman" w:hAnsi="Times New Roman" w:cs="Times New Roman"/>
                <w:b w:val="0"/>
                <w:bCs/>
                <w:color w:val="auto"/>
                <w:sz w:val="24"/>
                <w:szCs w:val="24"/>
                <w:highlight w:val="none"/>
              </w:rPr>
              <w:t>ZH3604832000</w:t>
            </w:r>
            <w:r>
              <w:rPr>
                <w:rFonts w:hint="eastAsia" w:cs="Times New Roman"/>
                <w:b w:val="0"/>
                <w:bCs/>
                <w:color w:val="auto"/>
                <w:sz w:val="24"/>
                <w:szCs w:val="24"/>
                <w:highlight w:val="none"/>
                <w:lang w:val="en-US" w:eastAsia="zh-CN"/>
              </w:rPr>
              <w:t>2</w:t>
            </w:r>
            <w:r>
              <w:rPr>
                <w:rFonts w:hint="eastAsia" w:ascii="Times New Roman" w:hAnsi="Times New Roman" w:cs="Times New Roman"/>
                <w:b w:val="0"/>
                <w:bCs/>
                <w:color w:val="auto"/>
                <w:sz w:val="24"/>
                <w:szCs w:val="24"/>
                <w:highlight w:val="none"/>
                <w:lang w:val="en-US" w:eastAsia="zh-CN"/>
              </w:rPr>
              <w:t>，与九江市“三线一单”分区管控单元生态环境准入清单相符性分析见下表</w:t>
            </w:r>
            <w:r>
              <w:rPr>
                <w:rFonts w:hint="eastAsia" w:ascii="Times New Roman" w:hAnsi="Times New Roman" w:eastAsia="宋体" w:cs="Times New Roman"/>
                <w:color w:val="auto"/>
                <w:sz w:val="24"/>
                <w:szCs w:val="24"/>
                <w:highlight w:val="none"/>
              </w:rPr>
              <w:t>。</w:t>
            </w:r>
          </w:p>
          <w:p w14:paraId="5DCFF6A5">
            <w:pPr>
              <w:widowControl/>
              <w:adjustRightInd w:val="0"/>
              <w:snapToGrid w:val="0"/>
              <w:jc w:val="center"/>
              <w:rPr>
                <w:rFonts w:ascii="Times New Roman" w:hAnsi="Times New Roman" w:eastAsia="宋体" w:cs="Times New Roman"/>
                <w:b/>
                <w:color w:val="auto"/>
                <w:kern w:val="0"/>
                <w:highlight w:val="none"/>
              </w:rPr>
            </w:pPr>
            <w:r>
              <w:rPr>
                <w:rFonts w:ascii="Times New Roman" w:hAnsi="Times New Roman" w:eastAsia="宋体" w:cs="Times New Roman"/>
                <w:b/>
                <w:color w:val="auto"/>
                <w:kern w:val="0"/>
                <w:highlight w:val="none"/>
              </w:rPr>
              <w:t>表</w:t>
            </w:r>
            <w:r>
              <w:rPr>
                <w:rFonts w:hint="eastAsia" w:ascii="Times New Roman" w:hAnsi="Times New Roman" w:eastAsia="宋体" w:cs="Times New Roman"/>
                <w:b/>
                <w:color w:val="auto"/>
                <w:kern w:val="0"/>
                <w:highlight w:val="none"/>
              </w:rPr>
              <w:t>1-</w:t>
            </w:r>
            <w:r>
              <w:rPr>
                <w:rFonts w:hint="eastAsia" w:cs="Times New Roman"/>
                <w:b/>
                <w:color w:val="auto"/>
                <w:kern w:val="0"/>
                <w:highlight w:val="none"/>
                <w:lang w:val="en-US" w:eastAsia="zh-CN"/>
              </w:rPr>
              <w:t>11</w:t>
            </w:r>
            <w:r>
              <w:rPr>
                <w:rFonts w:hint="eastAsia" w:ascii="Times New Roman" w:hAnsi="Times New Roman" w:eastAsia="宋体" w:cs="Times New Roman"/>
                <w:b/>
                <w:color w:val="auto"/>
                <w:kern w:val="0"/>
                <w:highlight w:val="none"/>
                <w:lang w:val="en-US" w:eastAsia="zh-CN"/>
              </w:rPr>
              <w:t xml:space="preserve">  </w:t>
            </w:r>
            <w:r>
              <w:rPr>
                <w:rFonts w:hint="eastAsia" w:ascii="Times New Roman" w:hAnsi="Times New Roman" w:eastAsia="宋体" w:cs="Times New Roman"/>
                <w:b/>
                <w:color w:val="auto"/>
                <w:kern w:val="0"/>
                <w:highlight w:val="none"/>
              </w:rPr>
              <w:t>与</w:t>
            </w:r>
            <w:r>
              <w:rPr>
                <w:rFonts w:hint="eastAsia" w:ascii="Times New Roman" w:hAnsi="Times New Roman" w:eastAsia="宋体" w:cs="Times New Roman"/>
                <w:b/>
                <w:color w:val="auto"/>
                <w:kern w:val="0"/>
                <w:highlight w:val="none"/>
                <w:lang w:val="en-US" w:eastAsia="zh-CN"/>
              </w:rPr>
              <w:t>九江市单元生态环境准入清单</w:t>
            </w:r>
            <w:r>
              <w:rPr>
                <w:rFonts w:ascii="Times New Roman" w:hAnsi="Times New Roman" w:eastAsia="宋体" w:cs="Times New Roman"/>
                <w:b/>
                <w:color w:val="auto"/>
                <w:kern w:val="0"/>
                <w:highlight w:val="none"/>
              </w:rPr>
              <w:t>符合性分析</w:t>
            </w:r>
          </w:p>
          <w:tbl>
            <w:tblPr>
              <w:tblStyle w:val="2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668"/>
              <w:gridCol w:w="2438"/>
              <w:gridCol w:w="2701"/>
            </w:tblGrid>
            <w:tr w14:paraId="27E61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514" w:type="pct"/>
                  <w:gridSpan w:val="2"/>
                  <w:tcBorders>
                    <w:tl2br w:val="nil"/>
                    <w:tr2bl w:val="nil"/>
                  </w:tcBorders>
                  <w:noWrap w:val="0"/>
                  <w:vAlign w:val="center"/>
                </w:tcPr>
                <w:p w14:paraId="2D4278B7">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eastAsia="zh-CN"/>
                    </w:rPr>
                    <w:t>环境管控单元编码</w:t>
                  </w:r>
                </w:p>
              </w:tc>
              <w:tc>
                <w:tcPr>
                  <w:tcW w:w="3485" w:type="pct"/>
                  <w:gridSpan w:val="2"/>
                  <w:tcBorders>
                    <w:tl2br w:val="nil"/>
                    <w:tr2bl w:val="nil"/>
                  </w:tcBorders>
                  <w:noWrap w:val="0"/>
                  <w:vAlign w:val="center"/>
                </w:tcPr>
                <w:p w14:paraId="41920AEA">
                  <w:pPr>
                    <w:jc w:val="center"/>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ZH3604832000</w:t>
                  </w:r>
                  <w:r>
                    <w:rPr>
                      <w:rFonts w:hint="eastAsia" w:cs="Times New Roman"/>
                      <w:b w:val="0"/>
                      <w:bCs w:val="0"/>
                      <w:color w:val="auto"/>
                      <w:sz w:val="21"/>
                      <w:szCs w:val="21"/>
                      <w:highlight w:val="none"/>
                      <w:lang w:val="en-US" w:eastAsia="zh-CN"/>
                    </w:rPr>
                    <w:t>2</w:t>
                  </w:r>
                </w:p>
              </w:tc>
            </w:tr>
            <w:tr w14:paraId="28FDD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4" w:type="pct"/>
                  <w:gridSpan w:val="2"/>
                  <w:tcBorders>
                    <w:tl2br w:val="nil"/>
                    <w:tr2bl w:val="nil"/>
                  </w:tcBorders>
                  <w:noWrap w:val="0"/>
                  <w:vAlign w:val="center"/>
                </w:tcPr>
                <w:p w14:paraId="2E27BEB4">
                  <w:pPr>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b w:val="0"/>
                      <w:bCs w:val="0"/>
                      <w:color w:val="auto"/>
                      <w:sz w:val="21"/>
                      <w:szCs w:val="21"/>
                      <w:highlight w:val="none"/>
                      <w:lang w:eastAsia="zh-CN"/>
                    </w:rPr>
                    <w:t>环境管控单元名称</w:t>
                  </w:r>
                </w:p>
              </w:tc>
              <w:tc>
                <w:tcPr>
                  <w:tcW w:w="3485" w:type="pct"/>
                  <w:gridSpan w:val="2"/>
                  <w:tcBorders>
                    <w:tl2br w:val="nil"/>
                    <w:tr2bl w:val="nil"/>
                  </w:tcBorders>
                  <w:noWrap w:val="0"/>
                  <w:vAlign w:val="center"/>
                </w:tcPr>
                <w:p w14:paraId="576EF1A3">
                  <w:pPr>
                    <w:jc w:val="center"/>
                    <w:rPr>
                      <w:rFonts w:hint="default"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val="en-US" w:eastAsia="zh-CN"/>
                    </w:rPr>
                    <w:t>江西省九江市庐山市重点管控单元</w:t>
                  </w:r>
                  <w:r>
                    <w:rPr>
                      <w:rFonts w:hint="eastAsia" w:cs="Times New Roman"/>
                      <w:b w:val="0"/>
                      <w:bCs w:val="0"/>
                      <w:color w:val="auto"/>
                      <w:sz w:val="21"/>
                      <w:szCs w:val="21"/>
                      <w:highlight w:val="none"/>
                      <w:lang w:val="en-US" w:eastAsia="zh-CN"/>
                    </w:rPr>
                    <w:t>2</w:t>
                  </w:r>
                </w:p>
              </w:tc>
            </w:tr>
            <w:tr w14:paraId="53E6C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4" w:type="pct"/>
                  <w:gridSpan w:val="2"/>
                  <w:tcBorders>
                    <w:tl2br w:val="nil"/>
                    <w:tr2bl w:val="nil"/>
                  </w:tcBorders>
                  <w:noWrap w:val="0"/>
                  <w:vAlign w:val="center"/>
                </w:tcPr>
                <w:p w14:paraId="5AD51803">
                  <w:pPr>
                    <w:pStyle w:val="90"/>
                    <w:keepNext w:val="0"/>
                    <w:keepLines w:val="0"/>
                    <w:pageBreakBefore w:val="0"/>
                    <w:widowControl/>
                    <w:kinsoku/>
                    <w:wordWrap/>
                    <w:overflowPunct/>
                    <w:topLinePunct w:val="0"/>
                    <w:autoSpaceDE/>
                    <w:autoSpaceDN/>
                    <w:bidi w:val="0"/>
                    <w:adjustRightInd w:val="0"/>
                    <w:snapToGrid w:val="0"/>
                    <w:spacing w:before="0" w:beforeAutospacing="0" w:after="0" w:afterAutospacing="0" w:line="288" w:lineRule="auto"/>
                    <w:ind w:left="0" w:leftChars="0" w:firstLine="0" w:firstLineChars="0"/>
                    <w:jc w:val="center"/>
                    <w:textAlignment w:val="auto"/>
                    <w:rPr>
                      <w:color w:val="auto"/>
                      <w:highlight w:val="none"/>
                    </w:rPr>
                  </w:pPr>
                  <w:r>
                    <w:rPr>
                      <w:rFonts w:hint="eastAsia" w:ascii="宋体" w:hAnsi="宋体" w:eastAsia="宋体" w:cs="宋体"/>
                      <w:color w:val="auto"/>
                      <w:sz w:val="21"/>
                      <w:szCs w:val="21"/>
                      <w:highlight w:val="none"/>
                      <w:u w:val="none"/>
                      <w:lang w:val="en-US" w:eastAsia="zh-CN"/>
                    </w:rPr>
                    <w:t>地理位置</w:t>
                  </w:r>
                </w:p>
              </w:tc>
              <w:tc>
                <w:tcPr>
                  <w:tcW w:w="3485" w:type="pct"/>
                  <w:gridSpan w:val="2"/>
                  <w:tcBorders>
                    <w:tl2br w:val="nil"/>
                    <w:tr2bl w:val="nil"/>
                  </w:tcBorders>
                  <w:noWrap w:val="0"/>
                  <w:vAlign w:val="center"/>
                </w:tcPr>
                <w:p w14:paraId="6FE0C977">
                  <w:pPr>
                    <w:jc w:val="center"/>
                    <w:rPr>
                      <w:color w:val="auto"/>
                      <w:highlight w:val="none"/>
                    </w:rPr>
                  </w:pPr>
                  <w:r>
                    <w:rPr>
                      <w:rFonts w:hint="eastAsia" w:ascii="宋体" w:hAnsi="宋体" w:eastAsia="宋体" w:cs="宋体"/>
                      <w:color w:val="auto"/>
                      <w:sz w:val="21"/>
                      <w:szCs w:val="21"/>
                      <w:highlight w:val="none"/>
                    </w:rPr>
                    <w:t>江西省九江市庐山市</w:t>
                  </w:r>
                </w:p>
              </w:tc>
            </w:tr>
            <w:tr w14:paraId="01624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4" w:type="pct"/>
                  <w:gridSpan w:val="2"/>
                  <w:tcBorders>
                    <w:tl2br w:val="nil"/>
                    <w:tr2bl w:val="nil"/>
                  </w:tcBorders>
                  <w:noWrap w:val="0"/>
                  <w:vAlign w:val="center"/>
                </w:tcPr>
                <w:p w14:paraId="78B9FE1B">
                  <w:pPr>
                    <w:pStyle w:val="90"/>
                    <w:keepNext w:val="0"/>
                    <w:keepLines w:val="0"/>
                    <w:pageBreakBefore w:val="0"/>
                    <w:widowControl/>
                    <w:kinsoku/>
                    <w:wordWrap/>
                    <w:overflowPunct/>
                    <w:topLinePunct w:val="0"/>
                    <w:autoSpaceDE/>
                    <w:autoSpaceDN/>
                    <w:bidi w:val="0"/>
                    <w:adjustRightInd w:val="0"/>
                    <w:snapToGrid w:val="0"/>
                    <w:spacing w:before="0" w:beforeAutospacing="0" w:after="0" w:afterAutospacing="0" w:line="288" w:lineRule="auto"/>
                    <w:ind w:left="0" w:leftChars="0" w:firstLine="0" w:firstLineChars="0"/>
                    <w:jc w:val="center"/>
                    <w:textAlignment w:val="auto"/>
                    <w:rPr>
                      <w:rFonts w:hint="eastAsia" w:eastAsia="宋体"/>
                      <w:color w:val="auto"/>
                      <w:highlight w:val="none"/>
                      <w:lang w:eastAsia="zh-CN"/>
                    </w:rPr>
                  </w:pPr>
                  <w:r>
                    <w:rPr>
                      <w:rFonts w:hint="eastAsia" w:ascii="宋体" w:hAnsi="宋体" w:eastAsia="宋体" w:cs="宋体"/>
                      <w:color w:val="auto"/>
                      <w:sz w:val="21"/>
                      <w:szCs w:val="21"/>
                      <w:highlight w:val="none"/>
                      <w:u w:val="none"/>
                      <w:lang w:val="en-US" w:eastAsia="zh-CN"/>
                    </w:rPr>
                    <w:t>单元范围</w:t>
                  </w:r>
                </w:p>
              </w:tc>
              <w:tc>
                <w:tcPr>
                  <w:tcW w:w="3485" w:type="pct"/>
                  <w:gridSpan w:val="2"/>
                  <w:tcBorders>
                    <w:tl2br w:val="nil"/>
                    <w:tr2bl w:val="nil"/>
                  </w:tcBorders>
                  <w:noWrap w:val="0"/>
                  <w:vAlign w:val="center"/>
                </w:tcPr>
                <w:p w14:paraId="063FC519">
                  <w:pPr>
                    <w:jc w:val="center"/>
                    <w:rPr>
                      <w:rFonts w:hint="eastAsia"/>
                      <w:color w:val="auto"/>
                      <w:highlight w:val="none"/>
                    </w:rPr>
                  </w:pPr>
                  <w:r>
                    <w:rPr>
                      <w:rFonts w:hint="eastAsia" w:ascii="宋体" w:hAnsi="宋体" w:eastAsia="宋体" w:cs="宋体"/>
                      <w:color w:val="auto"/>
                      <w:sz w:val="21"/>
                      <w:szCs w:val="21"/>
                      <w:highlight w:val="none"/>
                      <w:u w:val="none"/>
                      <w:lang w:val="en-US" w:eastAsia="zh-CN"/>
                    </w:rPr>
                    <w:t>江西星子工业园区</w:t>
                  </w:r>
                </w:p>
              </w:tc>
            </w:tr>
            <w:tr w14:paraId="5DBE3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4" w:type="pct"/>
                  <w:gridSpan w:val="2"/>
                  <w:tcBorders>
                    <w:tl2br w:val="nil"/>
                    <w:tr2bl w:val="nil"/>
                  </w:tcBorders>
                  <w:noWrap w:val="0"/>
                  <w:vAlign w:val="center"/>
                </w:tcPr>
                <w:p w14:paraId="0F99AD4B">
                  <w:pPr>
                    <w:pStyle w:val="90"/>
                    <w:keepNext w:val="0"/>
                    <w:keepLines w:val="0"/>
                    <w:pageBreakBefore w:val="0"/>
                    <w:widowControl/>
                    <w:kinsoku/>
                    <w:wordWrap/>
                    <w:overflowPunct/>
                    <w:topLinePunct w:val="0"/>
                    <w:autoSpaceDE/>
                    <w:autoSpaceDN/>
                    <w:bidi w:val="0"/>
                    <w:adjustRightInd w:val="0"/>
                    <w:snapToGrid w:val="0"/>
                    <w:spacing w:before="0" w:beforeAutospacing="0" w:after="0" w:afterAutospacing="0" w:line="288" w:lineRule="auto"/>
                    <w:ind w:left="0" w:leftChars="0" w:firstLine="0" w:firstLineChars="0"/>
                    <w:jc w:val="center"/>
                    <w:textAlignment w:val="auto"/>
                    <w:rPr>
                      <w:color w:val="auto"/>
                      <w:highlight w:val="none"/>
                    </w:rPr>
                  </w:pPr>
                  <w:r>
                    <w:rPr>
                      <w:rFonts w:hint="eastAsia" w:ascii="宋体" w:hAnsi="宋体" w:eastAsia="宋体" w:cs="宋体"/>
                      <w:color w:val="auto"/>
                      <w:sz w:val="21"/>
                      <w:szCs w:val="21"/>
                      <w:highlight w:val="none"/>
                      <w:u w:val="none"/>
                      <w:lang w:val="en-US" w:eastAsia="zh-CN"/>
                    </w:rPr>
                    <w:t>单元特征</w:t>
                  </w:r>
                </w:p>
              </w:tc>
              <w:tc>
                <w:tcPr>
                  <w:tcW w:w="3485" w:type="pct"/>
                  <w:gridSpan w:val="2"/>
                  <w:tcBorders>
                    <w:tl2br w:val="nil"/>
                    <w:tr2bl w:val="nil"/>
                  </w:tcBorders>
                  <w:noWrap w:val="0"/>
                  <w:vAlign w:val="center"/>
                </w:tcPr>
                <w:p w14:paraId="586ACB88">
                  <w:pPr>
                    <w:widowControl/>
                    <w:jc w:val="both"/>
                    <w:textAlignment w:val="center"/>
                    <w:rPr>
                      <w:color w:val="auto"/>
                      <w:highlight w:val="none"/>
                    </w:rPr>
                  </w:pPr>
                  <w:r>
                    <w:rPr>
                      <w:rFonts w:hint="eastAsia" w:ascii="宋体" w:hAnsi="宋体" w:eastAsia="宋体" w:cs="宋体"/>
                      <w:color w:val="auto"/>
                      <w:sz w:val="21"/>
                      <w:szCs w:val="21"/>
                      <w:highlight w:val="none"/>
                    </w:rPr>
                    <w:t>该单元涉及省级工业园区江西星子工业园区。</w:t>
                  </w:r>
                </w:p>
              </w:tc>
            </w:tr>
            <w:tr w14:paraId="34A5D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4" w:type="pct"/>
                  <w:gridSpan w:val="2"/>
                  <w:tcBorders>
                    <w:tl2br w:val="nil"/>
                    <w:tr2bl w:val="nil"/>
                  </w:tcBorders>
                  <w:noWrap w:val="0"/>
                  <w:vAlign w:val="center"/>
                </w:tcPr>
                <w:p w14:paraId="37B944A6">
                  <w:pPr>
                    <w:pStyle w:val="90"/>
                    <w:keepNext w:val="0"/>
                    <w:keepLines w:val="0"/>
                    <w:pageBreakBefore w:val="0"/>
                    <w:widowControl/>
                    <w:kinsoku/>
                    <w:wordWrap/>
                    <w:overflowPunct/>
                    <w:topLinePunct w:val="0"/>
                    <w:autoSpaceDE/>
                    <w:autoSpaceDN/>
                    <w:bidi w:val="0"/>
                    <w:adjustRightInd w:val="0"/>
                    <w:snapToGrid w:val="0"/>
                    <w:spacing w:before="0" w:beforeAutospacing="0" w:after="0" w:afterAutospacing="0" w:line="288" w:lineRule="auto"/>
                    <w:ind w:left="0" w:leftChars="0" w:firstLine="0" w:firstLineChars="0"/>
                    <w:jc w:val="center"/>
                    <w:textAlignment w:val="auto"/>
                    <w:rPr>
                      <w:rFonts w:hint="eastAsia"/>
                      <w:color w:val="auto"/>
                      <w:highlight w:val="none"/>
                    </w:rPr>
                  </w:pPr>
                  <w:r>
                    <w:rPr>
                      <w:rFonts w:hint="eastAsia" w:ascii="宋体" w:hAnsi="宋体" w:eastAsia="宋体" w:cs="宋体"/>
                      <w:b/>
                      <w:bCs/>
                      <w:color w:val="auto"/>
                      <w:sz w:val="21"/>
                      <w:szCs w:val="21"/>
                      <w:highlight w:val="none"/>
                      <w:u w:val="none"/>
                      <w:lang w:val="en-US" w:eastAsia="zh-CN"/>
                    </w:rPr>
                    <w:t>分类</w:t>
                  </w:r>
                </w:p>
              </w:tc>
              <w:tc>
                <w:tcPr>
                  <w:tcW w:w="1653" w:type="pct"/>
                  <w:tcBorders>
                    <w:tl2br w:val="nil"/>
                    <w:tr2bl w:val="nil"/>
                  </w:tcBorders>
                  <w:noWrap w:val="0"/>
                  <w:vAlign w:val="center"/>
                </w:tcPr>
                <w:p w14:paraId="72382FFD">
                  <w:pPr>
                    <w:pStyle w:val="90"/>
                    <w:keepNext w:val="0"/>
                    <w:keepLines w:val="0"/>
                    <w:pageBreakBefore w:val="0"/>
                    <w:widowControl/>
                    <w:kinsoku/>
                    <w:wordWrap/>
                    <w:overflowPunct/>
                    <w:topLinePunct w:val="0"/>
                    <w:autoSpaceDE/>
                    <w:autoSpaceDN/>
                    <w:bidi w:val="0"/>
                    <w:adjustRightInd w:val="0"/>
                    <w:snapToGrid w:val="0"/>
                    <w:spacing w:before="0" w:beforeAutospacing="0" w:after="0" w:afterAutospacing="0" w:line="288"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宋体" w:hAnsi="宋体" w:eastAsia="宋体" w:cs="宋体"/>
                      <w:b/>
                      <w:bCs/>
                      <w:color w:val="auto"/>
                      <w:sz w:val="21"/>
                      <w:szCs w:val="21"/>
                      <w:highlight w:val="none"/>
                      <w:u w:val="none"/>
                      <w:lang w:val="en-US" w:eastAsia="zh-CN"/>
                    </w:rPr>
                    <w:t>规划要求</w:t>
                  </w:r>
                </w:p>
              </w:tc>
              <w:tc>
                <w:tcPr>
                  <w:tcW w:w="1832" w:type="pct"/>
                  <w:tcBorders>
                    <w:tl2br w:val="nil"/>
                    <w:tr2bl w:val="nil"/>
                  </w:tcBorders>
                  <w:noWrap w:val="0"/>
                  <w:vAlign w:val="center"/>
                </w:tcPr>
                <w:p w14:paraId="32463B64">
                  <w:pPr>
                    <w:pStyle w:val="90"/>
                    <w:keepNext w:val="0"/>
                    <w:keepLines w:val="0"/>
                    <w:pageBreakBefore w:val="0"/>
                    <w:widowControl/>
                    <w:kinsoku/>
                    <w:wordWrap/>
                    <w:overflowPunct/>
                    <w:topLinePunct w:val="0"/>
                    <w:autoSpaceDE/>
                    <w:autoSpaceDN/>
                    <w:bidi w:val="0"/>
                    <w:adjustRightInd w:val="0"/>
                    <w:snapToGrid w:val="0"/>
                    <w:spacing w:before="0" w:beforeAutospacing="0" w:after="0" w:afterAutospacing="0" w:line="288" w:lineRule="auto"/>
                    <w:ind w:left="0" w:lef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宋体" w:hAnsi="宋体" w:eastAsia="宋体" w:cs="宋体"/>
                      <w:b/>
                      <w:bCs/>
                      <w:color w:val="auto"/>
                      <w:sz w:val="21"/>
                      <w:szCs w:val="21"/>
                      <w:highlight w:val="none"/>
                      <w:u w:val="none"/>
                      <w:lang w:val="en-US" w:eastAsia="zh-CN"/>
                    </w:rPr>
                    <w:t>符合性分析</w:t>
                  </w:r>
                </w:p>
              </w:tc>
            </w:tr>
            <w:tr w14:paraId="460370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tcBorders>
                    <w:tl2br w:val="nil"/>
                    <w:tr2bl w:val="nil"/>
                  </w:tcBorders>
                  <w:noWrap w:val="0"/>
                  <w:vAlign w:val="center"/>
                </w:tcPr>
                <w:p w14:paraId="46388ED5">
                  <w:pPr>
                    <w:jc w:val="center"/>
                    <w:rPr>
                      <w:color w:val="auto"/>
                      <w:highlight w:val="none"/>
                    </w:rPr>
                  </w:pPr>
                  <w:r>
                    <w:rPr>
                      <w:rFonts w:hint="eastAsia"/>
                      <w:color w:val="auto"/>
                      <w:highlight w:val="none"/>
                    </w:rPr>
                    <w:t>空间</w:t>
                  </w:r>
                  <w:r>
                    <w:rPr>
                      <w:color w:val="auto"/>
                      <w:highlight w:val="none"/>
                    </w:rPr>
                    <w:t>布局约束</w:t>
                  </w:r>
                </w:p>
              </w:tc>
              <w:tc>
                <w:tcPr>
                  <w:tcW w:w="1130" w:type="pct"/>
                  <w:tcBorders>
                    <w:tl2br w:val="nil"/>
                    <w:tr2bl w:val="nil"/>
                  </w:tcBorders>
                  <w:noWrap w:val="0"/>
                  <w:vAlign w:val="center"/>
                </w:tcPr>
                <w:p w14:paraId="28FB1451">
                  <w:pPr>
                    <w:keepNext w:val="0"/>
                    <w:keepLines w:val="0"/>
                    <w:pageBreakBefore w:val="0"/>
                    <w:tabs>
                      <w:tab w:val="left" w:pos="346"/>
                    </w:tabs>
                    <w:kinsoku/>
                    <w:wordWrap/>
                    <w:overflowPunct/>
                    <w:topLinePunct w:val="0"/>
                    <w:autoSpaceDE w:val="0"/>
                    <w:autoSpaceDN w:val="0"/>
                    <w:bidi w:val="0"/>
                    <w:adjustRightInd w:val="0"/>
                    <w:snapToGrid/>
                    <w:jc w:val="both"/>
                    <w:rPr>
                      <w:color w:val="auto"/>
                      <w:highlight w:val="none"/>
                    </w:rPr>
                  </w:pPr>
                  <w:r>
                    <w:rPr>
                      <w:rFonts w:hint="eastAsia"/>
                      <w:color w:val="auto"/>
                      <w:highlight w:val="none"/>
                    </w:rPr>
                    <w:t>禁止开发建设活动的要求</w:t>
                  </w:r>
                </w:p>
              </w:tc>
              <w:tc>
                <w:tcPr>
                  <w:tcW w:w="1653" w:type="pct"/>
                  <w:tcBorders>
                    <w:tl2br w:val="nil"/>
                    <w:tr2bl w:val="nil"/>
                  </w:tcBorders>
                  <w:noWrap w:val="0"/>
                  <w:vAlign w:val="center"/>
                </w:tcPr>
                <w:p w14:paraId="0E9A23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color w:val="auto"/>
                      <w:highlight w:val="none"/>
                    </w:rPr>
                  </w:pPr>
                  <w:r>
                    <w:rPr>
                      <w:rFonts w:hint="eastAsia"/>
                      <w:color w:val="auto"/>
                      <w:highlight w:val="none"/>
                    </w:rPr>
                    <w:t>无</w:t>
                  </w:r>
                </w:p>
              </w:tc>
              <w:tc>
                <w:tcPr>
                  <w:tcW w:w="1832" w:type="pct"/>
                  <w:tcBorders>
                    <w:tl2br w:val="nil"/>
                    <w:tr2bl w:val="nil"/>
                  </w:tcBorders>
                  <w:noWrap w:val="0"/>
                  <w:vAlign w:val="center"/>
                </w:tcPr>
                <w:p w14:paraId="47C967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auto"/>
                      <w:highlight w:val="none"/>
                      <w:lang w:val="en-US" w:eastAsia="zh-CN"/>
                    </w:rPr>
                  </w:pPr>
                  <w:r>
                    <w:rPr>
                      <w:rFonts w:hint="eastAsia" w:cs="Times New Roman"/>
                      <w:b w:val="0"/>
                      <w:bCs/>
                      <w:color w:val="auto"/>
                      <w:sz w:val="21"/>
                      <w:szCs w:val="21"/>
                      <w:highlight w:val="none"/>
                      <w:lang w:val="en-US" w:eastAsia="zh-CN"/>
                    </w:rPr>
                    <w:t>/</w:t>
                  </w:r>
                </w:p>
              </w:tc>
            </w:tr>
            <w:tr w14:paraId="77FA8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5853AB43">
                  <w:pPr>
                    <w:jc w:val="center"/>
                    <w:rPr>
                      <w:color w:val="auto"/>
                      <w:highlight w:val="none"/>
                    </w:rPr>
                  </w:pPr>
                </w:p>
              </w:tc>
              <w:tc>
                <w:tcPr>
                  <w:tcW w:w="1130" w:type="pct"/>
                  <w:tcBorders>
                    <w:tl2br w:val="nil"/>
                    <w:tr2bl w:val="nil"/>
                  </w:tcBorders>
                  <w:noWrap w:val="0"/>
                  <w:vAlign w:val="center"/>
                </w:tcPr>
                <w:p w14:paraId="73C04063">
                  <w:pPr>
                    <w:keepNext w:val="0"/>
                    <w:keepLines w:val="0"/>
                    <w:pageBreakBefore w:val="0"/>
                    <w:kinsoku/>
                    <w:wordWrap/>
                    <w:overflowPunct/>
                    <w:topLinePunct w:val="0"/>
                    <w:autoSpaceDE w:val="0"/>
                    <w:autoSpaceDN w:val="0"/>
                    <w:bidi w:val="0"/>
                    <w:adjustRightInd w:val="0"/>
                    <w:snapToGrid/>
                    <w:jc w:val="both"/>
                    <w:rPr>
                      <w:color w:val="auto"/>
                      <w:highlight w:val="none"/>
                    </w:rPr>
                  </w:pPr>
                  <w:r>
                    <w:rPr>
                      <w:rFonts w:hint="eastAsia"/>
                      <w:color w:val="auto"/>
                      <w:highlight w:val="none"/>
                    </w:rPr>
                    <w:t>限制开发建设活动的要求</w:t>
                  </w:r>
                </w:p>
              </w:tc>
              <w:tc>
                <w:tcPr>
                  <w:tcW w:w="1653" w:type="pct"/>
                  <w:tcBorders>
                    <w:tl2br w:val="nil"/>
                    <w:tr2bl w:val="nil"/>
                  </w:tcBorders>
                  <w:noWrap w:val="0"/>
                  <w:vAlign w:val="center"/>
                </w:tcPr>
                <w:p w14:paraId="31197F5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color w:val="auto"/>
                      <w:highlight w:val="none"/>
                    </w:rPr>
                  </w:pPr>
                  <w:r>
                    <w:rPr>
                      <w:rFonts w:hint="eastAsia"/>
                      <w:color w:val="auto"/>
                      <w:highlight w:val="none"/>
                    </w:rPr>
                    <w:t>限制引入含磷废水排放量大的项目。</w:t>
                  </w:r>
                </w:p>
              </w:tc>
              <w:tc>
                <w:tcPr>
                  <w:tcW w:w="1832" w:type="pct"/>
                  <w:tcBorders>
                    <w:tl2br w:val="nil"/>
                    <w:tr2bl w:val="nil"/>
                  </w:tcBorders>
                  <w:noWrap w:val="0"/>
                  <w:vAlign w:val="center"/>
                </w:tcPr>
                <w:p w14:paraId="05CCB87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sz w:val="21"/>
                      <w:szCs w:val="21"/>
                      <w:highlight w:val="none"/>
                      <w:lang w:val="en-US" w:eastAsia="zh-CN"/>
                    </w:rPr>
                    <w:t>本项目</w:t>
                  </w:r>
                  <w:r>
                    <w:rPr>
                      <w:rFonts w:hint="eastAsia" w:cs="Times New Roman"/>
                      <w:color w:val="auto"/>
                      <w:sz w:val="21"/>
                      <w:szCs w:val="21"/>
                      <w:highlight w:val="none"/>
                      <w:lang w:val="en-US" w:eastAsia="zh-CN"/>
                    </w:rPr>
                    <w:t>仅排放生活污水，废水排放量较小，经化粪池处理后排入庐山市工业园区污水处理厂处理</w:t>
                  </w:r>
                  <w:r>
                    <w:rPr>
                      <w:rFonts w:hint="eastAsia" w:ascii="Times New Roman" w:hAnsi="Times New Roman" w:cs="Times New Roman"/>
                      <w:color w:val="auto"/>
                      <w:sz w:val="21"/>
                      <w:szCs w:val="21"/>
                      <w:highlight w:val="none"/>
                      <w:lang w:val="en-US" w:eastAsia="zh-CN"/>
                    </w:rPr>
                    <w:t>。</w:t>
                  </w:r>
                </w:p>
              </w:tc>
            </w:tr>
            <w:tr w14:paraId="38251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7BE45188">
                  <w:pPr>
                    <w:jc w:val="center"/>
                    <w:rPr>
                      <w:color w:val="auto"/>
                      <w:highlight w:val="none"/>
                    </w:rPr>
                  </w:pPr>
                </w:p>
              </w:tc>
              <w:tc>
                <w:tcPr>
                  <w:tcW w:w="1130" w:type="pct"/>
                  <w:tcBorders>
                    <w:tl2br w:val="nil"/>
                    <w:tr2bl w:val="nil"/>
                  </w:tcBorders>
                  <w:noWrap w:val="0"/>
                  <w:vAlign w:val="center"/>
                </w:tcPr>
                <w:p w14:paraId="008DFDBE">
                  <w:pPr>
                    <w:keepNext w:val="0"/>
                    <w:keepLines w:val="0"/>
                    <w:pageBreakBefore w:val="0"/>
                    <w:kinsoku/>
                    <w:wordWrap/>
                    <w:overflowPunct/>
                    <w:topLinePunct w:val="0"/>
                    <w:autoSpaceDE w:val="0"/>
                    <w:autoSpaceDN w:val="0"/>
                    <w:bidi w:val="0"/>
                    <w:adjustRightInd w:val="0"/>
                    <w:snapToGrid/>
                    <w:jc w:val="both"/>
                    <w:rPr>
                      <w:color w:val="auto"/>
                      <w:highlight w:val="none"/>
                    </w:rPr>
                  </w:pPr>
                  <w:r>
                    <w:rPr>
                      <w:rFonts w:hint="eastAsia"/>
                      <w:color w:val="auto"/>
                      <w:highlight w:val="none"/>
                    </w:rPr>
                    <w:t>允许开发建设活动的要求</w:t>
                  </w:r>
                </w:p>
              </w:tc>
              <w:tc>
                <w:tcPr>
                  <w:tcW w:w="1653" w:type="pct"/>
                  <w:tcBorders>
                    <w:tl2br w:val="nil"/>
                    <w:tr2bl w:val="nil"/>
                  </w:tcBorders>
                  <w:noWrap w:val="0"/>
                  <w:vAlign w:val="center"/>
                </w:tcPr>
                <w:p w14:paraId="373B1D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color w:val="auto"/>
                      <w:highlight w:val="none"/>
                    </w:rPr>
                  </w:pPr>
                  <w:r>
                    <w:rPr>
                      <w:rFonts w:hint="eastAsia"/>
                      <w:color w:val="auto"/>
                      <w:highlight w:val="none"/>
                    </w:rPr>
                    <w:t>无</w:t>
                  </w:r>
                </w:p>
              </w:tc>
              <w:tc>
                <w:tcPr>
                  <w:tcW w:w="1832" w:type="pct"/>
                  <w:tcBorders>
                    <w:tl2br w:val="nil"/>
                    <w:tr2bl w:val="nil"/>
                  </w:tcBorders>
                  <w:noWrap w:val="0"/>
                  <w:vAlign w:val="center"/>
                </w:tcPr>
                <w:p w14:paraId="0C948F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r w14:paraId="6BB3B6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7FA97841">
                  <w:pPr>
                    <w:jc w:val="center"/>
                    <w:rPr>
                      <w:color w:val="auto"/>
                      <w:highlight w:val="none"/>
                    </w:rPr>
                  </w:pPr>
                </w:p>
              </w:tc>
              <w:tc>
                <w:tcPr>
                  <w:tcW w:w="1130" w:type="pct"/>
                  <w:tcBorders>
                    <w:tl2br w:val="nil"/>
                    <w:tr2bl w:val="nil"/>
                  </w:tcBorders>
                  <w:noWrap w:val="0"/>
                  <w:vAlign w:val="center"/>
                </w:tcPr>
                <w:p w14:paraId="032F4631">
                  <w:pPr>
                    <w:keepNext w:val="0"/>
                    <w:keepLines w:val="0"/>
                    <w:pageBreakBefore w:val="0"/>
                    <w:kinsoku/>
                    <w:wordWrap/>
                    <w:overflowPunct/>
                    <w:topLinePunct w:val="0"/>
                    <w:autoSpaceDE w:val="0"/>
                    <w:autoSpaceDN w:val="0"/>
                    <w:bidi w:val="0"/>
                    <w:adjustRightInd w:val="0"/>
                    <w:snapToGrid/>
                    <w:jc w:val="both"/>
                    <w:rPr>
                      <w:color w:val="auto"/>
                      <w:highlight w:val="none"/>
                    </w:rPr>
                  </w:pPr>
                  <w:r>
                    <w:rPr>
                      <w:rFonts w:hint="eastAsia"/>
                      <w:color w:val="auto"/>
                      <w:highlight w:val="none"/>
                    </w:rPr>
                    <w:t>不符合空间布局要求活动的退出要求</w:t>
                  </w:r>
                </w:p>
              </w:tc>
              <w:tc>
                <w:tcPr>
                  <w:tcW w:w="1653" w:type="pct"/>
                  <w:tcBorders>
                    <w:tl2br w:val="nil"/>
                    <w:tr2bl w:val="nil"/>
                  </w:tcBorders>
                  <w:noWrap w:val="0"/>
                  <w:vAlign w:val="center"/>
                </w:tcPr>
                <w:p w14:paraId="14A2D372">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eastAsia" w:eastAsia="宋体"/>
                      <w:color w:val="auto"/>
                      <w:highlight w:val="none"/>
                      <w:lang w:eastAsia="zh-CN"/>
                    </w:rPr>
                  </w:pPr>
                  <w:r>
                    <w:rPr>
                      <w:rFonts w:hint="eastAsia"/>
                      <w:color w:val="auto"/>
                      <w:highlight w:val="none"/>
                    </w:rPr>
                    <w:t>现有超标严重治理无望的企业限期退出</w:t>
                  </w:r>
                  <w:r>
                    <w:rPr>
                      <w:rFonts w:hint="eastAsia"/>
                      <w:color w:val="auto"/>
                      <w:highlight w:val="none"/>
                      <w:lang w:eastAsia="zh-CN"/>
                    </w:rPr>
                    <w:t>。</w:t>
                  </w:r>
                </w:p>
              </w:tc>
              <w:tc>
                <w:tcPr>
                  <w:tcW w:w="1832" w:type="pct"/>
                  <w:tcBorders>
                    <w:tl2br w:val="nil"/>
                    <w:tr2bl w:val="nil"/>
                  </w:tcBorders>
                  <w:noWrap w:val="0"/>
                  <w:vAlign w:val="center"/>
                </w:tcPr>
                <w:p w14:paraId="2D2D100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bCs/>
                      <w:color w:val="auto"/>
                      <w:sz w:val="21"/>
                      <w:szCs w:val="21"/>
                      <w:highlight w:val="none"/>
                      <w:lang w:val="en-US" w:eastAsia="zh-CN"/>
                    </w:rPr>
                    <w:t>本项目</w:t>
                  </w:r>
                  <w:r>
                    <w:rPr>
                      <w:rFonts w:hint="eastAsia" w:cs="Times New Roman"/>
                      <w:bCs/>
                      <w:color w:val="auto"/>
                      <w:sz w:val="21"/>
                      <w:szCs w:val="21"/>
                      <w:highlight w:val="none"/>
                      <w:lang w:val="en-US" w:eastAsia="zh-CN"/>
                    </w:rPr>
                    <w:t>属于新建项目，不属于超标严重的项目</w:t>
                  </w:r>
                  <w:r>
                    <w:rPr>
                      <w:rFonts w:hint="eastAsia" w:ascii="Times New Roman" w:hAnsi="Times New Roman" w:eastAsia="宋体" w:cs="Times New Roman"/>
                      <w:bCs/>
                      <w:color w:val="auto"/>
                      <w:sz w:val="21"/>
                      <w:szCs w:val="21"/>
                      <w:highlight w:val="none"/>
                      <w:lang w:val="en-US" w:eastAsia="zh-CN"/>
                    </w:rPr>
                    <w:t>。</w:t>
                  </w:r>
                </w:p>
              </w:tc>
            </w:tr>
            <w:tr w14:paraId="4563E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2FA25DF1">
                  <w:pPr>
                    <w:jc w:val="center"/>
                    <w:rPr>
                      <w:color w:val="auto"/>
                      <w:highlight w:val="none"/>
                    </w:rPr>
                  </w:pPr>
                </w:p>
              </w:tc>
              <w:tc>
                <w:tcPr>
                  <w:tcW w:w="1130" w:type="pct"/>
                  <w:tcBorders>
                    <w:tl2br w:val="nil"/>
                    <w:tr2bl w:val="nil"/>
                  </w:tcBorders>
                  <w:noWrap w:val="0"/>
                  <w:vAlign w:val="center"/>
                </w:tcPr>
                <w:p w14:paraId="29691E48">
                  <w:pPr>
                    <w:keepNext w:val="0"/>
                    <w:keepLines w:val="0"/>
                    <w:pageBreakBefore w:val="0"/>
                    <w:kinsoku/>
                    <w:wordWrap/>
                    <w:overflowPunct/>
                    <w:topLinePunct w:val="0"/>
                    <w:autoSpaceDE w:val="0"/>
                    <w:autoSpaceDN w:val="0"/>
                    <w:bidi w:val="0"/>
                    <w:adjustRightInd w:val="0"/>
                    <w:snapToGrid/>
                    <w:jc w:val="both"/>
                    <w:rPr>
                      <w:rFonts w:hint="eastAsia"/>
                      <w:color w:val="auto"/>
                      <w:highlight w:val="none"/>
                    </w:rPr>
                  </w:pPr>
                  <w:r>
                    <w:rPr>
                      <w:rFonts w:hint="eastAsia"/>
                      <w:color w:val="auto"/>
                      <w:highlight w:val="none"/>
                    </w:rPr>
                    <w:t>其他空间布局约束要求</w:t>
                  </w:r>
                </w:p>
              </w:tc>
              <w:tc>
                <w:tcPr>
                  <w:tcW w:w="1653" w:type="pct"/>
                  <w:tcBorders>
                    <w:tl2br w:val="nil"/>
                    <w:tr2bl w:val="nil"/>
                  </w:tcBorders>
                  <w:noWrap w:val="0"/>
                  <w:vAlign w:val="center"/>
                </w:tcPr>
                <w:p w14:paraId="14325C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color w:val="auto"/>
                      <w:highlight w:val="none"/>
                    </w:rPr>
                  </w:pPr>
                  <w:r>
                    <w:rPr>
                      <w:rFonts w:hint="eastAsia"/>
                      <w:color w:val="auto"/>
                      <w:highlight w:val="none"/>
                    </w:rPr>
                    <w:t>无</w:t>
                  </w:r>
                </w:p>
              </w:tc>
              <w:tc>
                <w:tcPr>
                  <w:tcW w:w="1832" w:type="pct"/>
                  <w:tcBorders>
                    <w:tl2br w:val="nil"/>
                    <w:tr2bl w:val="nil"/>
                  </w:tcBorders>
                  <w:noWrap w:val="0"/>
                  <w:vAlign w:val="center"/>
                </w:tcPr>
                <w:p w14:paraId="19A0FEC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r>
            <w:tr w14:paraId="6B394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tcBorders>
                    <w:tl2br w:val="nil"/>
                    <w:tr2bl w:val="nil"/>
                  </w:tcBorders>
                  <w:noWrap w:val="0"/>
                  <w:vAlign w:val="center"/>
                </w:tcPr>
                <w:p w14:paraId="07C12037">
                  <w:pPr>
                    <w:jc w:val="center"/>
                    <w:rPr>
                      <w:color w:val="auto"/>
                      <w:highlight w:val="none"/>
                    </w:rPr>
                  </w:pPr>
                  <w:r>
                    <w:rPr>
                      <w:rFonts w:hint="eastAsia"/>
                      <w:color w:val="auto"/>
                      <w:highlight w:val="none"/>
                    </w:rPr>
                    <w:t>污染物</w:t>
                  </w:r>
                  <w:r>
                    <w:rPr>
                      <w:color w:val="auto"/>
                      <w:highlight w:val="none"/>
                    </w:rPr>
                    <w:t>排放管</w:t>
                  </w:r>
                  <w:r>
                    <w:rPr>
                      <w:rFonts w:hint="eastAsia"/>
                      <w:color w:val="auto"/>
                      <w:highlight w:val="none"/>
                    </w:rPr>
                    <w:t>控</w:t>
                  </w:r>
                </w:p>
              </w:tc>
              <w:tc>
                <w:tcPr>
                  <w:tcW w:w="1130" w:type="pct"/>
                  <w:tcBorders>
                    <w:tl2br w:val="nil"/>
                    <w:tr2bl w:val="nil"/>
                  </w:tcBorders>
                  <w:noWrap w:val="0"/>
                  <w:vAlign w:val="center"/>
                </w:tcPr>
                <w:p w14:paraId="69B91F55">
                  <w:pPr>
                    <w:keepNext w:val="0"/>
                    <w:keepLines w:val="0"/>
                    <w:pageBreakBefore w:val="0"/>
                    <w:kinsoku/>
                    <w:wordWrap/>
                    <w:overflowPunct/>
                    <w:topLinePunct w:val="0"/>
                    <w:autoSpaceDE w:val="0"/>
                    <w:autoSpaceDN w:val="0"/>
                    <w:bidi w:val="0"/>
                    <w:adjustRightInd w:val="0"/>
                    <w:snapToGrid/>
                    <w:jc w:val="both"/>
                    <w:rPr>
                      <w:color w:val="auto"/>
                      <w:highlight w:val="none"/>
                    </w:rPr>
                  </w:pPr>
                  <w:r>
                    <w:rPr>
                      <w:rFonts w:hint="default" w:ascii="Times New Roman" w:hAnsi="Times New Roman" w:eastAsia="宋体" w:cs="Times New Roman"/>
                      <w:color w:val="auto"/>
                      <w:sz w:val="21"/>
                      <w:szCs w:val="21"/>
                      <w:highlight w:val="none"/>
                      <w:lang w:val="en-US" w:eastAsia="zh-CN" w:bidi="ar-SA"/>
                    </w:rPr>
                    <w:t>现有源提标升级改造</w:t>
                  </w:r>
                </w:p>
              </w:tc>
              <w:tc>
                <w:tcPr>
                  <w:tcW w:w="1653" w:type="pct"/>
                  <w:tcBorders>
                    <w:tl2br w:val="nil"/>
                    <w:tr2bl w:val="nil"/>
                  </w:tcBorders>
                  <w:noWrap w:val="0"/>
                  <w:vAlign w:val="center"/>
                </w:tcPr>
                <w:p w14:paraId="7BD71F03">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工业园区现有企业需预处理达到污水集中处理设施接管标准</w:t>
                  </w:r>
                  <w:r>
                    <w:rPr>
                      <w:rFonts w:hint="eastAsia" w:cs="Times New Roman"/>
                      <w:bCs/>
                      <w:color w:val="auto"/>
                      <w:sz w:val="21"/>
                      <w:szCs w:val="21"/>
                      <w:highlight w:val="none"/>
                      <w:lang w:val="en-US" w:eastAsia="zh-CN"/>
                    </w:rPr>
                    <w:t>。</w:t>
                  </w:r>
                </w:p>
              </w:tc>
              <w:tc>
                <w:tcPr>
                  <w:tcW w:w="1832" w:type="pct"/>
                  <w:tcBorders>
                    <w:tl2br w:val="nil"/>
                    <w:tr2bl w:val="nil"/>
                  </w:tcBorders>
                  <w:noWrap w:val="0"/>
                  <w:vAlign w:val="center"/>
                </w:tcPr>
                <w:p w14:paraId="17A4D51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本项目废水经处理后</w:t>
                  </w:r>
                  <w:r>
                    <w:rPr>
                      <w:rFonts w:hint="default" w:ascii="Times New Roman" w:hAnsi="Times New Roman" w:eastAsia="宋体" w:cs="Times New Roman"/>
                      <w:bCs/>
                      <w:color w:val="auto"/>
                      <w:sz w:val="21"/>
                      <w:szCs w:val="21"/>
                      <w:highlight w:val="none"/>
                      <w:lang w:val="en-US" w:eastAsia="zh-CN"/>
                    </w:rPr>
                    <w:t>达到庐山市工业园区污水处理厂接管标准</w:t>
                  </w:r>
                  <w:r>
                    <w:rPr>
                      <w:rFonts w:hint="eastAsia" w:ascii="Times New Roman" w:hAnsi="Times New Roman" w:eastAsia="宋体" w:cs="Times New Roman"/>
                      <w:bCs/>
                      <w:color w:val="auto"/>
                      <w:sz w:val="21"/>
                      <w:szCs w:val="21"/>
                      <w:highlight w:val="none"/>
                      <w:lang w:val="en-US" w:eastAsia="zh-CN"/>
                    </w:rPr>
                    <w:t>。</w:t>
                  </w:r>
                </w:p>
              </w:tc>
            </w:tr>
            <w:tr w14:paraId="3C166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17EA4F88">
                  <w:pPr>
                    <w:jc w:val="center"/>
                    <w:rPr>
                      <w:color w:val="auto"/>
                      <w:highlight w:val="none"/>
                    </w:rPr>
                  </w:pPr>
                </w:p>
              </w:tc>
              <w:tc>
                <w:tcPr>
                  <w:tcW w:w="1130" w:type="pct"/>
                  <w:tcBorders>
                    <w:tl2br w:val="nil"/>
                    <w:tr2bl w:val="nil"/>
                  </w:tcBorders>
                  <w:noWrap w:val="0"/>
                  <w:vAlign w:val="center"/>
                </w:tcPr>
                <w:p w14:paraId="158CD195">
                  <w:pPr>
                    <w:keepNext w:val="0"/>
                    <w:keepLines w:val="0"/>
                    <w:pageBreakBefore w:val="0"/>
                    <w:kinsoku/>
                    <w:wordWrap/>
                    <w:overflowPunct/>
                    <w:topLinePunct w:val="0"/>
                    <w:autoSpaceDE w:val="0"/>
                    <w:autoSpaceDN w:val="0"/>
                    <w:bidi w:val="0"/>
                    <w:adjustRightInd w:val="0"/>
                    <w:snapToGrid/>
                    <w:jc w:val="both"/>
                    <w:rPr>
                      <w:color w:val="auto"/>
                      <w:highlight w:val="none"/>
                    </w:rPr>
                  </w:pPr>
                  <w:r>
                    <w:rPr>
                      <w:rFonts w:hint="default" w:ascii="Times New Roman" w:hAnsi="Times New Roman" w:eastAsia="宋体" w:cs="Times New Roman"/>
                      <w:color w:val="auto"/>
                      <w:sz w:val="21"/>
                      <w:szCs w:val="21"/>
                      <w:highlight w:val="none"/>
                      <w:lang w:val="en-US" w:eastAsia="zh-CN" w:bidi="ar-SA"/>
                    </w:rPr>
                    <w:t>新增源等量或倍量替代</w:t>
                  </w:r>
                </w:p>
              </w:tc>
              <w:tc>
                <w:tcPr>
                  <w:tcW w:w="1653" w:type="pct"/>
                  <w:tcBorders>
                    <w:tl2br w:val="nil"/>
                    <w:tr2bl w:val="nil"/>
                  </w:tcBorders>
                  <w:noWrap w:val="0"/>
                  <w:vAlign w:val="center"/>
                </w:tcPr>
                <w:p w14:paraId="07D42B95">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新建项目污染物排放量应实施区域平衡，区域污染物排放总量不增加。</w:t>
                  </w:r>
                </w:p>
              </w:tc>
              <w:tc>
                <w:tcPr>
                  <w:tcW w:w="1832" w:type="pct"/>
                  <w:tcBorders>
                    <w:tl2br w:val="nil"/>
                    <w:tr2bl w:val="nil"/>
                  </w:tcBorders>
                  <w:noWrap w:val="0"/>
                  <w:vAlign w:val="center"/>
                </w:tcPr>
                <w:p w14:paraId="4F1B6B3B">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eastAsia"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项目</w:t>
                  </w:r>
                  <w:r>
                    <w:rPr>
                      <w:rFonts w:hint="eastAsia" w:cs="Times New Roman"/>
                      <w:bCs/>
                      <w:color w:val="auto"/>
                      <w:sz w:val="21"/>
                      <w:szCs w:val="21"/>
                      <w:highlight w:val="none"/>
                      <w:lang w:val="en-US" w:eastAsia="zh-CN"/>
                    </w:rPr>
                    <w:t>满足区域总量管理要求</w:t>
                  </w:r>
                  <w:r>
                    <w:rPr>
                      <w:rFonts w:hint="eastAsia" w:ascii="Times New Roman" w:hAnsi="Times New Roman" w:eastAsia="宋体" w:cs="Times New Roman"/>
                      <w:bCs/>
                      <w:color w:val="auto"/>
                      <w:sz w:val="21"/>
                      <w:szCs w:val="21"/>
                      <w:highlight w:val="none"/>
                      <w:lang w:val="en-US" w:eastAsia="zh-CN"/>
                    </w:rPr>
                    <w:t>。</w:t>
                  </w:r>
                </w:p>
              </w:tc>
            </w:tr>
            <w:tr w14:paraId="1456CA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255F45F7">
                  <w:pPr>
                    <w:jc w:val="center"/>
                    <w:rPr>
                      <w:color w:val="auto"/>
                      <w:highlight w:val="none"/>
                    </w:rPr>
                  </w:pPr>
                </w:p>
              </w:tc>
              <w:tc>
                <w:tcPr>
                  <w:tcW w:w="1130" w:type="pct"/>
                  <w:tcBorders>
                    <w:tl2br w:val="nil"/>
                    <w:tr2bl w:val="nil"/>
                  </w:tcBorders>
                  <w:noWrap w:val="0"/>
                  <w:vAlign w:val="center"/>
                </w:tcPr>
                <w:p w14:paraId="02825E91">
                  <w:pPr>
                    <w:keepNext w:val="0"/>
                    <w:keepLines w:val="0"/>
                    <w:pageBreakBefore w:val="0"/>
                    <w:widowControl/>
                    <w:suppressLineNumbers w:val="0"/>
                    <w:kinsoku/>
                    <w:wordWrap/>
                    <w:overflowPunct/>
                    <w:topLinePunct w:val="0"/>
                    <w:bidi w:val="0"/>
                    <w:snapToGrid/>
                    <w:jc w:val="both"/>
                    <w:textAlignment w:val="center"/>
                    <w:rPr>
                      <w:color w:val="auto"/>
                      <w:highlight w:val="none"/>
                    </w:rPr>
                  </w:pPr>
                  <w:r>
                    <w:rPr>
                      <w:rFonts w:hint="default" w:ascii="宋体" w:hAnsi="宋体" w:eastAsia="宋体" w:cs="宋体"/>
                      <w:i w:val="0"/>
                      <w:iCs w:val="0"/>
                      <w:color w:val="auto"/>
                      <w:kern w:val="0"/>
                      <w:sz w:val="21"/>
                      <w:szCs w:val="21"/>
                      <w:highlight w:val="none"/>
                      <w:u w:val="none"/>
                      <w:lang w:val="en-US" w:eastAsia="zh-CN" w:bidi="ar"/>
                    </w:rPr>
                    <w:t>新增源排放标准限值</w:t>
                  </w:r>
                </w:p>
              </w:tc>
              <w:tc>
                <w:tcPr>
                  <w:tcW w:w="1653" w:type="pct"/>
                  <w:tcBorders>
                    <w:tl2br w:val="nil"/>
                    <w:tr2bl w:val="nil"/>
                  </w:tcBorders>
                  <w:noWrap w:val="0"/>
                  <w:vAlign w:val="center"/>
                </w:tcPr>
                <w:p w14:paraId="44DF599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新建项目污染物排放应达到行业排放标准或综合排放标准。</w:t>
                  </w:r>
                </w:p>
              </w:tc>
              <w:tc>
                <w:tcPr>
                  <w:tcW w:w="1832" w:type="pct"/>
                  <w:tcBorders>
                    <w:tl2br w:val="nil"/>
                    <w:tr2bl w:val="nil"/>
                  </w:tcBorders>
                  <w:noWrap w:val="0"/>
                  <w:vAlign w:val="center"/>
                </w:tcPr>
                <w:p w14:paraId="7B0F8813">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本项目废水经处理后</w:t>
                  </w:r>
                  <w:r>
                    <w:rPr>
                      <w:rFonts w:hint="default" w:ascii="Times New Roman" w:hAnsi="Times New Roman" w:eastAsia="宋体" w:cs="Times New Roman"/>
                      <w:bCs/>
                      <w:color w:val="auto"/>
                      <w:sz w:val="21"/>
                      <w:szCs w:val="21"/>
                      <w:highlight w:val="none"/>
                      <w:lang w:val="en-US" w:eastAsia="zh-CN"/>
                    </w:rPr>
                    <w:t>达到庐山市工业园区污水处理厂接管标准</w:t>
                  </w:r>
                  <w:r>
                    <w:rPr>
                      <w:rFonts w:hint="eastAsia" w:ascii="Times New Roman" w:hAnsi="Times New Roman" w:eastAsia="宋体" w:cs="Times New Roman"/>
                      <w:bCs/>
                      <w:color w:val="auto"/>
                      <w:sz w:val="21"/>
                      <w:szCs w:val="21"/>
                      <w:highlight w:val="none"/>
                      <w:lang w:val="en-US" w:eastAsia="zh-CN"/>
                    </w:rPr>
                    <w:t>、废气的排放均能够达到《大气污</w:t>
                  </w:r>
                  <w:r>
                    <w:rPr>
                      <w:rFonts w:hint="eastAsia" w:cs="Times New Roman"/>
                      <w:bCs/>
                      <w:color w:val="auto"/>
                      <w:sz w:val="21"/>
                      <w:szCs w:val="21"/>
                      <w:highlight w:val="none"/>
                      <w:lang w:val="en-US" w:eastAsia="zh-CN"/>
                    </w:rPr>
                    <w:t>染物综合排放标准》（DB31/933-2015）、</w:t>
                  </w:r>
                  <w:r>
                    <w:rPr>
                      <w:rFonts w:hint="eastAsia" w:ascii="Times New Roman" w:hAnsi="Times New Roman" w:eastAsia="宋体" w:cs="Times New Roman"/>
                      <w:color w:val="FF0000"/>
                      <w:kern w:val="0"/>
                      <w:sz w:val="21"/>
                      <w:szCs w:val="21"/>
                      <w:lang w:val="en-US" w:eastAsia="zh-CN"/>
                    </w:rPr>
                    <w:t>《挥发性有机物排放标准第3部分：医药制造业(DB36/1101.3-2019)</w:t>
                  </w:r>
                  <w:r>
                    <w:rPr>
                      <w:rFonts w:hint="eastAsia" w:cs="Times New Roman"/>
                      <w:bCs/>
                      <w:color w:val="auto"/>
                      <w:sz w:val="21"/>
                      <w:szCs w:val="21"/>
                      <w:highlight w:val="none"/>
                      <w:lang w:val="en-US" w:eastAsia="zh-CN"/>
                    </w:rPr>
                    <w:t>、</w:t>
                  </w:r>
                  <w:r>
                    <w:rPr>
                      <w:rFonts w:hint="eastAsia" w:ascii="Times New Roman" w:hAnsi="Times New Roman" w:eastAsia="宋体" w:cs="Times New Roman"/>
                      <w:color w:val="auto"/>
                      <w:szCs w:val="21"/>
                      <w:highlight w:val="none"/>
                      <w:lang w:val="en-US" w:eastAsia="zh-CN"/>
                    </w:rPr>
                    <w:t>《恶臭污染物排放标准》（GB14554-93）</w:t>
                  </w:r>
                  <w:r>
                    <w:rPr>
                      <w:rFonts w:hint="eastAsia" w:ascii="Times New Roman" w:hAnsi="Times New Roman" w:eastAsia="宋体" w:cs="Times New Roman"/>
                      <w:bCs/>
                      <w:color w:val="auto"/>
                      <w:sz w:val="21"/>
                      <w:szCs w:val="21"/>
                      <w:highlight w:val="none"/>
                      <w:lang w:val="en-US" w:eastAsia="zh-CN"/>
                    </w:rPr>
                    <w:t>排放标准。</w:t>
                  </w:r>
                </w:p>
              </w:tc>
            </w:tr>
            <w:tr w14:paraId="041C8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53A08F89">
                  <w:pPr>
                    <w:jc w:val="center"/>
                    <w:rPr>
                      <w:color w:val="auto"/>
                      <w:highlight w:val="none"/>
                    </w:rPr>
                  </w:pPr>
                </w:p>
              </w:tc>
              <w:tc>
                <w:tcPr>
                  <w:tcW w:w="1130" w:type="pct"/>
                  <w:tcBorders>
                    <w:tl2br w:val="nil"/>
                    <w:tr2bl w:val="nil"/>
                  </w:tcBorders>
                  <w:noWrap w:val="0"/>
                  <w:vAlign w:val="center"/>
                </w:tcPr>
                <w:p w14:paraId="5AE49A12">
                  <w:pPr>
                    <w:keepNext w:val="0"/>
                    <w:keepLines w:val="0"/>
                    <w:pageBreakBefore w:val="0"/>
                    <w:widowControl/>
                    <w:suppressLineNumbers w:val="0"/>
                    <w:kinsoku/>
                    <w:wordWrap/>
                    <w:overflowPunct/>
                    <w:topLinePunct w:val="0"/>
                    <w:bidi w:val="0"/>
                    <w:snapToGrid/>
                    <w:jc w:val="both"/>
                    <w:textAlignment w:val="center"/>
                    <w:rPr>
                      <w:color w:val="auto"/>
                      <w:highlight w:val="none"/>
                    </w:rPr>
                  </w:pPr>
                  <w:r>
                    <w:rPr>
                      <w:rFonts w:hint="default" w:ascii="宋体" w:hAnsi="宋体" w:eastAsia="宋体" w:cs="宋体"/>
                      <w:i w:val="0"/>
                      <w:iCs w:val="0"/>
                      <w:color w:val="auto"/>
                      <w:kern w:val="0"/>
                      <w:sz w:val="21"/>
                      <w:szCs w:val="21"/>
                      <w:highlight w:val="none"/>
                      <w:u w:val="none"/>
                      <w:lang w:val="en-US" w:eastAsia="zh-CN" w:bidi="ar"/>
                    </w:rPr>
                    <w:t>污染物排放绩效水平准入要求</w:t>
                  </w:r>
                </w:p>
              </w:tc>
              <w:tc>
                <w:tcPr>
                  <w:tcW w:w="1653" w:type="pct"/>
                  <w:tcBorders>
                    <w:tl2br w:val="nil"/>
                    <w:tr2bl w:val="nil"/>
                  </w:tcBorders>
                  <w:noWrap w:val="0"/>
                  <w:vAlign w:val="center"/>
                </w:tcPr>
                <w:p w14:paraId="1F7FD365">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污染物排放绩效水平达到相应行业准入要求和清洁生产相应水平</w:t>
                  </w:r>
                  <w:r>
                    <w:rPr>
                      <w:rFonts w:hint="eastAsia" w:cs="Times New Roman"/>
                      <w:bCs/>
                      <w:color w:val="auto"/>
                      <w:sz w:val="21"/>
                      <w:szCs w:val="21"/>
                      <w:highlight w:val="none"/>
                      <w:lang w:val="en-US" w:eastAsia="zh-CN"/>
                    </w:rPr>
                    <w:t>。</w:t>
                  </w:r>
                </w:p>
              </w:tc>
              <w:tc>
                <w:tcPr>
                  <w:tcW w:w="1832" w:type="pct"/>
                  <w:tcBorders>
                    <w:tl2br w:val="nil"/>
                    <w:tr2bl w:val="nil"/>
                  </w:tcBorders>
                  <w:noWrap w:val="0"/>
                  <w:vAlign w:val="center"/>
                </w:tcPr>
                <w:p w14:paraId="14C3337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本项目</w:t>
                  </w:r>
                  <w:r>
                    <w:rPr>
                      <w:rFonts w:hint="default" w:ascii="Times New Roman" w:hAnsi="Times New Roman" w:eastAsia="宋体" w:cs="Times New Roman"/>
                      <w:bCs/>
                      <w:color w:val="auto"/>
                      <w:sz w:val="21"/>
                      <w:szCs w:val="21"/>
                      <w:highlight w:val="none"/>
                      <w:lang w:val="en-US" w:eastAsia="zh-CN"/>
                    </w:rPr>
                    <w:t>污染物排放绩效水平达到行业准入要求和清洁生产相应水平</w:t>
                  </w:r>
                  <w:r>
                    <w:rPr>
                      <w:rFonts w:hint="eastAsia" w:ascii="Times New Roman" w:hAnsi="Times New Roman" w:eastAsia="宋体" w:cs="Times New Roman"/>
                      <w:bCs/>
                      <w:color w:val="auto"/>
                      <w:sz w:val="21"/>
                      <w:szCs w:val="21"/>
                      <w:highlight w:val="none"/>
                      <w:lang w:val="en-US" w:eastAsia="zh-CN"/>
                    </w:rPr>
                    <w:t>。</w:t>
                  </w:r>
                </w:p>
              </w:tc>
            </w:tr>
            <w:tr w14:paraId="0B5B2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38973813">
                  <w:pPr>
                    <w:jc w:val="center"/>
                    <w:rPr>
                      <w:color w:val="auto"/>
                      <w:highlight w:val="none"/>
                    </w:rPr>
                  </w:pPr>
                </w:p>
              </w:tc>
              <w:tc>
                <w:tcPr>
                  <w:tcW w:w="1130" w:type="pct"/>
                  <w:tcBorders>
                    <w:tl2br w:val="nil"/>
                    <w:tr2bl w:val="nil"/>
                  </w:tcBorders>
                  <w:noWrap w:val="0"/>
                  <w:vAlign w:val="center"/>
                </w:tcPr>
                <w:p w14:paraId="65695C0E">
                  <w:pPr>
                    <w:keepNext w:val="0"/>
                    <w:keepLines w:val="0"/>
                    <w:pageBreakBefore w:val="0"/>
                    <w:widowControl/>
                    <w:suppressLineNumbers w:val="0"/>
                    <w:kinsoku/>
                    <w:wordWrap/>
                    <w:overflowPunct/>
                    <w:topLinePunct w:val="0"/>
                    <w:bidi w:val="0"/>
                    <w:snapToGrid/>
                    <w:jc w:val="both"/>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其他污染物排放管控要求</w:t>
                  </w:r>
                </w:p>
              </w:tc>
              <w:tc>
                <w:tcPr>
                  <w:tcW w:w="1653" w:type="pct"/>
                  <w:tcBorders>
                    <w:tl2br w:val="nil"/>
                    <w:tr2bl w:val="nil"/>
                  </w:tcBorders>
                  <w:noWrap w:val="0"/>
                  <w:vAlign w:val="center"/>
                </w:tcPr>
                <w:p w14:paraId="090E0F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无</w:t>
                  </w:r>
                </w:p>
              </w:tc>
              <w:tc>
                <w:tcPr>
                  <w:tcW w:w="1832" w:type="pct"/>
                  <w:tcBorders>
                    <w:tl2br w:val="nil"/>
                    <w:tr2bl w:val="nil"/>
                  </w:tcBorders>
                  <w:noWrap w:val="0"/>
                  <w:vAlign w:val="center"/>
                </w:tcPr>
                <w:p w14:paraId="28FB96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w:t>
                  </w:r>
                </w:p>
              </w:tc>
            </w:tr>
            <w:tr w14:paraId="22244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tcBorders>
                    <w:tl2br w:val="nil"/>
                    <w:tr2bl w:val="nil"/>
                  </w:tcBorders>
                  <w:noWrap w:val="0"/>
                  <w:vAlign w:val="center"/>
                </w:tcPr>
                <w:p w14:paraId="6F0BD1BA">
                  <w:pPr>
                    <w:jc w:val="center"/>
                    <w:rPr>
                      <w:color w:val="auto"/>
                      <w:highlight w:val="none"/>
                    </w:rPr>
                  </w:pPr>
                  <w:r>
                    <w:rPr>
                      <w:rFonts w:hint="eastAsia"/>
                      <w:color w:val="auto"/>
                      <w:highlight w:val="none"/>
                    </w:rPr>
                    <w:t>环境</w:t>
                  </w:r>
                  <w:r>
                    <w:rPr>
                      <w:color w:val="auto"/>
                      <w:highlight w:val="none"/>
                    </w:rPr>
                    <w:t>风险防范</w:t>
                  </w:r>
                </w:p>
              </w:tc>
              <w:tc>
                <w:tcPr>
                  <w:tcW w:w="1130" w:type="pct"/>
                  <w:tcBorders>
                    <w:tl2br w:val="nil"/>
                    <w:tr2bl w:val="nil"/>
                  </w:tcBorders>
                  <w:noWrap w:val="0"/>
                  <w:vAlign w:val="center"/>
                </w:tcPr>
                <w:p w14:paraId="1F2ED091">
                  <w:pPr>
                    <w:keepNext w:val="0"/>
                    <w:keepLines w:val="0"/>
                    <w:pageBreakBefore w:val="0"/>
                    <w:widowControl/>
                    <w:suppressLineNumbers w:val="0"/>
                    <w:kinsoku/>
                    <w:wordWrap/>
                    <w:overflowPunct/>
                    <w:topLinePunct w:val="0"/>
                    <w:bidi w:val="0"/>
                    <w:snapToGrid/>
                    <w:jc w:val="both"/>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严格管控类农用地环境风险防控要求</w:t>
                  </w:r>
                </w:p>
              </w:tc>
              <w:tc>
                <w:tcPr>
                  <w:tcW w:w="1653" w:type="pct"/>
                  <w:tcBorders>
                    <w:tl2br w:val="nil"/>
                    <w:tr2bl w:val="nil"/>
                  </w:tcBorders>
                  <w:noWrap w:val="0"/>
                  <w:vAlign w:val="center"/>
                </w:tcPr>
                <w:p w14:paraId="7EC6BC3A">
                  <w:pPr>
                    <w:keepNext w:val="0"/>
                    <w:keepLines w:val="0"/>
                    <w:pageBreakBefore w:val="0"/>
                    <w:widowControl/>
                    <w:kinsoku/>
                    <w:wordWrap/>
                    <w:overflowPunct/>
                    <w:topLinePunct w:val="0"/>
                    <w:bidi w:val="0"/>
                    <w:snapToGrid/>
                    <w:jc w:val="center"/>
                    <w:rPr>
                      <w:color w:val="auto"/>
                      <w:highlight w:val="none"/>
                    </w:rPr>
                  </w:pPr>
                  <w:r>
                    <w:rPr>
                      <w:rFonts w:hint="default" w:ascii="Times New Roman" w:hAnsi="Times New Roman" w:eastAsia="宋体" w:cs="Times New Roman"/>
                      <w:color w:val="auto"/>
                      <w:kern w:val="0"/>
                      <w:sz w:val="21"/>
                      <w:szCs w:val="21"/>
                      <w:highlight w:val="none"/>
                    </w:rPr>
                    <w:t>无</w:t>
                  </w:r>
                </w:p>
              </w:tc>
              <w:tc>
                <w:tcPr>
                  <w:tcW w:w="1832" w:type="pct"/>
                  <w:tcBorders>
                    <w:tl2br w:val="nil"/>
                    <w:tr2bl w:val="nil"/>
                  </w:tcBorders>
                  <w:noWrap w:val="0"/>
                  <w:vAlign w:val="center"/>
                </w:tcPr>
                <w:p w14:paraId="5A15251F">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53A8A1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7E55900A">
                  <w:pPr>
                    <w:jc w:val="center"/>
                    <w:rPr>
                      <w:color w:val="auto"/>
                      <w:highlight w:val="none"/>
                    </w:rPr>
                  </w:pPr>
                </w:p>
              </w:tc>
              <w:tc>
                <w:tcPr>
                  <w:tcW w:w="1130" w:type="pct"/>
                  <w:tcBorders>
                    <w:tl2br w:val="nil"/>
                    <w:tr2bl w:val="nil"/>
                  </w:tcBorders>
                  <w:noWrap w:val="0"/>
                  <w:vAlign w:val="center"/>
                </w:tcPr>
                <w:p w14:paraId="64EE364F">
                  <w:pPr>
                    <w:keepNext w:val="0"/>
                    <w:keepLines w:val="0"/>
                    <w:pageBreakBefore w:val="0"/>
                    <w:widowControl/>
                    <w:suppressLineNumbers w:val="0"/>
                    <w:kinsoku/>
                    <w:wordWrap/>
                    <w:overflowPunct/>
                    <w:topLinePunct w:val="0"/>
                    <w:bidi w:val="0"/>
                    <w:snapToGrid/>
                    <w:jc w:val="both"/>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安全利用类农用地环境风险防控要求</w:t>
                  </w:r>
                </w:p>
              </w:tc>
              <w:tc>
                <w:tcPr>
                  <w:tcW w:w="1653" w:type="pct"/>
                  <w:tcBorders>
                    <w:tl2br w:val="nil"/>
                    <w:tr2bl w:val="nil"/>
                  </w:tcBorders>
                  <w:noWrap w:val="0"/>
                  <w:vAlign w:val="center"/>
                </w:tcPr>
                <w:p w14:paraId="4E2CAD84">
                  <w:pPr>
                    <w:keepNext w:val="0"/>
                    <w:keepLines w:val="0"/>
                    <w:pageBreakBefore w:val="0"/>
                    <w:widowControl/>
                    <w:kinsoku/>
                    <w:wordWrap/>
                    <w:overflowPunct/>
                    <w:topLinePunct w:val="0"/>
                    <w:bidi w:val="0"/>
                    <w:snapToGrid/>
                    <w:jc w:val="center"/>
                    <w:rPr>
                      <w:color w:val="auto"/>
                      <w:highlight w:val="none"/>
                    </w:rPr>
                  </w:pPr>
                  <w:r>
                    <w:rPr>
                      <w:rFonts w:hint="default" w:ascii="Times New Roman" w:hAnsi="Times New Roman" w:eastAsia="宋体" w:cs="Times New Roman"/>
                      <w:color w:val="auto"/>
                      <w:kern w:val="0"/>
                      <w:sz w:val="21"/>
                      <w:szCs w:val="21"/>
                      <w:highlight w:val="none"/>
                    </w:rPr>
                    <w:t>无</w:t>
                  </w:r>
                </w:p>
              </w:tc>
              <w:tc>
                <w:tcPr>
                  <w:tcW w:w="1832" w:type="pct"/>
                  <w:tcBorders>
                    <w:tl2br w:val="nil"/>
                    <w:tr2bl w:val="nil"/>
                  </w:tcBorders>
                  <w:noWrap w:val="0"/>
                  <w:vAlign w:val="center"/>
                </w:tcPr>
                <w:p w14:paraId="21388FC1">
                  <w:pPr>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r>
            <w:tr w14:paraId="5D690C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17769351">
                  <w:pPr>
                    <w:jc w:val="center"/>
                    <w:rPr>
                      <w:color w:val="auto"/>
                      <w:highlight w:val="none"/>
                    </w:rPr>
                  </w:pPr>
                </w:p>
              </w:tc>
              <w:tc>
                <w:tcPr>
                  <w:tcW w:w="1130" w:type="pct"/>
                  <w:tcBorders>
                    <w:tl2br w:val="nil"/>
                    <w:tr2bl w:val="nil"/>
                  </w:tcBorders>
                  <w:noWrap w:val="0"/>
                  <w:vAlign w:val="center"/>
                </w:tcPr>
                <w:p w14:paraId="4A8E1757">
                  <w:pPr>
                    <w:keepNext w:val="0"/>
                    <w:keepLines w:val="0"/>
                    <w:pageBreakBefore w:val="0"/>
                    <w:widowControl/>
                    <w:suppressLineNumbers w:val="0"/>
                    <w:kinsoku/>
                    <w:wordWrap/>
                    <w:overflowPunct/>
                    <w:topLinePunct w:val="0"/>
                    <w:bidi w:val="0"/>
                    <w:snapToGrid/>
                    <w:jc w:val="both"/>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污染地块（建设用地）环境风险防控要求</w:t>
                  </w:r>
                </w:p>
              </w:tc>
              <w:tc>
                <w:tcPr>
                  <w:tcW w:w="1653" w:type="pct"/>
                  <w:tcBorders>
                    <w:tl2br w:val="nil"/>
                    <w:tr2bl w:val="nil"/>
                  </w:tcBorders>
                  <w:noWrap w:val="0"/>
                  <w:vAlign w:val="center"/>
                </w:tcPr>
                <w:p w14:paraId="6970315E">
                  <w:pPr>
                    <w:keepNext w:val="0"/>
                    <w:keepLines w:val="0"/>
                    <w:pageBreakBefore w:val="0"/>
                    <w:widowControl/>
                    <w:suppressLineNumbers w:val="0"/>
                    <w:kinsoku/>
                    <w:wordWrap/>
                    <w:overflowPunct/>
                    <w:topLinePunct w:val="0"/>
                    <w:bidi w:val="0"/>
                    <w:snapToGrid/>
                    <w:jc w:val="both"/>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已污染地块，应当依法开展土壤污染状况调查、治理与修复，符合相应用地土壤环境质量要求后，方可进入用地程序。</w:t>
                  </w:r>
                </w:p>
              </w:tc>
              <w:tc>
                <w:tcPr>
                  <w:tcW w:w="1832" w:type="pct"/>
                  <w:tcBorders>
                    <w:tl2br w:val="nil"/>
                    <w:tr2bl w:val="nil"/>
                  </w:tcBorders>
                  <w:noWrap w:val="0"/>
                  <w:vAlign w:val="center"/>
                </w:tcPr>
                <w:p w14:paraId="703520BB">
                  <w:pPr>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本项目为新建项目，厂房内已进行地面硬化，区域不属于污染地块</w:t>
                  </w:r>
                  <w:r>
                    <w:rPr>
                      <w:rFonts w:hint="eastAsia" w:cs="Times New Roman"/>
                      <w:color w:val="auto"/>
                      <w:highlight w:val="none"/>
                      <w:lang w:val="en-US" w:eastAsia="zh-CN"/>
                    </w:rPr>
                    <w:t>。</w:t>
                  </w:r>
                </w:p>
              </w:tc>
            </w:tr>
            <w:tr w14:paraId="07E4C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4" w:hRule="atLeast"/>
                <w:jc w:val="center"/>
              </w:trPr>
              <w:tc>
                <w:tcPr>
                  <w:tcW w:w="383" w:type="pct"/>
                  <w:vMerge w:val="continue"/>
                  <w:tcBorders>
                    <w:tl2br w:val="nil"/>
                    <w:tr2bl w:val="nil"/>
                  </w:tcBorders>
                  <w:noWrap w:val="0"/>
                  <w:vAlign w:val="center"/>
                </w:tcPr>
                <w:p w14:paraId="11C218D0">
                  <w:pPr>
                    <w:jc w:val="center"/>
                    <w:rPr>
                      <w:color w:val="auto"/>
                      <w:highlight w:val="none"/>
                    </w:rPr>
                  </w:pPr>
                </w:p>
              </w:tc>
              <w:tc>
                <w:tcPr>
                  <w:tcW w:w="1130" w:type="pct"/>
                  <w:tcBorders>
                    <w:tl2br w:val="nil"/>
                    <w:tr2bl w:val="nil"/>
                  </w:tcBorders>
                  <w:noWrap w:val="0"/>
                  <w:vAlign w:val="center"/>
                </w:tcPr>
                <w:p w14:paraId="669F02CD">
                  <w:pPr>
                    <w:keepNext w:val="0"/>
                    <w:keepLines w:val="0"/>
                    <w:pageBreakBefore w:val="0"/>
                    <w:kinsoku/>
                    <w:wordWrap/>
                    <w:overflowPunct/>
                    <w:topLinePunct w:val="0"/>
                    <w:autoSpaceDE w:val="0"/>
                    <w:autoSpaceDN w:val="0"/>
                    <w:bidi w:val="0"/>
                    <w:adjustRightInd w:val="0"/>
                    <w:snapToGrid/>
                    <w:jc w:val="both"/>
                    <w:rPr>
                      <w:color w:val="auto"/>
                      <w:highlight w:val="none"/>
                    </w:rPr>
                  </w:pPr>
                  <w:r>
                    <w:rPr>
                      <w:rFonts w:hint="default" w:ascii="Times New Roman" w:hAnsi="Times New Roman" w:eastAsia="宋体" w:cs="Times New Roman"/>
                      <w:color w:val="auto"/>
                      <w:sz w:val="21"/>
                      <w:szCs w:val="21"/>
                      <w:highlight w:val="none"/>
                      <w:lang w:val="en-US" w:eastAsia="zh-CN" w:bidi="ar-SA"/>
                    </w:rPr>
                    <w:t>园区风险防控体系要求</w:t>
                  </w:r>
                </w:p>
              </w:tc>
              <w:tc>
                <w:tcPr>
                  <w:tcW w:w="1653" w:type="pct"/>
                  <w:tcBorders>
                    <w:tl2br w:val="nil"/>
                    <w:tr2bl w:val="nil"/>
                  </w:tcBorders>
                  <w:noWrap w:val="0"/>
                  <w:vAlign w:val="center"/>
                </w:tcPr>
                <w:p w14:paraId="56C0A4E5">
                  <w:pPr>
                    <w:widowControl/>
                    <w:jc w:val="both"/>
                    <w:textAlignment w:val="center"/>
                    <w:rPr>
                      <w:rFonts w:hint="eastAsia" w:eastAsia="宋体"/>
                      <w:color w:val="auto"/>
                      <w:highlight w:val="none"/>
                      <w:lang w:eastAsia="zh-CN"/>
                    </w:rPr>
                  </w:pPr>
                  <w:r>
                    <w:rPr>
                      <w:rFonts w:hint="default" w:ascii="Times New Roman" w:hAnsi="Times New Roman" w:eastAsia="宋体" w:cs="Times New Roman"/>
                      <w:color w:val="auto"/>
                      <w:kern w:val="0"/>
                      <w:highlight w:val="none"/>
                      <w:lang w:bidi="ar"/>
                    </w:rPr>
                    <w:t>紧邻居住、科教、医院等环境敏感点的工业用地，禁止新建环境风险等级高的建设项目</w:t>
                  </w:r>
                  <w:r>
                    <w:rPr>
                      <w:rFonts w:hint="eastAsia" w:ascii="Times New Roman" w:hAnsi="Times New Roman" w:eastAsia="宋体" w:cs="Times New Roman"/>
                      <w:color w:val="auto"/>
                      <w:kern w:val="0"/>
                      <w:highlight w:val="none"/>
                      <w:lang w:eastAsia="zh-CN" w:bidi="ar"/>
                    </w:rPr>
                    <w:t>。</w:t>
                  </w:r>
                  <w:r>
                    <w:rPr>
                      <w:rFonts w:hint="default" w:ascii="Times New Roman" w:hAnsi="Times New Roman" w:eastAsia="宋体" w:cs="Times New Roman"/>
                      <w:color w:val="auto"/>
                      <w:kern w:val="0"/>
                      <w:highlight w:val="none"/>
                      <w:lang w:bidi="ar"/>
                    </w:rPr>
                    <w:t>园区应建立三级环境风险防控体系</w:t>
                  </w:r>
                  <w:r>
                    <w:rPr>
                      <w:rFonts w:hint="eastAsia" w:ascii="Times New Roman" w:hAnsi="Times New Roman" w:eastAsia="宋体" w:cs="Times New Roman"/>
                      <w:color w:val="auto"/>
                      <w:kern w:val="0"/>
                      <w:highlight w:val="none"/>
                      <w:lang w:eastAsia="zh-CN" w:bidi="ar"/>
                    </w:rPr>
                    <w:t>。</w:t>
                  </w:r>
                </w:p>
              </w:tc>
              <w:tc>
                <w:tcPr>
                  <w:tcW w:w="1832" w:type="pct"/>
                  <w:tcBorders>
                    <w:tl2br w:val="nil"/>
                    <w:tr2bl w:val="nil"/>
                  </w:tcBorders>
                  <w:noWrap w:val="0"/>
                  <w:vAlign w:val="center"/>
                </w:tcPr>
                <w:p w14:paraId="2D1219FF">
                  <w:pPr>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本项目周边有村庄，</w:t>
                  </w:r>
                  <w:r>
                    <w:rPr>
                      <w:rFonts w:hint="eastAsia"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不属于</w:t>
                  </w:r>
                  <w:r>
                    <w:rPr>
                      <w:rFonts w:hint="default" w:ascii="Times New Roman" w:hAnsi="Times New Roman" w:eastAsia="宋体" w:cs="Times New Roman"/>
                      <w:color w:val="auto"/>
                      <w:highlight w:val="none"/>
                      <w:lang w:val="en-US" w:eastAsia="zh-CN"/>
                    </w:rPr>
                    <w:t>风险等级高的建设项目</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项目所在工业园区已建立三级环境风险防控体系</w:t>
                  </w:r>
                  <w:r>
                    <w:rPr>
                      <w:rFonts w:hint="eastAsia" w:cs="Times New Roman"/>
                      <w:color w:val="auto"/>
                      <w:highlight w:val="none"/>
                      <w:lang w:val="en-US" w:eastAsia="zh-CN"/>
                    </w:rPr>
                    <w:t>。</w:t>
                  </w:r>
                </w:p>
              </w:tc>
            </w:tr>
            <w:tr w14:paraId="6A2B4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19A00093">
                  <w:pPr>
                    <w:jc w:val="center"/>
                    <w:rPr>
                      <w:color w:val="auto"/>
                      <w:highlight w:val="none"/>
                    </w:rPr>
                  </w:pPr>
                </w:p>
              </w:tc>
              <w:tc>
                <w:tcPr>
                  <w:tcW w:w="1130" w:type="pct"/>
                  <w:tcBorders>
                    <w:tl2br w:val="nil"/>
                    <w:tr2bl w:val="nil"/>
                  </w:tcBorders>
                  <w:noWrap w:val="0"/>
                  <w:vAlign w:val="center"/>
                </w:tcPr>
                <w:p w14:paraId="2F5B986D">
                  <w:pPr>
                    <w:keepNext w:val="0"/>
                    <w:keepLines w:val="0"/>
                    <w:pageBreakBefore w:val="0"/>
                    <w:kinsoku/>
                    <w:wordWrap/>
                    <w:overflowPunct/>
                    <w:topLinePunct w:val="0"/>
                    <w:autoSpaceDE w:val="0"/>
                    <w:autoSpaceDN w:val="0"/>
                    <w:bidi w:val="0"/>
                    <w:adjustRightInd w:val="0"/>
                    <w:snapToGrid/>
                    <w:jc w:val="both"/>
                    <w:rPr>
                      <w:color w:val="auto"/>
                      <w:highlight w:val="none"/>
                    </w:rPr>
                  </w:pPr>
                  <w:r>
                    <w:rPr>
                      <w:rFonts w:hint="default" w:ascii="Times New Roman" w:hAnsi="Times New Roman" w:eastAsia="宋体" w:cs="Times New Roman"/>
                      <w:color w:val="auto"/>
                      <w:sz w:val="21"/>
                      <w:szCs w:val="21"/>
                      <w:highlight w:val="none"/>
                      <w:lang w:val="en-US" w:eastAsia="zh-CN" w:bidi="ar-SA"/>
                    </w:rPr>
                    <w:t>企业环境风险防控要求</w:t>
                  </w:r>
                </w:p>
              </w:tc>
              <w:tc>
                <w:tcPr>
                  <w:tcW w:w="1653" w:type="pct"/>
                  <w:tcBorders>
                    <w:tl2br w:val="nil"/>
                    <w:tr2bl w:val="nil"/>
                  </w:tcBorders>
                  <w:noWrap w:val="0"/>
                  <w:vAlign w:val="center"/>
                </w:tcPr>
                <w:p w14:paraId="3CE760E0">
                  <w:pPr>
                    <w:widowControl/>
                    <w:jc w:val="both"/>
                    <w:textAlignment w:val="center"/>
                    <w:rPr>
                      <w:rFonts w:hint="eastAsia" w:eastAsia="宋体"/>
                      <w:color w:val="auto"/>
                      <w:highlight w:val="none"/>
                      <w:lang w:eastAsia="zh-CN"/>
                    </w:rPr>
                  </w:pPr>
                  <w:r>
                    <w:rPr>
                      <w:rFonts w:hint="default" w:ascii="Times New Roman" w:hAnsi="Times New Roman" w:eastAsia="宋体" w:cs="Times New Roman"/>
                      <w:color w:val="auto"/>
                      <w:kern w:val="0"/>
                      <w:highlight w:val="none"/>
                      <w:lang w:bidi="ar"/>
                    </w:rPr>
                    <w:t>生产、存储危险化学品及产生大量废水的工业企业，应配套有效措施，防止因渗漏污染地下水、土壤，以及因事故废水直排污染地表水体。</w:t>
                  </w:r>
                </w:p>
              </w:tc>
              <w:tc>
                <w:tcPr>
                  <w:tcW w:w="1832" w:type="pct"/>
                  <w:tcBorders>
                    <w:tl2br w:val="nil"/>
                    <w:tr2bl w:val="nil"/>
                  </w:tcBorders>
                  <w:noWrap w:val="0"/>
                  <w:vAlign w:val="center"/>
                </w:tcPr>
                <w:p w14:paraId="6D58A507">
                  <w:pPr>
                    <w:jc w:val="both"/>
                    <w:rPr>
                      <w:rFonts w:ascii="Times New Roman" w:hAnsi="Times New Roman" w:eastAsia="宋体" w:cs="Times New Roman"/>
                      <w:color w:val="auto"/>
                      <w:highlight w:val="none"/>
                    </w:rPr>
                  </w:pPr>
                  <w:r>
                    <w:rPr>
                      <w:rFonts w:hint="eastAsia" w:cs="Times New Roman"/>
                      <w:color w:val="auto"/>
                      <w:highlight w:val="none"/>
                      <w:lang w:val="en-US" w:eastAsia="zh-CN"/>
                    </w:rPr>
                    <w:t>本</w:t>
                  </w:r>
                  <w:r>
                    <w:rPr>
                      <w:rFonts w:hint="eastAsia"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不</w:t>
                  </w:r>
                  <w:r>
                    <w:rPr>
                      <w:rFonts w:hint="eastAsia" w:ascii="Times New Roman" w:hAnsi="Times New Roman" w:eastAsia="宋体" w:cs="Times New Roman"/>
                      <w:color w:val="auto"/>
                      <w:highlight w:val="none"/>
                      <w:lang w:val="en-US" w:eastAsia="zh-CN"/>
                    </w:rPr>
                    <w:t>生产、存储危险化学品及产生大量废水</w:t>
                  </w:r>
                  <w:r>
                    <w:rPr>
                      <w:rFonts w:hint="eastAsia" w:cs="Times New Roman"/>
                      <w:color w:val="auto"/>
                      <w:highlight w:val="none"/>
                      <w:lang w:val="en-US" w:eastAsia="zh-CN"/>
                    </w:rPr>
                    <w:t>，按要求进行分区</w:t>
                  </w:r>
                  <w:r>
                    <w:rPr>
                      <w:rFonts w:hint="eastAsia" w:ascii="Times New Roman" w:hAnsi="Times New Roman" w:eastAsia="宋体" w:cs="Times New Roman"/>
                      <w:color w:val="auto"/>
                      <w:highlight w:val="none"/>
                      <w:lang w:val="en-US" w:eastAsia="zh-CN"/>
                    </w:rPr>
                    <w:t>防渗措施</w:t>
                  </w:r>
                  <w:r>
                    <w:rPr>
                      <w:rFonts w:hint="eastAsia" w:cs="Times New Roman"/>
                      <w:color w:val="auto"/>
                      <w:highlight w:val="none"/>
                      <w:lang w:val="en-US" w:eastAsia="zh-CN"/>
                    </w:rPr>
                    <w:t>。</w:t>
                  </w:r>
                </w:p>
              </w:tc>
            </w:tr>
            <w:tr w14:paraId="0A597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01C3C2D6">
                  <w:pPr>
                    <w:jc w:val="center"/>
                    <w:rPr>
                      <w:color w:val="auto"/>
                      <w:highlight w:val="none"/>
                    </w:rPr>
                  </w:pPr>
                </w:p>
              </w:tc>
              <w:tc>
                <w:tcPr>
                  <w:tcW w:w="1130" w:type="pct"/>
                  <w:tcBorders>
                    <w:tl2br w:val="nil"/>
                    <w:tr2bl w:val="nil"/>
                  </w:tcBorders>
                  <w:noWrap w:val="0"/>
                  <w:vAlign w:val="center"/>
                </w:tcPr>
                <w:p w14:paraId="0C433590">
                  <w:pPr>
                    <w:keepNext w:val="0"/>
                    <w:keepLines w:val="0"/>
                    <w:pageBreakBefore w:val="0"/>
                    <w:kinsoku/>
                    <w:wordWrap/>
                    <w:overflowPunct/>
                    <w:topLinePunct w:val="0"/>
                    <w:autoSpaceDE w:val="0"/>
                    <w:autoSpaceDN w:val="0"/>
                    <w:bidi w:val="0"/>
                    <w:adjustRightInd w:val="0"/>
                    <w:snapToGrid/>
                    <w:jc w:val="both"/>
                    <w:rPr>
                      <w:color w:val="auto"/>
                      <w:highlight w:val="none"/>
                    </w:rPr>
                  </w:pPr>
                  <w:r>
                    <w:rPr>
                      <w:rFonts w:hint="default" w:ascii="Times New Roman" w:hAnsi="Times New Roman" w:eastAsia="宋体" w:cs="Times New Roman"/>
                      <w:color w:val="auto"/>
                      <w:sz w:val="21"/>
                      <w:szCs w:val="21"/>
                      <w:highlight w:val="none"/>
                      <w:lang w:val="en-US" w:eastAsia="zh-CN" w:bidi="ar-SA"/>
                    </w:rPr>
                    <w:t>其他环境风险防控要求</w:t>
                  </w:r>
                </w:p>
              </w:tc>
              <w:tc>
                <w:tcPr>
                  <w:tcW w:w="1653" w:type="pct"/>
                  <w:tcBorders>
                    <w:tl2br w:val="nil"/>
                    <w:tr2bl w:val="nil"/>
                  </w:tcBorders>
                  <w:noWrap w:val="0"/>
                  <w:vAlign w:val="center"/>
                </w:tcPr>
                <w:p w14:paraId="75D55C84">
                  <w:pPr>
                    <w:widowControl/>
                    <w:jc w:val="both"/>
                    <w:textAlignment w:val="center"/>
                    <w:rPr>
                      <w:rFonts w:hint="eastAsia" w:eastAsia="宋体"/>
                      <w:color w:val="auto"/>
                      <w:highlight w:val="none"/>
                      <w:lang w:eastAsia="zh-CN"/>
                    </w:rPr>
                  </w:pPr>
                  <w:r>
                    <w:rPr>
                      <w:rFonts w:hint="default" w:ascii="Times New Roman" w:hAnsi="Times New Roman" w:eastAsia="宋体" w:cs="Times New Roman"/>
                      <w:color w:val="auto"/>
                      <w:kern w:val="0"/>
                      <w:highlight w:val="none"/>
                      <w:lang w:bidi="ar"/>
                    </w:rPr>
                    <w:t>产生、利用或处置固体废物（含危险废物）的工业企业，在贮存、转移、利用、处置固体废物（含危险废物）过程中，应配套防扬散、防流失、防渗漏及其他防止污染环境的措施。</w:t>
                  </w:r>
                </w:p>
              </w:tc>
              <w:tc>
                <w:tcPr>
                  <w:tcW w:w="1832" w:type="pct"/>
                  <w:tcBorders>
                    <w:tl2br w:val="nil"/>
                    <w:tr2bl w:val="nil"/>
                  </w:tcBorders>
                  <w:noWrap w:val="0"/>
                  <w:vAlign w:val="center"/>
                </w:tcPr>
                <w:p w14:paraId="48001D73">
                  <w:pPr>
                    <w:jc w:val="both"/>
                    <w:rPr>
                      <w:rFonts w:hint="eastAsia" w:ascii="Times New Roman" w:hAnsi="Times New Roman" w:eastAsia="宋体" w:cs="Times New Roman"/>
                      <w:color w:val="auto"/>
                      <w:highlight w:val="none"/>
                      <w:lang w:eastAsia="zh-CN"/>
                    </w:rPr>
                  </w:pPr>
                  <w:r>
                    <w:rPr>
                      <w:rFonts w:ascii="Times New Roman" w:hAnsi="Times New Roman" w:eastAsia="宋体" w:cs="Times New Roman"/>
                      <w:color w:val="auto"/>
                      <w:highlight w:val="none"/>
                    </w:rPr>
                    <w:t>本项目危险废物收集、贮存符合国家《危险废物贮存污染控制标准》（GB18597-20</w:t>
                  </w:r>
                  <w:r>
                    <w:rPr>
                      <w:rFonts w:hint="eastAsia" w:ascii="Times New Roman" w:hAnsi="Times New Roman" w:eastAsia="宋体" w:cs="Times New Roman"/>
                      <w:color w:val="auto"/>
                      <w:highlight w:val="none"/>
                      <w:lang w:val="en-US" w:eastAsia="zh-CN"/>
                    </w:rPr>
                    <w:t>23</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的</w:t>
                  </w:r>
                  <w:r>
                    <w:rPr>
                      <w:rFonts w:ascii="Times New Roman" w:hAnsi="Times New Roman" w:eastAsia="宋体" w:cs="Times New Roman"/>
                      <w:color w:val="auto"/>
                      <w:highlight w:val="none"/>
                    </w:rPr>
                    <w:t>要求</w:t>
                  </w:r>
                  <w:r>
                    <w:rPr>
                      <w:rFonts w:hint="eastAsia" w:cs="Times New Roman"/>
                      <w:color w:val="auto"/>
                      <w:highlight w:val="none"/>
                      <w:lang w:eastAsia="zh-CN"/>
                    </w:rPr>
                    <w:t>。</w:t>
                  </w:r>
                </w:p>
              </w:tc>
            </w:tr>
            <w:tr w14:paraId="5F555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tcBorders>
                    <w:tl2br w:val="nil"/>
                    <w:tr2bl w:val="nil"/>
                  </w:tcBorders>
                  <w:noWrap w:val="0"/>
                  <w:vAlign w:val="center"/>
                </w:tcPr>
                <w:p w14:paraId="3DDCDD9A">
                  <w:pPr>
                    <w:jc w:val="center"/>
                    <w:rPr>
                      <w:color w:val="auto"/>
                      <w:highlight w:val="none"/>
                    </w:rPr>
                  </w:pPr>
                  <w:r>
                    <w:rPr>
                      <w:rFonts w:hint="eastAsia"/>
                      <w:color w:val="auto"/>
                      <w:highlight w:val="none"/>
                    </w:rPr>
                    <w:t>资源</w:t>
                  </w:r>
                  <w:r>
                    <w:rPr>
                      <w:color w:val="auto"/>
                      <w:highlight w:val="none"/>
                    </w:rPr>
                    <w:t>利用效率</w:t>
                  </w:r>
                  <w:r>
                    <w:rPr>
                      <w:rFonts w:hint="eastAsia"/>
                      <w:color w:val="auto"/>
                      <w:highlight w:val="none"/>
                    </w:rPr>
                    <w:t>要求</w:t>
                  </w:r>
                </w:p>
              </w:tc>
              <w:tc>
                <w:tcPr>
                  <w:tcW w:w="1130" w:type="pct"/>
                  <w:tcBorders>
                    <w:tl2br w:val="nil"/>
                    <w:tr2bl w:val="nil"/>
                  </w:tcBorders>
                  <w:noWrap w:val="0"/>
                  <w:vAlign w:val="center"/>
                </w:tcPr>
                <w:p w14:paraId="31309B89">
                  <w:pPr>
                    <w:keepNext w:val="0"/>
                    <w:keepLines w:val="0"/>
                    <w:pageBreakBefore w:val="0"/>
                    <w:kinsoku/>
                    <w:wordWrap/>
                    <w:overflowPunct/>
                    <w:topLinePunct w:val="0"/>
                    <w:autoSpaceDE w:val="0"/>
                    <w:autoSpaceDN w:val="0"/>
                    <w:bidi w:val="0"/>
                    <w:adjustRightInd w:val="0"/>
                    <w:snapToGrid/>
                    <w:jc w:val="both"/>
                    <w:rPr>
                      <w:color w:val="auto"/>
                      <w:highlight w:val="none"/>
                    </w:rPr>
                  </w:pPr>
                  <w:r>
                    <w:rPr>
                      <w:rFonts w:hint="default" w:ascii="Times New Roman" w:hAnsi="Times New Roman" w:eastAsia="宋体" w:cs="Times New Roman"/>
                      <w:color w:val="auto"/>
                      <w:sz w:val="21"/>
                      <w:szCs w:val="21"/>
                      <w:highlight w:val="none"/>
                      <w:lang w:val="en-US" w:eastAsia="zh-CN" w:bidi="ar-SA"/>
                    </w:rPr>
                    <w:t>水资源利用效率要求</w:t>
                  </w:r>
                </w:p>
              </w:tc>
              <w:tc>
                <w:tcPr>
                  <w:tcW w:w="1653" w:type="pct"/>
                  <w:tcBorders>
                    <w:tl2br w:val="nil"/>
                    <w:tr2bl w:val="nil"/>
                  </w:tcBorders>
                  <w:noWrap w:val="0"/>
                  <w:vAlign w:val="center"/>
                </w:tcPr>
                <w:p w14:paraId="09993A11">
                  <w:pPr>
                    <w:widowControl/>
                    <w:jc w:val="both"/>
                    <w:textAlignment w:val="center"/>
                    <w:rPr>
                      <w:rFonts w:hint="eastAsia" w:eastAsia="宋体"/>
                      <w:color w:val="auto"/>
                      <w:highlight w:val="none"/>
                      <w:lang w:eastAsia="zh-CN"/>
                    </w:rPr>
                  </w:pPr>
                  <w:r>
                    <w:rPr>
                      <w:rFonts w:hint="default" w:ascii="Times New Roman" w:hAnsi="Times New Roman" w:eastAsia="宋体" w:cs="Times New Roman"/>
                      <w:color w:val="auto"/>
                      <w:kern w:val="0"/>
                      <w:highlight w:val="none"/>
                      <w:lang w:bidi="ar"/>
                    </w:rPr>
                    <w:t>按行业标准或生态工业园区标准执行。</w:t>
                  </w:r>
                </w:p>
              </w:tc>
              <w:tc>
                <w:tcPr>
                  <w:tcW w:w="1832" w:type="pct"/>
                  <w:tcBorders>
                    <w:tl2br w:val="nil"/>
                    <w:tr2bl w:val="nil"/>
                  </w:tcBorders>
                  <w:noWrap w:val="0"/>
                  <w:vAlign w:val="center"/>
                </w:tcPr>
                <w:p w14:paraId="10587451">
                  <w:pPr>
                    <w:jc w:val="both"/>
                    <w:rPr>
                      <w:rFonts w:hint="eastAsia" w:eastAsia="宋体"/>
                      <w:color w:val="auto"/>
                      <w:kern w:val="2"/>
                      <w:sz w:val="21"/>
                      <w:szCs w:val="24"/>
                      <w:highlight w:val="none"/>
                      <w:lang w:val="en-US" w:eastAsia="zh-CN" w:bidi="ar-SA"/>
                    </w:rPr>
                  </w:pPr>
                  <w:r>
                    <w:rPr>
                      <w:rFonts w:hint="eastAsia"/>
                      <w:color w:val="auto"/>
                      <w:szCs w:val="21"/>
                      <w:highlight w:val="none"/>
                    </w:rPr>
                    <w:t>本项目用水资源较少</w:t>
                  </w:r>
                  <w:r>
                    <w:rPr>
                      <w:rFonts w:hint="eastAsia"/>
                      <w:color w:val="auto"/>
                      <w:szCs w:val="21"/>
                      <w:highlight w:val="none"/>
                      <w:lang w:eastAsia="zh-CN"/>
                    </w:rPr>
                    <w:t>。</w:t>
                  </w:r>
                </w:p>
              </w:tc>
            </w:tr>
            <w:tr w14:paraId="0875A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70A201B7">
                  <w:pPr>
                    <w:jc w:val="center"/>
                    <w:rPr>
                      <w:color w:val="auto"/>
                      <w:highlight w:val="none"/>
                    </w:rPr>
                  </w:pPr>
                </w:p>
              </w:tc>
              <w:tc>
                <w:tcPr>
                  <w:tcW w:w="1130" w:type="pct"/>
                  <w:tcBorders>
                    <w:tl2br w:val="nil"/>
                    <w:tr2bl w:val="nil"/>
                  </w:tcBorders>
                  <w:noWrap w:val="0"/>
                  <w:vAlign w:val="center"/>
                </w:tcPr>
                <w:p w14:paraId="059E6D4A">
                  <w:pPr>
                    <w:keepNext w:val="0"/>
                    <w:keepLines w:val="0"/>
                    <w:pageBreakBefore w:val="0"/>
                    <w:kinsoku/>
                    <w:wordWrap/>
                    <w:overflowPunct/>
                    <w:topLinePunct w:val="0"/>
                    <w:autoSpaceDE w:val="0"/>
                    <w:autoSpaceDN w:val="0"/>
                    <w:bidi w:val="0"/>
                    <w:adjustRightInd w:val="0"/>
                    <w:snapToGrid/>
                    <w:jc w:val="both"/>
                    <w:rPr>
                      <w:color w:val="auto"/>
                      <w:highlight w:val="none"/>
                    </w:rPr>
                  </w:pPr>
                  <w:r>
                    <w:rPr>
                      <w:rFonts w:hint="default" w:ascii="Times New Roman" w:hAnsi="Times New Roman" w:eastAsia="宋体" w:cs="Times New Roman"/>
                      <w:color w:val="auto"/>
                      <w:sz w:val="21"/>
                      <w:szCs w:val="21"/>
                      <w:highlight w:val="none"/>
                      <w:lang w:val="en-US" w:eastAsia="zh-CN" w:bidi="ar-SA"/>
                    </w:rPr>
                    <w:t>地下水开采要求</w:t>
                  </w:r>
                </w:p>
              </w:tc>
              <w:tc>
                <w:tcPr>
                  <w:tcW w:w="1653" w:type="pct"/>
                  <w:tcBorders>
                    <w:tl2br w:val="nil"/>
                    <w:tr2bl w:val="nil"/>
                  </w:tcBorders>
                  <w:noWrap w:val="0"/>
                  <w:vAlign w:val="center"/>
                </w:tcPr>
                <w:p w14:paraId="1AA6E80D">
                  <w:pPr>
                    <w:widowControl/>
                    <w:jc w:val="both"/>
                    <w:textAlignment w:val="center"/>
                    <w:rPr>
                      <w:rFonts w:hint="eastAsia" w:eastAsia="宋体"/>
                      <w:color w:val="auto"/>
                      <w:highlight w:val="none"/>
                      <w:lang w:eastAsia="zh-CN"/>
                    </w:rPr>
                  </w:pPr>
                  <w:r>
                    <w:rPr>
                      <w:rFonts w:hint="default" w:ascii="Times New Roman" w:hAnsi="Times New Roman" w:eastAsia="宋体" w:cs="Times New Roman"/>
                      <w:color w:val="auto"/>
                      <w:kern w:val="0"/>
                      <w:highlight w:val="none"/>
                      <w:lang w:bidi="ar"/>
                    </w:rPr>
                    <w:t>按江西省水资源条例执行</w:t>
                  </w:r>
                  <w:r>
                    <w:rPr>
                      <w:rFonts w:hint="eastAsia" w:ascii="Times New Roman" w:hAnsi="Times New Roman" w:eastAsia="宋体" w:cs="Times New Roman"/>
                      <w:color w:val="auto"/>
                      <w:kern w:val="0"/>
                      <w:highlight w:val="none"/>
                      <w:lang w:eastAsia="zh-CN" w:bidi="ar"/>
                    </w:rPr>
                    <w:t>。</w:t>
                  </w:r>
                </w:p>
              </w:tc>
              <w:tc>
                <w:tcPr>
                  <w:tcW w:w="1832" w:type="pct"/>
                  <w:tcBorders>
                    <w:tl2br w:val="nil"/>
                    <w:tr2bl w:val="nil"/>
                  </w:tcBorders>
                  <w:noWrap w:val="0"/>
                  <w:vAlign w:val="center"/>
                </w:tcPr>
                <w:p w14:paraId="1A3769E3">
                  <w:pPr>
                    <w:jc w:val="both"/>
                    <w:rPr>
                      <w:rFonts w:hint="eastAsia" w:eastAsia="宋体"/>
                      <w:color w:val="auto"/>
                      <w:kern w:val="2"/>
                      <w:sz w:val="21"/>
                      <w:szCs w:val="24"/>
                      <w:highlight w:val="none"/>
                      <w:lang w:val="en-US" w:eastAsia="zh-CN" w:bidi="ar-SA"/>
                    </w:rPr>
                  </w:pPr>
                  <w:r>
                    <w:rPr>
                      <w:rFonts w:hint="eastAsia"/>
                      <w:color w:val="auto"/>
                      <w:highlight w:val="none"/>
                    </w:rPr>
                    <w:t>项目不涉及</w:t>
                  </w:r>
                  <w:r>
                    <w:rPr>
                      <w:color w:val="auto"/>
                      <w:highlight w:val="none"/>
                    </w:rPr>
                    <w:t>地下水开采</w:t>
                  </w:r>
                  <w:r>
                    <w:rPr>
                      <w:rFonts w:hint="eastAsia"/>
                      <w:color w:val="auto"/>
                      <w:highlight w:val="none"/>
                      <w:lang w:eastAsia="zh-CN"/>
                    </w:rPr>
                    <w:t>。</w:t>
                  </w:r>
                </w:p>
              </w:tc>
            </w:tr>
            <w:tr w14:paraId="4A2C05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383B1CA0">
                  <w:pPr>
                    <w:jc w:val="center"/>
                    <w:rPr>
                      <w:color w:val="auto"/>
                      <w:highlight w:val="none"/>
                    </w:rPr>
                  </w:pPr>
                </w:p>
              </w:tc>
              <w:tc>
                <w:tcPr>
                  <w:tcW w:w="1130" w:type="pct"/>
                  <w:tcBorders>
                    <w:tl2br w:val="nil"/>
                    <w:tr2bl w:val="nil"/>
                  </w:tcBorders>
                  <w:noWrap w:val="0"/>
                  <w:vAlign w:val="center"/>
                </w:tcPr>
                <w:p w14:paraId="64B57114">
                  <w:pPr>
                    <w:keepNext w:val="0"/>
                    <w:keepLines w:val="0"/>
                    <w:pageBreakBefore w:val="0"/>
                    <w:kinsoku/>
                    <w:wordWrap/>
                    <w:overflowPunct/>
                    <w:topLinePunct w:val="0"/>
                    <w:autoSpaceDE w:val="0"/>
                    <w:autoSpaceDN w:val="0"/>
                    <w:bidi w:val="0"/>
                    <w:adjustRightInd w:val="0"/>
                    <w:snapToGrid/>
                    <w:jc w:val="both"/>
                    <w:rPr>
                      <w:color w:val="auto"/>
                      <w:highlight w:val="none"/>
                    </w:rPr>
                  </w:pPr>
                  <w:r>
                    <w:rPr>
                      <w:rFonts w:hint="default" w:ascii="Times New Roman" w:hAnsi="Times New Roman" w:eastAsia="宋体" w:cs="Times New Roman"/>
                      <w:color w:val="auto"/>
                      <w:sz w:val="21"/>
                      <w:szCs w:val="21"/>
                      <w:highlight w:val="none"/>
                      <w:lang w:val="en-US" w:eastAsia="zh-CN" w:bidi="ar-SA"/>
                    </w:rPr>
                    <w:t>能源利用效率要求</w:t>
                  </w:r>
                </w:p>
              </w:tc>
              <w:tc>
                <w:tcPr>
                  <w:tcW w:w="1653" w:type="pct"/>
                  <w:tcBorders>
                    <w:tl2br w:val="nil"/>
                    <w:tr2bl w:val="nil"/>
                  </w:tcBorders>
                  <w:noWrap w:val="0"/>
                  <w:vAlign w:val="center"/>
                </w:tcPr>
                <w:p w14:paraId="3EE1298D">
                  <w:pPr>
                    <w:autoSpaceDE w:val="0"/>
                    <w:autoSpaceDN w:val="0"/>
                    <w:adjustRightInd w:val="0"/>
                    <w:jc w:val="both"/>
                    <w:rPr>
                      <w:color w:val="auto"/>
                      <w:highlight w:val="none"/>
                    </w:rPr>
                  </w:pPr>
                  <w:r>
                    <w:rPr>
                      <w:rFonts w:hint="default" w:ascii="Times New Roman" w:hAnsi="Times New Roman" w:eastAsia="宋体" w:cs="Times New Roman"/>
                      <w:color w:val="auto"/>
                      <w:sz w:val="21"/>
                      <w:szCs w:val="21"/>
                      <w:highlight w:val="none"/>
                      <w:lang w:val="en-US" w:eastAsia="zh-CN" w:bidi="ar-SA"/>
                    </w:rPr>
                    <w:t>按行业标准或生态工业园区标准执行。</w:t>
                  </w:r>
                </w:p>
              </w:tc>
              <w:tc>
                <w:tcPr>
                  <w:tcW w:w="1832" w:type="pct"/>
                  <w:tcBorders>
                    <w:tl2br w:val="nil"/>
                    <w:tr2bl w:val="nil"/>
                  </w:tcBorders>
                  <w:noWrap w:val="0"/>
                  <w:vAlign w:val="center"/>
                </w:tcPr>
                <w:p w14:paraId="0ADCB1B5">
                  <w:pPr>
                    <w:jc w:val="both"/>
                    <w:rPr>
                      <w:rFonts w:hint="eastAsia" w:eastAsia="宋体"/>
                      <w:color w:val="auto"/>
                      <w:kern w:val="2"/>
                      <w:sz w:val="21"/>
                      <w:szCs w:val="24"/>
                      <w:highlight w:val="none"/>
                      <w:lang w:val="en-US" w:eastAsia="zh-CN" w:bidi="ar-SA"/>
                    </w:rPr>
                  </w:pPr>
                  <w:r>
                    <w:rPr>
                      <w:rFonts w:hint="eastAsia"/>
                      <w:color w:val="auto"/>
                      <w:highlight w:val="none"/>
                    </w:rPr>
                    <w:t>项目</w:t>
                  </w:r>
                  <w:r>
                    <w:rPr>
                      <w:rFonts w:hint="default" w:ascii="Times New Roman" w:hAnsi="Times New Roman" w:eastAsia="宋体" w:cs="Times New Roman"/>
                      <w:color w:val="auto"/>
                      <w:sz w:val="21"/>
                      <w:szCs w:val="21"/>
                      <w:highlight w:val="none"/>
                      <w:lang w:val="en-US" w:eastAsia="zh-CN" w:bidi="ar-SA"/>
                    </w:rPr>
                    <w:t>能源利用</w:t>
                  </w:r>
                  <w:r>
                    <w:rPr>
                      <w:color w:val="auto"/>
                      <w:highlight w:val="none"/>
                    </w:rPr>
                    <w:t>符合</w:t>
                  </w:r>
                  <w:r>
                    <w:rPr>
                      <w:rFonts w:hint="eastAsia"/>
                      <w:color w:val="auto"/>
                      <w:highlight w:val="none"/>
                      <w:lang w:val="en-US" w:eastAsia="zh-CN"/>
                    </w:rPr>
                    <w:t>相关</w:t>
                  </w:r>
                  <w:r>
                    <w:rPr>
                      <w:rFonts w:hint="default" w:ascii="Times New Roman" w:hAnsi="Times New Roman" w:eastAsia="宋体" w:cs="Times New Roman"/>
                      <w:color w:val="auto"/>
                      <w:sz w:val="21"/>
                      <w:szCs w:val="21"/>
                      <w:highlight w:val="none"/>
                      <w:lang w:val="en-US" w:eastAsia="zh-CN" w:bidi="ar-SA"/>
                    </w:rPr>
                    <w:t>标准</w:t>
                  </w:r>
                  <w:r>
                    <w:rPr>
                      <w:color w:val="auto"/>
                      <w:highlight w:val="none"/>
                    </w:rPr>
                    <w:t>要求</w:t>
                  </w:r>
                  <w:r>
                    <w:rPr>
                      <w:rFonts w:hint="eastAsia"/>
                      <w:color w:val="auto"/>
                      <w:highlight w:val="none"/>
                      <w:lang w:eastAsia="zh-CN"/>
                    </w:rPr>
                    <w:t>。</w:t>
                  </w:r>
                </w:p>
              </w:tc>
            </w:tr>
            <w:tr w14:paraId="6A0B2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tcBorders>
                    <w:tl2br w:val="nil"/>
                    <w:tr2bl w:val="nil"/>
                  </w:tcBorders>
                  <w:noWrap w:val="0"/>
                  <w:vAlign w:val="center"/>
                </w:tcPr>
                <w:p w14:paraId="78B98BE3">
                  <w:pPr>
                    <w:jc w:val="center"/>
                    <w:rPr>
                      <w:color w:val="auto"/>
                      <w:highlight w:val="none"/>
                    </w:rPr>
                  </w:pPr>
                </w:p>
              </w:tc>
              <w:tc>
                <w:tcPr>
                  <w:tcW w:w="1130" w:type="pct"/>
                  <w:tcBorders>
                    <w:tl2br w:val="nil"/>
                    <w:tr2bl w:val="nil"/>
                  </w:tcBorders>
                  <w:noWrap w:val="0"/>
                  <w:vAlign w:val="center"/>
                </w:tcPr>
                <w:p w14:paraId="1027CF66">
                  <w:pPr>
                    <w:keepNext w:val="0"/>
                    <w:keepLines w:val="0"/>
                    <w:pageBreakBefore w:val="0"/>
                    <w:kinsoku/>
                    <w:wordWrap/>
                    <w:overflowPunct/>
                    <w:topLinePunct w:val="0"/>
                    <w:autoSpaceDE w:val="0"/>
                    <w:autoSpaceDN w:val="0"/>
                    <w:bidi w:val="0"/>
                    <w:adjustRightInd w:val="0"/>
                    <w:snapToGrid/>
                    <w:jc w:val="both"/>
                    <w:rPr>
                      <w:color w:val="auto"/>
                      <w:highlight w:val="none"/>
                    </w:rPr>
                  </w:pPr>
                  <w:r>
                    <w:rPr>
                      <w:rFonts w:hint="default" w:ascii="Times New Roman" w:hAnsi="Times New Roman" w:eastAsia="宋体" w:cs="Times New Roman"/>
                      <w:color w:val="auto"/>
                      <w:sz w:val="21"/>
                      <w:szCs w:val="21"/>
                      <w:highlight w:val="none"/>
                      <w:lang w:val="en-US" w:eastAsia="zh-CN" w:bidi="ar-SA"/>
                    </w:rPr>
                    <w:t>其他资源利用效率要求</w:t>
                  </w:r>
                </w:p>
              </w:tc>
              <w:tc>
                <w:tcPr>
                  <w:tcW w:w="1653" w:type="pct"/>
                  <w:tcBorders>
                    <w:tl2br w:val="nil"/>
                    <w:tr2bl w:val="nil"/>
                  </w:tcBorders>
                  <w:noWrap w:val="0"/>
                  <w:vAlign w:val="center"/>
                </w:tcPr>
                <w:p w14:paraId="7BC52659">
                  <w:pPr>
                    <w:keepNext w:val="0"/>
                    <w:keepLines w:val="0"/>
                    <w:pageBreakBefore w:val="0"/>
                    <w:kinsoku/>
                    <w:wordWrap/>
                    <w:overflowPunct/>
                    <w:topLinePunct w:val="0"/>
                    <w:autoSpaceDE w:val="0"/>
                    <w:autoSpaceDN w:val="0"/>
                    <w:bidi w:val="0"/>
                    <w:adjustRightInd w:val="0"/>
                    <w:snapToGrid/>
                    <w:jc w:val="center"/>
                    <w:rPr>
                      <w:color w:val="auto"/>
                      <w:highlight w:val="none"/>
                    </w:rPr>
                  </w:pPr>
                  <w:r>
                    <w:rPr>
                      <w:rFonts w:hint="eastAsia" w:cs="Times New Roman"/>
                      <w:color w:val="auto"/>
                      <w:sz w:val="21"/>
                      <w:szCs w:val="21"/>
                      <w:highlight w:val="none"/>
                      <w:lang w:val="en-US" w:eastAsia="zh-CN" w:bidi="ar-SA"/>
                    </w:rPr>
                    <w:t>无</w:t>
                  </w:r>
                </w:p>
              </w:tc>
              <w:tc>
                <w:tcPr>
                  <w:tcW w:w="1832" w:type="pct"/>
                  <w:tcBorders>
                    <w:tl2br w:val="nil"/>
                    <w:tr2bl w:val="nil"/>
                  </w:tcBorders>
                  <w:noWrap w:val="0"/>
                  <w:vAlign w:val="center"/>
                </w:tcPr>
                <w:p w14:paraId="7B9B0EC3">
                  <w:pPr>
                    <w:jc w:val="center"/>
                    <w:rPr>
                      <w:rFonts w:hint="default" w:eastAsia="宋体"/>
                      <w:color w:val="auto"/>
                      <w:kern w:val="2"/>
                      <w:sz w:val="21"/>
                      <w:szCs w:val="24"/>
                      <w:highlight w:val="none"/>
                      <w:lang w:val="en-US" w:eastAsia="zh-CN" w:bidi="ar-SA"/>
                    </w:rPr>
                  </w:pPr>
                  <w:r>
                    <w:rPr>
                      <w:rFonts w:hint="eastAsia"/>
                      <w:color w:val="auto"/>
                      <w:szCs w:val="21"/>
                      <w:highlight w:val="none"/>
                      <w:lang w:val="en-US" w:eastAsia="zh-CN"/>
                    </w:rPr>
                    <w:t>/</w:t>
                  </w:r>
                </w:p>
              </w:tc>
            </w:tr>
          </w:tbl>
          <w:p w14:paraId="34D35831">
            <w:pPr>
              <w:spacing w:line="360" w:lineRule="auto"/>
              <w:ind w:firstLine="482" w:firstLineChars="200"/>
              <w:rPr>
                <w:rFonts w:hint="default" w:eastAsia="宋体"/>
                <w:color w:val="auto"/>
                <w:sz w:val="24"/>
                <w:szCs w:val="22"/>
                <w:highlight w:val="none"/>
                <w:lang w:val="en-US" w:eastAsia="zh-CN"/>
              </w:rPr>
            </w:pPr>
            <w:r>
              <w:rPr>
                <w:rFonts w:hint="eastAsia" w:eastAsia="宋体"/>
                <w:b/>
                <w:bCs/>
                <w:color w:val="auto"/>
                <w:sz w:val="24"/>
                <w:szCs w:val="22"/>
                <w:highlight w:val="none"/>
                <w:lang w:val="en-US" w:eastAsia="zh-CN"/>
              </w:rPr>
              <w:t>3、与《鄱阳湖生态经济区环境保护条例》符合性分析</w:t>
            </w:r>
          </w:p>
          <w:p w14:paraId="7F32D072">
            <w:pPr>
              <w:keepNext w:val="0"/>
              <w:keepLines w:val="0"/>
              <w:pageBreakBefore w:val="0"/>
              <w:widowControl w:val="0"/>
              <w:shd w:val="clear" w:color="auto" w:fill="auto"/>
              <w:tabs>
                <w:tab w:val="left" w:pos="7821"/>
              </w:tabs>
              <w:kinsoku/>
              <w:wordWrap/>
              <w:overflowPunct/>
              <w:topLinePunct w:val="0"/>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鄱阳湖生态经济区规划》范围包括南昌、景德镇、鹰潭3市，以及九江、新余、抚州、宜春、上饶、吉安的部分县（市、区），共38个县（市、区），面积5.12万平方公里。发展定位为：全国大湖流域综合开发示范区、长江中下游水生态安全保障区、加快中部崛起重要带动区、国际生态经济合作重要平台。围绕上述定位，着力构建安全可靠的生态环境保护体系、调配有效的水利保障体系、清洁安全的能源供应体系、高效便捷的综合交通运输体系；重点建设区域性优质农产品生产基地，生态旅游基地，光电、新能源、生物及航空产业基地，改造提升铜、钢铁、化工、汽车等传统产业基地。该规划功能分区为湖体核心保护区：范围为鄱阳湖水体和湿地；区域功能是：强化生态功能，禁止开发建设。滨湖控制开发带：范围为沿湖岸线邻水区域，以最高水位线为界限；区域功能是：构建生态屏障，严格控制开发。高效集约发展区：范围为区域其他地区，面积4.22万平方公里。</w:t>
            </w:r>
          </w:p>
          <w:p w14:paraId="71EB0B72">
            <w:pPr>
              <w:keepNext w:val="0"/>
              <w:keepLines w:val="0"/>
              <w:pageBreakBefore w:val="0"/>
              <w:widowControl w:val="0"/>
              <w:shd w:val="clear" w:color="auto" w:fill="auto"/>
              <w:tabs>
                <w:tab w:val="left" w:pos="7821"/>
              </w:tabs>
              <w:kinsoku/>
              <w:wordWrap/>
              <w:overflowPunct/>
              <w:topLinePunct w:val="0"/>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本项目位于庐山市工业园区内，属于滨湖控制开发带</w:t>
            </w:r>
            <w:r>
              <w:rPr>
                <w:rFonts w:hint="eastAsia" w:ascii="Times New Roman" w:hAnsi="Times New Roman" w:eastAsia="宋体" w:cs="Times New Roman"/>
                <w:color w:val="auto"/>
                <w:sz w:val="24"/>
                <w:szCs w:val="24"/>
                <w:highlight w:val="none"/>
                <w:lang w:eastAsia="zh-CN"/>
              </w:rPr>
              <w:t>范围</w:t>
            </w:r>
            <w:r>
              <w:rPr>
                <w:rFonts w:hint="eastAsia" w:ascii="Times New Roman" w:hAnsi="Times New Roman" w:eastAsia="宋体" w:cs="Times New Roman"/>
                <w:color w:val="auto"/>
                <w:sz w:val="24"/>
                <w:szCs w:val="24"/>
                <w:highlight w:val="none"/>
                <w:lang w:val="en-US" w:eastAsia="zh-CN"/>
              </w:rPr>
              <w:t>，根据《鄱阳湖生态经济区环境保护条例》第二十九条规定，滨湖控制开发带内建设项目应当符合国家和省产业政策以及沿湖岸线资源保护与利用规划。禁止新建、改建、扩建化学制浆造纸、印染、制革、电镀等排放含磷、氮、重金属等污染物的企业和项目。本项目属于</w:t>
            </w:r>
            <w:r>
              <w:rPr>
                <w:rFonts w:hint="default" w:eastAsia="宋体"/>
                <w:color w:val="auto"/>
                <w:sz w:val="24"/>
                <w:highlight w:val="none"/>
                <w:lang w:val="en-US" w:eastAsia="zh-CN"/>
              </w:rPr>
              <w:t>建筑陶瓷制品制造</w:t>
            </w:r>
            <w:r>
              <w:rPr>
                <w:rFonts w:hint="eastAsia" w:ascii="Times New Roman" w:hAnsi="Times New Roman" w:eastAsia="宋体" w:cs="Times New Roman"/>
                <w:color w:val="auto"/>
                <w:sz w:val="24"/>
                <w:szCs w:val="24"/>
                <w:highlight w:val="none"/>
                <w:lang w:val="en-US" w:eastAsia="zh-CN"/>
              </w:rPr>
              <w:t>，不属于化学制浆造纸、印染、制革、电镀等排放含磷、氮、重金属等污染物的项目，</w:t>
            </w:r>
            <w:r>
              <w:rPr>
                <w:rFonts w:hint="eastAsia" w:ascii="Times New Roman" w:hAnsi="Times New Roman" w:eastAsia="宋体" w:cs="Times New Roman"/>
                <w:color w:val="auto"/>
                <w:sz w:val="24"/>
                <w:szCs w:val="24"/>
                <w:highlight w:val="none"/>
                <w:lang w:eastAsia="zh-CN"/>
              </w:rPr>
              <w:t>项目运营过程采用先进设备工艺，各项污染物均采取了有效治理措施后均可达标排放，对周边环境影响较小，不会对鄱阳湖造成影响，</w:t>
            </w:r>
            <w:r>
              <w:rPr>
                <w:rFonts w:hint="eastAsia" w:ascii="Times New Roman" w:hAnsi="Times New Roman" w:eastAsia="宋体" w:cs="Times New Roman"/>
                <w:color w:val="auto"/>
                <w:sz w:val="24"/>
                <w:szCs w:val="24"/>
                <w:highlight w:val="none"/>
                <w:lang w:val="en-US" w:eastAsia="zh-CN"/>
              </w:rPr>
              <w:t>因此，本项目的建设符合《鄱阳湖生态经济区环境保护条例》</w:t>
            </w:r>
            <w:r>
              <w:rPr>
                <w:rFonts w:hint="eastAsia" w:cs="Times New Roman"/>
                <w:color w:val="auto"/>
                <w:sz w:val="24"/>
                <w:szCs w:val="24"/>
                <w:highlight w:val="none"/>
                <w:lang w:val="en-US" w:eastAsia="zh-CN"/>
              </w:rPr>
              <w:t>。</w:t>
            </w:r>
          </w:p>
          <w:p w14:paraId="5398593C">
            <w:pPr>
              <w:numPr>
                <w:ilvl w:val="0"/>
                <w:numId w:val="0"/>
              </w:numPr>
              <w:autoSpaceDE w:val="0"/>
              <w:autoSpaceDN w:val="0"/>
              <w:spacing w:line="360" w:lineRule="auto"/>
              <w:ind w:firstLine="482" w:firstLineChars="200"/>
              <w:rPr>
                <w:b/>
                <w:bCs/>
                <w:color w:val="auto"/>
                <w:sz w:val="24"/>
                <w:szCs w:val="24"/>
              </w:rPr>
            </w:pPr>
            <w:r>
              <w:rPr>
                <w:rFonts w:hint="eastAsia"/>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与《长江经济带发展负面清单指南（试行，2022年版）》（长江办[2022]7号）符合性分析</w:t>
            </w:r>
          </w:p>
          <w:p w14:paraId="1BF92CEB">
            <w:pPr>
              <w:numPr>
                <w:ilvl w:val="0"/>
                <w:numId w:val="0"/>
              </w:numPr>
              <w:autoSpaceDE w:val="0"/>
              <w:autoSpaceDN w:val="0"/>
              <w:spacing w:line="360" w:lineRule="auto"/>
              <w:ind w:firstLine="480" w:firstLineChars="200"/>
              <w:rPr>
                <w:rFonts w:hint="eastAsia"/>
                <w:color w:val="auto"/>
                <w:sz w:val="24"/>
                <w:szCs w:val="24"/>
              </w:rPr>
            </w:pPr>
            <w:r>
              <w:rPr>
                <w:rFonts w:hint="default" w:ascii="Times New Roman" w:hAnsi="Times New Roman" w:eastAsia="宋体" w:cs="Times New Roman"/>
                <w:color w:val="auto"/>
                <w:sz w:val="24"/>
                <w:szCs w:val="24"/>
                <w:lang w:val="en-US" w:eastAsia="zh-CN"/>
              </w:rPr>
              <w:t>本项目与《长江经济带发展负面清单指南（试行，2022年版）》符合性分析详见下表</w:t>
            </w:r>
            <w:r>
              <w:rPr>
                <w:rFonts w:hint="eastAsia" w:ascii="Times New Roman" w:hAnsi="Times New Roman" w:eastAsia="宋体" w:cs="Times New Roman"/>
                <w:b w:val="0"/>
                <w:bCs w:val="0"/>
                <w:color w:val="auto"/>
                <w:sz w:val="24"/>
                <w:szCs w:val="24"/>
                <w:lang w:val="en-US" w:eastAsia="zh-CN"/>
              </w:rPr>
              <w:t>。</w:t>
            </w:r>
          </w:p>
          <w:p w14:paraId="2CAFC968">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outlineLvl w:val="2"/>
              <w:rPr>
                <w:rFonts w:hint="default" w:ascii="Times New Roman" w:hAnsi="Times New Roman" w:eastAsia="宋体" w:cs="Times New Roman"/>
                <w:b/>
                <w:bCs w:val="0"/>
                <w:color w:val="auto"/>
                <w:sz w:val="21"/>
                <w:szCs w:val="21"/>
              </w:rPr>
            </w:pPr>
            <w:r>
              <w:rPr>
                <w:rFonts w:hint="eastAsia" w:ascii="Times New Roman" w:hAnsi="Times New Roman" w:eastAsia="宋体" w:cs="Times New Roman"/>
                <w:b/>
                <w:bCs/>
                <w:color w:val="auto"/>
                <w:kern w:val="2"/>
                <w:sz w:val="21"/>
                <w:szCs w:val="21"/>
                <w:lang w:val="en-US" w:eastAsia="zh-CN" w:bidi="ar-SA"/>
              </w:rPr>
              <w:t>表1-</w:t>
            </w:r>
            <w:r>
              <w:rPr>
                <w:rFonts w:hint="eastAsia" w:cs="Times New Roman"/>
                <w:b/>
                <w:bCs/>
                <w:color w:val="auto"/>
                <w:kern w:val="2"/>
                <w:sz w:val="21"/>
                <w:szCs w:val="21"/>
                <w:lang w:val="en-US" w:eastAsia="zh-CN" w:bidi="ar-SA"/>
              </w:rPr>
              <w:t>12</w:t>
            </w:r>
            <w:r>
              <w:rPr>
                <w:rFonts w:hint="eastAsia" w:ascii="Times New Roman" w:hAnsi="Times New Roman" w:eastAsia="宋体" w:cs="Times New Roman"/>
                <w:b/>
                <w:bCs/>
                <w:color w:val="auto"/>
                <w:kern w:val="2"/>
                <w:sz w:val="21"/>
                <w:szCs w:val="21"/>
                <w:lang w:val="en-US" w:eastAsia="zh-CN" w:bidi="ar-SA"/>
              </w:rPr>
              <w:t xml:space="preserve">  </w:t>
            </w:r>
            <w:r>
              <w:rPr>
                <w:rFonts w:hint="default" w:ascii="Times New Roman" w:hAnsi="Times New Roman" w:eastAsia="宋体" w:cs="Times New Roman"/>
                <w:b/>
                <w:bCs w:val="0"/>
                <w:color w:val="auto"/>
                <w:sz w:val="21"/>
                <w:szCs w:val="21"/>
              </w:rPr>
              <w:t>长江经济带发展负面清单指南（试行，2022年版）符合性分析</w:t>
            </w:r>
          </w:p>
          <w:tbl>
            <w:tblPr>
              <w:tblStyle w:val="25"/>
              <w:tblW w:w="71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3496"/>
              <w:gridCol w:w="2305"/>
              <w:gridCol w:w="685"/>
            </w:tblGrid>
            <w:tr w14:paraId="6267B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tblHeader/>
                <w:jc w:val="center"/>
              </w:trPr>
              <w:tc>
                <w:tcPr>
                  <w:tcW w:w="481" w:type="pct"/>
                  <w:tcBorders>
                    <w:tl2br w:val="nil"/>
                    <w:tr2bl w:val="nil"/>
                  </w:tcBorders>
                  <w:noWrap w:val="0"/>
                  <w:vAlign w:val="center"/>
                </w:tcPr>
                <w:p w14:paraId="69E28FD9">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序号</w:t>
                  </w:r>
                </w:p>
              </w:tc>
              <w:tc>
                <w:tcPr>
                  <w:tcW w:w="2434" w:type="pct"/>
                  <w:tcBorders>
                    <w:tl2br w:val="nil"/>
                    <w:tr2bl w:val="nil"/>
                  </w:tcBorders>
                  <w:noWrap w:val="0"/>
                  <w:vAlign w:val="center"/>
                </w:tcPr>
                <w:p w14:paraId="44041E22">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评价依据</w:t>
                  </w:r>
                </w:p>
              </w:tc>
              <w:tc>
                <w:tcPr>
                  <w:tcW w:w="1605" w:type="pct"/>
                  <w:tcBorders>
                    <w:tl2br w:val="nil"/>
                    <w:tr2bl w:val="nil"/>
                  </w:tcBorders>
                  <w:noWrap w:val="0"/>
                  <w:vAlign w:val="center"/>
                </w:tcPr>
                <w:p w14:paraId="7378C6A5">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项目情况</w:t>
                  </w:r>
                </w:p>
              </w:tc>
              <w:tc>
                <w:tcPr>
                  <w:tcW w:w="477" w:type="pct"/>
                  <w:tcBorders>
                    <w:tl2br w:val="nil"/>
                    <w:tr2bl w:val="nil"/>
                  </w:tcBorders>
                  <w:noWrap w:val="0"/>
                  <w:vAlign w:val="center"/>
                </w:tcPr>
                <w:p w14:paraId="3C1746A9">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相符性</w:t>
                  </w:r>
                </w:p>
              </w:tc>
            </w:tr>
            <w:tr w14:paraId="53A83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481" w:type="pct"/>
                  <w:tcBorders>
                    <w:tl2br w:val="nil"/>
                    <w:tr2bl w:val="nil"/>
                  </w:tcBorders>
                  <w:noWrap w:val="0"/>
                  <w:vAlign w:val="center"/>
                </w:tcPr>
                <w:p w14:paraId="54AB84B8">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w:t>
                  </w:r>
                </w:p>
              </w:tc>
              <w:tc>
                <w:tcPr>
                  <w:tcW w:w="2434" w:type="pct"/>
                  <w:tcBorders>
                    <w:tl2br w:val="nil"/>
                    <w:tr2bl w:val="nil"/>
                  </w:tcBorders>
                  <w:noWrap w:val="0"/>
                  <w:vAlign w:val="center"/>
                </w:tcPr>
                <w:p w14:paraId="7B87AF42">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禁止建设不符合全国和省级港口布局规划以及港口总体规划的码头项目，禁止建设不符合《长江干线过江通道布局规划》的过长江通道项目。</w:t>
                  </w:r>
                </w:p>
              </w:tc>
              <w:tc>
                <w:tcPr>
                  <w:tcW w:w="1605" w:type="pct"/>
                  <w:tcBorders>
                    <w:tl2br w:val="nil"/>
                    <w:tr2bl w:val="nil"/>
                  </w:tcBorders>
                  <w:noWrap w:val="0"/>
                  <w:vAlign w:val="center"/>
                </w:tcPr>
                <w:p w14:paraId="17047E0B">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eastAsia"/>
                      <w:color w:val="auto"/>
                      <w:kern w:val="0"/>
                      <w:szCs w:val="21"/>
                      <w:lang w:val="en-US" w:eastAsia="zh-CN"/>
                    </w:rPr>
                    <w:t>本项目</w:t>
                  </w:r>
                  <w:r>
                    <w:rPr>
                      <w:rFonts w:hint="default" w:ascii="Times New Roman" w:hAnsi="Times New Roman" w:eastAsia="宋体" w:cs="Times New Roman"/>
                      <w:color w:val="auto"/>
                      <w:lang w:eastAsia="zh-CN"/>
                    </w:rPr>
                    <w:t>不属于码头和长江通道项目</w:t>
                  </w:r>
                </w:p>
              </w:tc>
              <w:tc>
                <w:tcPr>
                  <w:tcW w:w="477" w:type="pct"/>
                  <w:tcBorders>
                    <w:tl2br w:val="nil"/>
                    <w:tr2bl w:val="nil"/>
                  </w:tcBorders>
                  <w:noWrap w:val="0"/>
                  <w:vAlign w:val="center"/>
                </w:tcPr>
                <w:p w14:paraId="0A0E455D">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5303D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481" w:type="pct"/>
                  <w:tcBorders>
                    <w:tl2br w:val="nil"/>
                    <w:tr2bl w:val="nil"/>
                  </w:tcBorders>
                  <w:noWrap w:val="0"/>
                  <w:vAlign w:val="center"/>
                </w:tcPr>
                <w:p w14:paraId="181EACC2">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w:t>
                  </w:r>
                </w:p>
              </w:tc>
              <w:tc>
                <w:tcPr>
                  <w:tcW w:w="2434" w:type="pct"/>
                  <w:tcBorders>
                    <w:tl2br w:val="nil"/>
                    <w:tr2bl w:val="nil"/>
                  </w:tcBorders>
                  <w:noWrap w:val="0"/>
                  <w:vAlign w:val="center"/>
                </w:tcPr>
                <w:p w14:paraId="01E991A1">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禁止在自然保护区核心区、缓冲区的岸线和河段范围内投资建设旅游和生产经营项目。禁止在风景名胜区核心景区的岸线和河段范围内投资建设与风景名胜资源保护无关的项目。</w:t>
                  </w:r>
                </w:p>
              </w:tc>
              <w:tc>
                <w:tcPr>
                  <w:tcW w:w="1605" w:type="pct"/>
                  <w:tcBorders>
                    <w:tl2br w:val="nil"/>
                    <w:tr2bl w:val="nil"/>
                  </w:tcBorders>
                  <w:noWrap w:val="0"/>
                  <w:vAlign w:val="center"/>
                </w:tcPr>
                <w:p w14:paraId="0BF1715B">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本项目不在自然保护区核心区、缓冲区的岸线和河段范围内</w:t>
                  </w:r>
                </w:p>
              </w:tc>
              <w:tc>
                <w:tcPr>
                  <w:tcW w:w="477" w:type="pct"/>
                  <w:tcBorders>
                    <w:tl2br w:val="nil"/>
                    <w:tr2bl w:val="nil"/>
                  </w:tcBorders>
                  <w:noWrap w:val="0"/>
                  <w:vAlign w:val="center"/>
                </w:tcPr>
                <w:p w14:paraId="0AB15081">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5987F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5" w:hRule="atLeast"/>
                <w:jc w:val="center"/>
              </w:trPr>
              <w:tc>
                <w:tcPr>
                  <w:tcW w:w="481" w:type="pct"/>
                  <w:tcBorders>
                    <w:tl2br w:val="nil"/>
                    <w:tr2bl w:val="nil"/>
                  </w:tcBorders>
                  <w:noWrap w:val="0"/>
                  <w:vAlign w:val="center"/>
                </w:tcPr>
                <w:p w14:paraId="608567BC">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w:t>
                  </w:r>
                </w:p>
              </w:tc>
              <w:tc>
                <w:tcPr>
                  <w:tcW w:w="2434" w:type="pct"/>
                  <w:tcBorders>
                    <w:tl2br w:val="nil"/>
                    <w:tr2bl w:val="nil"/>
                  </w:tcBorders>
                  <w:noWrap w:val="0"/>
                  <w:vAlign w:val="center"/>
                </w:tcPr>
                <w:p w14:paraId="54411211">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05" w:type="pct"/>
                  <w:tcBorders>
                    <w:tl2br w:val="nil"/>
                    <w:tr2bl w:val="nil"/>
                  </w:tcBorders>
                  <w:noWrap w:val="0"/>
                  <w:vAlign w:val="center"/>
                </w:tcPr>
                <w:p w14:paraId="74ADFB2A">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w:t>
                  </w:r>
                  <w:r>
                    <w:rPr>
                      <w:rFonts w:hint="eastAsia" w:ascii="Times New Roman" w:hAnsi="Times New Roman" w:eastAsia="宋体" w:cs="Times New Roman"/>
                      <w:color w:val="auto"/>
                      <w:lang w:eastAsia="zh-CN"/>
                    </w:rPr>
                    <w:t>为</w:t>
                  </w:r>
                  <w:r>
                    <w:rPr>
                      <w:rFonts w:hint="eastAsia" w:ascii="Times New Roman" w:hAnsi="Times New Roman" w:eastAsia="宋体" w:cs="Times New Roman"/>
                      <w:color w:val="auto"/>
                      <w:sz w:val="21"/>
                      <w:szCs w:val="21"/>
                    </w:rPr>
                    <w:t>卫生材料及医药用品制造</w:t>
                  </w:r>
                  <w:r>
                    <w:rPr>
                      <w:rFonts w:hint="eastAsia" w:ascii="Times New Roman" w:hAnsi="Times New Roman" w:eastAsia="宋体" w:cs="Times New Roman"/>
                      <w:snapToGrid w:val="0"/>
                      <w:color w:val="auto"/>
                      <w:szCs w:val="21"/>
                      <w:lang w:val="en-US" w:eastAsia="zh-CN"/>
                    </w:rPr>
                    <w:t>，不属于</w:t>
                  </w:r>
                  <w:r>
                    <w:rPr>
                      <w:rFonts w:hint="default" w:ascii="Times New Roman" w:hAnsi="Times New Roman" w:eastAsia="宋体" w:cs="Times New Roman"/>
                      <w:color w:val="auto"/>
                      <w:lang w:val="zh-CN" w:eastAsia="zh-CN"/>
                    </w:rPr>
                    <w:t>供水设施和保护水源无关的项目，以及网箱养殖、畜禽养殖、旅游等可能污染饮用水水体的投资建设项目</w:t>
                  </w:r>
                  <w:r>
                    <w:rPr>
                      <w:rFonts w:hint="eastAsia" w:ascii="Times New Roman" w:hAnsi="Times New Roman" w:eastAsia="宋体" w:cs="Times New Roman"/>
                      <w:color w:val="auto"/>
                      <w:lang w:val="zh-CN" w:eastAsia="zh-CN"/>
                    </w:rPr>
                    <w:t>，</w:t>
                  </w:r>
                  <w:r>
                    <w:rPr>
                      <w:rFonts w:hint="eastAsia" w:ascii="Times New Roman" w:hAnsi="Times New Roman" w:eastAsia="宋体" w:cs="Times New Roman"/>
                      <w:color w:val="auto"/>
                      <w:lang w:val="en-US" w:eastAsia="zh-CN"/>
                    </w:rPr>
                    <w:t>且</w:t>
                  </w:r>
                  <w:r>
                    <w:rPr>
                      <w:rFonts w:hint="default" w:ascii="Times New Roman" w:hAnsi="Times New Roman" w:eastAsia="宋体" w:cs="Times New Roman"/>
                      <w:color w:val="auto"/>
                      <w:lang w:eastAsia="zh-CN"/>
                    </w:rPr>
                    <w:t>不在饮用水水源保护区的岸线和河段范围内</w:t>
                  </w:r>
                </w:p>
              </w:tc>
              <w:tc>
                <w:tcPr>
                  <w:tcW w:w="477" w:type="pct"/>
                  <w:tcBorders>
                    <w:tl2br w:val="nil"/>
                    <w:tr2bl w:val="nil"/>
                  </w:tcBorders>
                  <w:noWrap w:val="0"/>
                  <w:vAlign w:val="center"/>
                </w:tcPr>
                <w:p w14:paraId="70A9F79D">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7AE6A7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7" w:hRule="atLeast"/>
                <w:jc w:val="center"/>
              </w:trPr>
              <w:tc>
                <w:tcPr>
                  <w:tcW w:w="481" w:type="pct"/>
                  <w:tcBorders>
                    <w:tl2br w:val="nil"/>
                    <w:tr2bl w:val="nil"/>
                  </w:tcBorders>
                  <w:noWrap w:val="0"/>
                  <w:vAlign w:val="center"/>
                </w:tcPr>
                <w:p w14:paraId="3B0923F6">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4</w:t>
                  </w:r>
                </w:p>
              </w:tc>
              <w:tc>
                <w:tcPr>
                  <w:tcW w:w="2434" w:type="pct"/>
                  <w:tcBorders>
                    <w:tl2br w:val="nil"/>
                    <w:tr2bl w:val="nil"/>
                  </w:tcBorders>
                  <w:noWrap w:val="0"/>
                  <w:vAlign w:val="center"/>
                </w:tcPr>
                <w:p w14:paraId="451A1F87">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05" w:type="pct"/>
                  <w:tcBorders>
                    <w:tl2br w:val="nil"/>
                    <w:tr2bl w:val="nil"/>
                  </w:tcBorders>
                  <w:noWrap w:val="0"/>
                  <w:vAlign w:val="center"/>
                </w:tcPr>
                <w:p w14:paraId="3378176B">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w:t>
                  </w:r>
                  <w:r>
                    <w:rPr>
                      <w:rFonts w:hint="eastAsia" w:ascii="Times New Roman" w:hAnsi="Times New Roman" w:eastAsia="宋体" w:cs="Times New Roman"/>
                      <w:color w:val="auto"/>
                      <w:lang w:eastAsia="zh-CN"/>
                    </w:rPr>
                    <w:t>为</w:t>
                  </w:r>
                  <w:r>
                    <w:rPr>
                      <w:rFonts w:hint="eastAsia" w:ascii="Times New Roman" w:hAnsi="Times New Roman" w:eastAsia="宋体" w:cs="Times New Roman"/>
                      <w:color w:val="auto"/>
                      <w:sz w:val="21"/>
                      <w:szCs w:val="21"/>
                    </w:rPr>
                    <w:t>卫生材料及医药用品制造</w:t>
                  </w:r>
                  <w:r>
                    <w:rPr>
                      <w:rFonts w:hint="eastAsia" w:ascii="Times New Roman" w:hAnsi="Times New Roman" w:eastAsia="宋体" w:cs="Times New Roman"/>
                      <w:snapToGrid w:val="0"/>
                      <w:color w:val="auto"/>
                      <w:szCs w:val="21"/>
                      <w:lang w:val="en-US" w:eastAsia="zh-CN"/>
                    </w:rPr>
                    <w:t>，不属于</w:t>
                  </w:r>
                  <w:r>
                    <w:rPr>
                      <w:rFonts w:hint="default" w:ascii="Times New Roman" w:hAnsi="Times New Roman" w:eastAsia="宋体" w:cs="Times New Roman"/>
                      <w:color w:val="auto"/>
                      <w:lang w:val="zh-CN" w:eastAsia="zh-CN"/>
                    </w:rPr>
                    <w:t>围湖造田、围海造地或围填海等投资建设项目</w:t>
                  </w:r>
                  <w:r>
                    <w:rPr>
                      <w:rFonts w:hint="eastAsia" w:ascii="Times New Roman" w:hAnsi="Times New Roman" w:eastAsia="宋体" w:cs="Times New Roman"/>
                      <w:color w:val="auto"/>
                      <w:lang w:val="zh-CN" w:eastAsia="zh-CN"/>
                    </w:rPr>
                    <w:t>，</w:t>
                  </w:r>
                  <w:r>
                    <w:rPr>
                      <w:rFonts w:hint="default" w:ascii="Times New Roman" w:hAnsi="Times New Roman" w:eastAsia="宋体" w:cs="Times New Roman"/>
                      <w:color w:val="auto"/>
                      <w:lang w:val="zh-CN" w:eastAsia="zh-CN"/>
                    </w:rPr>
                    <w:t>挖沙、采矿，以及任何不符合主体功能定位的投资建设项目</w:t>
                  </w:r>
                  <w:r>
                    <w:rPr>
                      <w:rFonts w:hint="eastAsia" w:ascii="Times New Roman" w:hAnsi="Times New Roman" w:eastAsia="宋体" w:cs="Times New Roman"/>
                      <w:color w:val="auto"/>
                      <w:lang w:val="zh-CN" w:eastAsia="zh-CN"/>
                    </w:rPr>
                    <w:t>，</w:t>
                  </w:r>
                  <w:r>
                    <w:rPr>
                      <w:rFonts w:hint="eastAsia" w:ascii="Times New Roman" w:hAnsi="Times New Roman" w:eastAsia="宋体" w:cs="Times New Roman"/>
                      <w:color w:val="auto"/>
                      <w:lang w:val="en-US" w:eastAsia="zh-CN"/>
                    </w:rPr>
                    <w:t>且</w:t>
                  </w:r>
                  <w:r>
                    <w:rPr>
                      <w:rFonts w:hint="default" w:ascii="Times New Roman" w:hAnsi="Times New Roman" w:eastAsia="宋体" w:cs="Times New Roman"/>
                      <w:color w:val="auto"/>
                      <w:lang w:eastAsia="zh-CN"/>
                    </w:rPr>
                    <w:t>不在水产种质资源保护区、</w:t>
                  </w:r>
                  <w:r>
                    <w:rPr>
                      <w:rFonts w:hint="default" w:ascii="Times New Roman" w:hAnsi="Times New Roman" w:eastAsia="宋体" w:cs="Times New Roman"/>
                      <w:color w:val="auto"/>
                      <w:lang w:val="zh-CN" w:eastAsia="zh-CN"/>
                    </w:rPr>
                    <w:t>国家湿地公园</w:t>
                  </w:r>
                  <w:r>
                    <w:rPr>
                      <w:rFonts w:hint="default" w:ascii="Times New Roman" w:hAnsi="Times New Roman" w:eastAsia="宋体" w:cs="Times New Roman"/>
                      <w:color w:val="auto"/>
                      <w:lang w:eastAsia="zh-CN"/>
                    </w:rPr>
                    <w:t>的岸线和河段范围内</w:t>
                  </w:r>
                </w:p>
              </w:tc>
              <w:tc>
                <w:tcPr>
                  <w:tcW w:w="477" w:type="pct"/>
                  <w:tcBorders>
                    <w:tl2br w:val="nil"/>
                    <w:tr2bl w:val="nil"/>
                  </w:tcBorders>
                  <w:noWrap w:val="0"/>
                  <w:vAlign w:val="center"/>
                </w:tcPr>
                <w:p w14:paraId="00EBA61A">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1B857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1" w:hRule="atLeast"/>
                <w:jc w:val="center"/>
              </w:trPr>
              <w:tc>
                <w:tcPr>
                  <w:tcW w:w="481" w:type="pct"/>
                  <w:tcBorders>
                    <w:tl2br w:val="nil"/>
                    <w:tr2bl w:val="nil"/>
                  </w:tcBorders>
                  <w:noWrap w:val="0"/>
                  <w:vAlign w:val="center"/>
                </w:tcPr>
                <w:p w14:paraId="04C295D3">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5</w:t>
                  </w:r>
                </w:p>
              </w:tc>
              <w:tc>
                <w:tcPr>
                  <w:tcW w:w="2434" w:type="pct"/>
                  <w:tcBorders>
                    <w:tl2br w:val="nil"/>
                    <w:tr2bl w:val="nil"/>
                  </w:tcBorders>
                  <w:noWrap w:val="0"/>
                  <w:vAlign w:val="center"/>
                </w:tcPr>
                <w:p w14:paraId="28D3862F">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05" w:type="pct"/>
                  <w:tcBorders>
                    <w:tl2br w:val="nil"/>
                    <w:tr2bl w:val="nil"/>
                  </w:tcBorders>
                  <w:noWrap w:val="0"/>
                  <w:vAlign w:val="center"/>
                </w:tcPr>
                <w:p w14:paraId="61C87E14">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本项目不</w:t>
                  </w:r>
                  <w:r>
                    <w:rPr>
                      <w:rFonts w:hint="default" w:ascii="Times New Roman" w:hAnsi="Times New Roman" w:eastAsia="宋体" w:cs="Times New Roman"/>
                      <w:color w:val="auto"/>
                      <w:lang w:val="zh-CN" w:eastAsia="zh-CN"/>
                    </w:rPr>
                    <w:t>占用长江流域河湖岸线、《全国重要江河湖泊水功能区划》划定的河段及湖泊保护区、保留区</w:t>
                  </w:r>
                </w:p>
              </w:tc>
              <w:tc>
                <w:tcPr>
                  <w:tcW w:w="477" w:type="pct"/>
                  <w:tcBorders>
                    <w:tl2br w:val="nil"/>
                    <w:tr2bl w:val="nil"/>
                  </w:tcBorders>
                  <w:noWrap w:val="0"/>
                  <w:vAlign w:val="center"/>
                </w:tcPr>
                <w:p w14:paraId="0B23176D">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56450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481" w:type="pct"/>
                  <w:tcBorders>
                    <w:tl2br w:val="nil"/>
                    <w:tr2bl w:val="nil"/>
                  </w:tcBorders>
                  <w:noWrap w:val="0"/>
                  <w:vAlign w:val="center"/>
                </w:tcPr>
                <w:p w14:paraId="6D433BA3">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6</w:t>
                  </w:r>
                </w:p>
              </w:tc>
              <w:tc>
                <w:tcPr>
                  <w:tcW w:w="2434" w:type="pct"/>
                  <w:tcBorders>
                    <w:tl2br w:val="nil"/>
                    <w:tr2bl w:val="nil"/>
                  </w:tcBorders>
                  <w:noWrap w:val="0"/>
                  <w:vAlign w:val="center"/>
                </w:tcPr>
                <w:p w14:paraId="53AFFA13">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禁止未经许可在长江干支流及湖泊新设、改设或扩大排污</w:t>
                  </w:r>
                </w:p>
              </w:tc>
              <w:tc>
                <w:tcPr>
                  <w:tcW w:w="1605" w:type="pct"/>
                  <w:tcBorders>
                    <w:tl2br w:val="nil"/>
                    <w:tr2bl w:val="nil"/>
                  </w:tcBorders>
                  <w:noWrap w:val="0"/>
                  <w:vAlign w:val="center"/>
                </w:tcPr>
                <w:p w14:paraId="2B55EC0B">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w:t>
                  </w:r>
                  <w:r>
                    <w:rPr>
                      <w:rFonts w:hint="eastAsia" w:ascii="Times New Roman" w:hAnsi="Times New Roman" w:eastAsia="宋体" w:cs="Times New Roman"/>
                      <w:color w:val="auto"/>
                      <w:lang w:eastAsia="zh-CN"/>
                    </w:rPr>
                    <w:t>不在</w:t>
                  </w:r>
                  <w:r>
                    <w:rPr>
                      <w:rFonts w:hint="default" w:ascii="Times New Roman" w:hAnsi="Times New Roman" w:eastAsia="宋体" w:cs="Times New Roman"/>
                      <w:color w:val="auto"/>
                      <w:lang w:val="zh-CN" w:eastAsia="zh-CN"/>
                    </w:rPr>
                    <w:t>长江干支流及湖泊新设、改设或扩大排污</w:t>
                  </w:r>
                </w:p>
              </w:tc>
              <w:tc>
                <w:tcPr>
                  <w:tcW w:w="477" w:type="pct"/>
                  <w:tcBorders>
                    <w:tl2br w:val="nil"/>
                    <w:tr2bl w:val="nil"/>
                  </w:tcBorders>
                  <w:noWrap w:val="0"/>
                  <w:vAlign w:val="center"/>
                </w:tcPr>
                <w:p w14:paraId="0BC3D92E">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5DCB0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481" w:type="pct"/>
                  <w:tcBorders>
                    <w:tl2br w:val="nil"/>
                    <w:tr2bl w:val="nil"/>
                  </w:tcBorders>
                  <w:noWrap w:val="0"/>
                  <w:vAlign w:val="center"/>
                </w:tcPr>
                <w:p w14:paraId="7902C9BB">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7</w:t>
                  </w:r>
                </w:p>
              </w:tc>
              <w:tc>
                <w:tcPr>
                  <w:tcW w:w="2434" w:type="pct"/>
                  <w:tcBorders>
                    <w:tl2br w:val="nil"/>
                    <w:tr2bl w:val="nil"/>
                  </w:tcBorders>
                  <w:noWrap w:val="0"/>
                  <w:vAlign w:val="center"/>
                </w:tcPr>
                <w:p w14:paraId="2F6AA5A9">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禁止在“一江一口两湖七河”和332个水生生物保护区开展生产性捕捞。</w:t>
                  </w:r>
                </w:p>
              </w:tc>
              <w:tc>
                <w:tcPr>
                  <w:tcW w:w="1605" w:type="pct"/>
                  <w:tcBorders>
                    <w:tl2br w:val="nil"/>
                    <w:tr2bl w:val="nil"/>
                  </w:tcBorders>
                  <w:noWrap w:val="0"/>
                  <w:vAlign w:val="center"/>
                </w:tcPr>
                <w:p w14:paraId="405A504C">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本项目不涉及</w:t>
                  </w:r>
                  <w:r>
                    <w:rPr>
                      <w:rFonts w:hint="default" w:ascii="Times New Roman" w:hAnsi="Times New Roman" w:eastAsia="宋体" w:cs="Times New Roman"/>
                      <w:color w:val="auto"/>
                      <w:lang w:val="zh-CN" w:eastAsia="zh-CN"/>
                    </w:rPr>
                    <w:t>捕捞</w:t>
                  </w:r>
                </w:p>
              </w:tc>
              <w:tc>
                <w:tcPr>
                  <w:tcW w:w="477" w:type="pct"/>
                  <w:tcBorders>
                    <w:tl2br w:val="nil"/>
                    <w:tr2bl w:val="nil"/>
                  </w:tcBorders>
                  <w:noWrap w:val="0"/>
                  <w:vAlign w:val="center"/>
                </w:tcPr>
                <w:p w14:paraId="2B22A2F8">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41D5B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81" w:type="pct"/>
                  <w:tcBorders>
                    <w:tl2br w:val="nil"/>
                    <w:tr2bl w:val="nil"/>
                  </w:tcBorders>
                  <w:noWrap w:val="0"/>
                  <w:vAlign w:val="center"/>
                </w:tcPr>
                <w:p w14:paraId="026030C9">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8</w:t>
                  </w:r>
                </w:p>
              </w:tc>
              <w:tc>
                <w:tcPr>
                  <w:tcW w:w="2434" w:type="pct"/>
                  <w:tcBorders>
                    <w:tl2br w:val="nil"/>
                    <w:tr2bl w:val="nil"/>
                  </w:tcBorders>
                  <w:noWrap w:val="0"/>
                  <w:vAlign w:val="center"/>
                </w:tcPr>
                <w:p w14:paraId="5FD8D16E">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05" w:type="pct"/>
                  <w:tcBorders>
                    <w:tl2br w:val="nil"/>
                    <w:tr2bl w:val="nil"/>
                  </w:tcBorders>
                  <w:noWrap w:val="0"/>
                  <w:vAlign w:val="center"/>
                </w:tcPr>
                <w:p w14:paraId="47F2D314">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eastAsia"/>
                      <w:color w:val="auto"/>
                      <w:kern w:val="0"/>
                      <w:szCs w:val="21"/>
                      <w:lang w:val="en-US" w:eastAsia="zh-CN"/>
                    </w:rPr>
                    <w:t>本项目</w:t>
                  </w:r>
                  <w:r>
                    <w:rPr>
                      <w:rFonts w:hint="eastAsia" w:ascii="Times New Roman" w:hAnsi="Times New Roman" w:eastAsia="宋体" w:cs="Times New Roman"/>
                      <w:color w:val="auto"/>
                      <w:lang w:eastAsia="zh-CN"/>
                    </w:rPr>
                    <w:t>为</w:t>
                  </w:r>
                  <w:r>
                    <w:rPr>
                      <w:rFonts w:hint="eastAsia" w:ascii="Times New Roman" w:hAnsi="Times New Roman" w:eastAsia="宋体" w:cs="Times New Roman"/>
                      <w:color w:val="auto"/>
                      <w:sz w:val="21"/>
                      <w:szCs w:val="21"/>
                    </w:rPr>
                    <w:t>卫生材料及医药用品制造</w:t>
                  </w:r>
                  <w:r>
                    <w:rPr>
                      <w:rFonts w:hint="eastAsia" w:ascii="Times New Roman" w:hAnsi="Times New Roman" w:eastAsia="宋体" w:cs="Times New Roman"/>
                      <w:snapToGrid w:val="0"/>
                      <w:color w:val="auto"/>
                      <w:szCs w:val="21"/>
                      <w:lang w:val="en-US" w:eastAsia="zh-CN"/>
                    </w:rPr>
                    <w:t>，</w:t>
                  </w:r>
                  <w:r>
                    <w:rPr>
                      <w:rFonts w:hint="eastAsia" w:ascii="Times New Roman" w:hAnsi="Times New Roman" w:eastAsia="宋体" w:cs="Times New Roman"/>
                      <w:color w:val="auto"/>
                      <w:lang w:eastAsia="zh-CN"/>
                    </w:rPr>
                    <w:t>不属于</w:t>
                  </w:r>
                  <w:r>
                    <w:rPr>
                      <w:rFonts w:hint="default" w:ascii="Times New Roman" w:hAnsi="Times New Roman" w:eastAsia="宋体" w:cs="Times New Roman"/>
                      <w:color w:val="auto"/>
                      <w:lang w:eastAsia="zh-CN"/>
                    </w:rPr>
                    <w:t>化工项目</w:t>
                  </w:r>
                  <w:r>
                    <w:rPr>
                      <w:rFonts w:hint="eastAsia" w:ascii="Times New Roman" w:hAnsi="Times New Roman" w:eastAsia="宋体" w:cs="Times New Roman"/>
                      <w:color w:val="auto"/>
                      <w:lang w:eastAsia="zh-CN"/>
                    </w:rPr>
                    <w:t>，不</w:t>
                  </w:r>
                  <w:r>
                    <w:rPr>
                      <w:rFonts w:hint="eastAsia" w:ascii="Times New Roman" w:hAnsi="Times New Roman" w:eastAsia="宋体" w:cs="Times New Roman"/>
                      <w:color w:val="auto"/>
                      <w:lang w:val="en-US" w:eastAsia="zh-CN"/>
                    </w:rPr>
                    <w:t>涉及</w:t>
                  </w:r>
                  <w:r>
                    <w:rPr>
                      <w:rFonts w:hint="eastAsia" w:ascii="Times New Roman" w:hAnsi="Times New Roman" w:eastAsia="宋体" w:cs="Times New Roman"/>
                      <w:color w:val="auto"/>
                      <w:lang w:eastAsia="zh-CN"/>
                    </w:rPr>
                    <w:t>建设尾矿库、冶炼渣库和磷石膏库</w:t>
                  </w:r>
                </w:p>
              </w:tc>
              <w:tc>
                <w:tcPr>
                  <w:tcW w:w="477" w:type="pct"/>
                  <w:tcBorders>
                    <w:tl2br w:val="nil"/>
                    <w:tr2bl w:val="nil"/>
                  </w:tcBorders>
                  <w:noWrap w:val="0"/>
                  <w:vAlign w:val="center"/>
                </w:tcPr>
                <w:p w14:paraId="5362EC00">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409B9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481" w:type="pct"/>
                  <w:tcBorders>
                    <w:tl2br w:val="nil"/>
                    <w:tr2bl w:val="nil"/>
                  </w:tcBorders>
                  <w:noWrap w:val="0"/>
                  <w:vAlign w:val="center"/>
                </w:tcPr>
                <w:p w14:paraId="1EA41FA9">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9</w:t>
                  </w:r>
                </w:p>
              </w:tc>
              <w:tc>
                <w:tcPr>
                  <w:tcW w:w="2434" w:type="pct"/>
                  <w:tcBorders>
                    <w:tl2br w:val="nil"/>
                    <w:tr2bl w:val="nil"/>
                  </w:tcBorders>
                  <w:noWrap w:val="0"/>
                  <w:vAlign w:val="center"/>
                </w:tcPr>
                <w:p w14:paraId="7B3C3A23">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禁止在合规园区外新建、扩建钢铁、石化、化工、焦化、建材、有色、制浆造纸等高污染项目。</w:t>
                  </w:r>
                </w:p>
              </w:tc>
              <w:tc>
                <w:tcPr>
                  <w:tcW w:w="1605" w:type="pct"/>
                  <w:tcBorders>
                    <w:tl2br w:val="nil"/>
                    <w:tr2bl w:val="nil"/>
                  </w:tcBorders>
                  <w:noWrap w:val="0"/>
                  <w:vAlign w:val="center"/>
                </w:tcPr>
                <w:p w14:paraId="25CB08EC">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eastAsia"/>
                      <w:color w:val="auto"/>
                      <w:kern w:val="0"/>
                      <w:szCs w:val="21"/>
                      <w:lang w:val="en-US" w:eastAsia="zh-CN"/>
                    </w:rPr>
                    <w:t>本项目</w:t>
                  </w:r>
                  <w:r>
                    <w:rPr>
                      <w:rFonts w:hint="eastAsia" w:ascii="Times New Roman" w:hAnsi="Times New Roman" w:eastAsia="宋体" w:cs="Times New Roman"/>
                      <w:color w:val="auto"/>
                      <w:lang w:eastAsia="zh-CN"/>
                    </w:rPr>
                    <w:t>为</w:t>
                  </w:r>
                  <w:r>
                    <w:rPr>
                      <w:rFonts w:hint="eastAsia" w:ascii="Times New Roman" w:hAnsi="Times New Roman" w:eastAsia="宋体" w:cs="Times New Roman"/>
                      <w:color w:val="auto"/>
                      <w:sz w:val="21"/>
                      <w:szCs w:val="21"/>
                    </w:rPr>
                    <w:t>卫生材料及医药用品制造</w:t>
                  </w:r>
                  <w:r>
                    <w:rPr>
                      <w:rFonts w:hint="eastAsia" w:ascii="Times New Roman" w:hAnsi="Times New Roman" w:eastAsia="宋体" w:cs="Times New Roman"/>
                      <w:snapToGrid w:val="0"/>
                      <w:color w:val="auto"/>
                      <w:szCs w:val="21"/>
                      <w:lang w:val="en-US" w:eastAsia="zh-CN"/>
                    </w:rPr>
                    <w:t>，</w:t>
                  </w:r>
                  <w:r>
                    <w:rPr>
                      <w:rFonts w:hint="eastAsia" w:ascii="Times New Roman" w:hAnsi="Times New Roman" w:eastAsia="宋体" w:cs="Times New Roman"/>
                      <w:color w:val="auto"/>
                      <w:lang w:eastAsia="zh-CN"/>
                    </w:rPr>
                    <w:t>不</w:t>
                  </w:r>
                  <w:r>
                    <w:rPr>
                      <w:rFonts w:hint="default" w:ascii="Times New Roman" w:hAnsi="Times New Roman" w:eastAsia="宋体" w:cs="Times New Roman"/>
                      <w:color w:val="auto"/>
                      <w:lang w:eastAsia="zh-CN"/>
                    </w:rPr>
                    <w:t>属于</w:t>
                  </w:r>
                  <w:r>
                    <w:rPr>
                      <w:rFonts w:hint="default" w:ascii="Times New Roman" w:hAnsi="Times New Roman" w:eastAsia="宋体" w:cs="Times New Roman"/>
                      <w:color w:val="auto"/>
                      <w:lang w:val="zh-CN" w:eastAsia="zh-CN"/>
                    </w:rPr>
                    <w:t>钢铁、石化、化工、焦化、建材、有色、制浆造纸等高污染项目</w:t>
                  </w:r>
                </w:p>
              </w:tc>
              <w:tc>
                <w:tcPr>
                  <w:tcW w:w="477" w:type="pct"/>
                  <w:tcBorders>
                    <w:tl2br w:val="nil"/>
                    <w:tr2bl w:val="nil"/>
                  </w:tcBorders>
                  <w:noWrap w:val="0"/>
                  <w:vAlign w:val="center"/>
                </w:tcPr>
                <w:p w14:paraId="60E7B364">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4676B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481" w:type="pct"/>
                  <w:tcBorders>
                    <w:tl2br w:val="nil"/>
                    <w:tr2bl w:val="nil"/>
                  </w:tcBorders>
                  <w:noWrap w:val="0"/>
                  <w:vAlign w:val="center"/>
                </w:tcPr>
                <w:p w14:paraId="3A511C78">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10</w:t>
                  </w:r>
                </w:p>
              </w:tc>
              <w:tc>
                <w:tcPr>
                  <w:tcW w:w="2434" w:type="pct"/>
                  <w:tcBorders>
                    <w:tl2br w:val="nil"/>
                    <w:tr2bl w:val="nil"/>
                  </w:tcBorders>
                  <w:noWrap w:val="0"/>
                  <w:vAlign w:val="center"/>
                </w:tcPr>
                <w:p w14:paraId="605F5FEE">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禁止新建、扩建不符合国家石化、现代煤化工等产业布局规划的项目。</w:t>
                  </w:r>
                </w:p>
              </w:tc>
              <w:tc>
                <w:tcPr>
                  <w:tcW w:w="1605" w:type="pct"/>
                  <w:tcBorders>
                    <w:tl2br w:val="nil"/>
                    <w:tr2bl w:val="nil"/>
                  </w:tcBorders>
                  <w:noWrap w:val="0"/>
                  <w:vAlign w:val="center"/>
                </w:tcPr>
                <w:p w14:paraId="78181280">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eastAsia"/>
                      <w:color w:val="auto"/>
                      <w:kern w:val="0"/>
                      <w:szCs w:val="21"/>
                      <w:lang w:val="en-US" w:eastAsia="zh-CN"/>
                    </w:rPr>
                    <w:t>本项目</w:t>
                  </w:r>
                  <w:r>
                    <w:rPr>
                      <w:rFonts w:hint="eastAsia" w:ascii="Times New Roman" w:hAnsi="Times New Roman" w:eastAsia="宋体" w:cs="Times New Roman"/>
                      <w:color w:val="auto"/>
                      <w:lang w:eastAsia="zh-CN"/>
                    </w:rPr>
                    <w:t>为</w:t>
                  </w:r>
                  <w:r>
                    <w:rPr>
                      <w:rFonts w:hint="eastAsia" w:ascii="Times New Roman" w:hAnsi="Times New Roman" w:eastAsia="宋体" w:cs="Times New Roman"/>
                      <w:color w:val="auto"/>
                      <w:sz w:val="21"/>
                      <w:szCs w:val="21"/>
                    </w:rPr>
                    <w:t>卫生材料及医药用品制造</w:t>
                  </w:r>
                  <w:r>
                    <w:rPr>
                      <w:rFonts w:hint="eastAsia" w:ascii="Times New Roman" w:hAnsi="Times New Roman" w:eastAsia="宋体" w:cs="Times New Roman"/>
                      <w:snapToGrid w:val="0"/>
                      <w:color w:val="auto"/>
                      <w:szCs w:val="21"/>
                      <w:lang w:val="en-US" w:eastAsia="zh-CN"/>
                    </w:rPr>
                    <w:t>，</w:t>
                  </w:r>
                  <w:r>
                    <w:rPr>
                      <w:rFonts w:hint="eastAsia" w:ascii="Times New Roman" w:hAnsi="Times New Roman" w:eastAsia="宋体" w:cs="Times New Roman"/>
                      <w:color w:val="auto"/>
                      <w:lang w:eastAsia="zh-CN"/>
                    </w:rPr>
                    <w:t>不属于</w:t>
                  </w:r>
                  <w:r>
                    <w:rPr>
                      <w:rFonts w:hint="default" w:ascii="Times New Roman" w:hAnsi="Times New Roman" w:eastAsia="宋体" w:cs="Times New Roman"/>
                      <w:color w:val="auto"/>
                      <w:lang w:val="zh-CN" w:eastAsia="zh-CN"/>
                    </w:rPr>
                    <w:t>石化、现代煤化工</w:t>
                  </w:r>
                </w:p>
              </w:tc>
              <w:tc>
                <w:tcPr>
                  <w:tcW w:w="477" w:type="pct"/>
                  <w:tcBorders>
                    <w:tl2br w:val="nil"/>
                    <w:tr2bl w:val="nil"/>
                  </w:tcBorders>
                  <w:noWrap w:val="0"/>
                  <w:vAlign w:val="center"/>
                </w:tcPr>
                <w:p w14:paraId="517ED137">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3ADA33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481" w:type="pct"/>
                  <w:tcBorders>
                    <w:tl2br w:val="nil"/>
                    <w:tr2bl w:val="nil"/>
                  </w:tcBorders>
                  <w:noWrap w:val="0"/>
                  <w:vAlign w:val="center"/>
                </w:tcPr>
                <w:p w14:paraId="7E40EF0A">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11</w:t>
                  </w:r>
                </w:p>
              </w:tc>
              <w:tc>
                <w:tcPr>
                  <w:tcW w:w="2434" w:type="pct"/>
                  <w:tcBorders>
                    <w:tl2br w:val="nil"/>
                    <w:tr2bl w:val="nil"/>
                  </w:tcBorders>
                  <w:noWrap w:val="0"/>
                  <w:vAlign w:val="center"/>
                </w:tcPr>
                <w:p w14:paraId="617F8127">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禁止新建、扩建法律法规和相关政策明令禁止的落后产能项目。禁止新建、扩建不符合国家产能置换要求的严重过剩产能行业的项目。禁止新建、扩建不符合要求的高耗能高排放项目。</w:t>
                  </w:r>
                </w:p>
              </w:tc>
              <w:tc>
                <w:tcPr>
                  <w:tcW w:w="1605" w:type="pct"/>
                  <w:tcBorders>
                    <w:tl2br w:val="nil"/>
                    <w:tr2bl w:val="nil"/>
                  </w:tcBorders>
                  <w:noWrap w:val="0"/>
                  <w:vAlign w:val="center"/>
                </w:tcPr>
                <w:p w14:paraId="7C82A5A0">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本项目不属于</w:t>
                  </w:r>
                  <w:r>
                    <w:rPr>
                      <w:rFonts w:hint="default" w:ascii="Times New Roman" w:hAnsi="Times New Roman" w:eastAsia="宋体" w:cs="Times New Roman"/>
                      <w:color w:val="auto"/>
                      <w:lang w:val="zh-CN" w:eastAsia="zh-CN"/>
                    </w:rPr>
                    <w:t>禁止的落后产能项目、严重过剩产能行业</w:t>
                  </w:r>
                  <w:r>
                    <w:rPr>
                      <w:rFonts w:hint="default" w:ascii="Times New Roman" w:hAnsi="Times New Roman" w:eastAsia="宋体" w:cs="Times New Roman"/>
                      <w:color w:val="auto"/>
                      <w:lang w:eastAsia="zh-CN"/>
                    </w:rPr>
                    <w:t>项目</w:t>
                  </w:r>
                </w:p>
              </w:tc>
              <w:tc>
                <w:tcPr>
                  <w:tcW w:w="477" w:type="pct"/>
                  <w:tcBorders>
                    <w:tl2br w:val="nil"/>
                    <w:tr2bl w:val="nil"/>
                  </w:tcBorders>
                  <w:noWrap w:val="0"/>
                  <w:vAlign w:val="center"/>
                </w:tcPr>
                <w:p w14:paraId="7F94AFB3">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116D7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481" w:type="pct"/>
                  <w:tcBorders>
                    <w:tl2br w:val="nil"/>
                    <w:tr2bl w:val="nil"/>
                  </w:tcBorders>
                  <w:noWrap w:val="0"/>
                  <w:vAlign w:val="center"/>
                </w:tcPr>
                <w:p w14:paraId="66CB3BD5">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12</w:t>
                  </w:r>
                </w:p>
              </w:tc>
              <w:tc>
                <w:tcPr>
                  <w:tcW w:w="2434" w:type="pct"/>
                  <w:tcBorders>
                    <w:tl2br w:val="nil"/>
                    <w:tr2bl w:val="nil"/>
                  </w:tcBorders>
                  <w:noWrap w:val="0"/>
                  <w:vAlign w:val="center"/>
                </w:tcPr>
                <w:p w14:paraId="01B533EC">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法律法规及相关政策文件有更加严格规定的从其规定。</w:t>
                  </w:r>
                </w:p>
              </w:tc>
              <w:tc>
                <w:tcPr>
                  <w:tcW w:w="1605" w:type="pct"/>
                  <w:tcBorders>
                    <w:tl2br w:val="nil"/>
                    <w:tr2bl w:val="nil"/>
                  </w:tcBorders>
                  <w:noWrap w:val="0"/>
                  <w:vAlign w:val="center"/>
                </w:tcPr>
                <w:p w14:paraId="01BFB9A1">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w:t>
                  </w:r>
                  <w:r>
                    <w:rPr>
                      <w:rFonts w:hint="eastAsia" w:ascii="Times New Roman" w:hAnsi="Times New Roman" w:eastAsia="宋体" w:cs="Times New Roman"/>
                      <w:color w:val="auto"/>
                      <w:lang w:val="en-US" w:eastAsia="zh-CN"/>
                    </w:rPr>
                    <w:t>没有</w:t>
                  </w:r>
                  <w:r>
                    <w:rPr>
                      <w:rFonts w:hint="default" w:ascii="Times New Roman" w:hAnsi="Times New Roman" w:eastAsia="宋体" w:cs="Times New Roman"/>
                      <w:color w:val="auto"/>
                      <w:lang w:eastAsia="zh-CN"/>
                    </w:rPr>
                    <w:t>法律法规及相关政策文件要求</w:t>
                  </w:r>
                </w:p>
              </w:tc>
              <w:tc>
                <w:tcPr>
                  <w:tcW w:w="477" w:type="pct"/>
                  <w:tcBorders>
                    <w:tl2br w:val="nil"/>
                    <w:tr2bl w:val="nil"/>
                  </w:tcBorders>
                  <w:noWrap w:val="0"/>
                  <w:vAlign w:val="center"/>
                </w:tcPr>
                <w:p w14:paraId="452842F0">
                  <w:pPr>
                    <w:pStyle w:val="62"/>
                    <w:keepNext w:val="0"/>
                    <w:keepLines w:val="0"/>
                    <w:pageBreakBefore w:val="0"/>
                    <w:kinsoku/>
                    <w:wordWrap/>
                    <w:overflowPunct/>
                    <w:topLinePunct w:val="0"/>
                    <w:autoSpaceDE/>
                    <w:autoSpaceDN/>
                    <w:bidi w:val="0"/>
                    <w:adjustRightInd/>
                    <w:snapToGrid/>
                    <w:spacing w:line="34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bl>
          <w:p w14:paraId="172DE925">
            <w:pPr>
              <w:spacing w:line="360" w:lineRule="auto"/>
              <w:ind w:firstLine="480" w:firstLineChars="200"/>
              <w:jc w:val="both"/>
              <w:rPr>
                <w:rFonts w:hint="eastAsia" w:cs="Times New Roman"/>
                <w:color w:val="auto"/>
                <w:kern w:val="0"/>
                <w:sz w:val="24"/>
                <w:szCs w:val="24"/>
                <w:lang w:val="en-US" w:eastAsia="zh-CN"/>
              </w:rPr>
            </w:pPr>
            <w:r>
              <w:rPr>
                <w:rFonts w:hint="eastAsia" w:ascii="宋体" w:hAnsi="宋体" w:cs="宋体"/>
                <w:color w:val="auto"/>
                <w:kern w:val="0"/>
                <w:sz w:val="24"/>
                <w:szCs w:val="24"/>
              </w:rPr>
              <w:t>综上分析，项目建设符合</w:t>
            </w:r>
            <w:r>
              <w:rPr>
                <w:rFonts w:hint="default" w:ascii="Times New Roman" w:hAnsi="Times New Roman" w:eastAsia="宋体" w:cs="Times New Roman"/>
                <w:color w:val="auto"/>
                <w:sz w:val="24"/>
                <w:szCs w:val="24"/>
                <w:lang w:val="en-US" w:eastAsia="zh-CN"/>
              </w:rPr>
              <w:t>《长江经济带发展负面清单指南》</w:t>
            </w:r>
            <w:r>
              <w:rPr>
                <w:rFonts w:hint="eastAsia" w:ascii="宋体" w:hAnsi="宋体" w:cs="宋体"/>
                <w:color w:val="auto"/>
                <w:kern w:val="0"/>
                <w:sz w:val="24"/>
                <w:szCs w:val="24"/>
              </w:rPr>
              <w:t>要求</w:t>
            </w:r>
            <w:r>
              <w:rPr>
                <w:rFonts w:hint="eastAsia" w:ascii="宋体" w:hAnsi="宋体" w:cs="宋体"/>
                <w:color w:val="auto"/>
                <w:kern w:val="0"/>
                <w:sz w:val="24"/>
                <w:szCs w:val="24"/>
                <w:lang w:eastAsia="zh-CN"/>
              </w:rPr>
              <w:t>。</w:t>
            </w:r>
          </w:p>
          <w:p w14:paraId="65A58C8E">
            <w:pPr>
              <w:spacing w:line="360" w:lineRule="auto"/>
              <w:ind w:firstLine="480" w:firstLineChars="200"/>
              <w:jc w:val="both"/>
              <w:rPr>
                <w:rFonts w:hint="default" w:ascii="Times New Roman" w:hAnsi="Times New Roman" w:cs="Times New Roman"/>
                <w:b/>
                <w:bCs/>
                <w:color w:val="auto"/>
                <w:sz w:val="24"/>
                <w:szCs w:val="24"/>
                <w:lang w:val="en-US" w:eastAsia="zh-CN"/>
              </w:rPr>
            </w:pPr>
            <w:r>
              <w:rPr>
                <w:rFonts w:hint="eastAsia" w:cs="Times New Roman"/>
                <w:color w:val="auto"/>
                <w:kern w:val="0"/>
                <w:sz w:val="24"/>
                <w:szCs w:val="24"/>
                <w:lang w:val="en-US" w:eastAsia="zh-CN"/>
              </w:rPr>
              <w:t>5</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cs="Times New Roman"/>
                <w:b/>
                <w:bCs/>
                <w:color w:val="auto"/>
                <w:sz w:val="24"/>
                <w:szCs w:val="24"/>
                <w:highlight w:val="none"/>
              </w:rPr>
              <w:t>与</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lang w:val="en-US" w:eastAsia="zh-CN"/>
              </w:rPr>
              <w:t>江西省</w:t>
            </w:r>
            <w:r>
              <w:rPr>
                <w:rFonts w:hint="default" w:ascii="Times New Roman" w:hAnsi="Times New Roman" w:cs="Times New Roman"/>
                <w:b/>
                <w:bCs/>
                <w:color w:val="auto"/>
                <w:sz w:val="24"/>
                <w:szCs w:val="24"/>
                <w:highlight w:val="none"/>
              </w:rPr>
              <w:t>长江经济带</w:t>
            </w:r>
            <w:r>
              <w:rPr>
                <w:rFonts w:hint="default" w:ascii="Times New Roman" w:hAnsi="Times New Roman" w:cs="Times New Roman"/>
                <w:b/>
                <w:bCs/>
                <w:color w:val="auto"/>
                <w:sz w:val="24"/>
                <w:szCs w:val="24"/>
                <w:highlight w:val="none"/>
                <w:lang w:val="en-US" w:eastAsia="zh-CN"/>
              </w:rPr>
              <w:t>发展</w:t>
            </w:r>
            <w:r>
              <w:rPr>
                <w:rFonts w:hint="default" w:ascii="Times New Roman" w:hAnsi="Times New Roman" w:cs="Times New Roman"/>
                <w:b/>
                <w:bCs/>
                <w:color w:val="auto"/>
                <w:sz w:val="24"/>
                <w:szCs w:val="24"/>
                <w:highlight w:val="none"/>
              </w:rPr>
              <w:t>负面清单</w:t>
            </w:r>
            <w:r>
              <w:rPr>
                <w:rFonts w:hint="default" w:ascii="Times New Roman" w:hAnsi="Times New Roman" w:cs="Times New Roman"/>
                <w:b/>
                <w:bCs/>
                <w:color w:val="auto"/>
                <w:sz w:val="24"/>
                <w:szCs w:val="24"/>
                <w:highlight w:val="none"/>
                <w:lang w:val="en-US" w:eastAsia="zh-CN"/>
              </w:rPr>
              <w:t>实施细则</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相符性分析</w:t>
            </w:r>
          </w:p>
          <w:p w14:paraId="0AC5056F">
            <w:pPr>
              <w:pStyle w:val="7"/>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根据江西省推动长江经济带发展领导小组办公室</w:t>
            </w:r>
            <w:r>
              <w:rPr>
                <w:rFonts w:hint="default" w:ascii="Times New Roman" w:hAnsi="Times New Roman" w:cs="Times New Roman"/>
                <w:color w:val="auto"/>
                <w:sz w:val="24"/>
                <w:szCs w:val="24"/>
                <w:highlight w:val="none"/>
                <w:lang w:val="en-US" w:eastAsia="zh-CN"/>
              </w:rPr>
              <w:t>发布的</w:t>
            </w:r>
            <w:r>
              <w:rPr>
                <w:rFonts w:hint="default" w:ascii="Times New Roman" w:hAnsi="Times New Roman" w:cs="Times New Roman"/>
                <w:color w:val="auto"/>
                <w:sz w:val="24"/>
                <w:szCs w:val="24"/>
                <w:highlight w:val="none"/>
              </w:rPr>
              <w:t>关于印发《江西省长江经济带</w:t>
            </w:r>
            <w:r>
              <w:rPr>
                <w:rFonts w:hint="default" w:ascii="Times New Roman" w:hAnsi="Times New Roman" w:cs="Times New Roman"/>
                <w:color w:val="auto"/>
                <w:sz w:val="24"/>
                <w:szCs w:val="24"/>
                <w:highlight w:val="none"/>
                <w:lang w:val="en-US" w:eastAsia="zh-CN"/>
              </w:rPr>
              <w:t>发展</w:t>
            </w:r>
            <w:r>
              <w:rPr>
                <w:rFonts w:hint="default" w:ascii="Times New Roman" w:hAnsi="Times New Roman" w:cs="Times New Roman"/>
                <w:color w:val="auto"/>
                <w:sz w:val="24"/>
                <w:szCs w:val="24"/>
                <w:highlight w:val="none"/>
              </w:rPr>
              <w:t>负面清单实施细则（试行</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2022年版</w:t>
            </w:r>
            <w:r>
              <w:rPr>
                <w:rFonts w:hint="default" w:ascii="Times New Roman" w:hAnsi="Times New Roman" w:cs="Times New Roman"/>
                <w:color w:val="auto"/>
                <w:sz w:val="24"/>
                <w:szCs w:val="24"/>
                <w:highlight w:val="none"/>
              </w:rPr>
              <w:t>）》的通知（赣长江办〔20</w:t>
            </w:r>
            <w:r>
              <w:rPr>
                <w:rFonts w:hint="default" w:ascii="Times New Roman" w:hAnsi="Times New Roman" w:cs="Times New Roman"/>
                <w:color w:val="auto"/>
                <w:sz w:val="24"/>
                <w:szCs w:val="24"/>
                <w:highlight w:val="none"/>
                <w:lang w:val="en-US" w:eastAsia="zh-CN"/>
              </w:rPr>
              <w:t>22〕7</w:t>
            </w:r>
            <w:r>
              <w:rPr>
                <w:rFonts w:hint="default" w:ascii="Times New Roman" w:hAnsi="Times New Roman" w:cs="Times New Roman"/>
                <w:color w:val="auto"/>
                <w:sz w:val="24"/>
                <w:szCs w:val="24"/>
                <w:highlight w:val="none"/>
              </w:rPr>
              <w:t>号），本项目与</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江西省</w:t>
            </w:r>
            <w:r>
              <w:rPr>
                <w:rFonts w:hint="default" w:ascii="Times New Roman" w:hAnsi="Times New Roman" w:cs="Times New Roman"/>
                <w:color w:val="auto"/>
                <w:sz w:val="24"/>
                <w:szCs w:val="24"/>
                <w:highlight w:val="none"/>
              </w:rPr>
              <w:t>长江经济带</w:t>
            </w:r>
            <w:r>
              <w:rPr>
                <w:rFonts w:hint="default" w:ascii="Times New Roman" w:hAnsi="Times New Roman" w:cs="Times New Roman"/>
                <w:color w:val="auto"/>
                <w:sz w:val="24"/>
                <w:szCs w:val="24"/>
                <w:highlight w:val="none"/>
                <w:lang w:val="en-US" w:eastAsia="zh-CN"/>
              </w:rPr>
              <w:t>发展</w:t>
            </w:r>
            <w:r>
              <w:rPr>
                <w:rFonts w:hint="default" w:ascii="Times New Roman" w:hAnsi="Times New Roman" w:cs="Times New Roman"/>
                <w:color w:val="auto"/>
                <w:sz w:val="24"/>
                <w:szCs w:val="24"/>
                <w:highlight w:val="none"/>
              </w:rPr>
              <w:t>负面清单</w:t>
            </w:r>
            <w:r>
              <w:rPr>
                <w:rFonts w:hint="default" w:ascii="Times New Roman" w:hAnsi="Times New Roman" w:cs="Times New Roman"/>
                <w:color w:val="auto"/>
                <w:sz w:val="24"/>
                <w:szCs w:val="24"/>
                <w:highlight w:val="none"/>
                <w:lang w:val="en-US" w:eastAsia="zh-CN"/>
              </w:rPr>
              <w:t>实施细则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相符性分析详见</w:t>
            </w:r>
            <w:r>
              <w:rPr>
                <w:rFonts w:hint="eastAsia" w:ascii="Times New Roman" w:hAnsi="Times New Roman" w:cs="Times New Roman"/>
                <w:color w:val="auto"/>
                <w:sz w:val="24"/>
                <w:szCs w:val="24"/>
                <w:highlight w:val="none"/>
                <w:lang w:eastAsia="zh-CN"/>
              </w:rPr>
              <w:t>下表</w:t>
            </w:r>
            <w:r>
              <w:rPr>
                <w:rFonts w:hint="default" w:ascii="Times New Roman" w:hAnsi="Times New Roman" w:cs="Times New Roman"/>
                <w:color w:val="auto"/>
                <w:sz w:val="24"/>
                <w:szCs w:val="24"/>
                <w:highlight w:val="none"/>
              </w:rPr>
              <w:t>。</w:t>
            </w:r>
          </w:p>
          <w:p w14:paraId="6F791EBF">
            <w:pPr>
              <w:pStyle w:val="7"/>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表1-</w:t>
            </w:r>
            <w:r>
              <w:rPr>
                <w:rFonts w:hint="eastAsia" w:ascii="Times New Roman" w:hAnsi="Times New Roman" w:cs="Times New Roman"/>
                <w:b/>
                <w:bCs/>
                <w:color w:val="auto"/>
                <w:sz w:val="21"/>
                <w:szCs w:val="21"/>
                <w:highlight w:val="none"/>
                <w:lang w:val="en-US" w:eastAsia="zh-CN"/>
              </w:rPr>
              <w:t>13</w:t>
            </w:r>
            <w:r>
              <w:rPr>
                <w:rFonts w:hint="default" w:ascii="Times New Roman" w:hAnsi="Times New Roman" w:cs="Times New Roman"/>
                <w:b/>
                <w:bCs/>
                <w:color w:val="auto"/>
                <w:sz w:val="21"/>
                <w:szCs w:val="21"/>
                <w:highlight w:val="none"/>
              </w:rPr>
              <w:t xml:space="preserve"> 与</w:t>
            </w:r>
            <w:r>
              <w:rPr>
                <w:rFonts w:hint="default" w:ascii="Times New Roman" w:hAnsi="Times New Roman" w:cs="Times New Roman"/>
                <w:b/>
                <w:bCs/>
                <w:color w:val="auto"/>
                <w:sz w:val="21"/>
                <w:szCs w:val="21"/>
                <w:highlight w:val="none"/>
                <w:lang w:val="en-US" w:eastAsia="zh-CN"/>
              </w:rPr>
              <w:t>江西省</w:t>
            </w:r>
            <w:r>
              <w:rPr>
                <w:rFonts w:hint="default" w:ascii="Times New Roman" w:hAnsi="Times New Roman" w:cs="Times New Roman"/>
                <w:b/>
                <w:bCs/>
                <w:color w:val="auto"/>
                <w:sz w:val="21"/>
                <w:szCs w:val="21"/>
                <w:highlight w:val="none"/>
              </w:rPr>
              <w:t>长江经济带</w:t>
            </w:r>
            <w:r>
              <w:rPr>
                <w:rFonts w:hint="default" w:ascii="Times New Roman" w:hAnsi="Times New Roman" w:cs="Times New Roman"/>
                <w:b/>
                <w:bCs/>
                <w:color w:val="auto"/>
                <w:sz w:val="21"/>
                <w:szCs w:val="21"/>
                <w:highlight w:val="none"/>
                <w:lang w:val="en-US" w:eastAsia="zh-CN"/>
              </w:rPr>
              <w:t>发展</w:t>
            </w:r>
            <w:r>
              <w:rPr>
                <w:rFonts w:hint="default" w:ascii="Times New Roman" w:hAnsi="Times New Roman" w:cs="Times New Roman"/>
                <w:b/>
                <w:bCs/>
                <w:color w:val="auto"/>
                <w:sz w:val="21"/>
                <w:szCs w:val="21"/>
                <w:highlight w:val="none"/>
              </w:rPr>
              <w:t>负面清单</w:t>
            </w:r>
            <w:r>
              <w:rPr>
                <w:rFonts w:hint="default" w:ascii="Times New Roman" w:hAnsi="Times New Roman" w:cs="Times New Roman"/>
                <w:b/>
                <w:bCs/>
                <w:color w:val="auto"/>
                <w:sz w:val="21"/>
                <w:szCs w:val="21"/>
                <w:highlight w:val="none"/>
                <w:lang w:val="en-US" w:eastAsia="zh-CN"/>
              </w:rPr>
              <w:t>实施细则</w:t>
            </w:r>
            <w:r>
              <w:rPr>
                <w:rFonts w:hint="default" w:ascii="Times New Roman" w:hAnsi="Times New Roman" w:cs="Times New Roman"/>
                <w:b/>
                <w:bCs/>
                <w:color w:val="auto"/>
                <w:sz w:val="21"/>
                <w:szCs w:val="21"/>
                <w:highlight w:val="none"/>
              </w:rPr>
              <w:t>相符性分析</w:t>
            </w:r>
          </w:p>
          <w:tbl>
            <w:tblPr>
              <w:tblStyle w:val="2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19"/>
              <w:gridCol w:w="4204"/>
              <w:gridCol w:w="1845"/>
              <w:gridCol w:w="805"/>
            </w:tblGrid>
            <w:tr w14:paraId="708E04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tcBorders>
                    <w:tl2br w:val="nil"/>
                    <w:tr2bl w:val="nil"/>
                  </w:tcBorders>
                  <w:vAlign w:val="center"/>
                </w:tcPr>
                <w:p w14:paraId="4874A4D2">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bCs/>
                      <w:color w:val="auto"/>
                      <w:highlight w:val="none"/>
                      <w:lang w:val="en-US" w:eastAsia="zh-CN"/>
                    </w:rPr>
                    <w:t>目标</w:t>
                  </w:r>
                </w:p>
              </w:tc>
              <w:tc>
                <w:tcPr>
                  <w:tcW w:w="2850" w:type="pct"/>
                  <w:tcBorders>
                    <w:tl2br w:val="nil"/>
                    <w:tr2bl w:val="nil"/>
                  </w:tcBorders>
                  <w:vAlign w:val="center"/>
                </w:tcPr>
                <w:p w14:paraId="1A9CF51B">
                  <w:pPr>
                    <w:pStyle w:val="7"/>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内容</w:t>
                  </w:r>
                </w:p>
              </w:tc>
              <w:tc>
                <w:tcPr>
                  <w:tcW w:w="1251" w:type="pct"/>
                  <w:tcBorders>
                    <w:tl2br w:val="nil"/>
                    <w:tr2bl w:val="nil"/>
                  </w:tcBorders>
                  <w:vAlign w:val="center"/>
                </w:tcPr>
                <w:p w14:paraId="5681E0AE">
                  <w:pPr>
                    <w:pStyle w:val="7"/>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本项目情况</w:t>
                  </w:r>
                </w:p>
              </w:tc>
              <w:tc>
                <w:tcPr>
                  <w:tcW w:w="545" w:type="pct"/>
                  <w:tcBorders>
                    <w:tl2br w:val="nil"/>
                    <w:tr2bl w:val="nil"/>
                  </w:tcBorders>
                  <w:vAlign w:val="center"/>
                </w:tcPr>
                <w:p w14:paraId="2D5C51D7">
                  <w:pPr>
                    <w:pStyle w:val="7"/>
                    <w:keepNext w:val="0"/>
                    <w:keepLines w:val="0"/>
                    <w:suppressLineNumbers w:val="0"/>
                    <w:spacing w:before="0" w:beforeAutospacing="0" w:after="0" w:afterAutospacing="0"/>
                    <w:ind w:left="0" w:right="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相符性分析</w:t>
                  </w:r>
                </w:p>
              </w:tc>
            </w:tr>
            <w:tr w14:paraId="3F0123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restart"/>
                  <w:tcBorders>
                    <w:tl2br w:val="nil"/>
                    <w:tr2bl w:val="nil"/>
                  </w:tcBorders>
                  <w:vAlign w:val="center"/>
                </w:tcPr>
                <w:p w14:paraId="13331B68">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严格岸线河段管控</w:t>
                  </w:r>
                </w:p>
              </w:tc>
              <w:tc>
                <w:tcPr>
                  <w:tcW w:w="2850" w:type="pct"/>
                  <w:tcBorders>
                    <w:tl2br w:val="nil"/>
                    <w:tr2bl w:val="nil"/>
                  </w:tcBorders>
                  <w:vAlign w:val="center"/>
                </w:tcPr>
                <w:p w14:paraId="481057CA">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禁止建设不符合国家和省级港口布局规划以及港口总体规划的码头项目。禁止建设不符合《长江干线过江通道布局规划》的过长江通道项目。</w:t>
                  </w:r>
                </w:p>
              </w:tc>
              <w:tc>
                <w:tcPr>
                  <w:tcW w:w="1251" w:type="pct"/>
                  <w:tcBorders>
                    <w:tl2br w:val="nil"/>
                    <w:tr2bl w:val="nil"/>
                  </w:tcBorders>
                  <w:vAlign w:val="center"/>
                </w:tcPr>
                <w:p w14:paraId="10325F0B">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本项目不属于码头项目和过长江通道项目</w:t>
                  </w:r>
                </w:p>
              </w:tc>
              <w:tc>
                <w:tcPr>
                  <w:tcW w:w="545" w:type="pct"/>
                  <w:tcBorders>
                    <w:tl2br w:val="nil"/>
                    <w:tr2bl w:val="nil"/>
                  </w:tcBorders>
                  <w:vAlign w:val="center"/>
                </w:tcPr>
                <w:p w14:paraId="6A789E16">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556220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2C5FE568">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49999E47">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禁止在自然保护区核心区、缓冲区的岸线和河段范围内投资建设旅游和生产经营项目。</w:t>
                  </w:r>
                </w:p>
              </w:tc>
              <w:tc>
                <w:tcPr>
                  <w:tcW w:w="1251" w:type="pct"/>
                  <w:tcBorders>
                    <w:tl2br w:val="nil"/>
                    <w:tr2bl w:val="nil"/>
                  </w:tcBorders>
                  <w:vAlign w:val="center"/>
                </w:tcPr>
                <w:p w14:paraId="578F98F1">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本项目不在自然保护区核心区、缓冲区的岸线和河段范围内</w:t>
                  </w:r>
                </w:p>
              </w:tc>
              <w:tc>
                <w:tcPr>
                  <w:tcW w:w="545" w:type="pct"/>
                  <w:tcBorders>
                    <w:tl2br w:val="nil"/>
                    <w:tr2bl w:val="nil"/>
                  </w:tcBorders>
                  <w:vAlign w:val="center"/>
                </w:tcPr>
                <w:p w14:paraId="423EBBD4">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151F86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2931560E">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1AD2C2FB">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禁止在风景名胜区核心景区的岸线和河段范围内开展以下行为：</w:t>
                  </w:r>
                </w:p>
                <w:p w14:paraId="583BB01E">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（一）开山、采石、开矿、开荒、修立碑等破坏景观、植被和地形地貌的活动。</w:t>
                  </w:r>
                </w:p>
                <w:p w14:paraId="2EBF4551">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（二）修建储存爆炸性、易燃性、放射性、毒害性、腐蚀性物品的设施。</w:t>
                  </w:r>
                </w:p>
                <w:p w14:paraId="3E21A0DE">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（三）违反风景名胜区规划，建设与风景名胜资源保护无关的设施。</w:t>
                  </w:r>
                </w:p>
              </w:tc>
              <w:tc>
                <w:tcPr>
                  <w:tcW w:w="1251" w:type="pct"/>
                  <w:tcBorders>
                    <w:tl2br w:val="nil"/>
                    <w:tr2bl w:val="nil"/>
                  </w:tcBorders>
                  <w:vAlign w:val="center"/>
                </w:tcPr>
                <w:p w14:paraId="43952970">
                  <w:pPr>
                    <w:pStyle w:val="7"/>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本项目不在风景名胜区核心景区的岸线和河段范围</w:t>
                  </w:r>
                </w:p>
              </w:tc>
              <w:tc>
                <w:tcPr>
                  <w:tcW w:w="545" w:type="pct"/>
                  <w:tcBorders>
                    <w:tl2br w:val="nil"/>
                    <w:tr2bl w:val="nil"/>
                  </w:tcBorders>
                  <w:vAlign w:val="center"/>
                </w:tcPr>
                <w:p w14:paraId="56164832">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3AC822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0E9921C1">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01FDB615">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禁止在饮用水水源一级保护区的岸线和河段范围内开展下列行为：</w:t>
                  </w:r>
                </w:p>
                <w:p w14:paraId="442969C0">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（一）新建、改建、扩建与供水设施和保护水源无关的建设项目；已建成的与供水设施和保护水源无关的建设项目，由县级以上人民政府责令拆除或者关闭。</w:t>
                  </w:r>
                </w:p>
                <w:p w14:paraId="07258D32">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（二）禁止在饮用水水源一级保护区内从事网箱养殖、旅游、游泳、垂钓或者其他可能污染饮用水水体的活动。</w:t>
                  </w:r>
                </w:p>
              </w:tc>
              <w:tc>
                <w:tcPr>
                  <w:tcW w:w="1251" w:type="pct"/>
                  <w:tcBorders>
                    <w:tl2br w:val="nil"/>
                    <w:tr2bl w:val="nil"/>
                  </w:tcBorders>
                  <w:vAlign w:val="center"/>
                </w:tcPr>
                <w:p w14:paraId="0EEF7341">
                  <w:pPr>
                    <w:pStyle w:val="7"/>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本项目不在饮用水水源一级保护区的岸线和河段范围内</w:t>
                  </w:r>
                </w:p>
              </w:tc>
              <w:tc>
                <w:tcPr>
                  <w:tcW w:w="545" w:type="pct"/>
                  <w:tcBorders>
                    <w:tl2br w:val="nil"/>
                    <w:tr2bl w:val="nil"/>
                  </w:tcBorders>
                  <w:vAlign w:val="center"/>
                </w:tcPr>
                <w:p w14:paraId="559BAD94">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264399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0A9F99C9">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420F3249">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禁止在饮用水水源二级保护区的岸线和河段范围内开展下列行为：</w:t>
                  </w:r>
                </w:p>
                <w:p w14:paraId="7D6A634B">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（一）新建、改建、扩建排放污染物的建设项目；已建成的排放污染物的建设项目，由县级以上人民政府责令拆除或者关闭。</w:t>
                  </w:r>
                </w:p>
                <w:p w14:paraId="6E26349F">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（二）在饮用水水源二级保护区内从事网箱养殖、旅游等活动的，应当按照规定采取措施，防止污染饮用水水体</w:t>
                  </w:r>
                  <w:r>
                    <w:rPr>
                      <w:rFonts w:hint="default" w:ascii="Times New Roman" w:hAnsi="Times New Roman" w:cs="Times New Roman"/>
                      <w:color w:val="auto"/>
                      <w:highlight w:val="none"/>
                      <w:lang w:eastAsia="zh-CN"/>
                    </w:rPr>
                    <w:t>。</w:t>
                  </w:r>
                </w:p>
              </w:tc>
              <w:tc>
                <w:tcPr>
                  <w:tcW w:w="1251" w:type="pct"/>
                  <w:tcBorders>
                    <w:tl2br w:val="nil"/>
                    <w:tr2bl w:val="nil"/>
                  </w:tcBorders>
                  <w:vAlign w:val="center"/>
                </w:tcPr>
                <w:p w14:paraId="2A8179BC">
                  <w:pPr>
                    <w:pStyle w:val="7"/>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本项目不在饮用水水源二级保护区的岸线和河段范围内</w:t>
                  </w:r>
                </w:p>
              </w:tc>
              <w:tc>
                <w:tcPr>
                  <w:tcW w:w="545" w:type="pct"/>
                  <w:tcBorders>
                    <w:tl2br w:val="nil"/>
                    <w:tr2bl w:val="nil"/>
                  </w:tcBorders>
                  <w:vAlign w:val="center"/>
                </w:tcPr>
                <w:p w14:paraId="4F7D3FDA">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4265D8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28BAF0CD">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1F48E6BC">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禁止在水产种质资源保护区的岸线和河段范围内新建围湖（河）造田（地）等投资建设项目。</w:t>
                  </w:r>
                </w:p>
                <w:p w14:paraId="51A9FD78">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单位和个人在水产种质资源保护区内从事水生生物资源调查、科学研究、教学实习、参观游览、影视拍摄等活动，应当遵守有关法律法规和保护区管理制度，不得损害水产种质资源及其生存环境。</w:t>
                  </w:r>
                </w:p>
              </w:tc>
              <w:tc>
                <w:tcPr>
                  <w:tcW w:w="1251" w:type="pct"/>
                  <w:tcBorders>
                    <w:tl2br w:val="nil"/>
                    <w:tr2bl w:val="nil"/>
                  </w:tcBorders>
                  <w:vAlign w:val="center"/>
                </w:tcPr>
                <w:p w14:paraId="07D05FD7">
                  <w:pPr>
                    <w:pStyle w:val="7"/>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本项目不在水产种质资源保护区的岸线和河段范围内</w:t>
                  </w:r>
                </w:p>
              </w:tc>
              <w:tc>
                <w:tcPr>
                  <w:tcW w:w="545" w:type="pct"/>
                  <w:tcBorders>
                    <w:tl2br w:val="nil"/>
                    <w:tr2bl w:val="nil"/>
                  </w:tcBorders>
                  <w:vAlign w:val="center"/>
                </w:tcPr>
                <w:p w14:paraId="4FFADF4C">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00C75F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1D3E7652">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5D081A2C">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除国家规定的外，禁止在国家湿地公园的岸线和河段范围内挖沙、采矿以及任何不符合主体功能定位的投资建设项目</w:t>
                  </w:r>
                  <w:r>
                    <w:rPr>
                      <w:rFonts w:hint="default" w:ascii="Times New Roman" w:hAnsi="Times New Roman" w:cs="Times New Roman"/>
                      <w:color w:val="auto"/>
                      <w:highlight w:val="none"/>
                      <w:lang w:eastAsia="zh-CN"/>
                    </w:rPr>
                    <w:t>。</w:t>
                  </w:r>
                </w:p>
              </w:tc>
              <w:tc>
                <w:tcPr>
                  <w:tcW w:w="1251" w:type="pct"/>
                  <w:tcBorders>
                    <w:tl2br w:val="nil"/>
                    <w:tr2bl w:val="nil"/>
                  </w:tcBorders>
                  <w:vAlign w:val="center"/>
                </w:tcPr>
                <w:p w14:paraId="71A9A5A1">
                  <w:pPr>
                    <w:pStyle w:val="7"/>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本项目不在国家湿地公园的岸线和河段范围内</w:t>
                  </w:r>
                </w:p>
              </w:tc>
              <w:tc>
                <w:tcPr>
                  <w:tcW w:w="545" w:type="pct"/>
                  <w:tcBorders>
                    <w:tl2br w:val="nil"/>
                    <w:tr2bl w:val="nil"/>
                  </w:tcBorders>
                  <w:vAlign w:val="center"/>
                </w:tcPr>
                <w:p w14:paraId="58AB8C92">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0F74BB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17DBCCE6">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6F411BDE">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w:t>
                  </w:r>
                  <w:r>
                    <w:rPr>
                      <w:rFonts w:hint="default" w:ascii="Times New Roman" w:hAnsi="Times New Roman" w:cs="Times New Roman"/>
                      <w:color w:val="auto"/>
                      <w:highlight w:val="none"/>
                      <w:lang w:val="en-US" w:eastAsia="zh-CN"/>
                    </w:rPr>
                    <w:t>的项目。</w:t>
                  </w:r>
                </w:p>
              </w:tc>
              <w:tc>
                <w:tcPr>
                  <w:tcW w:w="1251" w:type="pct"/>
                  <w:tcBorders>
                    <w:tl2br w:val="nil"/>
                    <w:tr2bl w:val="nil"/>
                  </w:tcBorders>
                  <w:vAlign w:val="center"/>
                </w:tcPr>
                <w:p w14:paraId="3C5D7316">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本项目不在长江流域河湖岸线</w:t>
                  </w:r>
                  <w:r>
                    <w:rPr>
                      <w:rFonts w:hint="default" w:ascii="Times New Roman" w:hAnsi="Times New Roman" w:cs="Times New Roman"/>
                      <w:color w:val="auto"/>
                      <w:highlight w:val="none"/>
                      <w:lang w:val="en-US" w:eastAsia="zh-CN"/>
                    </w:rPr>
                    <w:t>上</w:t>
                  </w:r>
                  <w:r>
                    <w:rPr>
                      <w:rFonts w:hint="default" w:ascii="Times New Roman" w:hAnsi="Times New Roman" w:cs="Times New Roman"/>
                      <w:color w:val="auto"/>
                      <w:highlight w:val="none"/>
                      <w:lang w:eastAsia="zh-CN"/>
                    </w:rPr>
                    <w:t>；本项目不在长江岸线保护区</w:t>
                  </w:r>
                  <w:r>
                    <w:rPr>
                      <w:rFonts w:hint="default" w:ascii="Times New Roman" w:hAnsi="Times New Roman" w:cs="Times New Roman"/>
                      <w:color w:val="auto"/>
                      <w:highlight w:val="none"/>
                    </w:rPr>
                    <w:t>和保留区</w:t>
                  </w:r>
                  <w:r>
                    <w:rPr>
                      <w:rFonts w:hint="default" w:ascii="Times New Roman" w:hAnsi="Times New Roman" w:cs="Times New Roman"/>
                      <w:color w:val="auto"/>
                      <w:highlight w:val="none"/>
                      <w:lang w:eastAsia="zh-CN"/>
                    </w:rPr>
                    <w:t>内</w:t>
                  </w:r>
                </w:p>
              </w:tc>
              <w:tc>
                <w:tcPr>
                  <w:tcW w:w="545" w:type="pct"/>
                  <w:tcBorders>
                    <w:tl2br w:val="nil"/>
                    <w:tr2bl w:val="nil"/>
                  </w:tcBorders>
                  <w:vAlign w:val="center"/>
                </w:tcPr>
                <w:p w14:paraId="319D6864">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077606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0A271F33">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4F45A88D">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禁止在《全国重要江河湖泊水功能区划》划定的河段及湖泊保护区、保留区内投资建设不利于水资源及自然生态保护的项目。</w:t>
                  </w:r>
                </w:p>
              </w:tc>
              <w:tc>
                <w:tcPr>
                  <w:tcW w:w="1251" w:type="pct"/>
                  <w:tcBorders>
                    <w:tl2br w:val="nil"/>
                    <w:tr2bl w:val="nil"/>
                  </w:tcBorders>
                  <w:vAlign w:val="center"/>
                </w:tcPr>
                <w:p w14:paraId="671AEC57">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本项目不在</w:t>
                  </w:r>
                  <w:r>
                    <w:rPr>
                      <w:rFonts w:hint="default" w:ascii="Times New Roman" w:hAnsi="Times New Roman" w:cs="Times New Roman"/>
                      <w:color w:val="auto"/>
                      <w:highlight w:val="none"/>
                    </w:rPr>
                    <w:t>《全国重要江河湖泊水功能区划》划定的</w:t>
                  </w:r>
                  <w:r>
                    <w:rPr>
                      <w:rFonts w:hint="default" w:ascii="Times New Roman" w:hAnsi="Times New Roman" w:cs="Times New Roman"/>
                      <w:color w:val="auto"/>
                      <w:highlight w:val="none"/>
                      <w:lang w:eastAsia="zh-CN"/>
                    </w:rPr>
                    <w:t>河段</w:t>
                  </w:r>
                  <w:r>
                    <w:rPr>
                      <w:rFonts w:hint="default" w:ascii="Times New Roman" w:hAnsi="Times New Roman" w:cs="Times New Roman"/>
                      <w:color w:val="auto"/>
                      <w:highlight w:val="none"/>
                    </w:rPr>
                    <w:t>及湖泊</w:t>
                  </w:r>
                  <w:r>
                    <w:rPr>
                      <w:rFonts w:hint="default" w:ascii="Times New Roman" w:hAnsi="Times New Roman" w:cs="Times New Roman"/>
                      <w:color w:val="auto"/>
                      <w:highlight w:val="none"/>
                      <w:lang w:eastAsia="zh-CN"/>
                    </w:rPr>
                    <w:t>保护区、保留区内</w:t>
                  </w:r>
                </w:p>
              </w:tc>
              <w:tc>
                <w:tcPr>
                  <w:tcW w:w="545" w:type="pct"/>
                  <w:tcBorders>
                    <w:tl2br w:val="nil"/>
                    <w:tr2bl w:val="nil"/>
                  </w:tcBorders>
                  <w:vAlign w:val="center"/>
                </w:tcPr>
                <w:p w14:paraId="21E55FAF">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2D8C03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restart"/>
                  <w:tcBorders>
                    <w:tl2br w:val="nil"/>
                    <w:tr2bl w:val="nil"/>
                  </w:tcBorders>
                  <w:vAlign w:val="center"/>
                </w:tcPr>
                <w:p w14:paraId="3D388038">
                  <w:pPr>
                    <w:pStyle w:val="7"/>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严格区域管控</w:t>
                  </w:r>
                </w:p>
              </w:tc>
              <w:tc>
                <w:tcPr>
                  <w:tcW w:w="2850" w:type="pct"/>
                  <w:tcBorders>
                    <w:tl2br w:val="nil"/>
                    <w:tr2bl w:val="nil"/>
                  </w:tcBorders>
                  <w:vAlign w:val="center"/>
                </w:tcPr>
                <w:p w14:paraId="73C13E15">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禁止未经许可在长江干支流及湖泊新设、改设或扩大排污口。</w:t>
                  </w:r>
                </w:p>
              </w:tc>
              <w:tc>
                <w:tcPr>
                  <w:tcW w:w="1251" w:type="pct"/>
                  <w:tcBorders>
                    <w:tl2br w:val="nil"/>
                    <w:tr2bl w:val="nil"/>
                  </w:tcBorders>
                  <w:vAlign w:val="center"/>
                </w:tcPr>
                <w:p w14:paraId="30F1F167">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不</w:t>
                  </w:r>
                  <w:r>
                    <w:rPr>
                      <w:rFonts w:hint="default" w:ascii="Times New Roman" w:hAnsi="Times New Roman" w:cs="Times New Roman"/>
                      <w:color w:val="auto"/>
                      <w:highlight w:val="none"/>
                    </w:rPr>
                    <w:t>在长江干支流及湖泊</w:t>
                  </w:r>
                  <w:r>
                    <w:rPr>
                      <w:rFonts w:hint="default" w:ascii="Times New Roman" w:hAnsi="Times New Roman" w:cs="Times New Roman"/>
                      <w:color w:val="auto"/>
                      <w:highlight w:val="none"/>
                      <w:lang w:val="en-US" w:eastAsia="zh-CN"/>
                    </w:rPr>
                    <w:t>区域内</w:t>
                  </w:r>
                </w:p>
              </w:tc>
              <w:tc>
                <w:tcPr>
                  <w:tcW w:w="545" w:type="pct"/>
                  <w:tcBorders>
                    <w:tl2br w:val="nil"/>
                    <w:tr2bl w:val="nil"/>
                  </w:tcBorders>
                  <w:vAlign w:val="center"/>
                </w:tcPr>
                <w:p w14:paraId="6A084CF1">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7BE159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2488CAB4">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3E5F8B9E">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禁止在长江干流江西段、</w:t>
                  </w:r>
                  <w:r>
                    <w:rPr>
                      <w:rFonts w:hint="default" w:ascii="Times New Roman" w:hAnsi="Times New Roman" w:cs="Times New Roman"/>
                      <w:color w:val="auto"/>
                      <w:highlight w:val="none"/>
                      <w:lang w:val="en-US" w:eastAsia="zh-CN"/>
                    </w:rPr>
                    <w:t>鄱</w:t>
                  </w:r>
                  <w:r>
                    <w:rPr>
                      <w:rFonts w:hint="default" w:ascii="Times New Roman" w:hAnsi="Times New Roman" w:cs="Times New Roman"/>
                      <w:color w:val="auto"/>
                      <w:highlight w:val="none"/>
                    </w:rPr>
                    <w:t>阳湖和《率先全面禁捕的长江流域水生生物保护区名录》中的水生生物保护区开展生产性捕捞。</w:t>
                  </w:r>
                </w:p>
              </w:tc>
              <w:tc>
                <w:tcPr>
                  <w:tcW w:w="1251" w:type="pct"/>
                  <w:tcBorders>
                    <w:tl2br w:val="nil"/>
                    <w:tr2bl w:val="nil"/>
                  </w:tcBorders>
                  <w:vAlign w:val="center"/>
                </w:tcPr>
                <w:p w14:paraId="4436DF5B">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本项目不在长江干流江西段、</w:t>
                  </w:r>
                  <w:r>
                    <w:rPr>
                      <w:rFonts w:hint="default" w:ascii="Times New Roman" w:hAnsi="Times New Roman" w:cs="Times New Roman"/>
                      <w:color w:val="auto"/>
                      <w:highlight w:val="none"/>
                      <w:lang w:val="en-US" w:eastAsia="zh-CN"/>
                    </w:rPr>
                    <w:t>鄱</w:t>
                  </w:r>
                  <w:r>
                    <w:rPr>
                      <w:rFonts w:hint="default" w:ascii="Times New Roman" w:hAnsi="Times New Roman" w:cs="Times New Roman"/>
                      <w:color w:val="auto"/>
                      <w:highlight w:val="none"/>
                    </w:rPr>
                    <w:t>阳湖和《率先全面禁捕的长江流域水生生物保护区名录》中的水生生物保护区</w:t>
                  </w:r>
                </w:p>
              </w:tc>
              <w:tc>
                <w:tcPr>
                  <w:tcW w:w="545" w:type="pct"/>
                  <w:tcBorders>
                    <w:tl2br w:val="nil"/>
                    <w:tr2bl w:val="nil"/>
                  </w:tcBorders>
                  <w:vAlign w:val="center"/>
                </w:tcPr>
                <w:p w14:paraId="7813A759">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04AE07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0B879604">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5092A3C8">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禁止在长江干支流、重要湖泊岸线一公里范围内新建、扩建化工园区和化工项目。</w:t>
                  </w:r>
                </w:p>
              </w:tc>
              <w:tc>
                <w:tcPr>
                  <w:tcW w:w="1251" w:type="pct"/>
                  <w:tcBorders>
                    <w:tl2br w:val="nil"/>
                    <w:tr2bl w:val="nil"/>
                  </w:tcBorders>
                  <w:vAlign w:val="center"/>
                </w:tcPr>
                <w:p w14:paraId="2DA716C8">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本项目不在长江干支流、重要湖泊岸线一公里范围内</w:t>
                  </w:r>
                </w:p>
              </w:tc>
              <w:tc>
                <w:tcPr>
                  <w:tcW w:w="545" w:type="pct"/>
                  <w:tcBorders>
                    <w:tl2br w:val="nil"/>
                    <w:tr2bl w:val="nil"/>
                  </w:tcBorders>
                  <w:vAlign w:val="center"/>
                </w:tcPr>
                <w:p w14:paraId="4ABE16C4">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152105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49616666">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75AC101D">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禁止在长江干流岸线三公里范围内和重要支流岸线一公里范围内新建、改建、扩建尾矿库、冶炼渣库和磷石膏库，以提升安全、生态环境保护水平为目的的改建除外。</w:t>
                  </w:r>
                </w:p>
              </w:tc>
              <w:tc>
                <w:tcPr>
                  <w:tcW w:w="1251" w:type="pct"/>
                  <w:tcBorders>
                    <w:tl2br w:val="nil"/>
                    <w:tr2bl w:val="nil"/>
                  </w:tcBorders>
                  <w:vAlign w:val="center"/>
                </w:tcPr>
                <w:p w14:paraId="6FA482C5">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本项目不在长江干流岸线三公里范围内和重要支流岸线一公里范围内</w:t>
                  </w:r>
                </w:p>
              </w:tc>
              <w:tc>
                <w:tcPr>
                  <w:tcW w:w="545" w:type="pct"/>
                  <w:tcBorders>
                    <w:tl2br w:val="nil"/>
                    <w:tr2bl w:val="nil"/>
                  </w:tcBorders>
                  <w:vAlign w:val="center"/>
                </w:tcPr>
                <w:p w14:paraId="47E4A219">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44AE45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7C640385">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0917CB07">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禁止在合规园区外新建、扩建钢铁、石化、化工、焦化、建材、有色、制浆造纸等高污染项目。</w:t>
                  </w:r>
                </w:p>
              </w:tc>
              <w:tc>
                <w:tcPr>
                  <w:tcW w:w="1251" w:type="pct"/>
                  <w:tcBorders>
                    <w:tl2br w:val="nil"/>
                    <w:tr2bl w:val="nil"/>
                  </w:tcBorders>
                  <w:vAlign w:val="center"/>
                </w:tcPr>
                <w:p w14:paraId="66FB97F2">
                  <w:pPr>
                    <w:pStyle w:val="7"/>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val="en-US" w:eastAsia="zh-CN"/>
                    </w:rPr>
                    <w:t>不属于</w:t>
                  </w:r>
                  <w:r>
                    <w:rPr>
                      <w:rFonts w:hint="default" w:ascii="Times New Roman" w:hAnsi="Times New Roman" w:cs="Times New Roman"/>
                      <w:color w:val="auto"/>
                      <w:highlight w:val="none"/>
                    </w:rPr>
                    <w:t>新建、扩建钢铁、石化、化工、焦化、建材、有色、制浆造纸等高污染项目</w:t>
                  </w:r>
                </w:p>
              </w:tc>
              <w:tc>
                <w:tcPr>
                  <w:tcW w:w="545" w:type="pct"/>
                  <w:tcBorders>
                    <w:tl2br w:val="nil"/>
                    <w:tr2bl w:val="nil"/>
                  </w:tcBorders>
                  <w:vAlign w:val="center"/>
                </w:tcPr>
                <w:p w14:paraId="174EB90B">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211A8E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restart"/>
                  <w:tcBorders>
                    <w:tl2br w:val="nil"/>
                    <w:tr2bl w:val="nil"/>
                  </w:tcBorders>
                  <w:vAlign w:val="center"/>
                </w:tcPr>
                <w:p w14:paraId="3963E7B9">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严格产业准入</w:t>
                  </w:r>
                </w:p>
              </w:tc>
              <w:tc>
                <w:tcPr>
                  <w:tcW w:w="2850" w:type="pct"/>
                  <w:tcBorders>
                    <w:tl2br w:val="nil"/>
                    <w:tr2bl w:val="nil"/>
                  </w:tcBorders>
                  <w:vAlign w:val="center"/>
                </w:tcPr>
                <w:p w14:paraId="3515C192">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禁止新建、扩建不符合国家石化、现代煤化工等产业布局规划的项目。</w:t>
                  </w:r>
                </w:p>
              </w:tc>
              <w:tc>
                <w:tcPr>
                  <w:tcW w:w="1251" w:type="pct"/>
                  <w:tcBorders>
                    <w:tl2br w:val="nil"/>
                    <w:tr2bl w:val="nil"/>
                  </w:tcBorders>
                  <w:vAlign w:val="center"/>
                </w:tcPr>
                <w:p w14:paraId="12785F6D">
                  <w:pPr>
                    <w:pStyle w:val="7"/>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本项目不属于</w:t>
                  </w:r>
                  <w:r>
                    <w:rPr>
                      <w:rFonts w:hint="default" w:ascii="Times New Roman" w:hAnsi="Times New Roman" w:cs="Times New Roman"/>
                      <w:color w:val="auto"/>
                      <w:highlight w:val="none"/>
                    </w:rPr>
                    <w:t>国家石化、现代煤化工等</w:t>
                  </w:r>
                  <w:r>
                    <w:rPr>
                      <w:rFonts w:hint="default" w:ascii="Times New Roman" w:hAnsi="Times New Roman" w:cs="Times New Roman"/>
                      <w:color w:val="auto"/>
                      <w:highlight w:val="none"/>
                      <w:lang w:val="en-US" w:eastAsia="zh-CN"/>
                    </w:rPr>
                    <w:t>行业</w:t>
                  </w:r>
                </w:p>
              </w:tc>
              <w:tc>
                <w:tcPr>
                  <w:tcW w:w="545" w:type="pct"/>
                  <w:tcBorders>
                    <w:tl2br w:val="nil"/>
                    <w:tr2bl w:val="nil"/>
                  </w:tcBorders>
                  <w:vAlign w:val="center"/>
                </w:tcPr>
                <w:p w14:paraId="30EFA292">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5C8DB7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257918BD">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04585C4A">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新建、扩建法律法规和相关政策明令禁止的落后产能项目，严格执行《产业结构调整指导目录》中淘汰类和限制类有关规定，禁止开展投资建设属于淘汰类的项目及其相关活动，禁止开展投资新建、扩建属于限制类的项目及其相关活动对于属于限制类的现有生产能力，允许企业在一定期限内采取措施改造升级，严禁以改造为名扩大产能。</w:t>
                  </w:r>
                </w:p>
              </w:tc>
              <w:tc>
                <w:tcPr>
                  <w:tcW w:w="1251" w:type="pct"/>
                  <w:tcBorders>
                    <w:tl2br w:val="nil"/>
                    <w:tr2bl w:val="nil"/>
                  </w:tcBorders>
                  <w:vAlign w:val="center"/>
                </w:tcPr>
                <w:p w14:paraId="3F0168FE">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本项目不属于</w:t>
                  </w:r>
                  <w:r>
                    <w:rPr>
                      <w:rFonts w:hint="default" w:ascii="Times New Roman" w:hAnsi="Times New Roman" w:cs="Times New Roman"/>
                      <w:color w:val="auto"/>
                      <w:highlight w:val="none"/>
                    </w:rPr>
                    <w:t>法律法规和相关政策明令禁止的落后产能项目</w:t>
                  </w:r>
                </w:p>
              </w:tc>
              <w:tc>
                <w:tcPr>
                  <w:tcW w:w="545" w:type="pct"/>
                  <w:tcBorders>
                    <w:tl2br w:val="nil"/>
                    <w:tr2bl w:val="nil"/>
                  </w:tcBorders>
                  <w:vAlign w:val="center"/>
                </w:tcPr>
                <w:p w14:paraId="0F76AD20">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0D6C21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3DA54121">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40281E05">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新建、扩建不符合国家产能置换要求的钢铁、电解铝、水泥熟料、平板玻璃、船舶等严重过剩产能行业的项目。严格执行《国务院关于化解产能严重过剩矛盾的指导意见》，各地各部门不得以任何名义、任何方式新增产能片；对确有必要建设的，必须严格执行产能置换实施办法，实施减量或等量置换，依法依规办理有关手续。</w:t>
                  </w:r>
                </w:p>
              </w:tc>
              <w:tc>
                <w:tcPr>
                  <w:tcW w:w="1251" w:type="pct"/>
                  <w:tcBorders>
                    <w:tl2br w:val="nil"/>
                    <w:tr2bl w:val="nil"/>
                  </w:tcBorders>
                  <w:vAlign w:val="center"/>
                </w:tcPr>
                <w:p w14:paraId="371E5FDE">
                  <w:pPr>
                    <w:pStyle w:val="7"/>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本项目不</w:t>
                  </w:r>
                  <w:r>
                    <w:rPr>
                      <w:rFonts w:hint="default" w:ascii="Times New Roman" w:hAnsi="Times New Roman" w:cs="Times New Roman"/>
                      <w:color w:val="auto"/>
                      <w:highlight w:val="none"/>
                      <w:lang w:val="en-US" w:eastAsia="zh-CN"/>
                    </w:rPr>
                    <w:t>属于</w:t>
                  </w:r>
                  <w:r>
                    <w:rPr>
                      <w:rFonts w:hint="default" w:ascii="Times New Roman" w:hAnsi="Times New Roman" w:cs="Times New Roman"/>
                      <w:color w:val="auto"/>
                      <w:highlight w:val="none"/>
                    </w:rPr>
                    <w:t>新建、扩建不符合国家产能置换要求的钢铁、电解铝、水泥熟料、平板玻璃、船舶等严重过剩产能行业的项目</w:t>
                  </w:r>
                </w:p>
              </w:tc>
              <w:tc>
                <w:tcPr>
                  <w:tcW w:w="545" w:type="pct"/>
                  <w:tcBorders>
                    <w:tl2br w:val="nil"/>
                    <w:tr2bl w:val="nil"/>
                  </w:tcBorders>
                  <w:vAlign w:val="center"/>
                </w:tcPr>
                <w:p w14:paraId="1D9221B0">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r w14:paraId="4CC940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352" w:type="pct"/>
                  <w:vMerge w:val="continue"/>
                  <w:tcBorders>
                    <w:tl2br w:val="nil"/>
                    <w:tr2bl w:val="nil"/>
                  </w:tcBorders>
                  <w:vAlign w:val="center"/>
                </w:tcPr>
                <w:p w14:paraId="3BDF8475">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highlight w:val="none"/>
                      <w:lang w:val="en-US" w:eastAsia="zh-CN"/>
                    </w:rPr>
                  </w:pPr>
                </w:p>
              </w:tc>
              <w:tc>
                <w:tcPr>
                  <w:tcW w:w="2850" w:type="pct"/>
                  <w:tcBorders>
                    <w:tl2br w:val="nil"/>
                    <w:tr2bl w:val="nil"/>
                  </w:tcBorders>
                  <w:vAlign w:val="center"/>
                </w:tcPr>
                <w:p w14:paraId="00DC37AF">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禁止新建、扩建不符合要求的高耗能高排放项目。严格执行《江西省人民政府办公厅关于严格高耗能高排放项目准入管理的实施意见》（赣府厅发[2021]33号），加强项目审查论证，落实等量、减量替代要求，规范项目行政审批。</w:t>
                  </w:r>
                </w:p>
              </w:tc>
              <w:tc>
                <w:tcPr>
                  <w:tcW w:w="1251" w:type="pct"/>
                  <w:tcBorders>
                    <w:tl2br w:val="nil"/>
                    <w:tr2bl w:val="nil"/>
                  </w:tcBorders>
                  <w:vAlign w:val="center"/>
                </w:tcPr>
                <w:p w14:paraId="4AA21CEA">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本项目不</w:t>
                  </w:r>
                  <w:r>
                    <w:rPr>
                      <w:rFonts w:hint="default" w:ascii="Times New Roman" w:hAnsi="Times New Roman" w:cs="Times New Roman"/>
                      <w:color w:val="auto"/>
                      <w:highlight w:val="none"/>
                      <w:lang w:val="en-US" w:eastAsia="zh-CN"/>
                    </w:rPr>
                    <w:t>属于</w:t>
                  </w:r>
                  <w:r>
                    <w:rPr>
                      <w:rFonts w:hint="default" w:ascii="Times New Roman" w:hAnsi="Times New Roman" w:cs="Times New Roman"/>
                      <w:color w:val="auto"/>
                      <w:highlight w:val="none"/>
                    </w:rPr>
                    <w:t>新建、扩建不符合要求的高耗能高排放项目</w:t>
                  </w:r>
                </w:p>
              </w:tc>
              <w:tc>
                <w:tcPr>
                  <w:tcW w:w="545" w:type="pct"/>
                  <w:tcBorders>
                    <w:tl2br w:val="nil"/>
                    <w:tr2bl w:val="nil"/>
                  </w:tcBorders>
                  <w:vAlign w:val="center"/>
                </w:tcPr>
                <w:p w14:paraId="6AE4B4C0">
                  <w:pPr>
                    <w:pStyle w:val="7"/>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r>
                    <w:rPr>
                      <w:rFonts w:hint="default" w:ascii="Times New Roman" w:hAnsi="Times New Roman" w:cs="Times New Roman"/>
                      <w:color w:val="auto"/>
                      <w:highlight w:val="none"/>
                    </w:rPr>
                    <w:t>符合</w:t>
                  </w:r>
                </w:p>
              </w:tc>
            </w:tr>
          </w:tbl>
          <w:p w14:paraId="4FA0BACB">
            <w:pPr>
              <w:spacing w:line="360" w:lineRule="auto"/>
              <w:ind w:firstLine="420" w:firstLineChars="200"/>
              <w:rPr>
                <w:rFonts w:hint="default" w:ascii="Times New Roman" w:hAnsi="Times New Roman" w:eastAsia="宋体" w:cs="Times New Roman"/>
                <w:color w:val="auto"/>
                <w:kern w:val="0"/>
                <w:szCs w:val="21"/>
                <w:lang w:val="en-US" w:eastAsia="zh-CN"/>
              </w:rPr>
            </w:pPr>
          </w:p>
          <w:p w14:paraId="0A2CDFAC">
            <w:pPr>
              <w:pStyle w:val="31"/>
              <w:rPr>
                <w:rFonts w:hint="default"/>
                <w:color w:val="auto"/>
                <w:lang w:val="en-US" w:eastAsia="zh-CN"/>
              </w:rPr>
            </w:pPr>
          </w:p>
        </w:tc>
      </w:tr>
    </w:tbl>
    <w:p w14:paraId="5DD917B7">
      <w:pPr>
        <w:spacing w:line="360" w:lineRule="auto"/>
        <w:outlineLvl w:val="0"/>
        <w:rPr>
          <w:rFonts w:eastAsia="黑体"/>
          <w:color w:val="auto"/>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55CFD1B">
      <w:pPr>
        <w:pStyle w:val="20"/>
        <w:jc w:val="center"/>
        <w:outlineLvl w:val="0"/>
        <w:rPr>
          <w:rFonts w:ascii="黑体" w:hAnsi="黑体" w:eastAsia="黑体"/>
          <w:snapToGrid w:val="0"/>
          <w:color w:val="auto"/>
          <w:sz w:val="30"/>
          <w:szCs w:val="30"/>
        </w:rPr>
      </w:pPr>
      <w:bookmarkStart w:id="9" w:name="_Toc22231"/>
      <w:r>
        <w:rPr>
          <w:rFonts w:hint="eastAsia" w:ascii="黑体" w:hAnsi="黑体" w:eastAsia="黑体"/>
          <w:snapToGrid w:val="0"/>
          <w:color w:val="auto"/>
          <w:sz w:val="30"/>
          <w:szCs w:val="30"/>
        </w:rPr>
        <w:t>二、建设项目工程分析</w:t>
      </w:r>
      <w:bookmarkEnd w:id="9"/>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161"/>
      </w:tblGrid>
      <w:tr w14:paraId="0032E3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60" w:hRule="atLeast"/>
          <w:jc w:val="center"/>
        </w:trPr>
        <w:tc>
          <w:tcPr>
            <w:tcW w:w="823" w:type="dxa"/>
            <w:tcBorders>
              <w:bottom w:val="single" w:color="000000" w:sz="4" w:space="0"/>
            </w:tcBorders>
            <w:noWrap w:val="0"/>
            <w:vAlign w:val="center"/>
          </w:tcPr>
          <w:p w14:paraId="6B244F40">
            <w:pPr>
              <w:pStyle w:val="20"/>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161" w:type="dxa"/>
            <w:tcBorders>
              <w:bottom w:val="single" w:color="000000" w:sz="4" w:space="0"/>
            </w:tcBorders>
            <w:noWrap w:val="0"/>
            <w:vAlign w:val="top"/>
          </w:tcPr>
          <w:p w14:paraId="305D52B6">
            <w:pPr>
              <w:spacing w:line="360" w:lineRule="auto"/>
              <w:ind w:firstLine="482" w:firstLineChars="200"/>
              <w:rPr>
                <w:rFonts w:hint="default" w:ascii="Times New Roman" w:hAnsi="Times New Roman" w:eastAsia="宋体" w:cs="Times New Roman"/>
                <w:b/>
                <w:bCs/>
                <w:color w:val="auto"/>
                <w:kern w:val="2"/>
                <w:sz w:val="24"/>
                <w:szCs w:val="24"/>
                <w:highlight w:val="none"/>
                <w:u w:val="none"/>
                <w:lang w:val="en-US" w:eastAsia="zh-CN" w:bidi="ar-SA"/>
              </w:rPr>
            </w:pPr>
            <w:r>
              <w:rPr>
                <w:rFonts w:hint="eastAsia" w:cs="Times New Roman"/>
                <w:b/>
                <w:bCs/>
                <w:color w:val="auto"/>
                <w:kern w:val="2"/>
                <w:sz w:val="24"/>
                <w:szCs w:val="24"/>
                <w:highlight w:val="none"/>
                <w:u w:val="none"/>
                <w:lang w:val="en-US" w:eastAsia="zh-CN" w:bidi="ar-SA"/>
              </w:rPr>
              <w:t>一</w:t>
            </w:r>
            <w:r>
              <w:rPr>
                <w:rFonts w:hint="eastAsia" w:ascii="Times New Roman" w:hAnsi="Times New Roman" w:eastAsia="宋体" w:cs="Times New Roman"/>
                <w:b/>
                <w:bCs/>
                <w:color w:val="auto"/>
                <w:kern w:val="2"/>
                <w:sz w:val="24"/>
                <w:szCs w:val="24"/>
                <w:highlight w:val="none"/>
                <w:u w:val="none"/>
                <w:lang w:val="en-US" w:eastAsia="zh-CN" w:bidi="ar-SA"/>
              </w:rPr>
              <w:t>、项目概况</w:t>
            </w:r>
          </w:p>
          <w:p w14:paraId="17A04FC2">
            <w:pPr>
              <w:spacing w:line="360" w:lineRule="auto"/>
              <w:ind w:firstLine="480" w:firstLineChars="200"/>
              <w:rPr>
                <w:rFonts w:hint="default" w:ascii="Times New Roman" w:hAnsi="Times New Roman" w:eastAsia="宋体" w:cs="Times New Roman"/>
                <w:color w:val="auto"/>
                <w:kern w:val="2"/>
                <w:sz w:val="24"/>
                <w:szCs w:val="24"/>
                <w:highlight w:val="none"/>
                <w:u w:val="none"/>
                <w:lang w:val="en-US" w:eastAsia="zh-CN" w:bidi="ar-SA"/>
              </w:rPr>
            </w:pPr>
            <w:r>
              <w:rPr>
                <w:rFonts w:hint="default" w:ascii="Times New Roman" w:hAnsi="Times New Roman" w:eastAsia="宋体" w:cs="Times New Roman"/>
                <w:color w:val="auto"/>
                <w:kern w:val="2"/>
                <w:sz w:val="24"/>
                <w:szCs w:val="24"/>
                <w:highlight w:val="none"/>
                <w:u w:val="none"/>
                <w:lang w:val="en-US" w:eastAsia="zh-CN" w:bidi="ar-SA"/>
              </w:rPr>
              <w:t>江西捷报频传药业有限公司成立于2023年04月07日，公司坐落</w:t>
            </w:r>
            <w:r>
              <w:rPr>
                <w:rFonts w:hint="eastAsia" w:ascii="Times New Roman" w:hAnsi="Times New Roman" w:eastAsia="宋体" w:cs="Times New Roman"/>
                <w:color w:val="auto"/>
                <w:kern w:val="2"/>
                <w:sz w:val="24"/>
                <w:szCs w:val="24"/>
                <w:highlight w:val="none"/>
                <w:u w:val="none"/>
                <w:lang w:val="en-US" w:eastAsia="zh-CN" w:bidi="ar-SA"/>
              </w:rPr>
              <w:t>于江西省九江市庐山市工业园金鹿科技园，为了满足市场需要，优化产品质量、产品布局，拟建《江西捷报频传药业有限公司建设项目》，主要从事退热贴、生理性海水鼻腔喷雾剂和医用硅酮疤痕凝胶等产品的生产及销售。</w:t>
            </w:r>
          </w:p>
          <w:p w14:paraId="692AEC59">
            <w:pPr>
              <w:spacing w:line="360" w:lineRule="auto"/>
              <w:ind w:firstLine="480" w:firstLineChars="200"/>
              <w:rPr>
                <w:rFonts w:hint="eastAsia" w:cs="Times New Roman"/>
                <w:color w:val="auto"/>
                <w:sz w:val="24"/>
                <w:lang w:val="en-US" w:eastAsia="zh-CN"/>
              </w:rPr>
            </w:pPr>
            <w:r>
              <w:rPr>
                <w:rFonts w:hint="default" w:ascii="Times New Roman" w:hAnsi="Times New Roman" w:eastAsia="宋体" w:cs="Times New Roman"/>
                <w:color w:val="auto"/>
                <w:kern w:val="2"/>
                <w:sz w:val="24"/>
                <w:szCs w:val="24"/>
                <w:highlight w:val="none"/>
                <w:u w:val="none"/>
                <w:lang w:val="en-US" w:eastAsia="zh-CN" w:bidi="ar-SA"/>
              </w:rPr>
              <w:t>江西捷报频传药业有限公司</w:t>
            </w:r>
            <w:r>
              <w:rPr>
                <w:rFonts w:hint="eastAsia" w:ascii="Times New Roman" w:hAnsi="Times New Roman" w:eastAsia="宋体" w:cs="Times New Roman"/>
                <w:color w:val="auto"/>
                <w:kern w:val="2"/>
                <w:sz w:val="24"/>
                <w:szCs w:val="24"/>
                <w:highlight w:val="none"/>
                <w:u w:val="none"/>
                <w:lang w:val="en-US" w:eastAsia="zh-CN" w:bidi="ar-SA"/>
              </w:rPr>
              <w:t>于2023年6月21日委托江西领航环保有限公司编制了《江西捷报频传药业有限公司建设项目》</w:t>
            </w:r>
            <w:r>
              <w:rPr>
                <w:rFonts w:hint="default" w:ascii="Times New Roman" w:hAnsi="Times New Roman" w:eastAsia="宋体" w:cs="Times New Roman"/>
                <w:color w:val="auto"/>
                <w:kern w:val="2"/>
                <w:sz w:val="24"/>
                <w:szCs w:val="24"/>
                <w:highlight w:val="none"/>
                <w:u w:val="none"/>
                <w:lang w:val="en-US" w:eastAsia="zh-CN" w:bidi="ar-SA"/>
              </w:rPr>
              <w:t>，20</w:t>
            </w:r>
            <w:r>
              <w:rPr>
                <w:rFonts w:hint="eastAsia" w:ascii="Times New Roman" w:hAnsi="Times New Roman" w:eastAsia="宋体" w:cs="Times New Roman"/>
                <w:color w:val="auto"/>
                <w:kern w:val="2"/>
                <w:sz w:val="24"/>
                <w:szCs w:val="24"/>
                <w:highlight w:val="none"/>
                <w:u w:val="none"/>
                <w:lang w:val="en-US" w:eastAsia="zh-CN" w:bidi="ar-SA"/>
              </w:rPr>
              <w:t>23</w:t>
            </w:r>
            <w:r>
              <w:rPr>
                <w:rFonts w:hint="default" w:ascii="Times New Roman" w:hAnsi="Times New Roman" w:eastAsia="宋体" w:cs="Times New Roman"/>
                <w:color w:val="auto"/>
                <w:kern w:val="2"/>
                <w:sz w:val="24"/>
                <w:szCs w:val="24"/>
                <w:highlight w:val="none"/>
                <w:u w:val="none"/>
                <w:lang w:val="en-US" w:eastAsia="zh-CN" w:bidi="ar-SA"/>
              </w:rPr>
              <w:t>年</w:t>
            </w:r>
            <w:r>
              <w:rPr>
                <w:rFonts w:hint="eastAsia" w:ascii="Times New Roman" w:hAnsi="Times New Roman" w:eastAsia="宋体" w:cs="Times New Roman"/>
                <w:color w:val="auto"/>
                <w:kern w:val="2"/>
                <w:sz w:val="24"/>
                <w:szCs w:val="24"/>
                <w:highlight w:val="none"/>
                <w:u w:val="none"/>
                <w:lang w:val="en-US" w:eastAsia="zh-CN" w:bidi="ar-SA"/>
              </w:rPr>
              <w:t>11</w:t>
            </w:r>
            <w:r>
              <w:rPr>
                <w:rFonts w:hint="default" w:ascii="Times New Roman" w:hAnsi="Times New Roman" w:eastAsia="宋体" w:cs="Times New Roman"/>
                <w:color w:val="auto"/>
                <w:kern w:val="2"/>
                <w:sz w:val="24"/>
                <w:szCs w:val="24"/>
                <w:highlight w:val="none"/>
                <w:u w:val="none"/>
                <w:lang w:val="en-US" w:eastAsia="zh-CN" w:bidi="ar-SA"/>
              </w:rPr>
              <w:t>月</w:t>
            </w:r>
            <w:r>
              <w:rPr>
                <w:rFonts w:hint="eastAsia" w:ascii="Times New Roman" w:hAnsi="Times New Roman" w:eastAsia="宋体" w:cs="Times New Roman"/>
                <w:color w:val="auto"/>
                <w:kern w:val="2"/>
                <w:sz w:val="24"/>
                <w:szCs w:val="24"/>
                <w:highlight w:val="none"/>
                <w:u w:val="none"/>
                <w:lang w:val="en-US" w:eastAsia="zh-CN" w:bidi="ar-SA"/>
              </w:rPr>
              <w:t>20</w:t>
            </w:r>
            <w:r>
              <w:rPr>
                <w:rFonts w:hint="default" w:ascii="Times New Roman" w:hAnsi="Times New Roman" w:eastAsia="宋体" w:cs="Times New Roman"/>
                <w:color w:val="auto"/>
                <w:kern w:val="2"/>
                <w:sz w:val="24"/>
                <w:szCs w:val="24"/>
                <w:highlight w:val="none"/>
                <w:u w:val="none"/>
                <w:lang w:val="en-US" w:eastAsia="zh-CN" w:bidi="ar-SA"/>
              </w:rPr>
              <w:t>日取得</w:t>
            </w:r>
            <w:r>
              <w:rPr>
                <w:rFonts w:hint="eastAsia" w:ascii="Times New Roman" w:hAnsi="Times New Roman" w:eastAsia="宋体" w:cs="Times New Roman"/>
                <w:color w:val="auto"/>
                <w:kern w:val="2"/>
                <w:sz w:val="24"/>
                <w:szCs w:val="24"/>
                <w:highlight w:val="none"/>
                <w:u w:val="none"/>
                <w:lang w:val="en-US" w:eastAsia="zh-CN" w:bidi="ar-SA"/>
              </w:rPr>
              <w:t>九江市庐山生态环境局</w:t>
            </w:r>
            <w:r>
              <w:rPr>
                <w:rFonts w:hint="default" w:ascii="Times New Roman" w:hAnsi="Times New Roman" w:eastAsia="宋体" w:cs="Times New Roman"/>
                <w:color w:val="auto"/>
                <w:kern w:val="2"/>
                <w:sz w:val="24"/>
                <w:szCs w:val="24"/>
                <w:highlight w:val="none"/>
                <w:u w:val="none"/>
                <w:lang w:val="en-US" w:eastAsia="zh-CN" w:bidi="ar-SA"/>
              </w:rPr>
              <w:t>关于《</w:t>
            </w:r>
            <w:r>
              <w:rPr>
                <w:rFonts w:hint="eastAsia" w:ascii="Times New Roman" w:hAnsi="Times New Roman" w:eastAsia="宋体" w:cs="Times New Roman"/>
                <w:color w:val="auto"/>
                <w:sz w:val="24"/>
                <w:lang w:val="en-US" w:eastAsia="zh-CN"/>
              </w:rPr>
              <w:t>关于江西捷报频传药业有限公司建设项目环境影响评价文件的审批意见</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九庐环审〔2023〕</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1号</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，目前项目未进行竣工环保验收</w:t>
            </w:r>
            <w:r>
              <w:rPr>
                <w:rFonts w:hint="eastAsia" w:ascii="Times New Roman" w:hAnsi="Times New Roman" w:eastAsia="宋体" w:cs="Times New Roman"/>
                <w:color w:val="auto"/>
                <w:sz w:val="24"/>
                <w:lang w:val="en-US" w:eastAsia="zh-CN"/>
              </w:rPr>
              <w:t>。</w:t>
            </w:r>
          </w:p>
          <w:p w14:paraId="0E71DE68">
            <w:pPr>
              <w:keepNext w:val="0"/>
              <w:keepLines w:val="0"/>
              <w:pageBreakBefore w:val="0"/>
              <w:widowControl w:val="0"/>
              <w:numPr>
                <w:ilvl w:val="0"/>
                <w:numId w:val="0"/>
              </w:numPr>
              <w:kinsoku/>
              <w:wordWrap/>
              <w:overflowPunct/>
              <w:topLinePunct w:val="0"/>
              <w:autoSpaceDE/>
              <w:autoSpaceDN/>
              <w:bidi w:val="0"/>
              <w:adjustRightInd/>
              <w:snapToGrid/>
              <w:spacing w:afterLines="0"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根据建设单位提供信息，原评价项目</w:t>
            </w:r>
            <w:r>
              <w:rPr>
                <w:rFonts w:hint="eastAsia" w:ascii="Times New Roman" w:hAnsi="Times New Roman" w:eastAsia="宋体" w:cs="Times New Roman"/>
                <w:color w:val="auto"/>
                <w:sz w:val="24"/>
                <w:lang w:val="en-US" w:eastAsia="zh-CN"/>
              </w:rPr>
              <w:t>产品为</w:t>
            </w:r>
            <w:r>
              <w:rPr>
                <w:rFonts w:hint="default" w:ascii="Times New Roman" w:hAnsi="Times New Roman" w:eastAsia="宋体" w:cs="Times New Roman"/>
                <w:color w:val="auto"/>
                <w:sz w:val="24"/>
                <w:lang w:val="en-US" w:eastAsia="zh-CN"/>
              </w:rPr>
              <w:t>退热贴</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生理性海水鼻腔喷雾剂</w:t>
            </w:r>
            <w:r>
              <w:rPr>
                <w:rFonts w:hint="eastAsia" w:ascii="Times New Roman" w:hAnsi="Times New Roman" w:eastAsia="宋体" w:cs="Times New Roman"/>
                <w:color w:val="auto"/>
                <w:sz w:val="24"/>
                <w:lang w:val="en-US" w:eastAsia="zh-CN"/>
              </w:rPr>
              <w:t>和</w:t>
            </w:r>
            <w:r>
              <w:rPr>
                <w:rFonts w:hint="default" w:ascii="Times New Roman" w:hAnsi="Times New Roman" w:eastAsia="宋体" w:cs="Times New Roman"/>
                <w:color w:val="auto"/>
                <w:sz w:val="24"/>
                <w:lang w:val="en-US" w:eastAsia="zh-CN"/>
              </w:rPr>
              <w:t>硅酮疤痕凝胶</w:t>
            </w:r>
            <w:r>
              <w:rPr>
                <w:rFonts w:hint="eastAsia" w:ascii="Times New Roman" w:hAnsi="Times New Roman" w:eastAsia="宋体" w:cs="Times New Roman"/>
                <w:color w:val="auto"/>
                <w:sz w:val="24"/>
                <w:lang w:val="en-US" w:eastAsia="zh-CN"/>
              </w:rPr>
              <w:t>，但根据市场需求，</w:t>
            </w:r>
            <w:r>
              <w:rPr>
                <w:rFonts w:hint="eastAsia" w:ascii="Times New Roman" w:hAnsi="Times New Roman" w:eastAsia="宋体" w:cs="Times New Roman"/>
                <w:color w:val="auto"/>
                <w:sz w:val="24"/>
              </w:rPr>
              <w:t>建设单位</w:t>
            </w:r>
            <w:r>
              <w:rPr>
                <w:rFonts w:hint="eastAsia" w:ascii="Times New Roman" w:hAnsi="Times New Roman" w:eastAsia="宋体" w:cs="Times New Roman"/>
                <w:color w:val="auto"/>
                <w:sz w:val="24"/>
                <w:lang w:val="en-US" w:eastAsia="zh-CN"/>
              </w:rPr>
              <w:t>新增了产品（</w:t>
            </w:r>
            <w:r>
              <w:rPr>
                <w:rFonts w:hint="eastAsia" w:ascii="Times New Roman" w:hAnsi="Times New Roman" w:eastAsia="宋体" w:cs="Times New Roman"/>
                <w:color w:val="auto"/>
                <w:sz w:val="24"/>
              </w:rPr>
              <w:t>穴位压力刺激贴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通气鼻贴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重组胶原蛋白贴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壳聚糖止血粉</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医用透明质酸钠敷贴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创口贴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晕车贴</w:t>
            </w:r>
            <w:r>
              <w:rPr>
                <w:rFonts w:hint="eastAsia" w:ascii="Times New Roman" w:hAnsi="Times New Roman" w:eastAsia="宋体" w:cs="Times New Roman"/>
                <w:color w:val="auto"/>
                <w:sz w:val="24"/>
                <w:lang w:val="en-US" w:eastAsia="zh-CN"/>
              </w:rPr>
              <w:t>及</w:t>
            </w:r>
            <w:r>
              <w:rPr>
                <w:rFonts w:hint="default" w:ascii="Times New Roman" w:hAnsi="Times New Roman" w:eastAsia="宋体" w:cs="Times New Roman"/>
                <w:color w:val="auto"/>
                <w:sz w:val="24"/>
                <w:lang w:val="en-US" w:eastAsia="zh-CN"/>
              </w:rPr>
              <w:t>贴</w:t>
            </w:r>
            <w:r>
              <w:rPr>
                <w:rFonts w:hint="eastAsia" w:ascii="Times New Roman" w:hAnsi="Times New Roman" w:eastAsia="宋体" w:cs="Times New Roman"/>
                <w:color w:val="auto"/>
                <w:sz w:val="24"/>
              </w:rPr>
              <w:t>三伏贴</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rPr>
              <w:t>。根据《中华人民共和国环境影响评价法》第二十四条：</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建设项目的环境影响评价文件经批准后，建设项目的性质、规模、地点、采用的生产工艺或者防治污染、防止生态破坏的措施发生重大变动的，建设单位应当重新报批建设项目的环境影响评价文件。</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本项目工程</w:t>
            </w:r>
            <w:r>
              <w:rPr>
                <w:rFonts w:hint="eastAsia" w:ascii="Times New Roman" w:hAnsi="Times New Roman" w:eastAsia="宋体" w:cs="Times New Roman"/>
                <w:color w:val="auto"/>
                <w:sz w:val="24"/>
                <w:lang w:val="en-US" w:eastAsia="zh-CN"/>
              </w:rPr>
              <w:t>生产规模</w:t>
            </w:r>
            <w:r>
              <w:rPr>
                <w:rFonts w:hint="eastAsia" w:ascii="Times New Roman" w:hAnsi="Times New Roman" w:eastAsia="宋体" w:cs="Times New Roman"/>
                <w:color w:val="auto"/>
                <w:sz w:val="24"/>
              </w:rPr>
              <w:t>发生变化，构成了重大变动，因此需重新报批本项目的环境影响评价文件。</w:t>
            </w:r>
            <w:r>
              <w:rPr>
                <w:rFonts w:ascii="Times New Roman" w:hAnsi="Times New Roman" w:eastAsia="宋体" w:cs="Times New Roman"/>
                <w:color w:val="auto"/>
                <w:sz w:val="24"/>
              </w:rPr>
              <w:t>为此，</w:t>
            </w:r>
            <w:r>
              <w:rPr>
                <w:rFonts w:hint="default" w:ascii="Times New Roman" w:hAnsi="Times New Roman" w:eastAsia="宋体" w:cs="Times New Roman"/>
                <w:color w:val="auto"/>
                <w:sz w:val="24"/>
                <w:lang w:val="en-US" w:eastAsia="zh-CN"/>
              </w:rPr>
              <w:t>江西捷报频传药业有限公司</w:t>
            </w:r>
            <w:r>
              <w:rPr>
                <w:rFonts w:ascii="Times New Roman" w:hAnsi="Times New Roman" w:eastAsia="宋体" w:cs="Times New Roman"/>
                <w:color w:val="auto"/>
                <w:sz w:val="24"/>
              </w:rPr>
              <w:t>委托我司承担该建设项目的环境影响评价工作。我公司接受委托后，对周围环境进行了详细的实地勘查和相关资料的收集、核实与分析工作，在此基础上，编制了本建设项目环境影响报告表，现呈报生态环境行政主管部门审查。</w:t>
            </w:r>
          </w:p>
          <w:p w14:paraId="33DFF1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根据生态环境部办公厅关于印发《污染影响类建设项目重大变动清单（试行）》的通知（环办环评函〔2020〕688 号）判定，本项目属于重大变动（详见</w:t>
            </w:r>
            <w:r>
              <w:rPr>
                <w:rFonts w:hint="eastAsia" w:cs="Times New Roman"/>
                <w:color w:val="auto"/>
                <w:sz w:val="24"/>
                <w:lang w:val="en-US" w:eastAsia="zh-CN"/>
              </w:rPr>
              <w:t>表2-1</w:t>
            </w:r>
            <w:r>
              <w:rPr>
                <w:rFonts w:hint="default" w:ascii="Times New Roman" w:hAnsi="Times New Roman" w:eastAsia="宋体" w:cs="Times New Roman"/>
                <w:color w:val="auto"/>
                <w:sz w:val="24"/>
                <w:lang w:val="en-US" w:eastAsia="zh-CN"/>
              </w:rPr>
              <w:t>）。</w:t>
            </w:r>
          </w:p>
        </w:tc>
      </w:tr>
    </w:tbl>
    <w:p w14:paraId="6586F71E">
      <w:pPr>
        <w:pStyle w:val="20"/>
        <w:jc w:val="center"/>
        <w:rPr>
          <w:rFonts w:ascii="黑体" w:hAnsi="黑体" w:eastAsia="黑体"/>
          <w:snapToGrid w:val="0"/>
          <w:color w:val="auto"/>
          <w:sz w:val="36"/>
          <w:szCs w:val="36"/>
        </w:rPr>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3057"/>
      </w:tblGrid>
      <w:tr w14:paraId="79AF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595" w:type="dxa"/>
            <w:noWrap w:val="0"/>
            <w:vAlign w:val="top"/>
          </w:tcPr>
          <w:p w14:paraId="0305BBA4">
            <w:pPr>
              <w:widowControl/>
              <w:ind w:firstLine="420" w:firstLineChars="200"/>
              <w:jc w:val="both"/>
              <w:rPr>
                <w:rFonts w:ascii="Calibri" w:hAnsi="Calibri" w:eastAsia="宋体" w:cs="Times New Roman"/>
                <w:color w:val="auto"/>
                <w:kern w:val="2"/>
                <w:sz w:val="21"/>
                <w:szCs w:val="20"/>
                <w:highlight w:val="none"/>
                <w:shd w:val="clear" w:color="auto" w:fill="auto"/>
                <w:vertAlign w:val="baseline"/>
                <w:lang w:val="en-US" w:eastAsia="zh-CN" w:bidi="ar-SA"/>
              </w:rPr>
            </w:pPr>
          </w:p>
        </w:tc>
        <w:tc>
          <w:tcPr>
            <w:tcW w:w="13057" w:type="dxa"/>
            <w:noWrap w:val="0"/>
            <w:vAlign w:val="top"/>
          </w:tcPr>
          <w:p w14:paraId="674E1058">
            <w:pPr>
              <w:keepNext w:val="0"/>
              <w:keepLines w:val="0"/>
              <w:pageBreakBefore w:val="0"/>
              <w:widowControl w:val="0"/>
              <w:kinsoku/>
              <w:wordWrap/>
              <w:overflowPunct/>
              <w:topLinePunct w:val="0"/>
              <w:autoSpaceDE w:val="0"/>
              <w:autoSpaceDN w:val="0"/>
              <w:bidi w:val="0"/>
              <w:adjustRightInd/>
              <w:snapToGrid/>
              <w:spacing w:before="157" w:beforeLines="50"/>
              <w:jc w:val="center"/>
              <w:textAlignment w:val="auto"/>
              <w:rPr>
                <w:rFonts w:hint="eastAsia" w:ascii="Times New Roman" w:hAnsi="Times New Roman" w:eastAsia="宋体" w:cs="Times New Roman"/>
                <w:b/>
                <w:bCs/>
                <w:color w:val="auto"/>
                <w:kern w:val="2"/>
                <w:sz w:val="21"/>
                <w:szCs w:val="21"/>
                <w:highlight w:val="none"/>
                <w:shd w:val="clear" w:color="auto" w:fill="auto"/>
                <w:lang w:val="en-US" w:eastAsia="zh-CN" w:bidi="ar-SA"/>
              </w:rPr>
            </w:pPr>
            <w:r>
              <w:rPr>
                <w:rFonts w:hint="default" w:ascii="Times New Roman" w:hAnsi="Times New Roman" w:eastAsia="宋体" w:cs="Times New Roman"/>
                <w:b/>
                <w:bCs/>
                <w:color w:val="auto"/>
                <w:sz w:val="21"/>
                <w:szCs w:val="21"/>
              </w:rPr>
              <w:t>表2-</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w:t>
            </w:r>
            <w:r>
              <w:rPr>
                <w:rFonts w:hint="eastAsia" w:ascii="Times New Roman" w:eastAsia="宋体"/>
                <w:b/>
                <w:bCs/>
                <w:color w:val="auto"/>
                <w:sz w:val="21"/>
                <w:szCs w:val="21"/>
                <w:lang w:val="en-US" w:eastAsia="zh-CN"/>
              </w:rPr>
              <w:t>项目重大情况变动表</w:t>
            </w:r>
          </w:p>
          <w:tbl>
            <w:tblPr>
              <w:tblStyle w:val="25"/>
              <w:tblW w:w="4998"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4"/>
              <w:gridCol w:w="2092"/>
              <w:gridCol w:w="2111"/>
              <w:gridCol w:w="645"/>
              <w:gridCol w:w="1736"/>
              <w:gridCol w:w="3735"/>
              <w:gridCol w:w="1283"/>
              <w:gridCol w:w="810"/>
            </w:tblGrid>
            <w:tr w14:paraId="021981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65" w:type="pct"/>
                  <w:vMerge w:val="restart"/>
                  <w:tcBorders>
                    <w:top w:val="single" w:color="auto" w:sz="12" w:space="0"/>
                  </w:tcBorders>
                  <w:noWrap w:val="0"/>
                  <w:vAlign w:val="center"/>
                </w:tcPr>
                <w:p w14:paraId="4440D412">
                  <w:pPr>
                    <w:bidi w:val="0"/>
                    <w:jc w:val="center"/>
                    <w:rPr>
                      <w:rFonts w:hint="eastAsia"/>
                      <w:b/>
                      <w:bCs/>
                      <w:color w:val="auto"/>
                      <w:vertAlign w:val="baseline"/>
                      <w:lang w:val="en-US" w:eastAsia="zh-CN"/>
                    </w:rPr>
                  </w:pPr>
                  <w:r>
                    <w:rPr>
                      <w:rFonts w:hint="eastAsia"/>
                      <w:b/>
                      <w:bCs/>
                      <w:color w:val="auto"/>
                      <w:vertAlign w:val="baseline"/>
                      <w:lang w:val="en-US" w:eastAsia="zh-CN"/>
                    </w:rPr>
                    <w:t>类别</w:t>
                  </w:r>
                </w:p>
              </w:tc>
              <w:tc>
                <w:tcPr>
                  <w:tcW w:w="814" w:type="pct"/>
                  <w:vMerge w:val="restart"/>
                  <w:tcBorders>
                    <w:top w:val="single" w:color="auto" w:sz="12" w:space="0"/>
                  </w:tcBorders>
                  <w:noWrap w:val="0"/>
                  <w:vAlign w:val="center"/>
                </w:tcPr>
                <w:p w14:paraId="5D522BC6">
                  <w:pPr>
                    <w:bidi w:val="0"/>
                    <w:jc w:val="center"/>
                    <w:rPr>
                      <w:rFonts w:hint="eastAsia"/>
                      <w:b/>
                      <w:bCs/>
                      <w:color w:val="auto"/>
                      <w:vertAlign w:val="baseline"/>
                      <w:lang w:val="en-US" w:eastAsia="zh-CN"/>
                    </w:rPr>
                  </w:pPr>
                  <w:r>
                    <w:rPr>
                      <w:rFonts w:hint="eastAsia"/>
                      <w:b/>
                      <w:bCs/>
                      <w:color w:val="auto"/>
                      <w:vertAlign w:val="baseline"/>
                      <w:lang w:val="en-US" w:eastAsia="zh-CN"/>
                    </w:rPr>
                    <w:t>环评及</w:t>
                  </w:r>
                </w:p>
                <w:p w14:paraId="5B42A980">
                  <w:pPr>
                    <w:bidi w:val="0"/>
                    <w:jc w:val="center"/>
                    <w:rPr>
                      <w:rFonts w:hint="eastAsia"/>
                      <w:b/>
                      <w:bCs/>
                      <w:color w:val="auto"/>
                      <w:vertAlign w:val="baseline"/>
                      <w:lang w:val="en-US" w:eastAsia="zh-CN"/>
                    </w:rPr>
                  </w:pPr>
                  <w:r>
                    <w:rPr>
                      <w:rFonts w:hint="eastAsia"/>
                      <w:b/>
                      <w:bCs/>
                      <w:color w:val="auto"/>
                      <w:vertAlign w:val="baseline"/>
                      <w:lang w:val="en-US" w:eastAsia="zh-CN"/>
                    </w:rPr>
                    <w:t>批复要求</w:t>
                  </w:r>
                </w:p>
              </w:tc>
              <w:tc>
                <w:tcPr>
                  <w:tcW w:w="822" w:type="pct"/>
                  <w:vMerge w:val="restart"/>
                  <w:tcBorders>
                    <w:top w:val="single" w:color="auto" w:sz="12" w:space="0"/>
                  </w:tcBorders>
                  <w:noWrap w:val="0"/>
                  <w:vAlign w:val="center"/>
                </w:tcPr>
                <w:p w14:paraId="089FE703">
                  <w:pPr>
                    <w:bidi w:val="0"/>
                    <w:jc w:val="center"/>
                    <w:rPr>
                      <w:rFonts w:hint="eastAsia"/>
                      <w:b/>
                      <w:bCs/>
                      <w:color w:val="auto"/>
                      <w:vertAlign w:val="baseline"/>
                      <w:lang w:val="en-US" w:eastAsia="zh-CN"/>
                    </w:rPr>
                  </w:pPr>
                  <w:r>
                    <w:rPr>
                      <w:rFonts w:hint="eastAsia"/>
                      <w:b/>
                      <w:bCs/>
                      <w:color w:val="auto"/>
                      <w:vertAlign w:val="baseline"/>
                      <w:lang w:val="en-US" w:eastAsia="zh-CN"/>
                    </w:rPr>
                    <w:t>变动后</w:t>
                  </w:r>
                </w:p>
                <w:p w14:paraId="255B88A9">
                  <w:pPr>
                    <w:bidi w:val="0"/>
                    <w:jc w:val="center"/>
                    <w:rPr>
                      <w:rFonts w:hint="eastAsia"/>
                      <w:b/>
                      <w:bCs/>
                      <w:color w:val="auto"/>
                      <w:vertAlign w:val="baseline"/>
                      <w:lang w:val="en-US" w:eastAsia="zh-CN"/>
                    </w:rPr>
                  </w:pPr>
                  <w:r>
                    <w:rPr>
                      <w:rFonts w:hint="eastAsia"/>
                      <w:b/>
                      <w:bCs/>
                      <w:color w:val="auto"/>
                      <w:vertAlign w:val="baseline"/>
                      <w:lang w:val="en-US" w:eastAsia="zh-CN"/>
                    </w:rPr>
                    <w:t>建设内容</w:t>
                  </w:r>
                </w:p>
              </w:tc>
              <w:tc>
                <w:tcPr>
                  <w:tcW w:w="251" w:type="pct"/>
                  <w:vMerge w:val="restart"/>
                  <w:tcBorders>
                    <w:top w:val="single" w:color="auto" w:sz="12" w:space="0"/>
                  </w:tcBorders>
                  <w:noWrap w:val="0"/>
                  <w:vAlign w:val="center"/>
                </w:tcPr>
                <w:p w14:paraId="04E850A0">
                  <w:pPr>
                    <w:bidi w:val="0"/>
                    <w:jc w:val="center"/>
                    <w:rPr>
                      <w:rFonts w:hint="eastAsia"/>
                      <w:b/>
                      <w:bCs/>
                      <w:color w:val="auto"/>
                      <w:vertAlign w:val="baseline"/>
                      <w:lang w:val="en-US" w:eastAsia="zh-CN"/>
                    </w:rPr>
                  </w:pPr>
                  <w:r>
                    <w:rPr>
                      <w:rFonts w:hint="eastAsia"/>
                      <w:b/>
                      <w:bCs/>
                      <w:color w:val="auto"/>
                      <w:vertAlign w:val="baseline"/>
                      <w:lang w:val="en-US" w:eastAsia="zh-CN"/>
                    </w:rPr>
                    <w:t>是否</w:t>
                  </w:r>
                </w:p>
                <w:p w14:paraId="2DD9F542">
                  <w:pPr>
                    <w:bidi w:val="0"/>
                    <w:jc w:val="center"/>
                    <w:rPr>
                      <w:rFonts w:hint="eastAsia"/>
                      <w:b/>
                      <w:bCs/>
                      <w:color w:val="auto"/>
                      <w:vertAlign w:val="baseline"/>
                      <w:lang w:val="en-US" w:eastAsia="zh-CN"/>
                    </w:rPr>
                  </w:pPr>
                  <w:r>
                    <w:rPr>
                      <w:rFonts w:hint="eastAsia"/>
                      <w:b/>
                      <w:bCs/>
                      <w:color w:val="auto"/>
                      <w:vertAlign w:val="baseline"/>
                      <w:lang w:val="en-US" w:eastAsia="zh-CN"/>
                    </w:rPr>
                    <w:t>涉及</w:t>
                  </w:r>
                </w:p>
                <w:p w14:paraId="4F285557">
                  <w:pPr>
                    <w:bidi w:val="0"/>
                    <w:jc w:val="center"/>
                    <w:rPr>
                      <w:rFonts w:hint="eastAsia"/>
                      <w:b/>
                      <w:bCs/>
                      <w:color w:val="auto"/>
                      <w:vertAlign w:val="baseline"/>
                      <w:lang w:val="en-US" w:eastAsia="zh-CN"/>
                    </w:rPr>
                  </w:pPr>
                  <w:r>
                    <w:rPr>
                      <w:rFonts w:hint="eastAsia"/>
                      <w:b/>
                      <w:bCs/>
                      <w:color w:val="auto"/>
                      <w:vertAlign w:val="baseline"/>
                      <w:lang w:val="en-US" w:eastAsia="zh-CN"/>
                    </w:rPr>
                    <w:t>变动</w:t>
                  </w:r>
                </w:p>
              </w:tc>
              <w:tc>
                <w:tcPr>
                  <w:tcW w:w="676" w:type="pct"/>
                  <w:vMerge w:val="restart"/>
                  <w:tcBorders>
                    <w:top w:val="single" w:color="auto" w:sz="12" w:space="0"/>
                  </w:tcBorders>
                  <w:noWrap w:val="0"/>
                  <w:vAlign w:val="center"/>
                </w:tcPr>
                <w:p w14:paraId="7A187DAA">
                  <w:pPr>
                    <w:bidi w:val="0"/>
                    <w:jc w:val="center"/>
                    <w:rPr>
                      <w:rFonts w:hint="eastAsia"/>
                      <w:b/>
                      <w:bCs/>
                      <w:color w:val="auto"/>
                      <w:vertAlign w:val="baseline"/>
                      <w:lang w:val="en-US" w:eastAsia="zh-CN"/>
                    </w:rPr>
                  </w:pPr>
                  <w:r>
                    <w:rPr>
                      <w:rFonts w:hint="eastAsia"/>
                      <w:b/>
                      <w:bCs/>
                      <w:color w:val="auto"/>
                      <w:vertAlign w:val="baseline"/>
                      <w:lang w:val="en-US" w:eastAsia="zh-CN"/>
                    </w:rPr>
                    <w:t>变动内容</w:t>
                  </w:r>
                </w:p>
              </w:tc>
              <w:tc>
                <w:tcPr>
                  <w:tcW w:w="1454" w:type="pct"/>
                  <w:tcBorders>
                    <w:top w:val="single" w:color="auto" w:sz="12" w:space="0"/>
                  </w:tcBorders>
                  <w:noWrap w:val="0"/>
                  <w:vAlign w:val="center"/>
                </w:tcPr>
                <w:p w14:paraId="1071859F">
                  <w:pPr>
                    <w:bidi w:val="0"/>
                    <w:jc w:val="center"/>
                    <w:rPr>
                      <w:rFonts w:hint="eastAsia"/>
                      <w:b/>
                      <w:bCs/>
                      <w:color w:val="auto"/>
                      <w:vertAlign w:val="baseline"/>
                      <w:lang w:val="en-US" w:eastAsia="zh-CN"/>
                    </w:rPr>
                  </w:pPr>
                  <w:r>
                    <w:rPr>
                      <w:rFonts w:hint="eastAsia"/>
                      <w:b/>
                      <w:bCs/>
                      <w:color w:val="auto"/>
                      <w:vertAlign w:val="baseline"/>
                      <w:lang w:val="en-US" w:eastAsia="zh-CN"/>
                    </w:rPr>
                    <w:t>判定依据</w:t>
                  </w:r>
                </w:p>
              </w:tc>
              <w:tc>
                <w:tcPr>
                  <w:tcW w:w="499" w:type="pct"/>
                  <w:vMerge w:val="restart"/>
                  <w:tcBorders>
                    <w:top w:val="single" w:color="auto" w:sz="12" w:space="0"/>
                  </w:tcBorders>
                  <w:noWrap w:val="0"/>
                  <w:vAlign w:val="center"/>
                </w:tcPr>
                <w:p w14:paraId="03F6F117">
                  <w:pPr>
                    <w:bidi w:val="0"/>
                    <w:jc w:val="center"/>
                    <w:rPr>
                      <w:rFonts w:hint="eastAsia"/>
                      <w:b/>
                      <w:bCs/>
                      <w:color w:val="auto"/>
                      <w:vertAlign w:val="baseline"/>
                      <w:lang w:val="en-US" w:eastAsia="zh-CN"/>
                    </w:rPr>
                  </w:pPr>
                  <w:r>
                    <w:rPr>
                      <w:rFonts w:hint="eastAsia"/>
                      <w:b/>
                      <w:bCs/>
                      <w:color w:val="auto"/>
                      <w:vertAlign w:val="baseline"/>
                      <w:lang w:val="en-US" w:eastAsia="zh-CN"/>
                    </w:rPr>
                    <w:t>本项目情况</w:t>
                  </w:r>
                </w:p>
              </w:tc>
              <w:tc>
                <w:tcPr>
                  <w:tcW w:w="315" w:type="pct"/>
                  <w:vMerge w:val="restart"/>
                  <w:tcBorders>
                    <w:top w:val="single" w:color="auto" w:sz="12" w:space="0"/>
                  </w:tcBorders>
                  <w:noWrap w:val="0"/>
                  <w:vAlign w:val="center"/>
                </w:tcPr>
                <w:p w14:paraId="7CA6D34F">
                  <w:pPr>
                    <w:bidi w:val="0"/>
                    <w:jc w:val="center"/>
                    <w:rPr>
                      <w:rFonts w:hint="eastAsia"/>
                      <w:b/>
                      <w:bCs/>
                      <w:color w:val="auto"/>
                      <w:vertAlign w:val="baseline"/>
                      <w:lang w:val="en-US" w:eastAsia="zh-CN"/>
                    </w:rPr>
                  </w:pPr>
                  <w:r>
                    <w:rPr>
                      <w:rFonts w:hint="eastAsia"/>
                      <w:b/>
                      <w:bCs/>
                      <w:color w:val="auto"/>
                      <w:vertAlign w:val="baseline"/>
                      <w:lang w:val="en-US" w:eastAsia="zh-CN"/>
                    </w:rPr>
                    <w:t>是否属于重大</w:t>
                  </w:r>
                </w:p>
                <w:p w14:paraId="0517BD89">
                  <w:pPr>
                    <w:bidi w:val="0"/>
                    <w:jc w:val="center"/>
                    <w:rPr>
                      <w:rFonts w:hint="eastAsia"/>
                      <w:b/>
                      <w:bCs/>
                      <w:color w:val="auto"/>
                      <w:vertAlign w:val="baseline"/>
                      <w:lang w:val="en-US" w:eastAsia="zh-CN"/>
                    </w:rPr>
                  </w:pPr>
                  <w:r>
                    <w:rPr>
                      <w:rFonts w:hint="eastAsia"/>
                      <w:b/>
                      <w:bCs/>
                      <w:color w:val="auto"/>
                      <w:vertAlign w:val="baseline"/>
                      <w:lang w:val="en-US" w:eastAsia="zh-CN"/>
                    </w:rPr>
                    <w:t>变动</w:t>
                  </w:r>
                </w:p>
              </w:tc>
            </w:tr>
            <w:tr w14:paraId="145764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65" w:type="pct"/>
                  <w:vMerge w:val="continue"/>
                  <w:tcBorders>
                    <w:bottom w:val="single" w:color="auto" w:sz="12" w:space="0"/>
                    <w:tl2br w:val="nil"/>
                    <w:tr2bl w:val="nil"/>
                  </w:tcBorders>
                  <w:noWrap w:val="0"/>
                  <w:vAlign w:val="center"/>
                </w:tcPr>
                <w:p w14:paraId="3BD3FBC3">
                  <w:pPr>
                    <w:bidi w:val="0"/>
                    <w:jc w:val="center"/>
                    <w:rPr>
                      <w:rFonts w:hint="eastAsia"/>
                      <w:b/>
                      <w:bCs/>
                      <w:color w:val="auto"/>
                      <w:vertAlign w:val="baseline"/>
                      <w:lang w:val="en-US" w:eastAsia="zh-CN"/>
                    </w:rPr>
                  </w:pPr>
                </w:p>
              </w:tc>
              <w:tc>
                <w:tcPr>
                  <w:tcW w:w="814" w:type="pct"/>
                  <w:vMerge w:val="continue"/>
                  <w:tcBorders>
                    <w:bottom w:val="single" w:color="auto" w:sz="12" w:space="0"/>
                    <w:tl2br w:val="nil"/>
                    <w:tr2bl w:val="nil"/>
                  </w:tcBorders>
                  <w:noWrap w:val="0"/>
                  <w:vAlign w:val="center"/>
                </w:tcPr>
                <w:p w14:paraId="791C3A9A">
                  <w:pPr>
                    <w:bidi w:val="0"/>
                    <w:jc w:val="center"/>
                    <w:rPr>
                      <w:rFonts w:hint="eastAsia"/>
                      <w:b/>
                      <w:bCs/>
                      <w:color w:val="auto"/>
                      <w:vertAlign w:val="baseline"/>
                      <w:lang w:val="en-US" w:eastAsia="zh-CN"/>
                    </w:rPr>
                  </w:pPr>
                </w:p>
              </w:tc>
              <w:tc>
                <w:tcPr>
                  <w:tcW w:w="822" w:type="pct"/>
                  <w:vMerge w:val="continue"/>
                  <w:tcBorders>
                    <w:bottom w:val="single" w:color="auto" w:sz="12" w:space="0"/>
                    <w:tl2br w:val="nil"/>
                    <w:tr2bl w:val="nil"/>
                  </w:tcBorders>
                  <w:noWrap w:val="0"/>
                  <w:vAlign w:val="center"/>
                </w:tcPr>
                <w:p w14:paraId="2D9928E4">
                  <w:pPr>
                    <w:bidi w:val="0"/>
                    <w:jc w:val="center"/>
                    <w:rPr>
                      <w:rFonts w:hint="eastAsia"/>
                      <w:b/>
                      <w:bCs/>
                      <w:color w:val="auto"/>
                      <w:vertAlign w:val="baseline"/>
                      <w:lang w:val="en-US" w:eastAsia="zh-CN"/>
                    </w:rPr>
                  </w:pPr>
                </w:p>
              </w:tc>
              <w:tc>
                <w:tcPr>
                  <w:tcW w:w="251" w:type="pct"/>
                  <w:vMerge w:val="continue"/>
                  <w:tcBorders>
                    <w:bottom w:val="single" w:color="auto" w:sz="12" w:space="0"/>
                    <w:tl2br w:val="nil"/>
                    <w:tr2bl w:val="nil"/>
                  </w:tcBorders>
                  <w:noWrap w:val="0"/>
                  <w:vAlign w:val="center"/>
                </w:tcPr>
                <w:p w14:paraId="110EFD46">
                  <w:pPr>
                    <w:bidi w:val="0"/>
                    <w:jc w:val="center"/>
                    <w:rPr>
                      <w:rFonts w:hint="eastAsia"/>
                      <w:b/>
                      <w:bCs/>
                      <w:color w:val="auto"/>
                      <w:vertAlign w:val="baseline"/>
                      <w:lang w:val="en-US" w:eastAsia="zh-CN"/>
                    </w:rPr>
                  </w:pPr>
                </w:p>
              </w:tc>
              <w:tc>
                <w:tcPr>
                  <w:tcW w:w="676" w:type="pct"/>
                  <w:vMerge w:val="continue"/>
                  <w:tcBorders>
                    <w:bottom w:val="single" w:color="auto" w:sz="12" w:space="0"/>
                    <w:tl2br w:val="nil"/>
                    <w:tr2bl w:val="nil"/>
                  </w:tcBorders>
                  <w:noWrap w:val="0"/>
                  <w:vAlign w:val="center"/>
                </w:tcPr>
                <w:p w14:paraId="1D57C687">
                  <w:pPr>
                    <w:bidi w:val="0"/>
                    <w:jc w:val="center"/>
                    <w:rPr>
                      <w:rFonts w:hint="eastAsia"/>
                      <w:b/>
                      <w:bCs/>
                      <w:color w:val="auto"/>
                      <w:vertAlign w:val="baseline"/>
                      <w:lang w:val="en-US" w:eastAsia="zh-CN"/>
                    </w:rPr>
                  </w:pPr>
                </w:p>
              </w:tc>
              <w:tc>
                <w:tcPr>
                  <w:tcW w:w="1454" w:type="pct"/>
                  <w:tcBorders>
                    <w:bottom w:val="single" w:color="auto" w:sz="12" w:space="0"/>
                    <w:tl2br w:val="nil"/>
                    <w:tr2bl w:val="nil"/>
                  </w:tcBorders>
                  <w:noWrap w:val="0"/>
                  <w:vAlign w:val="center"/>
                </w:tcPr>
                <w:p w14:paraId="3C38C505">
                  <w:pPr>
                    <w:bidi w:val="0"/>
                    <w:jc w:val="left"/>
                    <w:rPr>
                      <w:rFonts w:hint="eastAsia" w:ascii="Times New Roman" w:hAnsi="Times New Roman" w:eastAsia="宋体" w:cs="Times New Roman"/>
                      <w:b/>
                      <w:bCs/>
                      <w:color w:val="auto"/>
                      <w:kern w:val="2"/>
                      <w:sz w:val="21"/>
                      <w:szCs w:val="24"/>
                      <w:vertAlign w:val="baseline"/>
                      <w:lang w:val="en-US" w:eastAsia="zh-CN" w:bidi="ar-SA"/>
                    </w:rPr>
                  </w:pPr>
                  <w:r>
                    <w:rPr>
                      <w:rFonts w:hint="eastAsia"/>
                      <w:b/>
                      <w:bCs/>
                      <w:color w:val="auto"/>
                      <w:vertAlign w:val="baseline"/>
                      <w:lang w:val="en-US" w:eastAsia="zh-CN"/>
                    </w:rPr>
                    <w:t>生态环境部办公厅关于印发《污染影响类建设项目重大变动清单（试行）》的通知（环办环评函〔2020〕688号）</w:t>
                  </w:r>
                </w:p>
              </w:tc>
              <w:tc>
                <w:tcPr>
                  <w:tcW w:w="499" w:type="pct"/>
                  <w:vMerge w:val="continue"/>
                  <w:tcBorders>
                    <w:bottom w:val="single" w:color="auto" w:sz="12" w:space="0"/>
                    <w:tl2br w:val="nil"/>
                    <w:tr2bl w:val="nil"/>
                  </w:tcBorders>
                  <w:noWrap w:val="0"/>
                  <w:vAlign w:val="center"/>
                </w:tcPr>
                <w:p w14:paraId="701B1BFC">
                  <w:pPr>
                    <w:bidi w:val="0"/>
                    <w:jc w:val="center"/>
                    <w:rPr>
                      <w:rFonts w:hint="eastAsia"/>
                      <w:color w:val="auto"/>
                      <w:vertAlign w:val="baseline"/>
                      <w:lang w:val="en-US" w:eastAsia="zh-CN"/>
                    </w:rPr>
                  </w:pPr>
                </w:p>
              </w:tc>
              <w:tc>
                <w:tcPr>
                  <w:tcW w:w="315" w:type="pct"/>
                  <w:vMerge w:val="continue"/>
                  <w:tcBorders>
                    <w:bottom w:val="single" w:color="auto" w:sz="12" w:space="0"/>
                    <w:tl2br w:val="nil"/>
                    <w:tr2bl w:val="nil"/>
                  </w:tcBorders>
                  <w:noWrap w:val="0"/>
                  <w:vAlign w:val="center"/>
                </w:tcPr>
                <w:p w14:paraId="52F63F6C">
                  <w:pPr>
                    <w:bidi w:val="0"/>
                    <w:jc w:val="center"/>
                    <w:rPr>
                      <w:rFonts w:hint="eastAsia"/>
                      <w:color w:val="auto"/>
                      <w:vertAlign w:val="baseline"/>
                      <w:lang w:val="en-US" w:eastAsia="zh-CN"/>
                    </w:rPr>
                  </w:pPr>
                </w:p>
              </w:tc>
            </w:tr>
            <w:tr w14:paraId="4748B7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 w:type="pct"/>
                  <w:tcBorders>
                    <w:top w:val="single" w:color="auto" w:sz="12" w:space="0"/>
                  </w:tcBorders>
                  <w:noWrap w:val="0"/>
                  <w:vAlign w:val="center"/>
                </w:tcPr>
                <w:p w14:paraId="4A3659AA">
                  <w:pPr>
                    <w:bidi w:val="0"/>
                    <w:jc w:val="center"/>
                    <w:rPr>
                      <w:rFonts w:hint="eastAsia"/>
                      <w:color w:val="auto"/>
                      <w:vertAlign w:val="baseline"/>
                      <w:lang w:val="en-US" w:eastAsia="zh-CN"/>
                    </w:rPr>
                  </w:pPr>
                  <w:r>
                    <w:rPr>
                      <w:rFonts w:hint="eastAsia"/>
                      <w:color w:val="auto"/>
                      <w:vertAlign w:val="baseline"/>
                      <w:lang w:val="en-US" w:eastAsia="zh-CN"/>
                    </w:rPr>
                    <w:t>性质</w:t>
                  </w:r>
                </w:p>
              </w:tc>
              <w:tc>
                <w:tcPr>
                  <w:tcW w:w="814" w:type="pct"/>
                  <w:tcBorders>
                    <w:top w:val="single" w:color="auto" w:sz="12" w:space="0"/>
                  </w:tcBorders>
                  <w:noWrap w:val="0"/>
                  <w:vAlign w:val="center"/>
                </w:tcPr>
                <w:p w14:paraId="70FBAC4D">
                  <w:pPr>
                    <w:bidi w:val="0"/>
                    <w:jc w:val="center"/>
                    <w:rPr>
                      <w:rFonts w:hint="eastAsia"/>
                      <w:color w:val="auto"/>
                      <w:vertAlign w:val="baseline"/>
                      <w:lang w:val="en-US" w:eastAsia="zh-CN"/>
                    </w:rPr>
                  </w:pPr>
                  <w:r>
                    <w:rPr>
                      <w:rFonts w:hint="eastAsia"/>
                      <w:color w:val="auto"/>
                      <w:vertAlign w:val="baseline"/>
                      <w:lang w:val="en-US" w:eastAsia="zh-CN"/>
                    </w:rPr>
                    <w:t>新建</w:t>
                  </w:r>
                </w:p>
              </w:tc>
              <w:tc>
                <w:tcPr>
                  <w:tcW w:w="822" w:type="pct"/>
                  <w:tcBorders>
                    <w:top w:val="single" w:color="auto" w:sz="12" w:space="0"/>
                  </w:tcBorders>
                  <w:noWrap w:val="0"/>
                  <w:vAlign w:val="center"/>
                </w:tcPr>
                <w:p w14:paraId="7F3CACA3">
                  <w:pPr>
                    <w:bidi w:val="0"/>
                    <w:jc w:val="center"/>
                    <w:rPr>
                      <w:rFonts w:hint="eastAsia"/>
                      <w:color w:val="auto"/>
                      <w:vertAlign w:val="baseline"/>
                      <w:lang w:val="en-US" w:eastAsia="zh-CN"/>
                    </w:rPr>
                  </w:pPr>
                  <w:r>
                    <w:rPr>
                      <w:rFonts w:hint="eastAsia"/>
                      <w:color w:val="auto"/>
                      <w:vertAlign w:val="baseline"/>
                      <w:lang w:val="en-US" w:eastAsia="zh-CN"/>
                    </w:rPr>
                    <w:t>新建</w:t>
                  </w:r>
                </w:p>
              </w:tc>
              <w:tc>
                <w:tcPr>
                  <w:tcW w:w="251" w:type="pct"/>
                  <w:tcBorders>
                    <w:top w:val="single" w:color="auto" w:sz="12" w:space="0"/>
                  </w:tcBorders>
                  <w:noWrap w:val="0"/>
                  <w:vAlign w:val="center"/>
                </w:tcPr>
                <w:p w14:paraId="6CFD5259">
                  <w:pPr>
                    <w:bidi w:val="0"/>
                    <w:jc w:val="center"/>
                    <w:rPr>
                      <w:rFonts w:hint="eastAsia"/>
                      <w:color w:val="auto"/>
                      <w:vertAlign w:val="baseline"/>
                      <w:lang w:val="en-US" w:eastAsia="zh-CN"/>
                    </w:rPr>
                  </w:pPr>
                  <w:r>
                    <w:rPr>
                      <w:rFonts w:hint="eastAsia"/>
                      <w:color w:val="auto"/>
                      <w:vertAlign w:val="baseline"/>
                      <w:lang w:val="en-US" w:eastAsia="zh-CN"/>
                    </w:rPr>
                    <w:t>否</w:t>
                  </w:r>
                </w:p>
              </w:tc>
              <w:tc>
                <w:tcPr>
                  <w:tcW w:w="676" w:type="pct"/>
                  <w:tcBorders>
                    <w:top w:val="single" w:color="auto" w:sz="12" w:space="0"/>
                  </w:tcBorders>
                  <w:noWrap w:val="0"/>
                  <w:vAlign w:val="center"/>
                </w:tcPr>
                <w:p w14:paraId="3F80DC91">
                  <w:pPr>
                    <w:bidi w:val="0"/>
                    <w:jc w:val="center"/>
                    <w:rPr>
                      <w:rFonts w:hint="default"/>
                      <w:color w:val="auto"/>
                      <w:vertAlign w:val="baseline"/>
                      <w:lang w:val="en-US" w:eastAsia="zh-CN"/>
                    </w:rPr>
                  </w:pPr>
                  <w:r>
                    <w:rPr>
                      <w:rFonts w:hint="eastAsia"/>
                      <w:color w:val="auto"/>
                      <w:vertAlign w:val="baseline"/>
                      <w:lang w:val="en-US" w:eastAsia="zh-CN"/>
                    </w:rPr>
                    <w:t>/</w:t>
                  </w:r>
                </w:p>
              </w:tc>
              <w:tc>
                <w:tcPr>
                  <w:tcW w:w="1454" w:type="pct"/>
                  <w:tcBorders>
                    <w:top w:val="single" w:color="auto" w:sz="12" w:space="0"/>
                  </w:tcBorders>
                  <w:noWrap w:val="0"/>
                  <w:vAlign w:val="center"/>
                </w:tcPr>
                <w:p w14:paraId="252A3B7B">
                  <w:pPr>
                    <w:bidi w:val="0"/>
                    <w:jc w:val="left"/>
                    <w:rPr>
                      <w:rFonts w:hint="eastAsia"/>
                      <w:color w:val="auto"/>
                      <w:vertAlign w:val="baseline"/>
                      <w:lang w:val="en-US" w:eastAsia="zh-CN"/>
                    </w:rPr>
                  </w:pPr>
                  <w:r>
                    <w:rPr>
                      <w:rFonts w:hint="eastAsia"/>
                      <w:color w:val="auto"/>
                      <w:vertAlign w:val="baseline"/>
                      <w:lang w:val="en-US" w:eastAsia="zh-CN"/>
                    </w:rPr>
                    <w:t>1、建设项目开发、使用功能发生变化的。</w:t>
                  </w:r>
                </w:p>
              </w:tc>
              <w:tc>
                <w:tcPr>
                  <w:tcW w:w="499" w:type="pct"/>
                  <w:tcBorders>
                    <w:top w:val="single" w:color="auto" w:sz="12" w:space="0"/>
                  </w:tcBorders>
                  <w:noWrap w:val="0"/>
                  <w:vAlign w:val="center"/>
                </w:tcPr>
                <w:p w14:paraId="07528105">
                  <w:pPr>
                    <w:bidi w:val="0"/>
                    <w:jc w:val="center"/>
                    <w:rPr>
                      <w:rFonts w:hint="eastAsia"/>
                      <w:color w:val="auto"/>
                      <w:vertAlign w:val="baseline"/>
                      <w:lang w:val="en-US" w:eastAsia="zh-CN"/>
                    </w:rPr>
                  </w:pPr>
                  <w:r>
                    <w:rPr>
                      <w:rFonts w:hint="eastAsia"/>
                      <w:color w:val="auto"/>
                      <w:vertAlign w:val="baseline"/>
                      <w:lang w:val="en-US" w:eastAsia="zh-CN"/>
                    </w:rPr>
                    <w:t>项目性质未变化</w:t>
                  </w:r>
                </w:p>
              </w:tc>
              <w:tc>
                <w:tcPr>
                  <w:tcW w:w="315" w:type="pct"/>
                  <w:tcBorders>
                    <w:top w:val="single" w:color="auto" w:sz="12" w:space="0"/>
                  </w:tcBorders>
                  <w:noWrap w:val="0"/>
                  <w:vAlign w:val="center"/>
                </w:tcPr>
                <w:p w14:paraId="1D229726">
                  <w:pPr>
                    <w:bidi w:val="0"/>
                    <w:jc w:val="center"/>
                    <w:rPr>
                      <w:rFonts w:hint="eastAsia"/>
                      <w:color w:val="auto"/>
                      <w:vertAlign w:val="baseline"/>
                      <w:lang w:val="en-US" w:eastAsia="zh-CN"/>
                    </w:rPr>
                  </w:pPr>
                  <w:r>
                    <w:rPr>
                      <w:rFonts w:hint="eastAsia"/>
                      <w:color w:val="auto"/>
                      <w:vertAlign w:val="baseline"/>
                      <w:lang w:val="en-US" w:eastAsia="zh-CN"/>
                    </w:rPr>
                    <w:t>否</w:t>
                  </w:r>
                </w:p>
              </w:tc>
            </w:tr>
            <w:tr w14:paraId="61CDDE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 w:type="pct"/>
                  <w:tcBorders>
                    <w:tl2br w:val="nil"/>
                    <w:tr2bl w:val="nil"/>
                  </w:tcBorders>
                  <w:noWrap w:val="0"/>
                  <w:vAlign w:val="center"/>
                </w:tcPr>
                <w:p w14:paraId="44D03502">
                  <w:pPr>
                    <w:bidi w:val="0"/>
                    <w:jc w:val="center"/>
                    <w:rPr>
                      <w:rFonts w:hint="eastAsia"/>
                      <w:color w:val="auto"/>
                      <w:vertAlign w:val="baseline"/>
                      <w:lang w:val="en-US" w:eastAsia="zh-CN"/>
                    </w:rPr>
                  </w:pPr>
                  <w:r>
                    <w:rPr>
                      <w:rFonts w:hint="eastAsia"/>
                      <w:color w:val="auto"/>
                      <w:vertAlign w:val="baseline"/>
                      <w:lang w:val="en-US" w:eastAsia="zh-CN"/>
                    </w:rPr>
                    <w:t>规模</w:t>
                  </w:r>
                </w:p>
              </w:tc>
              <w:tc>
                <w:tcPr>
                  <w:tcW w:w="814" w:type="pct"/>
                  <w:tcBorders>
                    <w:tl2br w:val="nil"/>
                    <w:tr2bl w:val="nil"/>
                  </w:tcBorders>
                  <w:noWrap w:val="0"/>
                  <w:vAlign w:val="center"/>
                </w:tcPr>
                <w:p w14:paraId="400B5AA3">
                  <w:pPr>
                    <w:bidi w:val="0"/>
                    <w:jc w:val="center"/>
                    <w:rPr>
                      <w:rFonts w:hint="eastAsia"/>
                      <w:color w:val="auto"/>
                      <w:vertAlign w:val="baseline"/>
                      <w:lang w:val="en-US" w:eastAsia="zh-CN"/>
                    </w:rPr>
                  </w:pPr>
                  <w:r>
                    <w:rPr>
                      <w:rFonts w:hint="eastAsia" w:ascii="Times New Roman" w:hAnsi="Times New Roman" w:eastAsia="宋体" w:cs="Times New Roman"/>
                      <w:color w:val="auto"/>
                      <w:vertAlign w:val="baseline"/>
                      <w:lang w:val="en-US" w:eastAsia="zh-CN"/>
                    </w:rPr>
                    <w:t>年产</w:t>
                  </w:r>
                  <w:r>
                    <w:rPr>
                      <w:rFonts w:hint="default" w:ascii="Times New Roman" w:hAnsi="Times New Roman" w:eastAsia="宋体" w:cs="Times New Roman"/>
                      <w:color w:val="auto"/>
                      <w:vertAlign w:val="baseline"/>
                      <w:lang w:val="en-US" w:eastAsia="zh-CN"/>
                    </w:rPr>
                    <w:t>6000万片退热贴、900万瓶生理性海水鼻腔喷雾剂和300万</w:t>
                  </w:r>
                  <w:r>
                    <w:rPr>
                      <w:rFonts w:hint="eastAsia" w:ascii="Times New Roman" w:hAnsi="Times New Roman" w:eastAsia="宋体" w:cs="Times New Roman"/>
                      <w:color w:val="auto"/>
                      <w:vertAlign w:val="baseline"/>
                      <w:lang w:val="en-US" w:eastAsia="zh-CN"/>
                    </w:rPr>
                    <w:t>只</w:t>
                  </w:r>
                  <w:r>
                    <w:rPr>
                      <w:rFonts w:hint="default" w:ascii="Times New Roman" w:hAnsi="Times New Roman" w:eastAsia="宋体" w:cs="Times New Roman"/>
                      <w:color w:val="auto"/>
                      <w:vertAlign w:val="baseline"/>
                      <w:lang w:val="en-US" w:eastAsia="zh-CN"/>
                    </w:rPr>
                    <w:t>贴医用硅酮疤痕凝胶</w:t>
                  </w:r>
                </w:p>
              </w:tc>
              <w:tc>
                <w:tcPr>
                  <w:tcW w:w="822" w:type="pct"/>
                  <w:tcBorders>
                    <w:tl2br w:val="nil"/>
                    <w:tr2bl w:val="nil"/>
                  </w:tcBorders>
                  <w:noWrap w:val="0"/>
                  <w:vAlign w:val="center"/>
                </w:tcPr>
                <w:p w14:paraId="169C4819">
                  <w:pPr>
                    <w:bidi w:val="0"/>
                    <w:jc w:val="center"/>
                    <w:rPr>
                      <w:rFonts w:hint="default" w:eastAsia="宋体"/>
                      <w:color w:val="auto"/>
                      <w:vertAlign w:val="baseline"/>
                      <w:lang w:val="en-US" w:eastAsia="zh-CN"/>
                    </w:rPr>
                  </w:pPr>
                  <w:r>
                    <w:rPr>
                      <w:rFonts w:hint="eastAsia" w:ascii="Times New Roman" w:hAnsi="Times New Roman" w:eastAsia="宋体" w:cs="Times New Roman"/>
                      <w:color w:val="auto"/>
                      <w:vertAlign w:val="baseline"/>
                      <w:lang w:val="en-US" w:eastAsia="zh-CN"/>
                    </w:rPr>
                    <w:t>产</w:t>
                  </w:r>
                  <w:r>
                    <w:rPr>
                      <w:rFonts w:hint="default" w:ascii="Times New Roman" w:hAnsi="Times New Roman" w:eastAsia="宋体" w:cs="Times New Roman"/>
                      <w:color w:val="auto"/>
                      <w:vertAlign w:val="baseline"/>
                      <w:lang w:val="en-US" w:eastAsia="zh-CN"/>
                    </w:rPr>
                    <w:t>6000万片退热贴、900万瓶生理性海水鼻腔喷雾剂</w:t>
                  </w:r>
                  <w:r>
                    <w:rPr>
                      <w:rFonts w:hint="eastAsia" w:ascii="Times New Roman" w:hAnsi="Times New Roman" w:eastAsia="宋体" w:cs="Times New Roman"/>
                      <w:color w:val="auto"/>
                      <w:vertAlign w:val="baseline"/>
                      <w:lang w:val="en-US" w:eastAsia="zh-CN"/>
                    </w:rPr>
                    <w:t>、</w:t>
                  </w:r>
                  <w:r>
                    <w:rPr>
                      <w:rFonts w:hint="default" w:ascii="Times New Roman" w:hAnsi="Times New Roman" w:eastAsia="宋体" w:cs="Times New Roman"/>
                      <w:color w:val="auto"/>
                      <w:vertAlign w:val="baseline"/>
                      <w:lang w:val="en-US" w:eastAsia="zh-CN"/>
                    </w:rPr>
                    <w:t>300万</w:t>
                  </w:r>
                  <w:r>
                    <w:rPr>
                      <w:rFonts w:hint="eastAsia" w:ascii="Times New Roman" w:hAnsi="Times New Roman" w:eastAsia="宋体" w:cs="Times New Roman"/>
                      <w:color w:val="auto"/>
                      <w:vertAlign w:val="baseline"/>
                      <w:lang w:val="en-US" w:eastAsia="zh-CN"/>
                    </w:rPr>
                    <w:t>只</w:t>
                  </w:r>
                  <w:r>
                    <w:rPr>
                      <w:rFonts w:hint="default" w:ascii="Times New Roman" w:hAnsi="Times New Roman" w:eastAsia="宋体" w:cs="Times New Roman"/>
                      <w:color w:val="auto"/>
                      <w:vertAlign w:val="baseline"/>
                      <w:lang w:val="en-US" w:eastAsia="zh-CN"/>
                    </w:rPr>
                    <w:t>贴医用硅酮疤痕凝胶</w:t>
                  </w:r>
                  <w:r>
                    <w:rPr>
                      <w:rFonts w:hint="eastAsia" w:ascii="Times New Roman" w:hAnsi="Times New Roman" w:eastAsia="宋体" w:cs="Times New Roman"/>
                      <w:color w:val="auto"/>
                      <w:vertAlign w:val="baseline"/>
                      <w:lang w:val="en-US" w:eastAsia="zh-CN"/>
                    </w:rPr>
                    <w:t>、</w:t>
                  </w:r>
                  <w:r>
                    <w:rPr>
                      <w:rFonts w:hint="eastAsia"/>
                      <w:color w:val="auto"/>
                      <w:szCs w:val="21"/>
                    </w:rPr>
                    <w:t>5000万</w:t>
                  </w:r>
                  <w:r>
                    <w:rPr>
                      <w:rFonts w:hint="default" w:ascii="Times New Roman" w:hAnsi="Times New Roman" w:eastAsia="宋体" w:cs="Times New Roman"/>
                      <w:color w:val="auto"/>
                      <w:vertAlign w:val="baseline"/>
                      <w:lang w:val="en-US" w:eastAsia="zh-CN"/>
                    </w:rPr>
                    <w:t>贴</w:t>
                  </w:r>
                  <w:r>
                    <w:rPr>
                      <w:rFonts w:hint="eastAsia"/>
                      <w:color w:val="auto"/>
                      <w:szCs w:val="19"/>
                      <w:lang w:bidi="ar"/>
                    </w:rPr>
                    <w:t>穴位压力刺激贴</w:t>
                  </w:r>
                  <w:r>
                    <w:rPr>
                      <w:rFonts w:hint="eastAsia"/>
                      <w:color w:val="auto"/>
                      <w:szCs w:val="19"/>
                      <w:lang w:eastAsia="zh-CN" w:bidi="ar"/>
                    </w:rPr>
                    <w:t>、</w:t>
                  </w:r>
                  <w:r>
                    <w:rPr>
                      <w:rFonts w:hint="eastAsia"/>
                      <w:color w:val="auto"/>
                      <w:szCs w:val="21"/>
                    </w:rPr>
                    <w:t>5000万</w:t>
                  </w:r>
                  <w:r>
                    <w:rPr>
                      <w:rFonts w:hint="default" w:ascii="Times New Roman" w:hAnsi="Times New Roman" w:eastAsia="宋体" w:cs="Times New Roman"/>
                      <w:color w:val="auto"/>
                      <w:vertAlign w:val="baseline"/>
                      <w:lang w:val="en-US" w:eastAsia="zh-CN"/>
                    </w:rPr>
                    <w:t>贴</w:t>
                  </w:r>
                  <w:r>
                    <w:rPr>
                      <w:rFonts w:hint="eastAsia"/>
                      <w:color w:val="auto"/>
                      <w:szCs w:val="19"/>
                      <w:lang w:bidi="ar"/>
                    </w:rPr>
                    <w:t>通气鼻贴</w:t>
                  </w:r>
                  <w:r>
                    <w:rPr>
                      <w:rFonts w:hint="eastAsia"/>
                      <w:color w:val="auto"/>
                      <w:szCs w:val="19"/>
                      <w:lang w:eastAsia="zh-CN" w:bidi="ar"/>
                    </w:rPr>
                    <w:t>、</w:t>
                  </w:r>
                  <w:r>
                    <w:rPr>
                      <w:rFonts w:hint="eastAsia"/>
                      <w:color w:val="auto"/>
                      <w:szCs w:val="21"/>
                    </w:rPr>
                    <w:t>500万</w:t>
                  </w:r>
                  <w:r>
                    <w:rPr>
                      <w:rFonts w:hint="eastAsia"/>
                      <w:color w:val="auto"/>
                      <w:szCs w:val="21"/>
                      <w:lang w:eastAsia="zh-CN"/>
                    </w:rPr>
                    <w:t>片</w:t>
                  </w:r>
                  <w:r>
                    <w:rPr>
                      <w:rFonts w:hint="eastAsia"/>
                      <w:color w:val="auto"/>
                      <w:szCs w:val="19"/>
                      <w:lang w:bidi="ar"/>
                    </w:rPr>
                    <w:t>重组胶原蛋白贴</w:t>
                  </w:r>
                  <w:r>
                    <w:rPr>
                      <w:rFonts w:hint="eastAsia"/>
                      <w:color w:val="auto"/>
                      <w:szCs w:val="19"/>
                      <w:lang w:eastAsia="zh-CN" w:bidi="ar"/>
                    </w:rPr>
                    <w:t>、</w:t>
                  </w:r>
                  <w:r>
                    <w:rPr>
                      <w:rFonts w:hint="eastAsia"/>
                      <w:color w:val="auto"/>
                      <w:szCs w:val="21"/>
                    </w:rPr>
                    <w:t>200万瓶</w:t>
                  </w:r>
                  <w:r>
                    <w:rPr>
                      <w:rFonts w:hint="eastAsia"/>
                      <w:color w:val="auto"/>
                      <w:szCs w:val="19"/>
                      <w:lang w:bidi="ar"/>
                    </w:rPr>
                    <w:t>壳聚糖止血粉</w:t>
                  </w:r>
                  <w:r>
                    <w:rPr>
                      <w:rFonts w:hint="eastAsia"/>
                      <w:color w:val="auto"/>
                      <w:szCs w:val="19"/>
                      <w:lang w:eastAsia="zh-CN" w:bidi="ar"/>
                    </w:rPr>
                    <w:t>、</w:t>
                  </w:r>
                  <w:r>
                    <w:rPr>
                      <w:rFonts w:hint="eastAsia"/>
                      <w:color w:val="auto"/>
                      <w:szCs w:val="21"/>
                    </w:rPr>
                    <w:t>500万片</w:t>
                  </w:r>
                  <w:r>
                    <w:rPr>
                      <w:rFonts w:hint="eastAsia"/>
                      <w:color w:val="auto"/>
                      <w:szCs w:val="19"/>
                      <w:lang w:bidi="ar"/>
                    </w:rPr>
                    <w:t>医用透明质酸钠敷贴</w:t>
                  </w:r>
                  <w:r>
                    <w:rPr>
                      <w:rFonts w:hint="eastAsia"/>
                      <w:color w:val="auto"/>
                      <w:szCs w:val="19"/>
                      <w:lang w:eastAsia="zh-CN" w:bidi="ar"/>
                    </w:rPr>
                    <w:t>、</w:t>
                  </w:r>
                  <w:r>
                    <w:rPr>
                      <w:rFonts w:hint="eastAsia"/>
                      <w:color w:val="auto"/>
                      <w:szCs w:val="21"/>
                    </w:rPr>
                    <w:t>5000万贴</w:t>
                  </w:r>
                  <w:r>
                    <w:rPr>
                      <w:rFonts w:hint="eastAsia"/>
                      <w:color w:val="auto"/>
                      <w:szCs w:val="19"/>
                      <w:lang w:bidi="ar"/>
                    </w:rPr>
                    <w:t>创口贴</w:t>
                  </w:r>
                  <w:r>
                    <w:rPr>
                      <w:rFonts w:hint="eastAsia"/>
                      <w:color w:val="auto"/>
                      <w:szCs w:val="19"/>
                      <w:lang w:eastAsia="zh-CN" w:bidi="ar"/>
                    </w:rPr>
                    <w:t>、</w:t>
                  </w:r>
                  <w:r>
                    <w:rPr>
                      <w:rFonts w:hint="eastAsia"/>
                      <w:color w:val="auto"/>
                      <w:szCs w:val="21"/>
                    </w:rPr>
                    <w:t>2000万</w:t>
                  </w:r>
                  <w:r>
                    <w:rPr>
                      <w:rFonts w:hint="default" w:ascii="Times New Roman" w:hAnsi="Times New Roman" w:eastAsia="宋体" w:cs="Times New Roman"/>
                      <w:color w:val="auto"/>
                      <w:vertAlign w:val="baseline"/>
                      <w:lang w:val="en-US" w:eastAsia="zh-CN"/>
                    </w:rPr>
                    <w:t>贴</w:t>
                  </w:r>
                  <w:r>
                    <w:rPr>
                      <w:rFonts w:hint="eastAsia"/>
                      <w:color w:val="auto"/>
                      <w:szCs w:val="19"/>
                      <w:lang w:bidi="ar"/>
                    </w:rPr>
                    <w:t>晕车贴</w:t>
                  </w:r>
                  <w:r>
                    <w:rPr>
                      <w:rFonts w:hint="eastAsia"/>
                      <w:color w:val="auto"/>
                      <w:szCs w:val="19"/>
                      <w:lang w:eastAsia="zh-CN" w:bidi="ar"/>
                    </w:rPr>
                    <w:t>、</w:t>
                  </w:r>
                  <w:r>
                    <w:rPr>
                      <w:rFonts w:hint="eastAsia"/>
                      <w:color w:val="auto"/>
                      <w:szCs w:val="21"/>
                    </w:rPr>
                    <w:t>4000万</w:t>
                  </w:r>
                  <w:r>
                    <w:rPr>
                      <w:rFonts w:hint="default" w:ascii="Times New Roman" w:hAnsi="Times New Roman" w:eastAsia="宋体" w:cs="Times New Roman"/>
                      <w:color w:val="auto"/>
                      <w:vertAlign w:val="baseline"/>
                      <w:lang w:val="en-US" w:eastAsia="zh-CN"/>
                    </w:rPr>
                    <w:t>贴</w:t>
                  </w:r>
                  <w:r>
                    <w:rPr>
                      <w:rFonts w:hint="eastAsia"/>
                      <w:color w:val="auto"/>
                      <w:szCs w:val="19"/>
                      <w:lang w:bidi="ar"/>
                    </w:rPr>
                    <w:t>三伏贴</w:t>
                  </w:r>
                  <w:r>
                    <w:rPr>
                      <w:rFonts w:hint="eastAsia"/>
                      <w:color w:val="auto"/>
                      <w:szCs w:val="19"/>
                      <w:lang w:eastAsia="zh-CN" w:bidi="ar"/>
                    </w:rPr>
                    <w:t>、</w:t>
                  </w:r>
                  <w:r>
                    <w:rPr>
                      <w:rFonts w:hint="eastAsia"/>
                      <w:color w:val="auto"/>
                      <w:szCs w:val="21"/>
                      <w:lang w:val="en-US" w:eastAsia="zh-CN"/>
                    </w:rPr>
                    <w:t>2000</w:t>
                  </w:r>
                  <w:r>
                    <w:rPr>
                      <w:rFonts w:hint="eastAsia"/>
                      <w:color w:val="auto"/>
                      <w:szCs w:val="21"/>
                    </w:rPr>
                    <w:t>万贴</w:t>
                  </w:r>
                  <w:r>
                    <w:rPr>
                      <w:rFonts w:hint="eastAsia"/>
                      <w:color w:val="auto"/>
                      <w:szCs w:val="19"/>
                      <w:lang w:val="en-US" w:eastAsia="zh-CN" w:bidi="ar"/>
                    </w:rPr>
                    <w:t>冰凉贴</w:t>
                  </w:r>
                </w:p>
              </w:tc>
              <w:tc>
                <w:tcPr>
                  <w:tcW w:w="251" w:type="pct"/>
                  <w:tcBorders>
                    <w:tl2br w:val="nil"/>
                    <w:tr2bl w:val="nil"/>
                  </w:tcBorders>
                  <w:noWrap w:val="0"/>
                  <w:vAlign w:val="center"/>
                </w:tcPr>
                <w:p w14:paraId="6A75498F">
                  <w:pPr>
                    <w:bidi w:val="0"/>
                    <w:jc w:val="center"/>
                    <w:rPr>
                      <w:rFonts w:hint="eastAsia"/>
                      <w:color w:val="auto"/>
                      <w:vertAlign w:val="baseline"/>
                      <w:lang w:val="en-US" w:eastAsia="zh-CN"/>
                    </w:rPr>
                  </w:pPr>
                  <w:r>
                    <w:rPr>
                      <w:rFonts w:hint="eastAsia"/>
                      <w:color w:val="auto"/>
                      <w:vertAlign w:val="baseline"/>
                      <w:lang w:val="en-US" w:eastAsia="zh-CN"/>
                    </w:rPr>
                    <w:t>是</w:t>
                  </w:r>
                </w:p>
              </w:tc>
              <w:tc>
                <w:tcPr>
                  <w:tcW w:w="676" w:type="pct"/>
                  <w:tcBorders>
                    <w:tl2br w:val="nil"/>
                    <w:tr2bl w:val="nil"/>
                  </w:tcBorders>
                  <w:noWrap w:val="0"/>
                  <w:vAlign w:val="center"/>
                </w:tcPr>
                <w:p w14:paraId="361E38A1">
                  <w:pPr>
                    <w:bidi w:val="0"/>
                    <w:jc w:val="center"/>
                    <w:rPr>
                      <w:rFonts w:hint="default"/>
                      <w:color w:val="auto"/>
                      <w:vertAlign w:val="baseline"/>
                      <w:lang w:val="en-US" w:eastAsia="zh-CN"/>
                    </w:rPr>
                  </w:pPr>
                  <w:r>
                    <w:rPr>
                      <w:rFonts w:hint="eastAsia"/>
                      <w:color w:val="auto"/>
                      <w:vertAlign w:val="baseline"/>
                      <w:lang w:val="en-US" w:eastAsia="zh-CN"/>
                    </w:rPr>
                    <w:t>项目规模发生变化，增加产品</w:t>
                  </w:r>
                  <w:r>
                    <w:rPr>
                      <w:rFonts w:hint="eastAsia"/>
                      <w:color w:val="auto"/>
                      <w:szCs w:val="21"/>
                    </w:rPr>
                    <w:t>5000万</w:t>
                  </w:r>
                  <w:r>
                    <w:rPr>
                      <w:rFonts w:hint="default" w:ascii="Times New Roman" w:hAnsi="Times New Roman" w:eastAsia="宋体" w:cs="Times New Roman"/>
                      <w:color w:val="auto"/>
                      <w:vertAlign w:val="baseline"/>
                      <w:lang w:val="en-US" w:eastAsia="zh-CN"/>
                    </w:rPr>
                    <w:t>贴</w:t>
                  </w:r>
                  <w:r>
                    <w:rPr>
                      <w:rFonts w:hint="eastAsia"/>
                      <w:color w:val="auto"/>
                      <w:szCs w:val="19"/>
                      <w:lang w:bidi="ar"/>
                    </w:rPr>
                    <w:t>穴位压力刺激贴</w:t>
                  </w:r>
                  <w:r>
                    <w:rPr>
                      <w:rFonts w:hint="eastAsia"/>
                      <w:color w:val="auto"/>
                      <w:szCs w:val="19"/>
                      <w:lang w:eastAsia="zh-CN" w:bidi="ar"/>
                    </w:rPr>
                    <w:t>、</w:t>
                  </w:r>
                  <w:r>
                    <w:rPr>
                      <w:rFonts w:hint="eastAsia"/>
                      <w:color w:val="auto"/>
                      <w:szCs w:val="21"/>
                    </w:rPr>
                    <w:t>5000万</w:t>
                  </w:r>
                  <w:r>
                    <w:rPr>
                      <w:rFonts w:hint="default" w:ascii="Times New Roman" w:hAnsi="Times New Roman" w:eastAsia="宋体" w:cs="Times New Roman"/>
                      <w:color w:val="auto"/>
                      <w:vertAlign w:val="baseline"/>
                      <w:lang w:val="en-US" w:eastAsia="zh-CN"/>
                    </w:rPr>
                    <w:t>贴</w:t>
                  </w:r>
                  <w:r>
                    <w:rPr>
                      <w:rFonts w:hint="eastAsia"/>
                      <w:color w:val="auto"/>
                      <w:szCs w:val="19"/>
                      <w:lang w:bidi="ar"/>
                    </w:rPr>
                    <w:t>通气鼻贴</w:t>
                  </w:r>
                  <w:r>
                    <w:rPr>
                      <w:rFonts w:hint="eastAsia"/>
                      <w:color w:val="auto"/>
                      <w:szCs w:val="19"/>
                      <w:lang w:eastAsia="zh-CN" w:bidi="ar"/>
                    </w:rPr>
                    <w:t>、</w:t>
                  </w:r>
                  <w:r>
                    <w:rPr>
                      <w:rFonts w:hint="eastAsia"/>
                      <w:color w:val="auto"/>
                      <w:szCs w:val="21"/>
                    </w:rPr>
                    <w:t>500万</w:t>
                  </w:r>
                  <w:r>
                    <w:rPr>
                      <w:rFonts w:hint="eastAsia"/>
                      <w:color w:val="auto"/>
                      <w:szCs w:val="21"/>
                      <w:lang w:eastAsia="zh-CN"/>
                    </w:rPr>
                    <w:t>片</w:t>
                  </w:r>
                  <w:r>
                    <w:rPr>
                      <w:rFonts w:hint="eastAsia"/>
                      <w:color w:val="auto"/>
                      <w:szCs w:val="19"/>
                      <w:lang w:bidi="ar"/>
                    </w:rPr>
                    <w:t>重组胶原蛋白贴</w:t>
                  </w:r>
                  <w:r>
                    <w:rPr>
                      <w:rFonts w:hint="eastAsia"/>
                      <w:color w:val="auto"/>
                      <w:szCs w:val="19"/>
                      <w:lang w:eastAsia="zh-CN" w:bidi="ar"/>
                    </w:rPr>
                    <w:t>、</w:t>
                  </w:r>
                  <w:r>
                    <w:rPr>
                      <w:rFonts w:hint="eastAsia"/>
                      <w:color w:val="auto"/>
                      <w:szCs w:val="21"/>
                    </w:rPr>
                    <w:t>200万瓶</w:t>
                  </w:r>
                  <w:r>
                    <w:rPr>
                      <w:rFonts w:hint="eastAsia"/>
                      <w:color w:val="auto"/>
                      <w:szCs w:val="19"/>
                      <w:lang w:bidi="ar"/>
                    </w:rPr>
                    <w:t>壳聚糖止血粉</w:t>
                  </w:r>
                  <w:r>
                    <w:rPr>
                      <w:rFonts w:hint="eastAsia"/>
                      <w:color w:val="auto"/>
                      <w:szCs w:val="19"/>
                      <w:lang w:eastAsia="zh-CN" w:bidi="ar"/>
                    </w:rPr>
                    <w:t>、</w:t>
                  </w:r>
                  <w:r>
                    <w:rPr>
                      <w:rFonts w:hint="eastAsia"/>
                      <w:color w:val="auto"/>
                      <w:szCs w:val="21"/>
                    </w:rPr>
                    <w:t>500万片</w:t>
                  </w:r>
                  <w:r>
                    <w:rPr>
                      <w:rFonts w:hint="eastAsia"/>
                      <w:color w:val="auto"/>
                      <w:szCs w:val="19"/>
                      <w:lang w:bidi="ar"/>
                    </w:rPr>
                    <w:t>医用透明质酸钠敷贴</w:t>
                  </w:r>
                  <w:r>
                    <w:rPr>
                      <w:rFonts w:hint="eastAsia"/>
                      <w:color w:val="auto"/>
                      <w:szCs w:val="19"/>
                      <w:lang w:eastAsia="zh-CN" w:bidi="ar"/>
                    </w:rPr>
                    <w:t>、</w:t>
                  </w:r>
                  <w:r>
                    <w:rPr>
                      <w:rFonts w:hint="eastAsia"/>
                      <w:color w:val="auto"/>
                      <w:szCs w:val="21"/>
                    </w:rPr>
                    <w:t>5000万贴</w:t>
                  </w:r>
                  <w:r>
                    <w:rPr>
                      <w:rFonts w:hint="eastAsia"/>
                      <w:color w:val="auto"/>
                      <w:szCs w:val="19"/>
                      <w:lang w:bidi="ar"/>
                    </w:rPr>
                    <w:t>创口贴</w:t>
                  </w:r>
                  <w:r>
                    <w:rPr>
                      <w:rFonts w:hint="eastAsia"/>
                      <w:color w:val="auto"/>
                      <w:szCs w:val="19"/>
                      <w:lang w:eastAsia="zh-CN" w:bidi="ar"/>
                    </w:rPr>
                    <w:t>、</w:t>
                  </w:r>
                  <w:r>
                    <w:rPr>
                      <w:rFonts w:hint="eastAsia"/>
                      <w:color w:val="auto"/>
                      <w:szCs w:val="21"/>
                    </w:rPr>
                    <w:t>2000万</w:t>
                  </w:r>
                  <w:r>
                    <w:rPr>
                      <w:rFonts w:hint="default" w:ascii="Times New Roman" w:hAnsi="Times New Roman" w:eastAsia="宋体" w:cs="Times New Roman"/>
                      <w:color w:val="auto"/>
                      <w:vertAlign w:val="baseline"/>
                      <w:lang w:val="en-US" w:eastAsia="zh-CN"/>
                    </w:rPr>
                    <w:t>贴</w:t>
                  </w:r>
                  <w:r>
                    <w:rPr>
                      <w:rFonts w:hint="eastAsia"/>
                      <w:color w:val="auto"/>
                      <w:szCs w:val="19"/>
                      <w:lang w:bidi="ar"/>
                    </w:rPr>
                    <w:t>晕车贴</w:t>
                  </w:r>
                  <w:r>
                    <w:rPr>
                      <w:rFonts w:hint="eastAsia"/>
                      <w:color w:val="auto"/>
                      <w:szCs w:val="19"/>
                      <w:lang w:eastAsia="zh-CN" w:bidi="ar"/>
                    </w:rPr>
                    <w:t>、</w:t>
                  </w:r>
                  <w:r>
                    <w:rPr>
                      <w:rFonts w:hint="eastAsia"/>
                      <w:color w:val="auto"/>
                      <w:szCs w:val="21"/>
                    </w:rPr>
                    <w:t>4000万</w:t>
                  </w:r>
                  <w:r>
                    <w:rPr>
                      <w:rFonts w:hint="default" w:ascii="Times New Roman" w:hAnsi="Times New Roman" w:eastAsia="宋体" w:cs="Times New Roman"/>
                      <w:color w:val="auto"/>
                      <w:vertAlign w:val="baseline"/>
                      <w:lang w:val="en-US" w:eastAsia="zh-CN"/>
                    </w:rPr>
                    <w:t>贴</w:t>
                  </w:r>
                  <w:r>
                    <w:rPr>
                      <w:rFonts w:hint="eastAsia"/>
                      <w:color w:val="auto"/>
                      <w:szCs w:val="19"/>
                      <w:lang w:bidi="ar"/>
                    </w:rPr>
                    <w:t>三伏贴</w:t>
                  </w:r>
                  <w:r>
                    <w:rPr>
                      <w:rFonts w:hint="eastAsia"/>
                      <w:color w:val="auto"/>
                      <w:szCs w:val="19"/>
                      <w:lang w:eastAsia="zh-CN" w:bidi="ar"/>
                    </w:rPr>
                    <w:t>、</w:t>
                  </w:r>
                  <w:r>
                    <w:rPr>
                      <w:rFonts w:hint="eastAsia"/>
                      <w:color w:val="auto"/>
                      <w:szCs w:val="21"/>
                      <w:lang w:val="en-US" w:eastAsia="zh-CN"/>
                    </w:rPr>
                    <w:t>2000</w:t>
                  </w:r>
                  <w:r>
                    <w:rPr>
                      <w:rFonts w:hint="eastAsia"/>
                      <w:color w:val="auto"/>
                      <w:szCs w:val="21"/>
                    </w:rPr>
                    <w:t>万贴</w:t>
                  </w:r>
                  <w:r>
                    <w:rPr>
                      <w:rFonts w:hint="eastAsia"/>
                      <w:color w:val="auto"/>
                      <w:szCs w:val="19"/>
                      <w:lang w:val="en-US" w:eastAsia="zh-CN" w:bidi="ar"/>
                    </w:rPr>
                    <w:t>冰凉贴</w:t>
                  </w:r>
                </w:p>
              </w:tc>
              <w:tc>
                <w:tcPr>
                  <w:tcW w:w="1454" w:type="pct"/>
                  <w:tcBorders>
                    <w:tl2br w:val="nil"/>
                    <w:tr2bl w:val="nil"/>
                  </w:tcBorders>
                  <w:noWrap w:val="0"/>
                  <w:vAlign w:val="center"/>
                </w:tcPr>
                <w:p w14:paraId="7BDA0CE9">
                  <w:pPr>
                    <w:bidi w:val="0"/>
                    <w:jc w:val="left"/>
                    <w:rPr>
                      <w:rFonts w:hint="eastAsia"/>
                      <w:color w:val="auto"/>
                      <w:vertAlign w:val="baseline"/>
                      <w:lang w:val="en-US" w:eastAsia="zh-CN"/>
                    </w:rPr>
                  </w:pPr>
                  <w:r>
                    <w:rPr>
                      <w:rFonts w:hint="eastAsia"/>
                      <w:color w:val="auto"/>
                      <w:vertAlign w:val="baseline"/>
                      <w:lang w:val="en-US" w:eastAsia="zh-CN"/>
                    </w:rPr>
                    <w:t>2、生产、处置或储存能力增大30%及以上的。</w:t>
                  </w:r>
                </w:p>
                <w:p w14:paraId="2A9D406E">
                  <w:pPr>
                    <w:bidi w:val="0"/>
                    <w:jc w:val="left"/>
                    <w:rPr>
                      <w:rFonts w:hint="eastAsia"/>
                      <w:color w:val="auto"/>
                      <w:vertAlign w:val="baseline"/>
                      <w:lang w:val="en-US" w:eastAsia="zh-CN"/>
                    </w:rPr>
                  </w:pPr>
                  <w:r>
                    <w:rPr>
                      <w:rFonts w:hint="eastAsia"/>
                      <w:color w:val="auto"/>
                      <w:vertAlign w:val="baseline"/>
                      <w:lang w:val="en-US" w:eastAsia="zh-CN"/>
                    </w:rPr>
                    <w:t>3、生产、处置或储存能力增大，导致废水第一类污染物排放量增加的。</w:t>
                  </w:r>
                </w:p>
                <w:p w14:paraId="57AA1CA5">
                  <w:pPr>
                    <w:bidi w:val="0"/>
                    <w:jc w:val="left"/>
                    <w:rPr>
                      <w:rFonts w:hint="eastAsia"/>
                      <w:color w:val="auto"/>
                      <w:vertAlign w:val="baseline"/>
                      <w:lang w:val="en-US" w:eastAsia="zh-CN"/>
                    </w:rPr>
                  </w:pPr>
                  <w:r>
                    <w:rPr>
                      <w:rFonts w:hint="eastAsia"/>
                      <w:color w:val="auto"/>
                      <w:vertAlign w:val="baseline"/>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499" w:type="pct"/>
                  <w:tcBorders>
                    <w:tl2br w:val="nil"/>
                    <w:tr2bl w:val="nil"/>
                  </w:tcBorders>
                  <w:noWrap w:val="0"/>
                  <w:vAlign w:val="center"/>
                </w:tcPr>
                <w:p w14:paraId="35A4BA2F">
                  <w:pPr>
                    <w:bidi w:val="0"/>
                    <w:jc w:val="center"/>
                    <w:rPr>
                      <w:rFonts w:hint="eastAsia"/>
                      <w:color w:val="auto"/>
                      <w:vertAlign w:val="baseline"/>
                      <w:lang w:val="en-US" w:eastAsia="zh-CN"/>
                    </w:rPr>
                  </w:pPr>
                  <w:r>
                    <w:rPr>
                      <w:rFonts w:hint="eastAsia"/>
                      <w:color w:val="auto"/>
                      <w:vertAlign w:val="baseline"/>
                      <w:lang w:val="en-US" w:eastAsia="zh-CN"/>
                    </w:rPr>
                    <w:t>项目生产规模发生变化</w:t>
                  </w:r>
                </w:p>
              </w:tc>
              <w:tc>
                <w:tcPr>
                  <w:tcW w:w="315" w:type="pct"/>
                  <w:tcBorders>
                    <w:tl2br w:val="nil"/>
                    <w:tr2bl w:val="nil"/>
                  </w:tcBorders>
                  <w:noWrap w:val="0"/>
                  <w:vAlign w:val="center"/>
                </w:tcPr>
                <w:p w14:paraId="5E6987F2">
                  <w:pPr>
                    <w:bidi w:val="0"/>
                    <w:jc w:val="center"/>
                    <w:rPr>
                      <w:rFonts w:hint="eastAsia"/>
                      <w:color w:val="auto"/>
                      <w:vertAlign w:val="baseline"/>
                      <w:lang w:val="en-US" w:eastAsia="zh-CN"/>
                    </w:rPr>
                  </w:pPr>
                  <w:r>
                    <w:rPr>
                      <w:rFonts w:hint="eastAsia"/>
                      <w:color w:val="auto"/>
                      <w:vertAlign w:val="baseline"/>
                      <w:lang w:val="en-US" w:eastAsia="zh-CN"/>
                    </w:rPr>
                    <w:t>是</w:t>
                  </w:r>
                </w:p>
              </w:tc>
            </w:tr>
            <w:tr w14:paraId="33B200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 w:type="pct"/>
                  <w:tcBorders>
                    <w:tl2br w:val="nil"/>
                    <w:tr2bl w:val="nil"/>
                  </w:tcBorders>
                  <w:noWrap w:val="0"/>
                  <w:vAlign w:val="center"/>
                </w:tcPr>
                <w:p w14:paraId="241ECC3E">
                  <w:pPr>
                    <w:bidi w:val="0"/>
                    <w:jc w:val="center"/>
                    <w:rPr>
                      <w:rFonts w:hint="eastAsia"/>
                      <w:color w:val="auto"/>
                      <w:vertAlign w:val="baseline"/>
                      <w:lang w:val="en-US" w:eastAsia="zh-CN"/>
                    </w:rPr>
                  </w:pPr>
                  <w:r>
                    <w:rPr>
                      <w:rFonts w:hint="eastAsia"/>
                      <w:color w:val="auto"/>
                      <w:vertAlign w:val="baseline"/>
                      <w:lang w:val="en-US" w:eastAsia="zh-CN"/>
                    </w:rPr>
                    <w:t>地点</w:t>
                  </w:r>
                </w:p>
              </w:tc>
              <w:tc>
                <w:tcPr>
                  <w:tcW w:w="814" w:type="pct"/>
                  <w:tcBorders>
                    <w:tl2br w:val="nil"/>
                    <w:tr2bl w:val="nil"/>
                  </w:tcBorders>
                  <w:noWrap w:val="0"/>
                  <w:vAlign w:val="center"/>
                </w:tcPr>
                <w:p w14:paraId="171E1ABF">
                  <w:pPr>
                    <w:bidi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江西省九江市庐山市工业园金鹿科技园</w:t>
                  </w:r>
                </w:p>
              </w:tc>
              <w:tc>
                <w:tcPr>
                  <w:tcW w:w="822" w:type="pct"/>
                  <w:tcBorders>
                    <w:tl2br w:val="nil"/>
                    <w:tr2bl w:val="nil"/>
                  </w:tcBorders>
                  <w:noWrap w:val="0"/>
                  <w:vAlign w:val="center"/>
                </w:tcPr>
                <w:p w14:paraId="5A5B8092">
                  <w:pPr>
                    <w:bidi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江西省九江市庐山市工业园金鹿科技园</w:t>
                  </w:r>
                </w:p>
              </w:tc>
              <w:tc>
                <w:tcPr>
                  <w:tcW w:w="251" w:type="pct"/>
                  <w:tcBorders>
                    <w:tl2br w:val="nil"/>
                    <w:tr2bl w:val="nil"/>
                  </w:tcBorders>
                  <w:noWrap w:val="0"/>
                  <w:vAlign w:val="center"/>
                </w:tcPr>
                <w:p w14:paraId="76CEC1F6">
                  <w:pPr>
                    <w:bidi w:val="0"/>
                    <w:jc w:val="center"/>
                    <w:rPr>
                      <w:rFonts w:hint="eastAsia"/>
                      <w:color w:val="auto"/>
                      <w:vertAlign w:val="baseline"/>
                      <w:lang w:val="en-US" w:eastAsia="zh-CN"/>
                    </w:rPr>
                  </w:pPr>
                  <w:r>
                    <w:rPr>
                      <w:rFonts w:hint="eastAsia"/>
                      <w:color w:val="auto"/>
                      <w:vertAlign w:val="baseline"/>
                      <w:lang w:val="en-US" w:eastAsia="zh-CN"/>
                    </w:rPr>
                    <w:t>否</w:t>
                  </w:r>
                </w:p>
              </w:tc>
              <w:tc>
                <w:tcPr>
                  <w:tcW w:w="676" w:type="pct"/>
                  <w:tcBorders>
                    <w:tl2br w:val="nil"/>
                    <w:tr2bl w:val="nil"/>
                  </w:tcBorders>
                  <w:noWrap w:val="0"/>
                  <w:vAlign w:val="center"/>
                </w:tcPr>
                <w:p w14:paraId="2B82E0C6">
                  <w:pPr>
                    <w:bidi w:val="0"/>
                    <w:jc w:val="center"/>
                    <w:rPr>
                      <w:rFonts w:hint="default"/>
                      <w:color w:val="auto"/>
                      <w:vertAlign w:val="baseline"/>
                      <w:lang w:val="en-US" w:eastAsia="zh-CN"/>
                    </w:rPr>
                  </w:pPr>
                  <w:r>
                    <w:rPr>
                      <w:rFonts w:hint="eastAsia"/>
                      <w:color w:val="auto"/>
                      <w:vertAlign w:val="baseline"/>
                      <w:lang w:val="en-US" w:eastAsia="zh-CN"/>
                    </w:rPr>
                    <w:t>/</w:t>
                  </w:r>
                </w:p>
              </w:tc>
              <w:tc>
                <w:tcPr>
                  <w:tcW w:w="1454" w:type="pct"/>
                  <w:tcBorders>
                    <w:tl2br w:val="nil"/>
                    <w:tr2bl w:val="nil"/>
                  </w:tcBorders>
                  <w:noWrap w:val="0"/>
                  <w:vAlign w:val="center"/>
                </w:tcPr>
                <w:p w14:paraId="7342064A">
                  <w:pPr>
                    <w:bidi w:val="0"/>
                    <w:jc w:val="left"/>
                    <w:rPr>
                      <w:rFonts w:hint="eastAsia"/>
                      <w:color w:val="auto"/>
                      <w:vertAlign w:val="baseline"/>
                      <w:lang w:val="en-US" w:eastAsia="zh-CN"/>
                    </w:rPr>
                  </w:pPr>
                  <w:r>
                    <w:rPr>
                      <w:rFonts w:hint="eastAsia"/>
                      <w:color w:val="auto"/>
                      <w:vertAlign w:val="baseline"/>
                      <w:lang w:val="en-US" w:eastAsia="zh-CN"/>
                    </w:rPr>
                    <w:t>5、重新选址：在原厂址附近调整（包括总平面布置变化）导致环境防护距离范围变化且新增敏感点的。</w:t>
                  </w:r>
                </w:p>
              </w:tc>
              <w:tc>
                <w:tcPr>
                  <w:tcW w:w="499" w:type="pct"/>
                  <w:tcBorders>
                    <w:tl2br w:val="nil"/>
                    <w:tr2bl w:val="nil"/>
                  </w:tcBorders>
                  <w:noWrap w:val="0"/>
                  <w:vAlign w:val="center"/>
                </w:tcPr>
                <w:p w14:paraId="12948D9B">
                  <w:pPr>
                    <w:bidi w:val="0"/>
                    <w:jc w:val="center"/>
                    <w:rPr>
                      <w:rFonts w:hint="eastAsia"/>
                      <w:color w:val="auto"/>
                      <w:vertAlign w:val="baseline"/>
                      <w:lang w:val="en-US" w:eastAsia="zh-CN"/>
                    </w:rPr>
                  </w:pPr>
                  <w:r>
                    <w:rPr>
                      <w:rFonts w:hint="eastAsia"/>
                      <w:color w:val="auto"/>
                      <w:vertAlign w:val="baseline"/>
                      <w:lang w:val="en-US" w:eastAsia="zh-CN"/>
                    </w:rPr>
                    <w:t>项目地点不变，且未新增敏感点</w:t>
                  </w:r>
                </w:p>
              </w:tc>
              <w:tc>
                <w:tcPr>
                  <w:tcW w:w="315" w:type="pct"/>
                  <w:tcBorders>
                    <w:tl2br w:val="nil"/>
                    <w:tr2bl w:val="nil"/>
                  </w:tcBorders>
                  <w:noWrap w:val="0"/>
                  <w:vAlign w:val="center"/>
                </w:tcPr>
                <w:p w14:paraId="770291DC">
                  <w:pPr>
                    <w:bidi w:val="0"/>
                    <w:jc w:val="center"/>
                    <w:rPr>
                      <w:rFonts w:hint="eastAsia"/>
                      <w:color w:val="auto"/>
                      <w:vertAlign w:val="baseline"/>
                      <w:lang w:val="en-US" w:eastAsia="zh-CN"/>
                    </w:rPr>
                  </w:pPr>
                  <w:r>
                    <w:rPr>
                      <w:rFonts w:hint="eastAsia"/>
                      <w:color w:val="auto"/>
                      <w:vertAlign w:val="baseline"/>
                      <w:lang w:val="en-US" w:eastAsia="zh-CN"/>
                    </w:rPr>
                    <w:t>否</w:t>
                  </w:r>
                </w:p>
              </w:tc>
            </w:tr>
            <w:tr w14:paraId="380806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 w:type="pct"/>
                  <w:tcBorders>
                    <w:tl2br w:val="nil"/>
                    <w:tr2bl w:val="nil"/>
                  </w:tcBorders>
                  <w:noWrap w:val="0"/>
                  <w:vAlign w:val="center"/>
                </w:tcPr>
                <w:p w14:paraId="2C67584D">
                  <w:pPr>
                    <w:bidi w:val="0"/>
                    <w:jc w:val="center"/>
                    <w:rPr>
                      <w:rFonts w:hint="eastAsia"/>
                      <w:color w:val="auto"/>
                      <w:vertAlign w:val="baseline"/>
                      <w:lang w:val="en-US" w:eastAsia="zh-CN"/>
                    </w:rPr>
                  </w:pPr>
                  <w:r>
                    <w:rPr>
                      <w:rFonts w:hint="eastAsia"/>
                      <w:color w:val="auto"/>
                      <w:vertAlign w:val="baseline"/>
                      <w:lang w:val="en-US" w:eastAsia="zh-CN"/>
                    </w:rPr>
                    <w:t>工艺</w:t>
                  </w:r>
                </w:p>
              </w:tc>
              <w:tc>
                <w:tcPr>
                  <w:tcW w:w="814" w:type="pct"/>
                  <w:tcBorders>
                    <w:tl2br w:val="nil"/>
                    <w:tr2bl w:val="nil"/>
                  </w:tcBorders>
                  <w:noWrap w:val="0"/>
                  <w:vAlign w:val="center"/>
                </w:tcPr>
                <w:p w14:paraId="2132A345">
                  <w:pPr>
                    <w:numPr>
                      <w:ilvl w:val="0"/>
                      <w:numId w:val="0"/>
                    </w:numPr>
                    <w:bidi w:val="0"/>
                    <w:jc w:val="left"/>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kern w:val="2"/>
                      <w:sz w:val="21"/>
                      <w:szCs w:val="24"/>
                      <w:vertAlign w:val="baseline"/>
                      <w:lang w:val="en-US" w:eastAsia="zh-CN" w:bidi="ar-SA"/>
                    </w:rPr>
                    <w:t>1、</w:t>
                  </w:r>
                  <w:r>
                    <w:rPr>
                      <w:rFonts w:hint="default" w:ascii="Times New Roman" w:hAnsi="Times New Roman" w:eastAsia="宋体" w:cs="Times New Roman"/>
                      <w:color w:val="auto"/>
                      <w:vertAlign w:val="baseline"/>
                      <w:lang w:val="en-US" w:eastAsia="zh-CN"/>
                    </w:rPr>
                    <w:t>退热贴</w:t>
                  </w:r>
                  <w:r>
                    <w:rPr>
                      <w:rFonts w:hint="eastAsia" w:ascii="Times New Roman" w:hAnsi="Times New Roman" w:eastAsia="宋体" w:cs="Times New Roman"/>
                      <w:color w:val="auto"/>
                      <w:vertAlign w:val="baseline"/>
                      <w:lang w:val="en-US" w:eastAsia="zh-CN"/>
                    </w:rPr>
                    <w:t>生产工艺</w:t>
                  </w:r>
                </w:p>
                <w:p w14:paraId="5ED062A3">
                  <w:pPr>
                    <w:numPr>
                      <w:ilvl w:val="0"/>
                      <w:numId w:val="0"/>
                    </w:numPr>
                    <w:bidi w:val="0"/>
                    <w:jc w:val="left"/>
                    <w:rPr>
                      <w:rFonts w:hint="default"/>
                      <w:color w:val="auto"/>
                      <w:vertAlign w:val="baseline"/>
                      <w:lang w:val="en-US" w:eastAsia="zh-CN"/>
                    </w:rPr>
                  </w:pPr>
                  <w:r>
                    <w:rPr>
                      <w:rFonts w:hint="default" w:ascii="Times New Roman" w:hAnsi="Times New Roman" w:eastAsia="宋体" w:cs="Times New Roman"/>
                      <w:color w:val="auto"/>
                      <w:kern w:val="2"/>
                      <w:sz w:val="21"/>
                      <w:szCs w:val="24"/>
                      <w:vertAlign w:val="baseline"/>
                      <w:lang w:val="en-US" w:eastAsia="zh-CN" w:bidi="ar-SA"/>
                    </w:rPr>
                    <w:t>2、</w:t>
                  </w:r>
                  <w:r>
                    <w:rPr>
                      <w:rFonts w:hint="default" w:ascii="Times New Roman" w:hAnsi="Times New Roman" w:eastAsia="宋体" w:cs="Times New Roman"/>
                      <w:color w:val="auto"/>
                      <w:vertAlign w:val="baseline"/>
                      <w:lang w:val="en-US" w:eastAsia="zh-CN"/>
                    </w:rPr>
                    <w:t>生理性海水鼻腔喷雾剂</w:t>
                  </w:r>
                  <w:r>
                    <w:rPr>
                      <w:rFonts w:hint="eastAsia" w:ascii="Times New Roman" w:hAnsi="Times New Roman" w:eastAsia="宋体" w:cs="Times New Roman"/>
                      <w:color w:val="auto"/>
                      <w:vertAlign w:val="baseline"/>
                      <w:lang w:val="en-US" w:eastAsia="zh-CN"/>
                    </w:rPr>
                    <w:t>生产工艺</w:t>
                  </w:r>
                </w:p>
                <w:p w14:paraId="0C5D5EFB">
                  <w:pPr>
                    <w:numPr>
                      <w:ilvl w:val="0"/>
                      <w:numId w:val="0"/>
                    </w:numPr>
                    <w:bidi w:val="0"/>
                    <w:jc w:val="left"/>
                    <w:rPr>
                      <w:rFonts w:hint="default"/>
                      <w:color w:val="auto"/>
                      <w:lang w:val="en-US" w:eastAsia="zh-CN"/>
                    </w:rPr>
                  </w:pPr>
                  <w:r>
                    <w:rPr>
                      <w:rFonts w:hint="default" w:ascii="Times New Roman" w:hAnsi="Times New Roman" w:eastAsia="宋体" w:cs="Times New Roman"/>
                      <w:color w:val="auto"/>
                      <w:kern w:val="2"/>
                      <w:sz w:val="21"/>
                      <w:szCs w:val="24"/>
                      <w:lang w:val="en-US" w:eastAsia="zh-CN" w:bidi="ar-SA"/>
                    </w:rPr>
                    <w:t>3、</w:t>
                  </w:r>
                  <w:r>
                    <w:rPr>
                      <w:rFonts w:hint="default" w:ascii="Times New Roman" w:hAnsi="Times New Roman" w:eastAsia="宋体" w:cs="Times New Roman"/>
                      <w:color w:val="auto"/>
                      <w:vertAlign w:val="baseline"/>
                      <w:lang w:val="en-US" w:eastAsia="zh-CN"/>
                    </w:rPr>
                    <w:t>医用硅酮疤痕凝胶</w:t>
                  </w:r>
                  <w:r>
                    <w:rPr>
                      <w:rFonts w:hint="eastAsia" w:ascii="Times New Roman" w:hAnsi="Times New Roman" w:eastAsia="宋体" w:cs="Times New Roman"/>
                      <w:color w:val="auto"/>
                      <w:vertAlign w:val="baseline"/>
                      <w:lang w:val="en-US" w:eastAsia="zh-CN"/>
                    </w:rPr>
                    <w:t>生产工艺</w:t>
                  </w:r>
                </w:p>
              </w:tc>
              <w:tc>
                <w:tcPr>
                  <w:tcW w:w="822" w:type="pct"/>
                  <w:tcBorders>
                    <w:tl2br w:val="nil"/>
                    <w:tr2bl w:val="nil"/>
                  </w:tcBorders>
                  <w:noWrap w:val="0"/>
                  <w:vAlign w:val="center"/>
                </w:tcPr>
                <w:p w14:paraId="4ED5202C">
                  <w:pPr>
                    <w:numPr>
                      <w:ilvl w:val="0"/>
                      <w:numId w:val="0"/>
                    </w:numPr>
                    <w:bidi w:val="0"/>
                    <w:jc w:val="left"/>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1、</w:t>
                  </w:r>
                  <w:r>
                    <w:rPr>
                      <w:rFonts w:hint="default" w:ascii="Times New Roman" w:hAnsi="Times New Roman" w:eastAsia="宋体" w:cs="Times New Roman"/>
                      <w:color w:val="auto"/>
                      <w:vertAlign w:val="baseline"/>
                      <w:lang w:val="en-US" w:eastAsia="zh-CN"/>
                    </w:rPr>
                    <w:t>退热贴</w:t>
                  </w:r>
                  <w:r>
                    <w:rPr>
                      <w:rFonts w:hint="eastAsia" w:ascii="Times New Roman" w:hAnsi="Times New Roman" w:eastAsia="宋体" w:cs="Times New Roman"/>
                      <w:color w:val="auto"/>
                      <w:vertAlign w:val="baseline"/>
                      <w:lang w:val="en-US" w:eastAsia="zh-CN"/>
                    </w:rPr>
                    <w:t>生产工艺</w:t>
                  </w:r>
                </w:p>
                <w:p w14:paraId="424CF926">
                  <w:pPr>
                    <w:numPr>
                      <w:ilvl w:val="0"/>
                      <w:numId w:val="0"/>
                    </w:numPr>
                    <w:bidi w:val="0"/>
                    <w:jc w:val="left"/>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2、</w:t>
                  </w:r>
                  <w:r>
                    <w:rPr>
                      <w:rFonts w:hint="default" w:ascii="Times New Roman" w:hAnsi="Times New Roman" w:eastAsia="宋体" w:cs="Times New Roman"/>
                      <w:color w:val="auto"/>
                      <w:vertAlign w:val="baseline"/>
                      <w:lang w:val="en-US" w:eastAsia="zh-CN"/>
                    </w:rPr>
                    <w:t>生理性海水鼻腔喷雾剂</w:t>
                  </w:r>
                  <w:r>
                    <w:rPr>
                      <w:rFonts w:hint="eastAsia" w:ascii="Times New Roman" w:hAnsi="Times New Roman" w:eastAsia="宋体" w:cs="Times New Roman"/>
                      <w:color w:val="auto"/>
                      <w:vertAlign w:val="baseline"/>
                      <w:lang w:val="en-US" w:eastAsia="zh-CN"/>
                    </w:rPr>
                    <w:t>生产工艺</w:t>
                  </w:r>
                </w:p>
                <w:p w14:paraId="5945D40A">
                  <w:pPr>
                    <w:numPr>
                      <w:ilvl w:val="0"/>
                      <w:numId w:val="0"/>
                    </w:numPr>
                    <w:bidi w:val="0"/>
                    <w:jc w:val="left"/>
                    <w:rPr>
                      <w:rFonts w:hint="default"/>
                      <w:color w:val="auto"/>
                      <w:lang w:val="en-US" w:eastAsia="zh-CN"/>
                    </w:rPr>
                  </w:pPr>
                  <w:r>
                    <w:rPr>
                      <w:rFonts w:hint="eastAsia" w:ascii="Times New Roman" w:hAnsi="Times New Roman" w:eastAsia="宋体" w:cs="Times New Roman"/>
                      <w:color w:val="auto"/>
                      <w:vertAlign w:val="baseline"/>
                      <w:lang w:val="en-US" w:eastAsia="zh-CN"/>
                    </w:rPr>
                    <w:t>3、</w:t>
                  </w:r>
                  <w:r>
                    <w:rPr>
                      <w:rFonts w:hint="default" w:ascii="Times New Roman" w:hAnsi="Times New Roman" w:eastAsia="宋体" w:cs="Times New Roman"/>
                      <w:color w:val="auto"/>
                      <w:vertAlign w:val="baseline"/>
                      <w:lang w:val="en-US" w:eastAsia="zh-CN"/>
                    </w:rPr>
                    <w:t>医用硅酮疤痕凝胶</w:t>
                  </w:r>
                  <w:r>
                    <w:rPr>
                      <w:rFonts w:hint="eastAsia" w:ascii="Times New Roman" w:hAnsi="Times New Roman" w:eastAsia="宋体" w:cs="Times New Roman"/>
                      <w:color w:val="auto"/>
                      <w:vertAlign w:val="baseline"/>
                      <w:lang w:val="en-US" w:eastAsia="zh-CN"/>
                    </w:rPr>
                    <w:t>生产工艺</w:t>
                  </w:r>
                </w:p>
                <w:p w14:paraId="634F2949">
                  <w:pPr>
                    <w:numPr>
                      <w:ilvl w:val="0"/>
                      <w:numId w:val="0"/>
                    </w:numPr>
                    <w:bidi w:val="0"/>
                    <w:jc w:val="left"/>
                    <w:rPr>
                      <w:rFonts w:hint="eastAsia" w:ascii="Times New Roman" w:hAnsi="Times New Roman" w:eastAsia="宋体" w:cs="Times New Roman"/>
                      <w:color w:val="auto"/>
                      <w:vertAlign w:val="baseline"/>
                      <w:lang w:val="en-US" w:eastAsia="zh-CN"/>
                    </w:rPr>
                  </w:pPr>
                  <w:r>
                    <w:rPr>
                      <w:rFonts w:hint="eastAsia"/>
                      <w:color w:val="auto"/>
                      <w:szCs w:val="19"/>
                      <w:lang w:val="en-US" w:eastAsia="zh-CN" w:bidi="ar"/>
                    </w:rPr>
                    <w:t>4、</w:t>
                  </w:r>
                  <w:r>
                    <w:rPr>
                      <w:rFonts w:hint="eastAsia"/>
                      <w:color w:val="auto"/>
                      <w:szCs w:val="19"/>
                      <w:lang w:bidi="ar"/>
                    </w:rPr>
                    <w:t>穴位压力刺激贴</w:t>
                  </w:r>
                  <w:r>
                    <w:rPr>
                      <w:rFonts w:hint="eastAsia" w:ascii="Times New Roman" w:hAnsi="Times New Roman" w:eastAsia="宋体" w:cs="Times New Roman"/>
                      <w:color w:val="auto"/>
                      <w:vertAlign w:val="baseline"/>
                      <w:lang w:val="en-US" w:eastAsia="zh-CN"/>
                    </w:rPr>
                    <w:t>生产工艺</w:t>
                  </w:r>
                </w:p>
                <w:p w14:paraId="38AE255B">
                  <w:pPr>
                    <w:numPr>
                      <w:ilvl w:val="0"/>
                      <w:numId w:val="0"/>
                    </w:numPr>
                    <w:bidi w:val="0"/>
                    <w:jc w:val="left"/>
                    <w:rPr>
                      <w:rFonts w:hint="default"/>
                      <w:color w:val="auto"/>
                      <w:lang w:val="en-US" w:eastAsia="zh-CN"/>
                    </w:rPr>
                  </w:pPr>
                  <w:r>
                    <w:rPr>
                      <w:rFonts w:hint="eastAsia" w:ascii="Times New Roman" w:hAnsi="Times New Roman" w:eastAsia="宋体" w:cs="Times New Roman"/>
                      <w:color w:val="auto"/>
                      <w:vertAlign w:val="baseline"/>
                      <w:lang w:val="en-US" w:eastAsia="zh-CN"/>
                    </w:rPr>
                    <w:t>5、</w:t>
                  </w:r>
                  <w:r>
                    <w:rPr>
                      <w:rFonts w:hint="eastAsia"/>
                      <w:color w:val="auto"/>
                      <w:szCs w:val="19"/>
                      <w:lang w:bidi="ar"/>
                    </w:rPr>
                    <w:t>通气鼻贴</w:t>
                  </w:r>
                  <w:r>
                    <w:rPr>
                      <w:rFonts w:hint="eastAsia" w:ascii="Times New Roman" w:hAnsi="Times New Roman" w:eastAsia="宋体" w:cs="Times New Roman"/>
                      <w:color w:val="auto"/>
                      <w:vertAlign w:val="baseline"/>
                      <w:lang w:val="en-US" w:eastAsia="zh-CN"/>
                    </w:rPr>
                    <w:t>生产工艺</w:t>
                  </w:r>
                </w:p>
                <w:p w14:paraId="0169BADE">
                  <w:pPr>
                    <w:numPr>
                      <w:ilvl w:val="0"/>
                      <w:numId w:val="0"/>
                    </w:numPr>
                    <w:bidi w:val="0"/>
                    <w:jc w:val="left"/>
                    <w:rPr>
                      <w:rFonts w:hint="eastAsia" w:ascii="Times New Roman" w:hAnsi="Times New Roman" w:eastAsia="宋体" w:cs="Times New Roman"/>
                      <w:color w:val="auto"/>
                      <w:vertAlign w:val="baseline"/>
                      <w:lang w:val="en-US" w:eastAsia="zh-CN"/>
                    </w:rPr>
                  </w:pPr>
                  <w:r>
                    <w:rPr>
                      <w:rFonts w:hint="eastAsia"/>
                      <w:color w:val="auto"/>
                      <w:szCs w:val="19"/>
                      <w:lang w:val="en-US" w:eastAsia="zh-CN" w:bidi="ar"/>
                    </w:rPr>
                    <w:t>6、</w:t>
                  </w:r>
                  <w:r>
                    <w:rPr>
                      <w:rFonts w:hint="eastAsia"/>
                      <w:color w:val="auto"/>
                      <w:szCs w:val="19"/>
                      <w:lang w:bidi="ar"/>
                    </w:rPr>
                    <w:t>重组胶原蛋白贴</w:t>
                  </w:r>
                  <w:r>
                    <w:rPr>
                      <w:rFonts w:hint="eastAsia" w:ascii="Times New Roman" w:hAnsi="Times New Roman" w:eastAsia="宋体" w:cs="Times New Roman"/>
                      <w:color w:val="auto"/>
                      <w:vertAlign w:val="baseline"/>
                      <w:lang w:val="en-US" w:eastAsia="zh-CN"/>
                    </w:rPr>
                    <w:t>生产工艺</w:t>
                  </w:r>
                </w:p>
                <w:p w14:paraId="318E1F8C">
                  <w:pPr>
                    <w:numPr>
                      <w:ilvl w:val="0"/>
                      <w:numId w:val="0"/>
                    </w:numPr>
                    <w:bidi w:val="0"/>
                    <w:jc w:val="left"/>
                    <w:rPr>
                      <w:rFonts w:hint="default"/>
                      <w:color w:val="auto"/>
                      <w:lang w:val="en-US" w:eastAsia="zh-CN"/>
                    </w:rPr>
                  </w:pPr>
                  <w:r>
                    <w:rPr>
                      <w:rFonts w:hint="eastAsia" w:ascii="Times New Roman" w:hAnsi="Times New Roman" w:eastAsia="宋体" w:cs="Times New Roman"/>
                      <w:color w:val="auto"/>
                      <w:vertAlign w:val="baseline"/>
                      <w:lang w:val="en-US" w:eastAsia="zh-CN"/>
                    </w:rPr>
                    <w:t>7、</w:t>
                  </w:r>
                  <w:r>
                    <w:rPr>
                      <w:rFonts w:hint="eastAsia"/>
                      <w:color w:val="auto"/>
                      <w:szCs w:val="19"/>
                      <w:lang w:bidi="ar"/>
                    </w:rPr>
                    <w:t>壳聚糖止血粉</w:t>
                  </w:r>
                  <w:r>
                    <w:rPr>
                      <w:rFonts w:hint="eastAsia" w:ascii="Times New Roman" w:hAnsi="Times New Roman" w:eastAsia="宋体" w:cs="Times New Roman"/>
                      <w:color w:val="auto"/>
                      <w:vertAlign w:val="baseline"/>
                      <w:lang w:val="en-US" w:eastAsia="zh-CN"/>
                    </w:rPr>
                    <w:t>生产工艺</w:t>
                  </w:r>
                </w:p>
                <w:p w14:paraId="018EEDC2">
                  <w:pPr>
                    <w:numPr>
                      <w:ilvl w:val="0"/>
                      <w:numId w:val="0"/>
                    </w:numPr>
                    <w:bidi w:val="0"/>
                    <w:jc w:val="left"/>
                    <w:rPr>
                      <w:rFonts w:hint="eastAsia" w:ascii="Times New Roman" w:hAnsi="Times New Roman" w:eastAsia="宋体" w:cs="Times New Roman"/>
                      <w:color w:val="auto"/>
                      <w:vertAlign w:val="baseline"/>
                      <w:lang w:val="en-US" w:eastAsia="zh-CN"/>
                    </w:rPr>
                  </w:pPr>
                  <w:r>
                    <w:rPr>
                      <w:rFonts w:hint="eastAsia"/>
                      <w:color w:val="auto"/>
                      <w:szCs w:val="19"/>
                      <w:lang w:val="en-US" w:eastAsia="zh-CN" w:bidi="ar"/>
                    </w:rPr>
                    <w:t>8、</w:t>
                  </w:r>
                  <w:r>
                    <w:rPr>
                      <w:rFonts w:hint="eastAsia"/>
                      <w:color w:val="auto"/>
                      <w:szCs w:val="19"/>
                      <w:lang w:bidi="ar"/>
                    </w:rPr>
                    <w:t>医用透明质酸钠敷贴</w:t>
                  </w:r>
                  <w:r>
                    <w:rPr>
                      <w:rFonts w:hint="eastAsia" w:ascii="Times New Roman" w:hAnsi="Times New Roman" w:eastAsia="宋体" w:cs="Times New Roman"/>
                      <w:color w:val="auto"/>
                      <w:vertAlign w:val="baseline"/>
                      <w:lang w:val="en-US" w:eastAsia="zh-CN"/>
                    </w:rPr>
                    <w:t>生产工艺</w:t>
                  </w:r>
                </w:p>
                <w:p w14:paraId="619D94A9">
                  <w:pPr>
                    <w:numPr>
                      <w:ilvl w:val="0"/>
                      <w:numId w:val="0"/>
                    </w:numPr>
                    <w:bidi w:val="0"/>
                    <w:jc w:val="left"/>
                    <w:rPr>
                      <w:rFonts w:hint="default"/>
                      <w:color w:val="auto"/>
                      <w:lang w:val="en-US" w:eastAsia="zh-CN"/>
                    </w:rPr>
                  </w:pPr>
                  <w:r>
                    <w:rPr>
                      <w:rFonts w:hint="eastAsia" w:ascii="Times New Roman" w:hAnsi="Times New Roman" w:eastAsia="宋体" w:cs="Times New Roman"/>
                      <w:color w:val="auto"/>
                      <w:vertAlign w:val="baseline"/>
                      <w:lang w:val="en-US" w:eastAsia="zh-CN"/>
                    </w:rPr>
                    <w:t>9、</w:t>
                  </w:r>
                  <w:r>
                    <w:rPr>
                      <w:rFonts w:hint="eastAsia"/>
                      <w:color w:val="auto"/>
                      <w:szCs w:val="19"/>
                      <w:lang w:bidi="ar"/>
                    </w:rPr>
                    <w:t>创口贴</w:t>
                  </w:r>
                  <w:r>
                    <w:rPr>
                      <w:rFonts w:hint="eastAsia" w:ascii="Times New Roman" w:hAnsi="Times New Roman" w:eastAsia="宋体" w:cs="Times New Roman"/>
                      <w:color w:val="auto"/>
                      <w:vertAlign w:val="baseline"/>
                      <w:lang w:val="en-US" w:eastAsia="zh-CN"/>
                    </w:rPr>
                    <w:t>生产工艺</w:t>
                  </w:r>
                </w:p>
                <w:p w14:paraId="7BBDC3A7">
                  <w:pPr>
                    <w:numPr>
                      <w:ilvl w:val="0"/>
                      <w:numId w:val="0"/>
                    </w:numPr>
                    <w:bidi w:val="0"/>
                    <w:jc w:val="left"/>
                    <w:rPr>
                      <w:rFonts w:hint="eastAsia" w:ascii="Times New Roman" w:hAnsi="Times New Roman" w:eastAsia="宋体" w:cs="Times New Roman"/>
                      <w:color w:val="auto"/>
                      <w:vertAlign w:val="baseline"/>
                      <w:lang w:val="en-US" w:eastAsia="zh-CN"/>
                    </w:rPr>
                  </w:pPr>
                  <w:r>
                    <w:rPr>
                      <w:rFonts w:hint="eastAsia"/>
                      <w:color w:val="auto"/>
                      <w:szCs w:val="19"/>
                      <w:lang w:val="en-US" w:eastAsia="zh-CN" w:bidi="ar"/>
                    </w:rPr>
                    <w:t>10、</w:t>
                  </w:r>
                  <w:r>
                    <w:rPr>
                      <w:rFonts w:hint="eastAsia"/>
                      <w:color w:val="auto"/>
                      <w:szCs w:val="19"/>
                      <w:lang w:bidi="ar"/>
                    </w:rPr>
                    <w:t>晕车贴</w:t>
                  </w:r>
                  <w:r>
                    <w:rPr>
                      <w:rFonts w:hint="eastAsia" w:ascii="Times New Roman" w:hAnsi="Times New Roman" w:eastAsia="宋体" w:cs="Times New Roman"/>
                      <w:color w:val="auto"/>
                      <w:vertAlign w:val="baseline"/>
                      <w:lang w:val="en-US" w:eastAsia="zh-CN"/>
                    </w:rPr>
                    <w:t>生产工艺</w:t>
                  </w:r>
                </w:p>
                <w:p w14:paraId="7218B8EB">
                  <w:pPr>
                    <w:numPr>
                      <w:ilvl w:val="0"/>
                      <w:numId w:val="0"/>
                    </w:numPr>
                    <w:bidi w:val="0"/>
                    <w:jc w:val="left"/>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11、</w:t>
                  </w:r>
                  <w:r>
                    <w:rPr>
                      <w:rFonts w:hint="eastAsia"/>
                      <w:color w:val="auto"/>
                      <w:szCs w:val="19"/>
                      <w:lang w:bidi="ar"/>
                    </w:rPr>
                    <w:t>三伏贴</w:t>
                  </w:r>
                  <w:r>
                    <w:rPr>
                      <w:rFonts w:hint="eastAsia" w:ascii="Times New Roman" w:hAnsi="Times New Roman" w:eastAsia="宋体" w:cs="Times New Roman"/>
                      <w:color w:val="auto"/>
                      <w:vertAlign w:val="baseline"/>
                      <w:lang w:val="en-US" w:eastAsia="zh-CN"/>
                    </w:rPr>
                    <w:t>生产工艺</w:t>
                  </w:r>
                </w:p>
                <w:p w14:paraId="0965FEAE">
                  <w:pPr>
                    <w:numPr>
                      <w:ilvl w:val="0"/>
                      <w:numId w:val="0"/>
                    </w:numPr>
                    <w:bidi w:val="0"/>
                    <w:jc w:val="left"/>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1</w:t>
                  </w:r>
                  <w:r>
                    <w:rPr>
                      <w:rFonts w:hint="eastAsia" w:cs="Times New Roman"/>
                      <w:color w:val="auto"/>
                      <w:vertAlign w:val="baseline"/>
                      <w:lang w:val="en-US" w:eastAsia="zh-CN"/>
                    </w:rPr>
                    <w:t>2</w:t>
                  </w:r>
                  <w:r>
                    <w:rPr>
                      <w:rFonts w:hint="eastAsia" w:ascii="Times New Roman" w:hAnsi="Times New Roman" w:eastAsia="宋体" w:cs="Times New Roman"/>
                      <w:color w:val="auto"/>
                      <w:vertAlign w:val="baseline"/>
                      <w:lang w:val="en-US" w:eastAsia="zh-CN"/>
                    </w:rPr>
                    <w:t>、</w:t>
                  </w:r>
                  <w:r>
                    <w:rPr>
                      <w:rFonts w:hint="eastAsia" w:cs="Times New Roman"/>
                      <w:color w:val="auto"/>
                      <w:vertAlign w:val="baseline"/>
                      <w:lang w:val="en-US" w:eastAsia="zh-CN"/>
                    </w:rPr>
                    <w:t>冰凉</w:t>
                  </w:r>
                  <w:r>
                    <w:rPr>
                      <w:rFonts w:hint="default" w:ascii="Times New Roman" w:hAnsi="Times New Roman" w:eastAsia="宋体" w:cs="Times New Roman"/>
                      <w:color w:val="auto"/>
                      <w:vertAlign w:val="baseline"/>
                      <w:lang w:val="en-US" w:eastAsia="zh-CN"/>
                    </w:rPr>
                    <w:t>贴</w:t>
                  </w:r>
                  <w:r>
                    <w:rPr>
                      <w:rFonts w:hint="eastAsia" w:ascii="Times New Roman" w:hAnsi="Times New Roman" w:eastAsia="宋体" w:cs="Times New Roman"/>
                      <w:color w:val="auto"/>
                      <w:vertAlign w:val="baseline"/>
                      <w:lang w:val="en-US" w:eastAsia="zh-CN"/>
                    </w:rPr>
                    <w:t>生产工艺</w:t>
                  </w:r>
                </w:p>
              </w:tc>
              <w:tc>
                <w:tcPr>
                  <w:tcW w:w="251" w:type="pct"/>
                  <w:tcBorders>
                    <w:tl2br w:val="nil"/>
                    <w:tr2bl w:val="nil"/>
                  </w:tcBorders>
                  <w:noWrap w:val="0"/>
                  <w:vAlign w:val="center"/>
                </w:tcPr>
                <w:p w14:paraId="201E8097">
                  <w:pPr>
                    <w:bidi w:val="0"/>
                    <w:jc w:val="center"/>
                    <w:rPr>
                      <w:rFonts w:hint="eastAsia"/>
                      <w:color w:val="auto"/>
                      <w:vertAlign w:val="baseline"/>
                      <w:lang w:val="en-US" w:eastAsia="zh-CN"/>
                    </w:rPr>
                  </w:pPr>
                  <w:r>
                    <w:rPr>
                      <w:rFonts w:hint="eastAsia"/>
                      <w:color w:val="auto"/>
                      <w:vertAlign w:val="baseline"/>
                      <w:lang w:val="en-US" w:eastAsia="zh-CN"/>
                    </w:rPr>
                    <w:t>是</w:t>
                  </w:r>
                </w:p>
              </w:tc>
              <w:tc>
                <w:tcPr>
                  <w:tcW w:w="676" w:type="pct"/>
                  <w:tcBorders>
                    <w:tl2br w:val="nil"/>
                    <w:tr2bl w:val="nil"/>
                  </w:tcBorders>
                  <w:noWrap w:val="0"/>
                  <w:vAlign w:val="center"/>
                </w:tcPr>
                <w:p w14:paraId="62CE6401">
                  <w:pPr>
                    <w:numPr>
                      <w:ilvl w:val="0"/>
                      <w:numId w:val="0"/>
                    </w:numPr>
                    <w:bidi w:val="0"/>
                    <w:jc w:val="left"/>
                    <w:rPr>
                      <w:rFonts w:hint="eastAsia"/>
                      <w:color w:val="auto"/>
                      <w:vertAlign w:val="baseline"/>
                      <w:lang w:val="en-US" w:eastAsia="zh-CN"/>
                    </w:rPr>
                  </w:pPr>
                  <w:r>
                    <w:rPr>
                      <w:rFonts w:hint="eastAsia"/>
                      <w:color w:val="auto"/>
                      <w:vertAlign w:val="baseline"/>
                      <w:lang w:val="en-US" w:eastAsia="zh-CN"/>
                    </w:rPr>
                    <w:t>项目工艺流程发生变化，增加了</w:t>
                  </w:r>
                  <w:r>
                    <w:rPr>
                      <w:rFonts w:hint="eastAsia"/>
                      <w:color w:val="auto"/>
                      <w:szCs w:val="19"/>
                      <w:lang w:bidi="ar"/>
                    </w:rPr>
                    <w:t>穴位压力刺激贴</w:t>
                  </w:r>
                  <w:r>
                    <w:rPr>
                      <w:rFonts w:hint="eastAsia" w:ascii="Times New Roman" w:hAnsi="Times New Roman" w:eastAsia="宋体" w:cs="Times New Roman"/>
                      <w:color w:val="auto"/>
                      <w:vertAlign w:val="baseline"/>
                      <w:lang w:val="en-US" w:eastAsia="zh-CN"/>
                    </w:rPr>
                    <w:t>生产工艺、</w:t>
                  </w:r>
                  <w:r>
                    <w:rPr>
                      <w:rFonts w:hint="eastAsia"/>
                      <w:color w:val="auto"/>
                      <w:szCs w:val="19"/>
                      <w:lang w:bidi="ar"/>
                    </w:rPr>
                    <w:t>通气鼻贴</w:t>
                  </w:r>
                  <w:r>
                    <w:rPr>
                      <w:rFonts w:hint="eastAsia" w:ascii="Times New Roman" w:hAnsi="Times New Roman" w:eastAsia="宋体" w:cs="Times New Roman"/>
                      <w:color w:val="auto"/>
                      <w:vertAlign w:val="baseline"/>
                      <w:lang w:val="en-US" w:eastAsia="zh-CN"/>
                    </w:rPr>
                    <w:t>生产工艺</w:t>
                  </w:r>
                  <w:r>
                    <w:rPr>
                      <w:rFonts w:hint="eastAsia"/>
                      <w:color w:val="auto"/>
                      <w:lang w:val="en-US" w:eastAsia="zh-CN"/>
                    </w:rPr>
                    <w:t>、</w:t>
                  </w:r>
                  <w:r>
                    <w:rPr>
                      <w:rFonts w:hint="eastAsia"/>
                      <w:color w:val="auto"/>
                      <w:szCs w:val="19"/>
                      <w:lang w:bidi="ar"/>
                    </w:rPr>
                    <w:t>重组胶原蛋白贴</w:t>
                  </w:r>
                  <w:r>
                    <w:rPr>
                      <w:rFonts w:hint="eastAsia" w:ascii="Times New Roman" w:hAnsi="Times New Roman" w:eastAsia="宋体" w:cs="Times New Roman"/>
                      <w:color w:val="auto"/>
                      <w:vertAlign w:val="baseline"/>
                      <w:lang w:val="en-US" w:eastAsia="zh-CN"/>
                    </w:rPr>
                    <w:t>生产工艺、</w:t>
                  </w:r>
                  <w:r>
                    <w:rPr>
                      <w:rFonts w:hint="eastAsia"/>
                      <w:color w:val="auto"/>
                      <w:szCs w:val="19"/>
                      <w:lang w:bidi="ar"/>
                    </w:rPr>
                    <w:t>壳聚糖止血粉</w:t>
                  </w:r>
                  <w:r>
                    <w:rPr>
                      <w:rFonts w:hint="eastAsia" w:ascii="Times New Roman" w:hAnsi="Times New Roman" w:eastAsia="宋体" w:cs="Times New Roman"/>
                      <w:color w:val="auto"/>
                      <w:vertAlign w:val="baseline"/>
                      <w:lang w:val="en-US" w:eastAsia="zh-CN"/>
                    </w:rPr>
                    <w:t>生产工艺</w:t>
                  </w:r>
                  <w:r>
                    <w:rPr>
                      <w:rFonts w:hint="eastAsia"/>
                      <w:color w:val="auto"/>
                      <w:lang w:val="en-US" w:eastAsia="zh-CN"/>
                    </w:rPr>
                    <w:t>、</w:t>
                  </w:r>
                  <w:r>
                    <w:rPr>
                      <w:rFonts w:hint="eastAsia"/>
                      <w:color w:val="auto"/>
                      <w:szCs w:val="19"/>
                      <w:lang w:bidi="ar"/>
                    </w:rPr>
                    <w:t>医用透明质酸钠敷贴</w:t>
                  </w:r>
                  <w:r>
                    <w:rPr>
                      <w:rFonts w:hint="eastAsia" w:ascii="Times New Roman" w:hAnsi="Times New Roman" w:eastAsia="宋体" w:cs="Times New Roman"/>
                      <w:color w:val="auto"/>
                      <w:vertAlign w:val="baseline"/>
                      <w:lang w:val="en-US" w:eastAsia="zh-CN"/>
                    </w:rPr>
                    <w:t>生产工艺、</w:t>
                  </w:r>
                  <w:r>
                    <w:rPr>
                      <w:rFonts w:hint="eastAsia"/>
                      <w:color w:val="auto"/>
                      <w:szCs w:val="19"/>
                      <w:lang w:bidi="ar"/>
                    </w:rPr>
                    <w:t>创口贴</w:t>
                  </w:r>
                  <w:r>
                    <w:rPr>
                      <w:rFonts w:hint="eastAsia" w:ascii="Times New Roman" w:hAnsi="Times New Roman" w:eastAsia="宋体" w:cs="Times New Roman"/>
                      <w:color w:val="auto"/>
                      <w:vertAlign w:val="baseline"/>
                      <w:lang w:val="en-US" w:eastAsia="zh-CN"/>
                    </w:rPr>
                    <w:t>生产工艺</w:t>
                  </w:r>
                  <w:r>
                    <w:rPr>
                      <w:rFonts w:hint="eastAsia"/>
                      <w:color w:val="auto"/>
                      <w:lang w:val="en-US" w:eastAsia="zh-CN"/>
                    </w:rPr>
                    <w:t>、</w:t>
                  </w:r>
                  <w:r>
                    <w:rPr>
                      <w:rFonts w:hint="eastAsia"/>
                      <w:color w:val="auto"/>
                      <w:szCs w:val="19"/>
                      <w:lang w:bidi="ar"/>
                    </w:rPr>
                    <w:t>晕车贴</w:t>
                  </w:r>
                  <w:r>
                    <w:rPr>
                      <w:rFonts w:hint="eastAsia" w:ascii="Times New Roman" w:hAnsi="Times New Roman" w:eastAsia="宋体" w:cs="Times New Roman"/>
                      <w:color w:val="auto"/>
                      <w:vertAlign w:val="baseline"/>
                      <w:lang w:val="en-US" w:eastAsia="zh-CN"/>
                    </w:rPr>
                    <w:t>生产工艺、</w:t>
                  </w:r>
                  <w:r>
                    <w:rPr>
                      <w:rFonts w:hint="eastAsia"/>
                      <w:color w:val="auto"/>
                      <w:szCs w:val="19"/>
                      <w:lang w:bidi="ar"/>
                    </w:rPr>
                    <w:t>三伏贴</w:t>
                  </w:r>
                  <w:r>
                    <w:rPr>
                      <w:rFonts w:hint="eastAsia" w:ascii="Times New Roman" w:hAnsi="Times New Roman" w:eastAsia="宋体" w:cs="Times New Roman"/>
                      <w:color w:val="auto"/>
                      <w:vertAlign w:val="baseline"/>
                      <w:lang w:val="en-US" w:eastAsia="zh-CN"/>
                    </w:rPr>
                    <w:t>生产工艺</w:t>
                  </w:r>
                  <w:r>
                    <w:rPr>
                      <w:rFonts w:hint="eastAsia" w:cs="Times New Roman"/>
                      <w:color w:val="auto"/>
                      <w:vertAlign w:val="baseline"/>
                      <w:lang w:val="en-US" w:eastAsia="zh-CN"/>
                    </w:rPr>
                    <w:t>、冰凉</w:t>
                  </w:r>
                  <w:r>
                    <w:rPr>
                      <w:rFonts w:hint="default" w:ascii="Times New Roman" w:hAnsi="Times New Roman" w:eastAsia="宋体" w:cs="Times New Roman"/>
                      <w:color w:val="auto"/>
                      <w:vertAlign w:val="baseline"/>
                      <w:lang w:val="en-US" w:eastAsia="zh-CN"/>
                    </w:rPr>
                    <w:t>贴</w:t>
                  </w:r>
                  <w:r>
                    <w:rPr>
                      <w:rFonts w:hint="eastAsia" w:ascii="Times New Roman" w:hAnsi="Times New Roman" w:eastAsia="宋体" w:cs="Times New Roman"/>
                      <w:color w:val="auto"/>
                      <w:vertAlign w:val="baseline"/>
                      <w:lang w:val="en-US" w:eastAsia="zh-CN"/>
                    </w:rPr>
                    <w:t>生产工艺</w:t>
                  </w:r>
                </w:p>
              </w:tc>
              <w:tc>
                <w:tcPr>
                  <w:tcW w:w="1454" w:type="pct"/>
                  <w:tcBorders>
                    <w:tl2br w:val="nil"/>
                    <w:tr2bl w:val="nil"/>
                  </w:tcBorders>
                  <w:noWrap w:val="0"/>
                  <w:vAlign w:val="center"/>
                </w:tcPr>
                <w:p w14:paraId="5FAC9884">
                  <w:pPr>
                    <w:bidi w:val="0"/>
                    <w:jc w:val="left"/>
                    <w:rPr>
                      <w:rFonts w:hint="eastAsia"/>
                      <w:color w:val="auto"/>
                      <w:vertAlign w:val="baseline"/>
                      <w:lang w:val="en-US" w:eastAsia="zh-CN"/>
                    </w:rPr>
                  </w:pPr>
                  <w:r>
                    <w:rPr>
                      <w:rFonts w:hint="eastAsia"/>
                      <w:color w:val="auto"/>
                      <w:vertAlign w:val="baseline"/>
                      <w:lang w:val="en-US" w:eastAsia="zh-CN"/>
                    </w:rPr>
                    <w:t>6、新增产品品种或生产工艺（含主要生产装置、设备及配套设施）、主要原辅材料、燃料变化，导致以下情形之一：</w:t>
                  </w:r>
                </w:p>
                <w:p w14:paraId="27792A87">
                  <w:pPr>
                    <w:bidi w:val="0"/>
                    <w:jc w:val="left"/>
                    <w:rPr>
                      <w:rFonts w:hint="eastAsia"/>
                      <w:color w:val="auto"/>
                      <w:vertAlign w:val="baseline"/>
                      <w:lang w:val="en-US" w:eastAsia="zh-CN"/>
                    </w:rPr>
                  </w:pPr>
                  <w:r>
                    <w:rPr>
                      <w:rFonts w:hint="eastAsia"/>
                      <w:color w:val="auto"/>
                      <w:vertAlign w:val="baseline"/>
                      <w:lang w:val="en-US" w:eastAsia="zh-CN"/>
                    </w:rPr>
                    <w:t>（1）新增排放污染物种类的（毒性、挥发性降低的除外）；</w:t>
                  </w:r>
                </w:p>
                <w:p w14:paraId="183C2B81">
                  <w:pPr>
                    <w:bidi w:val="0"/>
                    <w:jc w:val="left"/>
                    <w:rPr>
                      <w:rFonts w:hint="eastAsia"/>
                      <w:color w:val="auto"/>
                      <w:vertAlign w:val="baseline"/>
                      <w:lang w:val="en-US" w:eastAsia="zh-CN"/>
                    </w:rPr>
                  </w:pPr>
                  <w:r>
                    <w:rPr>
                      <w:rFonts w:hint="eastAsia"/>
                      <w:color w:val="auto"/>
                      <w:vertAlign w:val="baseline"/>
                      <w:lang w:val="en-US" w:eastAsia="zh-CN"/>
                    </w:rPr>
                    <w:t>（2）位于环境质量不达标区的建设项目相应污染物排放量增加的；</w:t>
                  </w:r>
                </w:p>
                <w:p w14:paraId="38A03FD1">
                  <w:pPr>
                    <w:bidi w:val="0"/>
                    <w:jc w:val="left"/>
                    <w:rPr>
                      <w:rFonts w:hint="eastAsia"/>
                      <w:color w:val="auto"/>
                      <w:vertAlign w:val="baseline"/>
                      <w:lang w:val="en-US" w:eastAsia="zh-CN"/>
                    </w:rPr>
                  </w:pPr>
                  <w:r>
                    <w:rPr>
                      <w:rFonts w:hint="eastAsia"/>
                      <w:color w:val="auto"/>
                      <w:vertAlign w:val="baseline"/>
                      <w:lang w:val="en-US" w:eastAsia="zh-CN"/>
                    </w:rPr>
                    <w:t>（3）废水第一类污染物排放量增加的；</w:t>
                  </w:r>
                </w:p>
                <w:p w14:paraId="58A903F5">
                  <w:pPr>
                    <w:bidi w:val="0"/>
                    <w:jc w:val="left"/>
                    <w:rPr>
                      <w:rFonts w:hint="eastAsia"/>
                      <w:color w:val="auto"/>
                      <w:vertAlign w:val="baseline"/>
                      <w:lang w:val="en-US" w:eastAsia="zh-CN"/>
                    </w:rPr>
                  </w:pPr>
                  <w:r>
                    <w:rPr>
                      <w:rFonts w:hint="eastAsia"/>
                      <w:color w:val="auto"/>
                      <w:vertAlign w:val="baseline"/>
                      <w:lang w:val="en-US" w:eastAsia="zh-CN"/>
                    </w:rPr>
                    <w:t>（4）其他污染物排放量增加10%及以上的。</w:t>
                  </w:r>
                </w:p>
                <w:p w14:paraId="116F8C82">
                  <w:pPr>
                    <w:bidi w:val="0"/>
                    <w:jc w:val="left"/>
                    <w:rPr>
                      <w:rFonts w:hint="eastAsia"/>
                      <w:color w:val="auto"/>
                      <w:vertAlign w:val="baseline"/>
                      <w:lang w:val="en-US" w:eastAsia="zh-CN"/>
                    </w:rPr>
                  </w:pPr>
                  <w:r>
                    <w:rPr>
                      <w:rFonts w:hint="eastAsia"/>
                      <w:color w:val="auto"/>
                      <w:vertAlign w:val="baseline"/>
                      <w:lang w:val="en-US" w:eastAsia="zh-CN"/>
                    </w:rPr>
                    <w:t>7、物料运输、装卸、贮存方式变化，导致大气污染物无组织排放量增加10%及以上的。</w:t>
                  </w:r>
                </w:p>
              </w:tc>
              <w:tc>
                <w:tcPr>
                  <w:tcW w:w="499" w:type="pct"/>
                  <w:tcBorders>
                    <w:tl2br w:val="nil"/>
                    <w:tr2bl w:val="nil"/>
                  </w:tcBorders>
                  <w:noWrap w:val="0"/>
                  <w:vAlign w:val="center"/>
                </w:tcPr>
                <w:p w14:paraId="268AE84D">
                  <w:pPr>
                    <w:bidi w:val="0"/>
                    <w:jc w:val="both"/>
                    <w:rPr>
                      <w:rFonts w:hint="eastAsia"/>
                      <w:color w:val="auto"/>
                      <w:vertAlign w:val="baseline"/>
                      <w:lang w:val="en-US" w:eastAsia="zh-CN"/>
                    </w:rPr>
                  </w:pPr>
                  <w:r>
                    <w:rPr>
                      <w:rFonts w:hint="eastAsia"/>
                      <w:color w:val="auto"/>
                      <w:vertAlign w:val="baseline"/>
                      <w:lang w:val="en-US" w:eastAsia="zh-CN"/>
                    </w:rPr>
                    <w:t>项目工艺流程发生变化，导致其他污染物排放量增加10%及以上的。</w:t>
                  </w:r>
                </w:p>
              </w:tc>
              <w:tc>
                <w:tcPr>
                  <w:tcW w:w="315" w:type="pct"/>
                  <w:tcBorders>
                    <w:tl2br w:val="nil"/>
                    <w:tr2bl w:val="nil"/>
                  </w:tcBorders>
                  <w:noWrap w:val="0"/>
                  <w:vAlign w:val="center"/>
                </w:tcPr>
                <w:p w14:paraId="55F6AA5F">
                  <w:pPr>
                    <w:bidi w:val="0"/>
                    <w:jc w:val="center"/>
                    <w:rPr>
                      <w:rFonts w:hint="eastAsia"/>
                      <w:color w:val="auto"/>
                      <w:vertAlign w:val="baseline"/>
                      <w:lang w:val="en-US" w:eastAsia="zh-CN"/>
                    </w:rPr>
                  </w:pPr>
                  <w:r>
                    <w:rPr>
                      <w:rFonts w:hint="eastAsia"/>
                      <w:color w:val="auto"/>
                      <w:vertAlign w:val="baseline"/>
                      <w:lang w:val="en-US" w:eastAsia="zh-CN"/>
                    </w:rPr>
                    <w:t>是</w:t>
                  </w:r>
                </w:p>
              </w:tc>
            </w:tr>
            <w:tr w14:paraId="1758A0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 w:type="pct"/>
                  <w:vMerge w:val="restart"/>
                  <w:tcBorders>
                    <w:tl2br w:val="nil"/>
                    <w:tr2bl w:val="nil"/>
                  </w:tcBorders>
                  <w:noWrap w:val="0"/>
                  <w:vAlign w:val="center"/>
                </w:tcPr>
                <w:p w14:paraId="672248F6">
                  <w:pPr>
                    <w:bidi w:val="0"/>
                    <w:jc w:val="center"/>
                    <w:rPr>
                      <w:rFonts w:hint="eastAsia"/>
                      <w:color w:val="auto"/>
                      <w:vertAlign w:val="baseline"/>
                      <w:lang w:val="en-US" w:eastAsia="zh-CN"/>
                    </w:rPr>
                  </w:pPr>
                  <w:r>
                    <w:rPr>
                      <w:rFonts w:hint="eastAsia"/>
                      <w:color w:val="auto"/>
                      <w:vertAlign w:val="baseline"/>
                      <w:lang w:val="en-US" w:eastAsia="zh-CN"/>
                    </w:rPr>
                    <w:t>环境保护</w:t>
                  </w:r>
                </w:p>
                <w:p w14:paraId="2DFE4833">
                  <w:pPr>
                    <w:bidi w:val="0"/>
                    <w:jc w:val="center"/>
                    <w:rPr>
                      <w:rFonts w:hint="eastAsia"/>
                      <w:color w:val="auto"/>
                      <w:vertAlign w:val="baseline"/>
                      <w:lang w:val="en-US" w:eastAsia="zh-CN"/>
                    </w:rPr>
                  </w:pPr>
                  <w:r>
                    <w:rPr>
                      <w:rFonts w:hint="eastAsia"/>
                      <w:color w:val="auto"/>
                      <w:vertAlign w:val="baseline"/>
                      <w:lang w:val="en-US" w:eastAsia="zh-CN"/>
                    </w:rPr>
                    <w:t>措施</w:t>
                  </w:r>
                </w:p>
              </w:tc>
              <w:tc>
                <w:tcPr>
                  <w:tcW w:w="814" w:type="pct"/>
                  <w:tcBorders>
                    <w:tl2br w:val="nil"/>
                    <w:tr2bl w:val="nil"/>
                  </w:tcBorders>
                  <w:noWrap w:val="0"/>
                  <w:vAlign w:val="center"/>
                </w:tcPr>
                <w:p w14:paraId="475988DE">
                  <w:pPr>
                    <w:bidi w:val="0"/>
                    <w:jc w:val="both"/>
                    <w:rPr>
                      <w:rFonts w:hint="eastAsia"/>
                      <w:b/>
                      <w:bCs/>
                      <w:color w:val="auto"/>
                      <w:vertAlign w:val="baseline"/>
                      <w:lang w:val="en-US" w:eastAsia="zh-CN"/>
                    </w:rPr>
                  </w:pPr>
                  <w:r>
                    <w:rPr>
                      <w:rFonts w:hint="eastAsia"/>
                      <w:b/>
                      <w:bCs/>
                      <w:color w:val="auto"/>
                      <w:vertAlign w:val="baseline"/>
                      <w:lang w:val="en-US" w:eastAsia="zh-CN"/>
                    </w:rPr>
                    <w:t>废气治理：</w:t>
                  </w:r>
                </w:p>
                <w:p w14:paraId="4369A2AC">
                  <w:pPr>
                    <w:pStyle w:val="22"/>
                    <w:keepNext w:val="0"/>
                    <w:keepLines w:val="0"/>
                    <w:pageBreakBefore w:val="0"/>
                    <w:kinsoku/>
                    <w:wordWrap/>
                    <w:overflowPunct/>
                    <w:topLinePunct w:val="0"/>
                    <w:autoSpaceDE/>
                    <w:autoSpaceDN/>
                    <w:bidi w:val="0"/>
                    <w:adjustRightInd/>
                    <w:spacing w:before="0" w:after="0"/>
                    <w:ind w:right="0"/>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加料、投料搅拌粉尘</w:t>
                  </w:r>
                  <w:r>
                    <w:rPr>
                      <w:rFonts w:hint="eastAsia"/>
                      <w:color w:val="auto"/>
                      <w:vertAlign w:val="baseline"/>
                      <w:lang w:val="en-US" w:eastAsia="zh-CN"/>
                    </w:rPr>
                    <w:t>：</w:t>
                  </w:r>
                  <w:r>
                    <w:rPr>
                      <w:rFonts w:hint="eastAsia" w:ascii="Times New Roman" w:hAnsi="Times New Roman" w:eastAsia="宋体" w:cs="Times New Roman"/>
                      <w:color w:val="auto"/>
                      <w:kern w:val="2"/>
                      <w:sz w:val="21"/>
                      <w:szCs w:val="21"/>
                      <w:highlight w:val="none"/>
                      <w:shd w:val="clear" w:color="auto" w:fill="auto"/>
                      <w:lang w:val="en-US" w:eastAsia="zh-CN" w:bidi="ar-SA"/>
                    </w:rPr>
                    <w:t>经自然沉降后由人工及时清扫，少量未沉降的粉尘通过车间空气净化系统处理后无组织排放；</w:t>
                  </w:r>
                </w:p>
                <w:p w14:paraId="773267DD">
                  <w:pPr>
                    <w:keepNext w:val="0"/>
                    <w:keepLines w:val="0"/>
                    <w:pageBreakBefore w:val="0"/>
                    <w:kinsoku/>
                    <w:wordWrap/>
                    <w:overflowPunct/>
                    <w:topLinePunct w:val="0"/>
                    <w:autoSpaceDE/>
                    <w:autoSpaceDN/>
                    <w:bidi w:val="0"/>
                    <w:adjustRightInd/>
                    <w:ind w:right="0"/>
                    <w:jc w:val="both"/>
                    <w:textAlignment w:val="auto"/>
                    <w:rPr>
                      <w:rFonts w:hint="eastAsia"/>
                      <w:color w:val="auto"/>
                      <w:vertAlign w:val="baseline"/>
                      <w:lang w:val="en-US" w:eastAsia="zh-CN"/>
                    </w:rPr>
                  </w:pPr>
                  <w:r>
                    <w:rPr>
                      <w:rFonts w:hint="eastAsia" w:ascii="Times New Roman" w:hAnsi="Times New Roman" w:eastAsia="宋体" w:cs="Times New Roman"/>
                      <w:color w:val="auto"/>
                      <w:kern w:val="2"/>
                      <w:sz w:val="21"/>
                      <w:szCs w:val="21"/>
                      <w:highlight w:val="none"/>
                      <w:shd w:val="clear" w:color="auto" w:fill="auto"/>
                      <w:lang w:val="en-US" w:eastAsia="zh-CN" w:bidi="ar-SA"/>
                    </w:rPr>
                    <w:t>（灌装）涂布等工序产生的极少量有机废气，通过车间空气净化系统处理后无组织排放。</w:t>
                  </w:r>
                </w:p>
              </w:tc>
              <w:tc>
                <w:tcPr>
                  <w:tcW w:w="822" w:type="pct"/>
                  <w:tcBorders>
                    <w:tl2br w:val="nil"/>
                    <w:tr2bl w:val="nil"/>
                  </w:tcBorders>
                  <w:noWrap w:val="0"/>
                  <w:vAlign w:val="center"/>
                </w:tcPr>
                <w:p w14:paraId="3FD8402A">
                  <w:pPr>
                    <w:bidi w:val="0"/>
                    <w:jc w:val="both"/>
                    <w:rPr>
                      <w:rFonts w:hint="eastAsia"/>
                      <w:b/>
                      <w:bCs/>
                      <w:color w:val="auto"/>
                      <w:vertAlign w:val="baseline"/>
                      <w:lang w:val="en-US" w:eastAsia="zh-CN"/>
                    </w:rPr>
                  </w:pPr>
                  <w:r>
                    <w:rPr>
                      <w:rFonts w:hint="eastAsia"/>
                      <w:b/>
                      <w:bCs/>
                      <w:color w:val="auto"/>
                      <w:vertAlign w:val="baseline"/>
                      <w:lang w:val="en-US" w:eastAsia="zh-CN"/>
                    </w:rPr>
                    <w:t>废气治理：</w:t>
                  </w:r>
                </w:p>
                <w:p w14:paraId="503D0852">
                  <w:pPr>
                    <w:pStyle w:val="22"/>
                    <w:keepNext w:val="0"/>
                    <w:keepLines w:val="0"/>
                    <w:pageBreakBefore w:val="0"/>
                    <w:kinsoku/>
                    <w:wordWrap/>
                    <w:overflowPunct/>
                    <w:topLinePunct w:val="0"/>
                    <w:autoSpaceDE/>
                    <w:autoSpaceDN/>
                    <w:bidi w:val="0"/>
                    <w:adjustRightInd/>
                    <w:spacing w:before="0" w:after="0"/>
                    <w:ind w:right="0"/>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加料、投料搅拌粉尘</w:t>
                  </w:r>
                  <w:r>
                    <w:rPr>
                      <w:rFonts w:hint="eastAsia"/>
                      <w:color w:val="auto"/>
                      <w:vertAlign w:val="baseline"/>
                      <w:lang w:val="en-US" w:eastAsia="zh-CN"/>
                    </w:rPr>
                    <w:t>：</w:t>
                  </w:r>
                  <w:r>
                    <w:rPr>
                      <w:rFonts w:hint="eastAsia" w:ascii="Times New Roman" w:hAnsi="Times New Roman" w:eastAsia="宋体" w:cs="Times New Roman"/>
                      <w:color w:val="auto"/>
                      <w:kern w:val="2"/>
                      <w:sz w:val="21"/>
                      <w:szCs w:val="21"/>
                      <w:highlight w:val="none"/>
                      <w:shd w:val="clear" w:color="auto" w:fill="auto"/>
                      <w:lang w:val="en-US" w:eastAsia="zh-CN" w:bidi="ar-SA"/>
                    </w:rPr>
                    <w:t>经自然沉降后由人工及时清扫，少量未沉降的粉尘通过车间空气净化系统处理后无组织排放；</w:t>
                  </w:r>
                </w:p>
                <w:p w14:paraId="29788F49">
                  <w:pPr>
                    <w:bidi w:val="0"/>
                    <w:jc w:val="center"/>
                    <w:rPr>
                      <w:rFonts w:hint="eastAsia"/>
                      <w:color w:val="auto"/>
                      <w:vertAlign w:val="baseline"/>
                      <w:lang w:val="en-US" w:eastAsia="zh-CN"/>
                    </w:rPr>
                  </w:pPr>
                  <w:r>
                    <w:rPr>
                      <w:rFonts w:hint="eastAsia" w:ascii="Times New Roman" w:hAnsi="Times New Roman" w:eastAsia="宋体" w:cs="Times New Roman"/>
                      <w:color w:val="auto"/>
                      <w:kern w:val="2"/>
                      <w:sz w:val="21"/>
                      <w:szCs w:val="21"/>
                      <w:highlight w:val="none"/>
                      <w:shd w:val="clear" w:color="auto" w:fill="auto"/>
                      <w:lang w:val="en-US" w:eastAsia="zh-CN" w:bidi="ar-SA"/>
                    </w:rPr>
                    <w:t>（灌装）涂布、制胶、</w:t>
                  </w:r>
                  <w:r>
                    <w:rPr>
                      <w:rFonts w:hint="eastAsia" w:cs="Times New Roman"/>
                      <w:color w:val="auto"/>
                      <w:kern w:val="2"/>
                      <w:sz w:val="21"/>
                      <w:szCs w:val="21"/>
                      <w:highlight w:val="none"/>
                      <w:shd w:val="clear" w:color="auto" w:fill="auto"/>
                      <w:lang w:val="en-US" w:eastAsia="zh-CN" w:bidi="ar-SA"/>
                    </w:rPr>
                    <w:t>产品生产、</w:t>
                  </w:r>
                  <w:r>
                    <w:rPr>
                      <w:rFonts w:hint="eastAsia" w:ascii="Times New Roman" w:hAnsi="Times New Roman" w:eastAsia="宋体" w:cs="Times New Roman"/>
                      <w:color w:val="auto"/>
                      <w:kern w:val="2"/>
                      <w:sz w:val="21"/>
                      <w:szCs w:val="21"/>
                      <w:highlight w:val="none"/>
                      <w:shd w:val="clear" w:color="auto" w:fill="auto"/>
                      <w:lang w:val="en-US" w:eastAsia="zh-CN" w:bidi="ar-SA"/>
                    </w:rPr>
                    <w:t>喷码等工序产生的极少量有机废气，通过车间空气净化系统</w:t>
                  </w:r>
                  <w:r>
                    <w:rPr>
                      <w:rFonts w:hint="eastAsia" w:cs="Times New Roman"/>
                      <w:color w:val="auto"/>
                      <w:kern w:val="2"/>
                      <w:sz w:val="21"/>
                      <w:szCs w:val="21"/>
                      <w:highlight w:val="none"/>
                      <w:shd w:val="clear" w:color="auto" w:fill="auto"/>
                      <w:lang w:val="en-US" w:eastAsia="zh-CN" w:bidi="ar-SA"/>
                    </w:rPr>
                    <w:t>+二级活性炭处理装置</w:t>
                  </w:r>
                  <w:r>
                    <w:rPr>
                      <w:rFonts w:hint="eastAsia" w:ascii="Times New Roman" w:hAnsi="Times New Roman" w:eastAsia="宋体" w:cs="Times New Roman"/>
                      <w:color w:val="auto"/>
                      <w:kern w:val="2"/>
                      <w:sz w:val="21"/>
                      <w:szCs w:val="21"/>
                      <w:highlight w:val="none"/>
                      <w:shd w:val="clear" w:color="auto" w:fill="auto"/>
                      <w:lang w:val="en-US" w:eastAsia="zh-CN" w:bidi="ar-SA"/>
                    </w:rPr>
                    <w:t>处理后无组织排放。。</w:t>
                  </w:r>
                </w:p>
              </w:tc>
              <w:tc>
                <w:tcPr>
                  <w:tcW w:w="251" w:type="pct"/>
                  <w:tcBorders>
                    <w:tl2br w:val="nil"/>
                    <w:tr2bl w:val="nil"/>
                  </w:tcBorders>
                  <w:noWrap w:val="0"/>
                  <w:vAlign w:val="center"/>
                </w:tcPr>
                <w:p w14:paraId="2C9E7A4B">
                  <w:pPr>
                    <w:bidi w:val="0"/>
                    <w:jc w:val="center"/>
                    <w:rPr>
                      <w:rFonts w:hint="eastAsia"/>
                      <w:color w:val="auto"/>
                      <w:vertAlign w:val="baseline"/>
                      <w:lang w:val="en-US" w:eastAsia="zh-CN"/>
                    </w:rPr>
                  </w:pPr>
                  <w:r>
                    <w:rPr>
                      <w:rFonts w:hint="eastAsia"/>
                      <w:color w:val="auto"/>
                      <w:vertAlign w:val="baseline"/>
                      <w:lang w:val="en-US" w:eastAsia="zh-CN"/>
                    </w:rPr>
                    <w:t>是</w:t>
                  </w:r>
                </w:p>
              </w:tc>
              <w:tc>
                <w:tcPr>
                  <w:tcW w:w="676" w:type="pct"/>
                  <w:tcBorders>
                    <w:tl2br w:val="nil"/>
                    <w:tr2bl w:val="nil"/>
                  </w:tcBorders>
                  <w:noWrap w:val="0"/>
                  <w:vAlign w:val="center"/>
                </w:tcPr>
                <w:p w14:paraId="0F20FD6A">
                  <w:pPr>
                    <w:bidi w:val="0"/>
                    <w:jc w:val="both"/>
                    <w:rPr>
                      <w:rFonts w:hint="eastAsia"/>
                      <w:color w:val="auto"/>
                      <w:vertAlign w:val="baseline"/>
                      <w:lang w:val="en-US" w:eastAsia="zh-CN"/>
                    </w:rPr>
                  </w:pPr>
                  <w:r>
                    <w:rPr>
                      <w:rFonts w:hint="eastAsia" w:ascii="Times New Roman" w:eastAsia="宋体"/>
                      <w:color w:val="auto"/>
                      <w:vertAlign w:val="baseline"/>
                      <w:lang w:val="en-US" w:eastAsia="zh-CN"/>
                    </w:rPr>
                    <w:t>项目工艺流程发生变化，导致污染物种类增加</w:t>
                  </w:r>
                  <w:r>
                    <w:rPr>
                      <w:rFonts w:hint="eastAsia"/>
                      <w:color w:val="auto"/>
                      <w:vertAlign w:val="baseline"/>
                      <w:lang w:val="en-US" w:eastAsia="zh-CN"/>
                    </w:rPr>
                    <w:t>；</w:t>
                  </w:r>
                  <w:r>
                    <w:rPr>
                      <w:rFonts w:hint="eastAsia" w:ascii="Times New Roman" w:eastAsia="宋体"/>
                      <w:color w:val="auto"/>
                      <w:vertAlign w:val="baseline"/>
                      <w:lang w:val="en-US" w:eastAsia="zh-CN"/>
                    </w:rPr>
                    <w:t>新增污染物非甲烷总烃）采用</w:t>
                  </w:r>
                  <w:r>
                    <w:rPr>
                      <w:rFonts w:hint="eastAsia" w:ascii="Times New Roman" w:hAnsi="Times New Roman" w:eastAsia="宋体" w:cs="Times New Roman"/>
                      <w:color w:val="auto"/>
                      <w:kern w:val="2"/>
                      <w:sz w:val="21"/>
                      <w:szCs w:val="21"/>
                      <w:highlight w:val="none"/>
                      <w:shd w:val="clear" w:color="auto" w:fill="auto"/>
                      <w:lang w:val="en-US" w:eastAsia="zh-CN" w:bidi="ar-SA"/>
                    </w:rPr>
                    <w:t>通过车间空气净化系统</w:t>
                  </w:r>
                  <w:r>
                    <w:rPr>
                      <w:rFonts w:hint="eastAsia" w:cs="Times New Roman"/>
                      <w:color w:val="auto"/>
                      <w:kern w:val="2"/>
                      <w:sz w:val="21"/>
                      <w:szCs w:val="21"/>
                      <w:highlight w:val="none"/>
                      <w:shd w:val="clear" w:color="auto" w:fill="auto"/>
                      <w:lang w:val="en-US" w:eastAsia="zh-CN" w:bidi="ar-SA"/>
                    </w:rPr>
                    <w:t>+二级活性炭处理装置</w:t>
                  </w:r>
                  <w:r>
                    <w:rPr>
                      <w:rFonts w:hint="eastAsia" w:ascii="Times New Roman" w:hAnsi="Times New Roman" w:eastAsia="宋体" w:cs="Times New Roman"/>
                      <w:color w:val="auto"/>
                      <w:kern w:val="2"/>
                      <w:sz w:val="21"/>
                      <w:szCs w:val="21"/>
                      <w:highlight w:val="none"/>
                      <w:shd w:val="clear" w:color="auto" w:fill="auto"/>
                      <w:lang w:val="en-US" w:eastAsia="zh-CN" w:bidi="ar-SA"/>
                    </w:rPr>
                    <w:t>处理后无组织排放。</w:t>
                  </w:r>
                </w:p>
              </w:tc>
              <w:tc>
                <w:tcPr>
                  <w:tcW w:w="1454" w:type="pct"/>
                  <w:tcBorders>
                    <w:tl2br w:val="nil"/>
                    <w:tr2bl w:val="nil"/>
                  </w:tcBorders>
                  <w:noWrap w:val="0"/>
                  <w:vAlign w:val="center"/>
                </w:tcPr>
                <w:p w14:paraId="5C593956">
                  <w:pPr>
                    <w:bidi w:val="0"/>
                    <w:jc w:val="left"/>
                    <w:rPr>
                      <w:rFonts w:hint="eastAsia"/>
                      <w:color w:val="auto"/>
                      <w:vertAlign w:val="baseline"/>
                      <w:lang w:val="en-US" w:eastAsia="zh-CN"/>
                    </w:rPr>
                  </w:pPr>
                  <w:r>
                    <w:rPr>
                      <w:rFonts w:hint="eastAsia"/>
                      <w:color w:val="auto"/>
                      <w:vertAlign w:val="baseline"/>
                      <w:lang w:val="en-US" w:eastAsia="zh-CN"/>
                    </w:rPr>
                    <w:t>8、废气、废水污染防治措施变化，导致第6条中所列情形之一（废气无组织排放改为有组织排放、污染防治措施强化或改进的除外）或大气污染物无组织排放量增加10%及以上的。</w:t>
                  </w:r>
                </w:p>
                <w:p w14:paraId="7F24948E">
                  <w:pPr>
                    <w:bidi w:val="0"/>
                    <w:jc w:val="both"/>
                    <w:rPr>
                      <w:rFonts w:hint="eastAsia"/>
                      <w:color w:val="auto"/>
                      <w:vertAlign w:val="baseline"/>
                      <w:lang w:val="en-US" w:eastAsia="zh-CN"/>
                    </w:rPr>
                  </w:pPr>
                  <w:r>
                    <w:rPr>
                      <w:rFonts w:hint="eastAsia"/>
                      <w:color w:val="auto"/>
                      <w:vertAlign w:val="baseline"/>
                      <w:lang w:val="en-US" w:eastAsia="zh-CN"/>
                    </w:rPr>
                    <w:t>10、新增废气主要排放口（废气无组织排放改为有组织排放的除外）；主要排放口排气筒高度降低10%及以上的。</w:t>
                  </w:r>
                </w:p>
              </w:tc>
              <w:tc>
                <w:tcPr>
                  <w:tcW w:w="499" w:type="pct"/>
                  <w:tcBorders>
                    <w:tl2br w:val="nil"/>
                    <w:tr2bl w:val="nil"/>
                  </w:tcBorders>
                  <w:noWrap w:val="0"/>
                  <w:vAlign w:val="center"/>
                </w:tcPr>
                <w:p w14:paraId="6D13DDB3">
                  <w:pPr>
                    <w:bidi w:val="0"/>
                    <w:jc w:val="both"/>
                    <w:rPr>
                      <w:rFonts w:hint="eastAsia"/>
                      <w:color w:val="auto"/>
                      <w:vertAlign w:val="baseline"/>
                      <w:lang w:val="en-US" w:eastAsia="zh-CN"/>
                    </w:rPr>
                  </w:pPr>
                  <w:r>
                    <w:rPr>
                      <w:rFonts w:hint="eastAsia"/>
                      <w:color w:val="auto"/>
                      <w:vertAlign w:val="baseline"/>
                      <w:lang w:val="en-US" w:eastAsia="zh-CN"/>
                    </w:rPr>
                    <w:t>项目大气污染物无组织排放量增加10%及以上，</w:t>
                  </w:r>
                  <w:r>
                    <w:rPr>
                      <w:rFonts w:hint="eastAsia" w:ascii="Times New Roman" w:eastAsia="宋体"/>
                      <w:color w:val="auto"/>
                      <w:vertAlign w:val="baseline"/>
                      <w:lang w:val="en-US" w:eastAsia="zh-CN"/>
                    </w:rPr>
                    <w:t>新增污染物非甲烷总烃采用</w:t>
                  </w:r>
                  <w:r>
                    <w:rPr>
                      <w:rFonts w:hint="eastAsia" w:ascii="Times New Roman" w:hAnsi="Times New Roman" w:eastAsia="宋体" w:cs="Times New Roman"/>
                      <w:color w:val="auto"/>
                      <w:kern w:val="2"/>
                      <w:sz w:val="21"/>
                      <w:szCs w:val="21"/>
                      <w:highlight w:val="none"/>
                      <w:shd w:val="clear" w:color="auto" w:fill="auto"/>
                      <w:lang w:val="en-US" w:eastAsia="zh-CN" w:bidi="ar-SA"/>
                    </w:rPr>
                    <w:t>通过车间空气净化系统处理后无组织排放。</w:t>
                  </w:r>
                </w:p>
              </w:tc>
              <w:tc>
                <w:tcPr>
                  <w:tcW w:w="315" w:type="pct"/>
                  <w:tcBorders>
                    <w:tl2br w:val="nil"/>
                    <w:tr2bl w:val="nil"/>
                  </w:tcBorders>
                  <w:noWrap w:val="0"/>
                  <w:vAlign w:val="center"/>
                </w:tcPr>
                <w:p w14:paraId="1651157A">
                  <w:pPr>
                    <w:bidi w:val="0"/>
                    <w:jc w:val="center"/>
                    <w:rPr>
                      <w:rFonts w:hint="eastAsia"/>
                      <w:color w:val="auto"/>
                      <w:vertAlign w:val="baseline"/>
                      <w:lang w:val="en-US" w:eastAsia="zh-CN"/>
                    </w:rPr>
                  </w:pPr>
                  <w:r>
                    <w:rPr>
                      <w:rFonts w:hint="eastAsia"/>
                      <w:color w:val="auto"/>
                      <w:vertAlign w:val="baseline"/>
                      <w:lang w:val="en-US" w:eastAsia="zh-CN"/>
                    </w:rPr>
                    <w:t>是</w:t>
                  </w:r>
                </w:p>
              </w:tc>
            </w:tr>
            <w:tr w14:paraId="136A4A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 w:type="pct"/>
                  <w:vMerge w:val="continue"/>
                  <w:tcBorders>
                    <w:tl2br w:val="nil"/>
                    <w:tr2bl w:val="nil"/>
                  </w:tcBorders>
                  <w:noWrap w:val="0"/>
                  <w:vAlign w:val="center"/>
                </w:tcPr>
                <w:p w14:paraId="16C739B9">
                  <w:pPr>
                    <w:bidi w:val="0"/>
                    <w:jc w:val="center"/>
                    <w:rPr>
                      <w:rFonts w:hint="eastAsia"/>
                      <w:color w:val="auto"/>
                      <w:vertAlign w:val="baseline"/>
                      <w:lang w:val="en-US" w:eastAsia="zh-CN"/>
                    </w:rPr>
                  </w:pPr>
                </w:p>
              </w:tc>
              <w:tc>
                <w:tcPr>
                  <w:tcW w:w="814" w:type="pct"/>
                  <w:tcBorders>
                    <w:tl2br w:val="nil"/>
                    <w:tr2bl w:val="nil"/>
                  </w:tcBorders>
                  <w:noWrap w:val="0"/>
                  <w:vAlign w:val="center"/>
                </w:tcPr>
                <w:p w14:paraId="2E627CFF">
                  <w:pPr>
                    <w:bidi w:val="0"/>
                    <w:jc w:val="left"/>
                    <w:rPr>
                      <w:rFonts w:hint="eastAsia"/>
                      <w:b/>
                      <w:bCs/>
                      <w:color w:val="auto"/>
                      <w:vertAlign w:val="baseline"/>
                      <w:lang w:val="en-US" w:eastAsia="zh-CN"/>
                    </w:rPr>
                  </w:pPr>
                  <w:r>
                    <w:rPr>
                      <w:rFonts w:hint="eastAsia"/>
                      <w:b/>
                      <w:bCs/>
                      <w:color w:val="auto"/>
                      <w:vertAlign w:val="baseline"/>
                      <w:lang w:val="en-US" w:eastAsia="zh-CN"/>
                    </w:rPr>
                    <w:t>废水治理：</w:t>
                  </w:r>
                </w:p>
                <w:p w14:paraId="34BED38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vertAlign w:val="baseline"/>
                      <w:lang w:val="en-US" w:eastAsia="zh-CN"/>
                    </w:rPr>
                  </w:pPr>
                  <w:r>
                    <w:rPr>
                      <w:rFonts w:hint="eastAsia"/>
                      <w:color w:val="auto"/>
                      <w:vertAlign w:val="baseline"/>
                      <w:lang w:val="en-US" w:eastAsia="zh-CN"/>
                    </w:rPr>
                    <w:t>生活污水、设备清洗废水：化粪池；</w:t>
                  </w:r>
                </w:p>
                <w:p w14:paraId="6DC402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color w:val="auto"/>
                      <w:vertAlign w:val="baseline"/>
                      <w:lang w:val="en-US" w:eastAsia="zh-CN"/>
                    </w:rPr>
                  </w:pPr>
                  <w:r>
                    <w:rPr>
                      <w:rFonts w:hint="eastAsia"/>
                      <w:color w:val="auto"/>
                      <w:vertAlign w:val="baseline"/>
                      <w:lang w:val="en-US" w:eastAsia="zh-CN"/>
                    </w:rPr>
                    <w:t>纯水制备浓水：排入园区污水管网</w:t>
                  </w:r>
                </w:p>
              </w:tc>
              <w:tc>
                <w:tcPr>
                  <w:tcW w:w="822" w:type="pct"/>
                  <w:tcBorders>
                    <w:tl2br w:val="nil"/>
                    <w:tr2bl w:val="nil"/>
                  </w:tcBorders>
                  <w:noWrap w:val="0"/>
                  <w:vAlign w:val="center"/>
                </w:tcPr>
                <w:p w14:paraId="577C3A3D">
                  <w:pPr>
                    <w:bidi w:val="0"/>
                    <w:jc w:val="left"/>
                    <w:rPr>
                      <w:rFonts w:hint="eastAsia"/>
                      <w:b/>
                      <w:bCs/>
                      <w:color w:val="auto"/>
                      <w:vertAlign w:val="baseline"/>
                      <w:lang w:val="en-US" w:eastAsia="zh-CN"/>
                    </w:rPr>
                  </w:pPr>
                  <w:r>
                    <w:rPr>
                      <w:rFonts w:hint="eastAsia"/>
                      <w:b/>
                      <w:bCs/>
                      <w:color w:val="auto"/>
                      <w:vertAlign w:val="baseline"/>
                      <w:lang w:val="en-US" w:eastAsia="zh-CN"/>
                    </w:rPr>
                    <w:t>废水治理：</w:t>
                  </w:r>
                </w:p>
                <w:p w14:paraId="4D81BB8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vertAlign w:val="baseline"/>
                      <w:lang w:val="en-US" w:eastAsia="zh-CN"/>
                    </w:rPr>
                  </w:pPr>
                  <w:r>
                    <w:rPr>
                      <w:rFonts w:hint="eastAsia"/>
                      <w:color w:val="auto"/>
                      <w:vertAlign w:val="baseline"/>
                      <w:lang w:val="en-US" w:eastAsia="zh-CN"/>
                    </w:rPr>
                    <w:t>生活污水：化粪池</w:t>
                  </w:r>
                </w:p>
                <w:p w14:paraId="3D2AA08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vertAlign w:val="baseline"/>
                      <w:lang w:val="en-US" w:eastAsia="zh-CN"/>
                    </w:rPr>
                  </w:pPr>
                  <w:r>
                    <w:rPr>
                      <w:rFonts w:hint="eastAsia"/>
                      <w:color w:val="auto"/>
                      <w:vertAlign w:val="baseline"/>
                      <w:lang w:val="en-US" w:eastAsia="zh-CN"/>
                    </w:rPr>
                    <w:t>设备清洗废水：沉淀池+化粪池；</w:t>
                  </w:r>
                </w:p>
                <w:p w14:paraId="137350C3">
                  <w:pPr>
                    <w:bidi w:val="0"/>
                    <w:jc w:val="both"/>
                    <w:rPr>
                      <w:rFonts w:hint="eastAsia"/>
                      <w:color w:val="auto"/>
                      <w:vertAlign w:val="baseline"/>
                      <w:lang w:val="en-US" w:eastAsia="zh-CN"/>
                    </w:rPr>
                  </w:pPr>
                  <w:r>
                    <w:rPr>
                      <w:rFonts w:hint="eastAsia"/>
                      <w:color w:val="auto"/>
                      <w:vertAlign w:val="baseline"/>
                      <w:lang w:val="en-US" w:eastAsia="zh-CN"/>
                    </w:rPr>
                    <w:t>纯水制备浓水：排入园区污水管网</w:t>
                  </w:r>
                </w:p>
              </w:tc>
              <w:tc>
                <w:tcPr>
                  <w:tcW w:w="251" w:type="pct"/>
                  <w:tcBorders>
                    <w:tl2br w:val="nil"/>
                    <w:tr2bl w:val="nil"/>
                  </w:tcBorders>
                  <w:noWrap w:val="0"/>
                  <w:vAlign w:val="center"/>
                </w:tcPr>
                <w:p w14:paraId="66C64609">
                  <w:pPr>
                    <w:bidi w:val="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是</w:t>
                  </w:r>
                </w:p>
              </w:tc>
              <w:tc>
                <w:tcPr>
                  <w:tcW w:w="676" w:type="pct"/>
                  <w:tcBorders>
                    <w:tl2br w:val="nil"/>
                    <w:tr2bl w:val="nil"/>
                  </w:tcBorders>
                  <w:noWrap w:val="0"/>
                  <w:vAlign w:val="center"/>
                </w:tcPr>
                <w:p w14:paraId="73E045CB">
                  <w:pPr>
                    <w:bidi w:val="0"/>
                    <w:jc w:val="both"/>
                    <w:rPr>
                      <w:rFonts w:hint="default" w:ascii="Times New Roman" w:hAnsi="Times New Roman" w:eastAsia="宋体" w:cs="Times New Roman"/>
                      <w:color w:val="auto"/>
                      <w:kern w:val="2"/>
                      <w:sz w:val="21"/>
                      <w:szCs w:val="21"/>
                      <w:lang w:val="en-US" w:eastAsia="zh-CN" w:bidi="ar-SA"/>
                    </w:rPr>
                  </w:pPr>
                  <w:r>
                    <w:rPr>
                      <w:rFonts w:hint="eastAsia"/>
                      <w:color w:val="auto"/>
                      <w:vertAlign w:val="baseline"/>
                      <w:lang w:val="en-US" w:eastAsia="zh-CN"/>
                    </w:rPr>
                    <w:t>项目新增沉淀池</w:t>
                  </w:r>
                </w:p>
              </w:tc>
              <w:tc>
                <w:tcPr>
                  <w:tcW w:w="1454" w:type="pct"/>
                  <w:tcBorders>
                    <w:tl2br w:val="nil"/>
                    <w:tr2bl w:val="nil"/>
                  </w:tcBorders>
                  <w:noWrap w:val="0"/>
                  <w:vAlign w:val="center"/>
                </w:tcPr>
                <w:p w14:paraId="18382661">
                  <w:pPr>
                    <w:bidi w:val="0"/>
                    <w:jc w:val="left"/>
                    <w:rPr>
                      <w:rFonts w:hint="eastAsia"/>
                      <w:color w:val="auto"/>
                      <w:vertAlign w:val="baseline"/>
                      <w:lang w:val="en-US" w:eastAsia="zh-CN"/>
                    </w:rPr>
                  </w:pPr>
                  <w:r>
                    <w:rPr>
                      <w:rFonts w:hint="eastAsia"/>
                      <w:color w:val="auto"/>
                      <w:vertAlign w:val="baseline"/>
                      <w:lang w:val="en-US" w:eastAsia="zh-CN"/>
                    </w:rPr>
                    <w:t>9、新增废水直接排放口</w:t>
                  </w:r>
                  <w:r>
                    <w:rPr>
                      <w:rFonts w:hint="eastAsia" w:ascii="Times New Roman" w:hAnsi="Times New Roman" w:eastAsia="宋体" w:cs="Times New Roman"/>
                      <w:color w:val="auto"/>
                      <w:vertAlign w:val="baseline"/>
                      <w:lang w:val="en-US" w:eastAsia="zh-CN"/>
                    </w:rPr>
                    <w:t>；废水由间接排放改为直接排放；</w:t>
                  </w:r>
                  <w:r>
                    <w:rPr>
                      <w:rFonts w:hint="eastAsia"/>
                      <w:color w:val="auto"/>
                      <w:vertAlign w:val="baseline"/>
                      <w:lang w:val="en-US" w:eastAsia="zh-CN"/>
                    </w:rPr>
                    <w:t>废水直接排放口位置变化，导致不利环境影响加重的。</w:t>
                  </w:r>
                </w:p>
              </w:tc>
              <w:tc>
                <w:tcPr>
                  <w:tcW w:w="499" w:type="pct"/>
                  <w:tcBorders>
                    <w:tl2br w:val="nil"/>
                    <w:tr2bl w:val="nil"/>
                  </w:tcBorders>
                  <w:noWrap w:val="0"/>
                  <w:vAlign w:val="center"/>
                </w:tcPr>
                <w:p w14:paraId="1E2A49E2">
                  <w:pPr>
                    <w:bidi w:val="0"/>
                    <w:jc w:val="both"/>
                    <w:rPr>
                      <w:rFonts w:hint="eastAsia"/>
                      <w:color w:val="auto"/>
                      <w:vertAlign w:val="baseline"/>
                      <w:lang w:val="en-US" w:eastAsia="zh-CN"/>
                    </w:rPr>
                  </w:pPr>
                  <w:r>
                    <w:rPr>
                      <w:rFonts w:hint="eastAsia"/>
                      <w:color w:val="auto"/>
                      <w:vertAlign w:val="baseline"/>
                      <w:lang w:val="en-US" w:eastAsia="zh-CN"/>
                    </w:rPr>
                    <w:t>项目废水排放方式不变，排放位置不变，不新增排口</w:t>
                  </w:r>
                </w:p>
              </w:tc>
              <w:tc>
                <w:tcPr>
                  <w:tcW w:w="315" w:type="pct"/>
                  <w:tcBorders>
                    <w:tl2br w:val="nil"/>
                    <w:tr2bl w:val="nil"/>
                  </w:tcBorders>
                  <w:noWrap w:val="0"/>
                  <w:vAlign w:val="center"/>
                </w:tcPr>
                <w:p w14:paraId="6BD95A23">
                  <w:pPr>
                    <w:bidi w:val="0"/>
                    <w:jc w:val="center"/>
                    <w:rPr>
                      <w:rFonts w:hint="eastAsia"/>
                      <w:color w:val="auto"/>
                      <w:vertAlign w:val="baseline"/>
                      <w:lang w:val="en-US" w:eastAsia="zh-CN"/>
                    </w:rPr>
                  </w:pPr>
                  <w:r>
                    <w:rPr>
                      <w:rFonts w:hint="eastAsia"/>
                      <w:color w:val="auto"/>
                      <w:vertAlign w:val="baseline"/>
                      <w:lang w:val="en-US" w:eastAsia="zh-CN"/>
                    </w:rPr>
                    <w:t>否</w:t>
                  </w:r>
                </w:p>
              </w:tc>
            </w:tr>
            <w:tr w14:paraId="209E29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 w:type="pct"/>
                  <w:vMerge w:val="continue"/>
                  <w:tcBorders>
                    <w:tl2br w:val="nil"/>
                    <w:tr2bl w:val="nil"/>
                  </w:tcBorders>
                  <w:noWrap w:val="0"/>
                  <w:vAlign w:val="center"/>
                </w:tcPr>
                <w:p w14:paraId="1293F071">
                  <w:pPr>
                    <w:bidi w:val="0"/>
                    <w:jc w:val="center"/>
                    <w:rPr>
                      <w:rFonts w:hint="eastAsia"/>
                      <w:color w:val="auto"/>
                      <w:vertAlign w:val="baseline"/>
                      <w:lang w:val="en-US" w:eastAsia="zh-CN"/>
                    </w:rPr>
                  </w:pPr>
                </w:p>
              </w:tc>
              <w:tc>
                <w:tcPr>
                  <w:tcW w:w="814" w:type="pct"/>
                  <w:tcBorders>
                    <w:tl2br w:val="nil"/>
                    <w:tr2bl w:val="nil"/>
                  </w:tcBorders>
                  <w:noWrap w:val="0"/>
                  <w:vAlign w:val="center"/>
                </w:tcPr>
                <w:p w14:paraId="161802F2">
                  <w:pPr>
                    <w:bidi w:val="0"/>
                    <w:jc w:val="left"/>
                    <w:rPr>
                      <w:rFonts w:hint="eastAsia"/>
                      <w:b/>
                      <w:bCs/>
                      <w:color w:val="auto"/>
                      <w:vertAlign w:val="baseline"/>
                      <w:lang w:val="en-US" w:eastAsia="zh-CN"/>
                    </w:rPr>
                  </w:pPr>
                  <w:r>
                    <w:rPr>
                      <w:rFonts w:hint="eastAsia"/>
                      <w:b/>
                      <w:bCs/>
                      <w:color w:val="auto"/>
                      <w:vertAlign w:val="baseline"/>
                      <w:lang w:val="en-US" w:eastAsia="zh-CN"/>
                    </w:rPr>
                    <w:t>噪声治理：</w:t>
                  </w:r>
                </w:p>
                <w:p w14:paraId="4C87FB28">
                  <w:pPr>
                    <w:bidi w:val="0"/>
                    <w:jc w:val="both"/>
                    <w:rPr>
                      <w:rFonts w:hint="eastAsia"/>
                      <w:color w:val="auto"/>
                      <w:vertAlign w:val="baseline"/>
                      <w:lang w:val="en-US" w:eastAsia="zh-CN"/>
                    </w:rPr>
                  </w:pPr>
                  <w:r>
                    <w:rPr>
                      <w:rFonts w:hint="eastAsia"/>
                      <w:color w:val="auto"/>
                      <w:vertAlign w:val="baseline"/>
                      <w:lang w:val="en-US" w:eastAsia="zh-CN"/>
                    </w:rPr>
                    <w:t>设备基础减震；定期维护保养；隔声处理</w:t>
                  </w:r>
                </w:p>
              </w:tc>
              <w:tc>
                <w:tcPr>
                  <w:tcW w:w="822" w:type="pct"/>
                  <w:tcBorders>
                    <w:tl2br w:val="nil"/>
                    <w:tr2bl w:val="nil"/>
                  </w:tcBorders>
                  <w:noWrap w:val="0"/>
                  <w:vAlign w:val="center"/>
                </w:tcPr>
                <w:p w14:paraId="04859007">
                  <w:pPr>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噪声治理：</w:t>
                  </w:r>
                </w:p>
                <w:p w14:paraId="7FD95AA8">
                  <w:pPr>
                    <w:bidi w:val="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设备基础减震；定期维护保养；隔声处理</w:t>
                  </w:r>
                </w:p>
              </w:tc>
              <w:tc>
                <w:tcPr>
                  <w:tcW w:w="251" w:type="pct"/>
                  <w:tcBorders>
                    <w:tl2br w:val="nil"/>
                    <w:tr2bl w:val="nil"/>
                  </w:tcBorders>
                  <w:noWrap w:val="0"/>
                  <w:vAlign w:val="center"/>
                </w:tcPr>
                <w:p w14:paraId="5E719954">
                  <w:pPr>
                    <w:bidi w:val="0"/>
                    <w:jc w:val="center"/>
                    <w:rPr>
                      <w:rFonts w:hint="eastAsia"/>
                      <w:color w:val="auto"/>
                      <w:vertAlign w:val="baseline"/>
                      <w:lang w:val="en-US" w:eastAsia="zh-CN"/>
                    </w:rPr>
                  </w:pPr>
                  <w:r>
                    <w:rPr>
                      <w:rFonts w:hint="eastAsia"/>
                      <w:color w:val="auto"/>
                      <w:vertAlign w:val="baseline"/>
                      <w:lang w:val="en-US" w:eastAsia="zh-CN"/>
                    </w:rPr>
                    <w:t>否</w:t>
                  </w:r>
                </w:p>
              </w:tc>
              <w:tc>
                <w:tcPr>
                  <w:tcW w:w="676" w:type="pct"/>
                  <w:tcBorders>
                    <w:tl2br w:val="nil"/>
                    <w:tr2bl w:val="nil"/>
                  </w:tcBorders>
                  <w:noWrap w:val="0"/>
                  <w:vAlign w:val="center"/>
                </w:tcPr>
                <w:p w14:paraId="75CE0F6D">
                  <w:pPr>
                    <w:bidi w:val="0"/>
                    <w:jc w:val="center"/>
                    <w:rPr>
                      <w:rFonts w:hint="default"/>
                      <w:color w:val="auto"/>
                      <w:vertAlign w:val="baseline"/>
                      <w:lang w:val="en-US" w:eastAsia="zh-CN"/>
                    </w:rPr>
                  </w:pPr>
                  <w:r>
                    <w:rPr>
                      <w:rFonts w:hint="eastAsia"/>
                      <w:color w:val="auto"/>
                      <w:vertAlign w:val="baseline"/>
                      <w:lang w:val="en-US" w:eastAsia="zh-CN"/>
                    </w:rPr>
                    <w:t>/</w:t>
                  </w:r>
                </w:p>
              </w:tc>
              <w:tc>
                <w:tcPr>
                  <w:tcW w:w="1454" w:type="pct"/>
                  <w:tcBorders>
                    <w:tl2br w:val="nil"/>
                    <w:tr2bl w:val="nil"/>
                  </w:tcBorders>
                  <w:noWrap w:val="0"/>
                  <w:vAlign w:val="center"/>
                </w:tcPr>
                <w:p w14:paraId="7E3D1548">
                  <w:pPr>
                    <w:bidi w:val="0"/>
                    <w:jc w:val="left"/>
                    <w:rPr>
                      <w:rFonts w:hint="eastAsia"/>
                      <w:color w:val="auto"/>
                      <w:vertAlign w:val="baseline"/>
                      <w:lang w:val="en-US" w:eastAsia="zh-CN"/>
                    </w:rPr>
                  </w:pPr>
                  <w:r>
                    <w:rPr>
                      <w:rFonts w:hint="eastAsia"/>
                      <w:color w:val="auto"/>
                      <w:vertAlign w:val="baseline"/>
                      <w:lang w:val="en-US" w:eastAsia="zh-CN"/>
                    </w:rPr>
                    <w:t>11、噪声、土壤或地下水污染防治措施变化，导致不利环境影响加重的。</w:t>
                  </w:r>
                </w:p>
              </w:tc>
              <w:tc>
                <w:tcPr>
                  <w:tcW w:w="499" w:type="pct"/>
                  <w:tcBorders>
                    <w:tl2br w:val="nil"/>
                    <w:tr2bl w:val="nil"/>
                  </w:tcBorders>
                  <w:noWrap w:val="0"/>
                  <w:vAlign w:val="center"/>
                </w:tcPr>
                <w:p w14:paraId="29E3C77D">
                  <w:pPr>
                    <w:bidi w:val="0"/>
                    <w:jc w:val="both"/>
                    <w:rPr>
                      <w:rFonts w:hint="eastAsia"/>
                      <w:color w:val="auto"/>
                      <w:vertAlign w:val="baseline"/>
                      <w:lang w:val="en-US" w:eastAsia="zh-CN"/>
                    </w:rPr>
                  </w:pPr>
                  <w:r>
                    <w:rPr>
                      <w:rFonts w:hint="eastAsia"/>
                      <w:color w:val="auto"/>
                      <w:vertAlign w:val="baseline"/>
                      <w:lang w:val="en-US" w:eastAsia="zh-CN"/>
                    </w:rPr>
                    <w:t>噪声、土壤或地下水污染防治措施未发生变化，未导致不利环境影响加重的</w:t>
                  </w:r>
                </w:p>
              </w:tc>
              <w:tc>
                <w:tcPr>
                  <w:tcW w:w="315" w:type="pct"/>
                  <w:tcBorders>
                    <w:tl2br w:val="nil"/>
                    <w:tr2bl w:val="nil"/>
                  </w:tcBorders>
                  <w:noWrap w:val="0"/>
                  <w:vAlign w:val="center"/>
                </w:tcPr>
                <w:p w14:paraId="13832976">
                  <w:pPr>
                    <w:bidi w:val="0"/>
                    <w:jc w:val="center"/>
                    <w:rPr>
                      <w:rFonts w:hint="eastAsia"/>
                      <w:color w:val="auto"/>
                      <w:vertAlign w:val="baseline"/>
                      <w:lang w:val="en-US" w:eastAsia="zh-CN"/>
                    </w:rPr>
                  </w:pPr>
                  <w:r>
                    <w:rPr>
                      <w:rFonts w:hint="eastAsia"/>
                      <w:color w:val="auto"/>
                      <w:vertAlign w:val="baseline"/>
                      <w:lang w:val="en-US" w:eastAsia="zh-CN"/>
                    </w:rPr>
                    <w:t>否</w:t>
                  </w:r>
                </w:p>
              </w:tc>
            </w:tr>
            <w:tr w14:paraId="05E833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 w:type="pct"/>
                  <w:vMerge w:val="continue"/>
                  <w:tcBorders>
                    <w:tl2br w:val="nil"/>
                    <w:tr2bl w:val="nil"/>
                  </w:tcBorders>
                  <w:noWrap w:val="0"/>
                  <w:vAlign w:val="center"/>
                </w:tcPr>
                <w:p w14:paraId="56E868D2">
                  <w:pPr>
                    <w:bidi w:val="0"/>
                    <w:jc w:val="center"/>
                    <w:rPr>
                      <w:rFonts w:hint="eastAsia"/>
                      <w:color w:val="auto"/>
                      <w:vertAlign w:val="baseline"/>
                      <w:lang w:val="en-US" w:eastAsia="zh-CN"/>
                    </w:rPr>
                  </w:pPr>
                </w:p>
              </w:tc>
              <w:tc>
                <w:tcPr>
                  <w:tcW w:w="814" w:type="pct"/>
                  <w:tcBorders>
                    <w:tl2br w:val="nil"/>
                    <w:tr2bl w:val="nil"/>
                  </w:tcBorders>
                  <w:noWrap w:val="0"/>
                  <w:vAlign w:val="center"/>
                </w:tcPr>
                <w:p w14:paraId="14A7AAC8">
                  <w:pPr>
                    <w:bidi w:val="0"/>
                    <w:jc w:val="both"/>
                    <w:rPr>
                      <w:rFonts w:hint="eastAsia"/>
                      <w:b/>
                      <w:bCs/>
                      <w:color w:val="auto"/>
                      <w:vertAlign w:val="baseline"/>
                      <w:lang w:val="en-US" w:eastAsia="zh-CN"/>
                    </w:rPr>
                  </w:pPr>
                  <w:r>
                    <w:rPr>
                      <w:rFonts w:hint="eastAsia"/>
                      <w:b/>
                      <w:bCs/>
                      <w:color w:val="auto"/>
                      <w:vertAlign w:val="baseline"/>
                      <w:lang w:val="en-US" w:eastAsia="zh-CN"/>
                    </w:rPr>
                    <w:t>固废治理：</w:t>
                  </w:r>
                </w:p>
                <w:p w14:paraId="799A7F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eastAsia="zh-CN"/>
                    </w:rPr>
                  </w:pPr>
                  <w:r>
                    <w:rPr>
                      <w:rFonts w:hint="eastAsia" w:cs="Times New Roman"/>
                      <w:color w:val="auto"/>
                      <w:sz w:val="21"/>
                      <w:szCs w:val="21"/>
                      <w:lang w:eastAsia="zh-CN"/>
                    </w:rPr>
                    <w:t>一般固废：</w:t>
                  </w:r>
                  <w:r>
                    <w:rPr>
                      <w:rFonts w:hint="default" w:ascii="Times New Roman" w:hAnsi="Times New Roman" w:cs="Times New Roman"/>
                      <w:color w:val="auto"/>
                      <w:lang w:eastAsia="zh-CN"/>
                    </w:rPr>
                    <w:t>一般固废暂存间</w:t>
                  </w:r>
                </w:p>
                <w:p w14:paraId="78B40C9F">
                  <w:pPr>
                    <w:bidi w:val="0"/>
                    <w:jc w:val="both"/>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rPr>
                    <w:t>（</w:t>
                  </w:r>
                  <w:r>
                    <w:rPr>
                      <w:rFonts w:hint="default" w:ascii="Times New Roman" w:hAnsi="Times New Roman" w:cs="Times New Roman"/>
                      <w:color w:val="auto"/>
                      <w:lang w:eastAsia="zh-CN"/>
                    </w:rPr>
                    <w:t>占地面积</w:t>
                  </w:r>
                  <w:r>
                    <w:rPr>
                      <w:rFonts w:hint="eastAsia" w:cs="Times New Roman"/>
                      <w:color w:val="auto"/>
                      <w:lang w:val="en-US" w:eastAsia="zh-CN"/>
                    </w:rPr>
                    <w:t>15</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ascii="Times New Roman" w:hAnsi="Times New Roman" w:eastAsia="宋体" w:cs="Times New Roman"/>
                      <w:color w:val="auto"/>
                      <w:sz w:val="21"/>
                      <w:szCs w:val="21"/>
                      <w:lang w:eastAsia="zh-CN"/>
                    </w:rPr>
                    <w:t>；</w:t>
                  </w:r>
                </w:p>
                <w:p w14:paraId="48ADF5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lang w:val="en-US" w:eastAsia="zh-CN"/>
                    </w:rPr>
                  </w:pPr>
                  <w:r>
                    <w:rPr>
                      <w:rFonts w:hint="eastAsia" w:eastAsia="宋体"/>
                      <w:color w:val="auto"/>
                      <w:szCs w:val="21"/>
                      <w:lang w:eastAsia="zh-CN"/>
                    </w:rPr>
                    <w:t>危险废物：</w:t>
                  </w:r>
                  <w:r>
                    <w:rPr>
                      <w:rFonts w:hint="eastAsia" w:ascii="Times New Roman" w:hAnsi="Times New Roman" w:cs="Times New Roman"/>
                      <w:color w:val="auto"/>
                      <w:lang w:val="en-US" w:eastAsia="zh-CN"/>
                    </w:rPr>
                    <w:t>危险废物暂存间</w:t>
                  </w:r>
                </w:p>
                <w:p w14:paraId="18D19AFE">
                  <w:pPr>
                    <w:bidi w:val="0"/>
                    <w:jc w:val="both"/>
                    <w:rPr>
                      <w:rFonts w:hint="eastAsia" w:eastAsia="宋体"/>
                      <w:color w:val="auto"/>
                      <w:vertAlign w:val="baseline"/>
                      <w:lang w:val="en-US" w:eastAsia="zh-CN"/>
                    </w:rPr>
                  </w:pPr>
                  <w:r>
                    <w:rPr>
                      <w:rFonts w:hint="eastAsia" w:ascii="Times New Roman" w:hAnsi="Times New Roman" w:cs="Times New Roman"/>
                      <w:color w:val="auto"/>
                      <w:lang w:val="en-US" w:eastAsia="zh-CN"/>
                    </w:rPr>
                    <w:t>（占地面积</w:t>
                  </w:r>
                  <w:r>
                    <w:rPr>
                      <w:rFonts w:hint="eastAsia" w:cs="Times New Roman"/>
                      <w:color w:val="auto"/>
                      <w:lang w:val="en-US" w:eastAsia="zh-CN"/>
                    </w:rPr>
                    <w:t>5</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tc>
              <w:tc>
                <w:tcPr>
                  <w:tcW w:w="822" w:type="pct"/>
                  <w:tcBorders>
                    <w:tl2br w:val="nil"/>
                    <w:tr2bl w:val="nil"/>
                  </w:tcBorders>
                  <w:noWrap w:val="0"/>
                  <w:vAlign w:val="center"/>
                </w:tcPr>
                <w:p w14:paraId="712BCC1A">
                  <w:pPr>
                    <w:bidi w:val="0"/>
                    <w:jc w:val="both"/>
                    <w:rPr>
                      <w:rFonts w:hint="eastAsia" w:ascii="Times New Roman" w:hAnsi="Times New Roman" w:eastAsia="宋体" w:cs="Times New Roman"/>
                      <w:b/>
                      <w:bCs/>
                      <w:color w:val="auto"/>
                      <w:vertAlign w:val="baseline"/>
                      <w:lang w:val="en-US" w:eastAsia="zh-CN"/>
                    </w:rPr>
                  </w:pPr>
                  <w:r>
                    <w:rPr>
                      <w:rFonts w:hint="eastAsia" w:ascii="Times New Roman" w:hAnsi="Times New Roman" w:eastAsia="宋体" w:cs="Times New Roman"/>
                      <w:b/>
                      <w:bCs/>
                      <w:color w:val="auto"/>
                      <w:vertAlign w:val="baseline"/>
                      <w:lang w:val="en-US" w:eastAsia="zh-CN"/>
                    </w:rPr>
                    <w:t>固废治理：</w:t>
                  </w:r>
                </w:p>
                <w:p w14:paraId="7AFEC9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eastAsia="zh-CN"/>
                    </w:rPr>
                  </w:pPr>
                  <w:r>
                    <w:rPr>
                      <w:rFonts w:hint="eastAsia" w:cs="Times New Roman"/>
                      <w:color w:val="auto"/>
                      <w:sz w:val="21"/>
                      <w:szCs w:val="21"/>
                      <w:lang w:eastAsia="zh-CN"/>
                    </w:rPr>
                    <w:t>一般固废：</w:t>
                  </w:r>
                  <w:r>
                    <w:rPr>
                      <w:rFonts w:hint="default" w:ascii="Times New Roman" w:hAnsi="Times New Roman" w:cs="Times New Roman"/>
                      <w:color w:val="auto"/>
                      <w:lang w:eastAsia="zh-CN"/>
                    </w:rPr>
                    <w:t>一般固废暂存间</w:t>
                  </w:r>
                </w:p>
                <w:p w14:paraId="30D902EC">
                  <w:pPr>
                    <w:bidi w:val="0"/>
                    <w:jc w:val="both"/>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rPr>
                    <w:t>（</w:t>
                  </w:r>
                  <w:r>
                    <w:rPr>
                      <w:rFonts w:hint="default" w:ascii="Times New Roman" w:hAnsi="Times New Roman" w:cs="Times New Roman"/>
                      <w:color w:val="auto"/>
                      <w:lang w:eastAsia="zh-CN"/>
                    </w:rPr>
                    <w:t>占地面积</w:t>
                  </w:r>
                  <w:r>
                    <w:rPr>
                      <w:rFonts w:hint="eastAsia" w:cs="Times New Roman"/>
                      <w:color w:val="auto"/>
                      <w:lang w:val="en-US" w:eastAsia="zh-CN"/>
                    </w:rPr>
                    <w:t>15</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ascii="Times New Roman" w:hAnsi="Times New Roman" w:eastAsia="宋体" w:cs="Times New Roman"/>
                      <w:color w:val="auto"/>
                      <w:sz w:val="21"/>
                      <w:szCs w:val="21"/>
                      <w:lang w:eastAsia="zh-CN"/>
                    </w:rPr>
                    <w:t>；</w:t>
                  </w:r>
                </w:p>
                <w:p w14:paraId="694FA3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lang w:val="en-US" w:eastAsia="zh-CN"/>
                    </w:rPr>
                  </w:pPr>
                  <w:r>
                    <w:rPr>
                      <w:rFonts w:hint="eastAsia" w:eastAsia="宋体"/>
                      <w:color w:val="auto"/>
                      <w:szCs w:val="21"/>
                      <w:lang w:eastAsia="zh-CN"/>
                    </w:rPr>
                    <w:t>危险废物：</w:t>
                  </w:r>
                  <w:r>
                    <w:rPr>
                      <w:rFonts w:hint="eastAsia" w:ascii="Times New Roman" w:hAnsi="Times New Roman" w:cs="Times New Roman"/>
                      <w:color w:val="auto"/>
                      <w:lang w:val="en-US" w:eastAsia="zh-CN"/>
                    </w:rPr>
                    <w:t>危险废物暂存间</w:t>
                  </w:r>
                </w:p>
                <w:p w14:paraId="3AB4FB99">
                  <w:pPr>
                    <w:bidi w:val="0"/>
                    <w:jc w:val="both"/>
                    <w:rPr>
                      <w:rFonts w:hint="eastAsia" w:eastAsia="宋体"/>
                      <w:color w:val="auto"/>
                      <w:vertAlign w:val="baseline"/>
                      <w:lang w:val="en-US" w:eastAsia="zh-CN"/>
                    </w:rPr>
                  </w:pPr>
                  <w:r>
                    <w:rPr>
                      <w:rFonts w:hint="eastAsia" w:ascii="Times New Roman" w:hAnsi="Times New Roman" w:cs="Times New Roman"/>
                      <w:color w:val="auto"/>
                      <w:lang w:val="en-US" w:eastAsia="zh-CN"/>
                    </w:rPr>
                    <w:t>（占地面积</w:t>
                  </w:r>
                  <w:r>
                    <w:rPr>
                      <w:rFonts w:hint="eastAsia" w:cs="Times New Roman"/>
                      <w:color w:val="auto"/>
                      <w:lang w:val="en-US" w:eastAsia="zh-CN"/>
                    </w:rPr>
                    <w:t>5</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tc>
              <w:tc>
                <w:tcPr>
                  <w:tcW w:w="251" w:type="pct"/>
                  <w:tcBorders>
                    <w:tl2br w:val="nil"/>
                    <w:tr2bl w:val="nil"/>
                  </w:tcBorders>
                  <w:noWrap w:val="0"/>
                  <w:vAlign w:val="center"/>
                </w:tcPr>
                <w:p w14:paraId="62FE9711">
                  <w:pPr>
                    <w:bidi w:val="0"/>
                    <w:jc w:val="center"/>
                    <w:rPr>
                      <w:rFonts w:hint="eastAsia"/>
                      <w:color w:val="auto"/>
                      <w:vertAlign w:val="baseline"/>
                      <w:lang w:val="en-US" w:eastAsia="zh-CN"/>
                    </w:rPr>
                  </w:pPr>
                  <w:r>
                    <w:rPr>
                      <w:rFonts w:hint="eastAsia"/>
                      <w:color w:val="auto"/>
                      <w:vertAlign w:val="baseline"/>
                      <w:lang w:val="en-US" w:eastAsia="zh-CN"/>
                    </w:rPr>
                    <w:t>否</w:t>
                  </w:r>
                </w:p>
              </w:tc>
              <w:tc>
                <w:tcPr>
                  <w:tcW w:w="676" w:type="pct"/>
                  <w:tcBorders>
                    <w:tl2br w:val="nil"/>
                    <w:tr2bl w:val="nil"/>
                  </w:tcBorders>
                  <w:noWrap w:val="0"/>
                  <w:vAlign w:val="center"/>
                </w:tcPr>
                <w:p w14:paraId="24C51189">
                  <w:pPr>
                    <w:bidi w:val="0"/>
                    <w:jc w:val="center"/>
                    <w:rPr>
                      <w:rFonts w:hint="default"/>
                      <w:color w:val="auto"/>
                      <w:vertAlign w:val="baseline"/>
                      <w:lang w:val="en-US" w:eastAsia="zh-CN"/>
                    </w:rPr>
                  </w:pPr>
                  <w:r>
                    <w:rPr>
                      <w:rFonts w:hint="eastAsia"/>
                      <w:color w:val="auto"/>
                      <w:vertAlign w:val="baseline"/>
                      <w:lang w:val="en-US" w:eastAsia="zh-CN"/>
                    </w:rPr>
                    <w:t>/</w:t>
                  </w:r>
                </w:p>
              </w:tc>
              <w:tc>
                <w:tcPr>
                  <w:tcW w:w="1454" w:type="pct"/>
                  <w:tcBorders>
                    <w:tl2br w:val="nil"/>
                    <w:tr2bl w:val="nil"/>
                  </w:tcBorders>
                  <w:noWrap w:val="0"/>
                  <w:vAlign w:val="center"/>
                </w:tcPr>
                <w:p w14:paraId="3CDA7DAC">
                  <w:pPr>
                    <w:bidi w:val="0"/>
                    <w:jc w:val="left"/>
                    <w:rPr>
                      <w:rFonts w:hint="eastAsia"/>
                      <w:color w:val="auto"/>
                      <w:vertAlign w:val="baseline"/>
                      <w:lang w:val="en-US" w:eastAsia="zh-CN"/>
                    </w:rPr>
                  </w:pPr>
                  <w:r>
                    <w:rPr>
                      <w:rFonts w:hint="eastAsia"/>
                      <w:color w:val="auto"/>
                      <w:vertAlign w:val="baseline"/>
                      <w:lang w:val="en-US" w:eastAsia="zh-CN"/>
                    </w:rPr>
                    <w:t>12、固体废物利用处置方式由委托外单位利用处置改为自行利用处置的（自行利用处置设施单独开展环境影响评价的除外）；固体废物自行处置方式变化，导致不利环境影响加重的。</w:t>
                  </w:r>
                </w:p>
              </w:tc>
              <w:tc>
                <w:tcPr>
                  <w:tcW w:w="499" w:type="pct"/>
                  <w:tcBorders>
                    <w:tl2br w:val="nil"/>
                    <w:tr2bl w:val="nil"/>
                  </w:tcBorders>
                  <w:noWrap w:val="0"/>
                  <w:vAlign w:val="center"/>
                </w:tcPr>
                <w:p w14:paraId="50DCEF18">
                  <w:pPr>
                    <w:bidi w:val="0"/>
                    <w:jc w:val="center"/>
                    <w:rPr>
                      <w:rFonts w:hint="eastAsia"/>
                      <w:color w:val="auto"/>
                      <w:vertAlign w:val="baseline"/>
                      <w:lang w:val="en-US" w:eastAsia="zh-CN"/>
                    </w:rPr>
                  </w:pPr>
                  <w:r>
                    <w:rPr>
                      <w:rFonts w:hint="eastAsia"/>
                      <w:color w:val="auto"/>
                      <w:vertAlign w:val="baseline"/>
                      <w:lang w:val="en-US" w:eastAsia="zh-CN"/>
                    </w:rPr>
                    <w:t>固体废物处置未方式变化，未导致不利环境影响加重的</w:t>
                  </w:r>
                </w:p>
              </w:tc>
              <w:tc>
                <w:tcPr>
                  <w:tcW w:w="315" w:type="pct"/>
                  <w:tcBorders>
                    <w:tl2br w:val="nil"/>
                    <w:tr2bl w:val="nil"/>
                  </w:tcBorders>
                  <w:noWrap w:val="0"/>
                  <w:vAlign w:val="center"/>
                </w:tcPr>
                <w:p w14:paraId="36F6D21D">
                  <w:pPr>
                    <w:bidi w:val="0"/>
                    <w:jc w:val="center"/>
                    <w:rPr>
                      <w:rFonts w:hint="eastAsia"/>
                      <w:color w:val="auto"/>
                      <w:vertAlign w:val="baseline"/>
                      <w:lang w:val="en-US" w:eastAsia="zh-CN"/>
                    </w:rPr>
                  </w:pPr>
                  <w:r>
                    <w:rPr>
                      <w:rFonts w:hint="eastAsia"/>
                      <w:color w:val="auto"/>
                      <w:vertAlign w:val="baseline"/>
                      <w:lang w:val="en-US" w:eastAsia="zh-CN"/>
                    </w:rPr>
                    <w:t>否</w:t>
                  </w:r>
                </w:p>
              </w:tc>
            </w:tr>
          </w:tbl>
          <w:p w14:paraId="3D8BAE26">
            <w:pPr>
              <w:keepNext w:val="0"/>
              <w:keepLines w:val="0"/>
              <w:pageBreakBefore w:val="0"/>
              <w:widowControl/>
              <w:kinsoku/>
              <w:wordWrap/>
              <w:overflowPunct/>
              <w:topLinePunct w:val="0"/>
              <w:autoSpaceDE/>
              <w:autoSpaceDN/>
              <w:bidi w:val="0"/>
              <w:adjustRightInd/>
              <w:snapToGrid/>
              <w:spacing w:before="157" w:beforeLines="50" w:line="360" w:lineRule="auto"/>
              <w:ind w:left="0" w:leftChars="0" w:firstLine="480" w:firstLineChars="200"/>
              <w:jc w:val="both"/>
              <w:textAlignment w:val="auto"/>
              <w:rPr>
                <w:rFonts w:hint="eastAsia" w:ascii="Calibri" w:hAnsi="Calibri" w:eastAsia="宋体" w:cs="Times New Roman"/>
                <w:color w:val="auto"/>
                <w:kern w:val="2"/>
                <w:sz w:val="24"/>
                <w:szCs w:val="24"/>
                <w:highlight w:val="none"/>
                <w:shd w:val="clear" w:color="auto" w:fill="auto"/>
                <w:vertAlign w:val="baseline"/>
                <w:lang w:val="en-US" w:eastAsia="zh-CN" w:bidi="ar-SA"/>
              </w:rPr>
            </w:pPr>
            <w:r>
              <w:rPr>
                <w:rFonts w:hint="eastAsia" w:ascii="Calibri" w:hAnsi="Calibri" w:eastAsia="宋体" w:cs="Times New Roman"/>
                <w:color w:val="auto"/>
                <w:kern w:val="2"/>
                <w:sz w:val="24"/>
                <w:szCs w:val="24"/>
                <w:highlight w:val="none"/>
                <w:shd w:val="clear" w:color="auto" w:fill="auto"/>
                <w:vertAlign w:val="baseline"/>
                <w:lang w:val="en-US" w:eastAsia="zh-CN" w:bidi="ar-SA"/>
              </w:rPr>
              <w:t>由上表判定可知，项目建设性质、</w:t>
            </w:r>
            <w:r>
              <w:rPr>
                <w:rFonts w:hint="eastAsia" w:ascii="Calibri" w:hAnsi="Calibri" w:cs="Times New Roman"/>
                <w:color w:val="auto"/>
                <w:kern w:val="2"/>
                <w:sz w:val="24"/>
                <w:szCs w:val="24"/>
                <w:highlight w:val="none"/>
                <w:shd w:val="clear" w:color="auto" w:fill="auto"/>
                <w:vertAlign w:val="baseline"/>
                <w:lang w:val="en-US" w:eastAsia="zh-CN" w:bidi="ar-SA"/>
              </w:rPr>
              <w:t>地点</w:t>
            </w:r>
            <w:r>
              <w:rPr>
                <w:rFonts w:hint="eastAsia" w:ascii="Calibri" w:hAnsi="Calibri" w:eastAsia="宋体" w:cs="Times New Roman"/>
                <w:color w:val="auto"/>
                <w:kern w:val="2"/>
                <w:sz w:val="24"/>
                <w:szCs w:val="24"/>
                <w:highlight w:val="none"/>
                <w:shd w:val="clear" w:color="auto" w:fill="auto"/>
                <w:vertAlign w:val="baseline"/>
                <w:lang w:val="en-US" w:eastAsia="zh-CN" w:bidi="ar-SA"/>
              </w:rPr>
              <w:t>未发生改变，生产</w:t>
            </w:r>
            <w:r>
              <w:rPr>
                <w:rFonts w:hint="eastAsia" w:ascii="Calibri" w:hAnsi="Calibri" w:cs="Times New Roman"/>
                <w:color w:val="auto"/>
                <w:kern w:val="2"/>
                <w:sz w:val="24"/>
                <w:szCs w:val="24"/>
                <w:highlight w:val="none"/>
                <w:shd w:val="clear" w:color="auto" w:fill="auto"/>
                <w:vertAlign w:val="baseline"/>
                <w:lang w:val="en-US" w:eastAsia="zh-CN" w:bidi="ar-SA"/>
              </w:rPr>
              <w:t>规模及</w:t>
            </w:r>
            <w:r>
              <w:rPr>
                <w:rFonts w:hint="eastAsia" w:ascii="Calibri" w:hAnsi="Calibri" w:eastAsia="宋体" w:cs="Times New Roman"/>
                <w:color w:val="auto"/>
                <w:kern w:val="2"/>
                <w:sz w:val="24"/>
                <w:szCs w:val="24"/>
                <w:highlight w:val="none"/>
                <w:shd w:val="clear" w:color="auto" w:fill="auto"/>
                <w:vertAlign w:val="baseline"/>
                <w:lang w:val="en-US" w:eastAsia="zh-CN" w:bidi="ar-SA"/>
              </w:rPr>
              <w:t>工艺发生变动，导致</w:t>
            </w:r>
            <w:r>
              <w:rPr>
                <w:rFonts w:hint="eastAsia" w:ascii="Calibri" w:hAnsi="Calibri" w:cs="Times New Roman"/>
                <w:color w:val="auto"/>
                <w:kern w:val="2"/>
                <w:sz w:val="24"/>
                <w:szCs w:val="24"/>
                <w:highlight w:val="none"/>
                <w:shd w:val="clear" w:color="auto" w:fill="auto"/>
                <w:vertAlign w:val="baseline"/>
                <w:lang w:val="en-US" w:eastAsia="zh-CN" w:bidi="ar-SA"/>
              </w:rPr>
              <w:t>污染物排放种类</w:t>
            </w:r>
            <w:r>
              <w:rPr>
                <w:rFonts w:hint="eastAsia" w:ascii="Calibri" w:hAnsi="Calibri" w:eastAsia="宋体" w:cs="Times New Roman"/>
                <w:color w:val="auto"/>
                <w:kern w:val="2"/>
                <w:sz w:val="24"/>
                <w:szCs w:val="24"/>
                <w:highlight w:val="none"/>
                <w:shd w:val="clear" w:color="auto" w:fill="auto"/>
                <w:vertAlign w:val="baseline"/>
                <w:lang w:val="en-US" w:eastAsia="zh-CN" w:bidi="ar-SA"/>
              </w:rPr>
              <w:t>增加。因此，项目属于重大变动</w:t>
            </w:r>
            <w:r>
              <w:rPr>
                <w:rFonts w:hint="eastAsia" w:ascii="Calibri" w:hAnsi="Calibri" w:cs="Times New Roman"/>
                <w:color w:val="auto"/>
                <w:kern w:val="2"/>
                <w:sz w:val="24"/>
                <w:szCs w:val="24"/>
                <w:highlight w:val="none"/>
                <w:shd w:val="clear" w:color="auto" w:fill="auto"/>
                <w:vertAlign w:val="baseline"/>
                <w:lang w:val="en-US" w:eastAsia="zh-CN" w:bidi="ar-SA"/>
              </w:rPr>
              <w:t>，纳入建设项目重大变动环评管理范畴，根据《中华人民共和国环境影响评价法》、《建设项目环境保护管理条例》有关规定，项目属于重大变动的应当重新报批环境影响评价文件。</w:t>
            </w:r>
          </w:p>
          <w:p w14:paraId="46C48EB7">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Calibri" w:hAnsi="Calibri" w:eastAsia="宋体" w:cs="Times New Roman"/>
                <w:color w:val="auto"/>
                <w:kern w:val="2"/>
                <w:sz w:val="24"/>
                <w:szCs w:val="24"/>
                <w:highlight w:val="none"/>
                <w:shd w:val="clear" w:color="auto" w:fill="auto"/>
                <w:vertAlign w:val="baseline"/>
                <w:lang w:val="en-US" w:eastAsia="zh-CN" w:bidi="ar-SA"/>
              </w:rPr>
            </w:pPr>
            <w:r>
              <w:rPr>
                <w:rFonts w:hint="eastAsia" w:ascii="Times New Roman" w:hAnsi="Times New Roman" w:eastAsia="宋体" w:cs="Times New Roman"/>
                <w:b w:val="0"/>
                <w:bCs w:val="0"/>
                <w:color w:val="auto"/>
                <w:sz w:val="24"/>
                <w:szCs w:val="24"/>
                <w:lang w:val="en-US" w:eastAsia="zh-CN"/>
              </w:rPr>
              <w:t>江西捷报频传药业有限公司于</w:t>
            </w:r>
            <w:r>
              <w:rPr>
                <w:rFonts w:hint="default" w:ascii="Times New Roman" w:hAnsi="Times New Roman" w:eastAsia="宋体" w:cs="Times New Roman"/>
                <w:b w:val="0"/>
                <w:bCs w:val="0"/>
                <w:color w:val="auto"/>
                <w:sz w:val="24"/>
                <w:szCs w:val="24"/>
                <w:lang w:val="en-US" w:eastAsia="zh-CN"/>
              </w:rPr>
              <w:t>202</w:t>
            </w: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年</w:t>
            </w:r>
            <w:r>
              <w:rPr>
                <w:rFonts w:hint="eastAsia"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lang w:val="en-US" w:eastAsia="zh-CN"/>
              </w:rPr>
              <w:t>月委托我单位承担《</w:t>
            </w:r>
            <w:r>
              <w:rPr>
                <w:rFonts w:hint="eastAsia" w:ascii="Times New Roman" w:hAnsi="Times New Roman" w:eastAsia="宋体" w:cs="Times New Roman"/>
                <w:color w:val="auto"/>
                <w:kern w:val="0"/>
                <w:sz w:val="24"/>
                <w:szCs w:val="24"/>
                <w:lang w:val="en-US" w:eastAsia="zh-CN" w:bidi="ar"/>
              </w:rPr>
              <w:t>江西捷报频传药业有限公司卫生材料生产项目</w:t>
            </w:r>
            <w:r>
              <w:rPr>
                <w:rFonts w:hint="default" w:ascii="Times New Roman" w:hAnsi="Times New Roman" w:eastAsia="宋体" w:cs="Times New Roman"/>
                <w:b w:val="0"/>
                <w:bCs w:val="0"/>
                <w:color w:val="auto"/>
                <w:sz w:val="24"/>
                <w:szCs w:val="24"/>
                <w:lang w:val="en-US" w:eastAsia="zh-CN"/>
              </w:rPr>
              <w:t>》编制工作。根据</w:t>
            </w:r>
            <w:r>
              <w:rPr>
                <w:rFonts w:hint="eastAsia" w:cs="Times New Roman"/>
                <w:b w:val="0"/>
                <w:bCs w:val="0"/>
                <w:color w:val="auto"/>
                <w:sz w:val="24"/>
                <w:szCs w:val="24"/>
                <w:lang w:val="en-US" w:eastAsia="zh-CN"/>
              </w:rPr>
              <w:t>现场踏勘</w:t>
            </w:r>
            <w:r>
              <w:rPr>
                <w:rFonts w:hint="default" w:ascii="Times New Roman" w:hAnsi="Times New Roman" w:eastAsia="宋体" w:cs="Times New Roman"/>
                <w:b w:val="0"/>
                <w:bCs w:val="0"/>
                <w:color w:val="auto"/>
                <w:sz w:val="24"/>
                <w:szCs w:val="24"/>
                <w:lang w:val="en-US" w:eastAsia="zh-CN"/>
              </w:rPr>
              <w:t>，项目目前</w:t>
            </w:r>
            <w:r>
              <w:rPr>
                <w:rFonts w:hint="eastAsia" w:ascii="Times New Roman" w:hAnsi="Times New Roman" w:eastAsia="宋体" w:cs="Times New Roman"/>
                <w:b w:val="0"/>
                <w:bCs w:val="0"/>
                <w:color w:val="auto"/>
                <w:sz w:val="24"/>
                <w:szCs w:val="24"/>
                <w:lang w:val="en-US" w:eastAsia="zh-CN"/>
              </w:rPr>
              <w:t>主体工程（生产车间</w:t>
            </w:r>
            <w:r>
              <w:rPr>
                <w:rFonts w:hint="eastAsia" w:cs="Times New Roman"/>
                <w:b w:val="0"/>
                <w:bCs w:val="0"/>
                <w:color w:val="auto"/>
                <w:sz w:val="24"/>
                <w:szCs w:val="24"/>
                <w:lang w:val="en-US" w:eastAsia="zh-CN"/>
              </w:rPr>
              <w:t>、</w:t>
            </w:r>
            <w:r>
              <w:rPr>
                <w:rFonts w:hint="eastAsia" w:ascii="Times New Roman" w:hAnsi="Times New Roman" w:eastAsia="宋体" w:cs="Times New Roman"/>
                <w:color w:val="auto"/>
                <w:sz w:val="24"/>
                <w:szCs w:val="24"/>
                <w:lang w:val="en-US" w:eastAsia="zh-CN"/>
              </w:rPr>
              <w:t>实验室、办公区</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color w:val="auto"/>
                <w:sz w:val="24"/>
                <w:szCs w:val="24"/>
                <w:lang w:val="en-US" w:eastAsia="zh-CN"/>
              </w:rPr>
              <w:t>储运</w:t>
            </w:r>
            <w:r>
              <w:rPr>
                <w:rFonts w:hint="default" w:ascii="Times New Roman" w:hAnsi="Times New Roman" w:eastAsia="宋体" w:cs="Times New Roman"/>
                <w:color w:val="auto"/>
                <w:sz w:val="24"/>
                <w:szCs w:val="24"/>
                <w:lang w:eastAsia="zh-CN"/>
              </w:rPr>
              <w:t>工程</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color w:val="auto"/>
                <w:sz w:val="24"/>
                <w:szCs w:val="24"/>
                <w:lang w:val="en-US" w:eastAsia="zh-CN"/>
              </w:rPr>
              <w:t>仓库区</w:t>
            </w:r>
            <w:r>
              <w:rPr>
                <w:rFonts w:hint="eastAsia" w:ascii="Times New Roman" w:hAnsi="Times New Roman" w:eastAsia="宋体" w:cs="Times New Roman"/>
                <w:b w:val="0"/>
                <w:bCs w:val="0"/>
                <w:color w:val="auto"/>
                <w:sz w:val="24"/>
                <w:szCs w:val="24"/>
                <w:lang w:val="en-US" w:eastAsia="zh-CN"/>
              </w:rPr>
              <w:t>）、公用工程</w:t>
            </w:r>
            <w:r>
              <w:rPr>
                <w:rFonts w:hint="eastAsia" w:cs="Times New Roman"/>
                <w:b w:val="0"/>
                <w:bCs w:val="0"/>
                <w:color w:val="auto"/>
                <w:sz w:val="24"/>
                <w:szCs w:val="24"/>
                <w:lang w:val="en-US" w:eastAsia="zh-CN"/>
              </w:rPr>
              <w:t>（给水、排水、供电）</w:t>
            </w:r>
            <w:r>
              <w:rPr>
                <w:rFonts w:hint="eastAsia" w:ascii="Times New Roman" w:hAnsi="Times New Roman" w:eastAsia="宋体" w:cs="Times New Roman"/>
                <w:b w:val="0"/>
                <w:bCs w:val="0"/>
                <w:color w:val="auto"/>
                <w:sz w:val="24"/>
                <w:szCs w:val="24"/>
                <w:lang w:val="en-US" w:eastAsia="zh-CN"/>
              </w:rPr>
              <w:t>、环保工程</w:t>
            </w:r>
            <w:r>
              <w:rPr>
                <w:rFonts w:hint="eastAsia" w:cs="Times New Roman"/>
                <w:b w:val="0"/>
                <w:bCs w:val="0"/>
                <w:color w:val="auto"/>
                <w:sz w:val="24"/>
                <w:szCs w:val="24"/>
                <w:lang w:val="en-US" w:eastAsia="zh-CN"/>
              </w:rPr>
              <w:t>（</w:t>
            </w:r>
            <w:r>
              <w:rPr>
                <w:rFonts w:hint="eastAsia" w:ascii="Times New Roman" w:hAnsi="Times New Roman" w:eastAsia="宋体" w:cs="Times New Roman"/>
                <w:color w:val="auto"/>
                <w:sz w:val="24"/>
                <w:szCs w:val="24"/>
                <w:lang w:eastAsia="zh-CN"/>
              </w:rPr>
              <w:t>标准净化车间通排风系统、</w:t>
            </w:r>
            <w:r>
              <w:rPr>
                <w:rFonts w:hint="default" w:ascii="Times New Roman" w:hAnsi="Times New Roman" w:eastAsia="宋体" w:cs="Times New Roman"/>
                <w:color w:val="auto"/>
                <w:sz w:val="24"/>
                <w:szCs w:val="24"/>
                <w:lang w:eastAsia="zh-CN"/>
              </w:rPr>
              <w:t>化粪池</w:t>
            </w:r>
            <w:r>
              <w:rPr>
                <w:rFonts w:hint="eastAsia" w:cs="Times New Roman"/>
                <w:b w:val="0"/>
                <w:bCs w:val="0"/>
                <w:color w:val="auto"/>
                <w:sz w:val="24"/>
                <w:szCs w:val="24"/>
                <w:lang w:val="en-US" w:eastAsia="zh-CN"/>
              </w:rPr>
              <w:t>）、危险废物暂存间（占地面积5m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）、一般固废暂存间（占地面积15m</w:t>
            </w:r>
            <w:r>
              <w:rPr>
                <w:rFonts w:hint="eastAsia" w:cs="Times New Roman"/>
                <w:b w:val="0"/>
                <w:bCs w:val="0"/>
                <w:color w:val="auto"/>
                <w:sz w:val="24"/>
                <w:szCs w:val="24"/>
                <w:vertAlign w:val="superscript"/>
                <w:lang w:val="en-US" w:eastAsia="zh-CN"/>
              </w:rPr>
              <w:t>2</w:t>
            </w:r>
            <w:r>
              <w:rPr>
                <w:rFonts w:hint="eastAsia"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已建成，项目已建成</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内容为原环评批复包含内容。</w:t>
            </w:r>
          </w:p>
          <w:p w14:paraId="71C1B390">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0"/>
                <w:sz w:val="21"/>
                <w:szCs w:val="21"/>
                <w:lang w:val="en-US" w:eastAsia="zh-CN" w:bidi="ar"/>
              </w:rPr>
              <w:t>表2-2</w:t>
            </w:r>
            <w:r>
              <w:rPr>
                <w:rFonts w:hint="eastAsia" w:ascii="Times New Roman" w:hAnsi="Times New Roman" w:cs="Times New Roman"/>
                <w:b/>
                <w:bCs/>
                <w:color w:val="auto"/>
                <w:kern w:val="0"/>
                <w:sz w:val="21"/>
                <w:szCs w:val="21"/>
                <w:lang w:val="en-US" w:eastAsia="zh-CN" w:bidi="ar"/>
              </w:rPr>
              <w:t xml:space="preserve">  </w:t>
            </w:r>
            <w:r>
              <w:rPr>
                <w:rFonts w:hint="eastAsia" w:ascii="宋体" w:hAnsi="宋体" w:eastAsia="宋体" w:cs="宋体"/>
                <w:b/>
                <w:bCs/>
                <w:color w:val="auto"/>
                <w:kern w:val="0"/>
                <w:sz w:val="21"/>
                <w:szCs w:val="21"/>
                <w:lang w:val="en-US" w:eastAsia="zh-CN" w:bidi="ar"/>
              </w:rPr>
              <w:t>项目已建内容与原环评报告及批复符合性分析</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4981"/>
              <w:gridCol w:w="4935"/>
              <w:gridCol w:w="1770"/>
            </w:tblGrid>
            <w:tr w14:paraId="1CCA2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50" w:type="pct"/>
                  <w:tcBorders>
                    <w:bottom w:val="single" w:color="auto" w:sz="12" w:space="0"/>
                  </w:tcBorders>
                  <w:noWrap w:val="0"/>
                  <w:vAlign w:val="center"/>
                </w:tcPr>
                <w:p w14:paraId="630C23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vertAlign w:val="baseline"/>
                      <w:lang w:eastAsia="zh-CN"/>
                    </w:rPr>
                  </w:pPr>
                  <w:r>
                    <w:rPr>
                      <w:rFonts w:hint="eastAsia" w:ascii="Times New Roman" w:hAnsi="Times New Roman" w:eastAsia="宋体" w:cs="Times New Roman"/>
                      <w:b/>
                      <w:bCs/>
                      <w:color w:val="auto"/>
                      <w:vertAlign w:val="baseline"/>
                      <w:lang w:eastAsia="zh-CN"/>
                    </w:rPr>
                    <w:t>类别</w:t>
                  </w:r>
                </w:p>
              </w:tc>
              <w:tc>
                <w:tcPr>
                  <w:tcW w:w="1939" w:type="pct"/>
                  <w:tcBorders>
                    <w:bottom w:val="single" w:color="auto" w:sz="12" w:space="0"/>
                  </w:tcBorders>
                  <w:noWrap w:val="0"/>
                  <w:vAlign w:val="center"/>
                </w:tcPr>
                <w:p w14:paraId="6E41E5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vertAlign w:val="baseline"/>
                      <w:lang w:eastAsia="zh-CN"/>
                    </w:rPr>
                  </w:pPr>
                  <w:r>
                    <w:rPr>
                      <w:rFonts w:hint="eastAsia" w:ascii="Times New Roman" w:hAnsi="Times New Roman" w:eastAsia="宋体" w:cs="Times New Roman"/>
                      <w:b/>
                      <w:bCs/>
                      <w:color w:val="auto"/>
                      <w:vertAlign w:val="baseline"/>
                      <w:lang w:val="en-US" w:eastAsia="zh-CN"/>
                    </w:rPr>
                    <w:t>原环评报告及批复要求</w:t>
                  </w:r>
                </w:p>
              </w:tc>
              <w:tc>
                <w:tcPr>
                  <w:tcW w:w="1921" w:type="pct"/>
                  <w:tcBorders>
                    <w:bottom w:val="single" w:color="auto" w:sz="12" w:space="0"/>
                  </w:tcBorders>
                  <w:noWrap w:val="0"/>
                  <w:vAlign w:val="center"/>
                </w:tcPr>
                <w:p w14:paraId="37854C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vertAlign w:val="baseline"/>
                      <w:lang w:eastAsia="zh-CN"/>
                    </w:rPr>
                  </w:pPr>
                  <w:r>
                    <w:rPr>
                      <w:rFonts w:hint="eastAsia" w:ascii="Times New Roman" w:hAnsi="Times New Roman" w:eastAsia="宋体" w:cs="Times New Roman"/>
                      <w:b/>
                      <w:bCs/>
                      <w:color w:val="auto"/>
                      <w:vertAlign w:val="baseline"/>
                      <w:lang w:val="en-US" w:eastAsia="zh-CN"/>
                    </w:rPr>
                    <w:t>实际建设内容</w:t>
                  </w:r>
                </w:p>
              </w:tc>
              <w:tc>
                <w:tcPr>
                  <w:tcW w:w="689" w:type="pct"/>
                  <w:tcBorders>
                    <w:bottom w:val="single" w:color="auto" w:sz="12" w:space="0"/>
                  </w:tcBorders>
                  <w:noWrap w:val="0"/>
                  <w:vAlign w:val="center"/>
                </w:tcPr>
                <w:p w14:paraId="6C1CF2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vertAlign w:val="baseline"/>
                      <w:lang w:eastAsia="zh-CN"/>
                    </w:rPr>
                  </w:pPr>
                  <w:r>
                    <w:rPr>
                      <w:rFonts w:hint="eastAsia" w:ascii="Times New Roman" w:hAnsi="Times New Roman" w:eastAsia="宋体" w:cs="Times New Roman"/>
                      <w:b/>
                      <w:bCs/>
                      <w:color w:val="auto"/>
                      <w:vertAlign w:val="baseline"/>
                      <w:lang w:val="en-US" w:eastAsia="zh-CN"/>
                    </w:rPr>
                    <w:t>是否符合原环评报告及批复要求</w:t>
                  </w:r>
                </w:p>
              </w:tc>
            </w:tr>
            <w:tr w14:paraId="7E683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op w:val="single" w:color="auto" w:sz="12" w:space="0"/>
                    <w:tl2br w:val="nil"/>
                    <w:tr2bl w:val="nil"/>
                  </w:tcBorders>
                  <w:noWrap w:val="0"/>
                  <w:vAlign w:val="center"/>
                </w:tcPr>
                <w:p w14:paraId="5AFBDC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主体</w:t>
                  </w:r>
                </w:p>
                <w:p w14:paraId="479CEF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工程</w:t>
                  </w:r>
                </w:p>
              </w:tc>
              <w:tc>
                <w:tcPr>
                  <w:tcW w:w="1939" w:type="pct"/>
                  <w:tcBorders>
                    <w:top w:val="single" w:color="auto" w:sz="12" w:space="0"/>
                    <w:tl2br w:val="nil"/>
                    <w:tr2bl w:val="nil"/>
                  </w:tcBorders>
                  <w:noWrap w:val="0"/>
                  <w:vAlign w:val="center"/>
                </w:tcPr>
                <w:p w14:paraId="22A0AE46">
                  <w:pPr>
                    <w:keepNext w:val="0"/>
                    <w:keepLines w:val="0"/>
                    <w:pageBreakBefore w:val="0"/>
                    <w:widowControl/>
                    <w:kinsoku/>
                    <w:wordWrap/>
                    <w:overflowPunct/>
                    <w:topLinePunct w:val="0"/>
                    <w:autoSpaceDE/>
                    <w:autoSpaceDN/>
                    <w:bidi w:val="0"/>
                    <w:adjustRightInd/>
                    <w:snapToGrid/>
                    <w:spacing w:before="0" w:line="240" w:lineRule="auto"/>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生产车间：</w:t>
                  </w:r>
                </w:p>
                <w:p w14:paraId="7035065C">
                  <w:pPr>
                    <w:keepNext w:val="0"/>
                    <w:keepLines w:val="0"/>
                    <w:pageBreakBefore w:val="0"/>
                    <w:widowControl/>
                    <w:kinsoku/>
                    <w:wordWrap/>
                    <w:overflowPunct/>
                    <w:topLinePunct w:val="0"/>
                    <w:autoSpaceDE/>
                    <w:autoSpaceDN/>
                    <w:bidi w:val="0"/>
                    <w:adjustRightInd/>
                    <w:snapToGrid/>
                    <w:spacing w:before="0" w:line="240" w:lineRule="auto"/>
                    <w:jc w:val="left"/>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sz w:val="21"/>
                      <w:szCs w:val="21"/>
                      <w:lang w:eastAsia="zh-CN"/>
                    </w:rPr>
                    <w:t>利用</w:t>
                  </w:r>
                  <w:r>
                    <w:rPr>
                      <w:rFonts w:hint="eastAsia" w:cs="Times New Roman"/>
                      <w:color w:val="auto"/>
                      <w:sz w:val="21"/>
                      <w:szCs w:val="21"/>
                      <w:lang w:val="en-US" w:eastAsia="zh-CN"/>
                    </w:rPr>
                    <w:t>租赁</w:t>
                  </w:r>
                  <w:r>
                    <w:rPr>
                      <w:rFonts w:hint="eastAsia" w:ascii="Times New Roman" w:hAnsi="Times New Roman" w:eastAsia="宋体" w:cs="Times New Roman"/>
                      <w:color w:val="auto"/>
                      <w:sz w:val="21"/>
                      <w:szCs w:val="21"/>
                      <w:lang w:eastAsia="zh-CN"/>
                    </w:rPr>
                    <w:t>场地已建空置厂房，</w:t>
                  </w:r>
                  <w:r>
                    <w:rPr>
                      <w:rFonts w:hint="eastAsia" w:ascii="Times New Roman" w:hAnsi="Times New Roman" w:eastAsia="宋体" w:cs="Times New Roman"/>
                      <w:color w:val="auto"/>
                      <w:vertAlign w:val="baseline"/>
                      <w:lang w:val="en-US" w:eastAsia="zh-CN"/>
                    </w:rPr>
                    <w:t>1F</w:t>
                  </w:r>
                  <w:r>
                    <w:rPr>
                      <w:rFonts w:hint="eastAsia" w:cs="Times New Roman"/>
                      <w:color w:val="auto"/>
                      <w:sz w:val="21"/>
                      <w:szCs w:val="21"/>
                      <w:lang w:val="en-US" w:eastAsia="zh-CN"/>
                    </w:rPr>
                    <w:t>：一车间</w:t>
                  </w:r>
                  <w:r>
                    <w:rPr>
                      <w:rFonts w:hint="default" w:ascii="Times New Roman" w:hAnsi="Times New Roman" w:eastAsia="宋体" w:cs="Times New Roman"/>
                      <w:color w:val="auto"/>
                      <w:lang w:eastAsia="zh-CN"/>
                    </w:rPr>
                    <w:t>建筑</w:t>
                  </w:r>
                  <w:r>
                    <w:rPr>
                      <w:rFonts w:hint="default" w:ascii="Times New Roman" w:hAnsi="Times New Roman" w:eastAsia="宋体" w:cs="Times New Roman"/>
                      <w:color w:val="auto"/>
                    </w:rPr>
                    <w:t>面积</w:t>
                  </w:r>
                  <w:r>
                    <w:rPr>
                      <w:rFonts w:hint="eastAsia" w:ascii="Times New Roman" w:hAnsi="Times New Roman" w:eastAsia="宋体" w:cs="Times New Roman"/>
                      <w:color w:val="auto"/>
                      <w:lang w:val="en-US" w:eastAsia="zh-CN"/>
                    </w:rPr>
                    <w:t>1800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eastAsia" w:ascii="Times New Roman" w:hAnsi="Times New Roman" w:eastAsia="宋体" w:cs="Times New Roman"/>
                      <w:color w:val="auto"/>
                      <w:vertAlign w:val="baseline"/>
                      <w:lang w:val="en-US" w:eastAsia="zh-CN"/>
                    </w:rPr>
                    <w:t>、2F</w:t>
                  </w:r>
                  <w:r>
                    <w:rPr>
                      <w:rFonts w:hint="eastAsia" w:cs="Times New Roman"/>
                      <w:color w:val="auto"/>
                      <w:vertAlign w:val="baseline"/>
                      <w:lang w:val="en-US" w:eastAsia="zh-CN"/>
                    </w:rPr>
                    <w:t>：二车间</w:t>
                  </w:r>
                  <w:r>
                    <w:rPr>
                      <w:rFonts w:hint="default" w:ascii="Times New Roman" w:hAnsi="Times New Roman" w:eastAsia="宋体" w:cs="Times New Roman"/>
                      <w:color w:val="auto"/>
                      <w:lang w:eastAsia="zh-CN"/>
                    </w:rPr>
                    <w:t>建筑</w:t>
                  </w:r>
                  <w:r>
                    <w:rPr>
                      <w:rFonts w:hint="default" w:ascii="Times New Roman" w:hAnsi="Times New Roman" w:eastAsia="宋体" w:cs="Times New Roman"/>
                      <w:color w:val="auto"/>
                    </w:rPr>
                    <w:t>面积</w:t>
                  </w:r>
                  <w:r>
                    <w:rPr>
                      <w:rFonts w:hint="eastAsia" w:ascii="Times New Roman" w:hAnsi="Times New Roman" w:eastAsia="宋体" w:cs="Times New Roman"/>
                      <w:color w:val="auto"/>
                      <w:lang w:val="en-US" w:eastAsia="zh-CN"/>
                    </w:rPr>
                    <w:t>1800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1921" w:type="pct"/>
                  <w:tcBorders>
                    <w:top w:val="single" w:color="auto" w:sz="12" w:space="0"/>
                    <w:tl2br w:val="nil"/>
                    <w:tr2bl w:val="nil"/>
                  </w:tcBorders>
                  <w:noWrap w:val="0"/>
                  <w:vAlign w:val="center"/>
                </w:tcPr>
                <w:p w14:paraId="40314AD3">
                  <w:pPr>
                    <w:keepNext w:val="0"/>
                    <w:keepLines w:val="0"/>
                    <w:pageBreakBefore w:val="0"/>
                    <w:widowControl/>
                    <w:kinsoku/>
                    <w:wordWrap/>
                    <w:overflowPunct/>
                    <w:topLinePunct w:val="0"/>
                    <w:autoSpaceDE/>
                    <w:autoSpaceDN/>
                    <w:bidi w:val="0"/>
                    <w:adjustRightInd/>
                    <w:snapToGrid/>
                    <w:spacing w:before="0" w:line="240" w:lineRule="auto"/>
                    <w:jc w:val="left"/>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生产车间：</w:t>
                  </w:r>
                </w:p>
                <w:p w14:paraId="38B4A782">
                  <w:pPr>
                    <w:keepNext w:val="0"/>
                    <w:keepLines w:val="0"/>
                    <w:pageBreakBefore w:val="0"/>
                    <w:widowControl/>
                    <w:kinsoku/>
                    <w:wordWrap/>
                    <w:overflowPunct/>
                    <w:topLinePunct w:val="0"/>
                    <w:autoSpaceDE/>
                    <w:autoSpaceDN/>
                    <w:bidi w:val="0"/>
                    <w:adjustRightInd/>
                    <w:snapToGrid/>
                    <w:spacing w:before="0" w:line="240" w:lineRule="auto"/>
                    <w:jc w:val="left"/>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sz w:val="21"/>
                      <w:szCs w:val="21"/>
                      <w:lang w:eastAsia="zh-CN"/>
                    </w:rPr>
                    <w:t>利用</w:t>
                  </w:r>
                  <w:r>
                    <w:rPr>
                      <w:rFonts w:hint="eastAsia" w:cs="Times New Roman"/>
                      <w:color w:val="auto"/>
                      <w:sz w:val="21"/>
                      <w:szCs w:val="21"/>
                      <w:lang w:val="en-US" w:eastAsia="zh-CN"/>
                    </w:rPr>
                    <w:t>租赁</w:t>
                  </w:r>
                  <w:r>
                    <w:rPr>
                      <w:rFonts w:hint="eastAsia" w:ascii="Times New Roman" w:hAnsi="Times New Roman" w:eastAsia="宋体" w:cs="Times New Roman"/>
                      <w:color w:val="auto"/>
                      <w:sz w:val="21"/>
                      <w:szCs w:val="21"/>
                      <w:lang w:eastAsia="zh-CN"/>
                    </w:rPr>
                    <w:t>场地已建空置厂房，</w:t>
                  </w:r>
                  <w:r>
                    <w:rPr>
                      <w:rFonts w:hint="eastAsia" w:ascii="Times New Roman" w:hAnsi="Times New Roman" w:eastAsia="宋体" w:cs="Times New Roman"/>
                      <w:color w:val="auto"/>
                      <w:vertAlign w:val="baseline"/>
                      <w:lang w:val="en-US" w:eastAsia="zh-CN"/>
                    </w:rPr>
                    <w:t>1F</w:t>
                  </w:r>
                  <w:r>
                    <w:rPr>
                      <w:rFonts w:hint="eastAsia" w:cs="Times New Roman"/>
                      <w:color w:val="auto"/>
                      <w:sz w:val="21"/>
                      <w:szCs w:val="21"/>
                      <w:lang w:val="en-US" w:eastAsia="zh-CN"/>
                    </w:rPr>
                    <w:t>：一车间</w:t>
                  </w:r>
                  <w:r>
                    <w:rPr>
                      <w:rFonts w:hint="default" w:ascii="Times New Roman" w:hAnsi="Times New Roman" w:eastAsia="宋体" w:cs="Times New Roman"/>
                      <w:color w:val="auto"/>
                      <w:lang w:eastAsia="zh-CN"/>
                    </w:rPr>
                    <w:t>建筑</w:t>
                  </w:r>
                  <w:r>
                    <w:rPr>
                      <w:rFonts w:hint="default" w:ascii="Times New Roman" w:hAnsi="Times New Roman" w:eastAsia="宋体" w:cs="Times New Roman"/>
                      <w:color w:val="auto"/>
                    </w:rPr>
                    <w:t>面积</w:t>
                  </w:r>
                  <w:r>
                    <w:rPr>
                      <w:rFonts w:hint="eastAsia" w:ascii="Times New Roman" w:hAnsi="Times New Roman" w:eastAsia="宋体" w:cs="Times New Roman"/>
                      <w:color w:val="auto"/>
                      <w:lang w:val="en-US" w:eastAsia="zh-CN"/>
                    </w:rPr>
                    <w:t>1800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eastAsia" w:ascii="Times New Roman" w:hAnsi="Times New Roman" w:eastAsia="宋体" w:cs="Times New Roman"/>
                      <w:color w:val="auto"/>
                      <w:vertAlign w:val="baseline"/>
                      <w:lang w:val="en-US" w:eastAsia="zh-CN"/>
                    </w:rPr>
                    <w:t>、2F</w:t>
                  </w:r>
                  <w:r>
                    <w:rPr>
                      <w:rFonts w:hint="eastAsia" w:cs="Times New Roman"/>
                      <w:color w:val="auto"/>
                      <w:vertAlign w:val="baseline"/>
                      <w:lang w:val="en-US" w:eastAsia="zh-CN"/>
                    </w:rPr>
                    <w:t>：二车间</w:t>
                  </w:r>
                  <w:r>
                    <w:rPr>
                      <w:rFonts w:hint="default" w:ascii="Times New Roman" w:hAnsi="Times New Roman" w:eastAsia="宋体" w:cs="Times New Roman"/>
                      <w:color w:val="auto"/>
                      <w:lang w:eastAsia="zh-CN"/>
                    </w:rPr>
                    <w:t>建筑</w:t>
                  </w:r>
                  <w:r>
                    <w:rPr>
                      <w:rFonts w:hint="default" w:ascii="Times New Roman" w:hAnsi="Times New Roman" w:eastAsia="宋体" w:cs="Times New Roman"/>
                      <w:color w:val="auto"/>
                    </w:rPr>
                    <w:t>面积</w:t>
                  </w:r>
                  <w:r>
                    <w:rPr>
                      <w:rFonts w:hint="eastAsia" w:ascii="Times New Roman" w:hAnsi="Times New Roman" w:eastAsia="宋体" w:cs="Times New Roman"/>
                      <w:color w:val="auto"/>
                      <w:lang w:val="en-US" w:eastAsia="zh-CN"/>
                    </w:rPr>
                    <w:t>1800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689" w:type="pct"/>
                  <w:tcBorders>
                    <w:top w:val="single" w:color="auto" w:sz="12" w:space="0"/>
                    <w:tl2br w:val="nil"/>
                    <w:tr2bl w:val="nil"/>
                  </w:tcBorders>
                  <w:noWrap w:val="0"/>
                  <w:vAlign w:val="center"/>
                </w:tcPr>
                <w:p w14:paraId="43DBD4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val="en-US" w:eastAsia="zh-CN"/>
                    </w:rPr>
                    <w:t>符合</w:t>
                  </w:r>
                </w:p>
              </w:tc>
            </w:tr>
            <w:tr w14:paraId="1D4B2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198B1C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lang w:val="en-US" w:eastAsia="zh-CN"/>
                    </w:rPr>
                    <w:t>储运</w:t>
                  </w:r>
                  <w:r>
                    <w:rPr>
                      <w:rFonts w:hint="default" w:ascii="Times New Roman" w:hAnsi="Times New Roman" w:eastAsia="宋体" w:cs="Times New Roman"/>
                      <w:color w:val="auto"/>
                      <w:lang w:eastAsia="zh-CN"/>
                    </w:rPr>
                    <w:t>工程</w:t>
                  </w:r>
                </w:p>
              </w:tc>
              <w:tc>
                <w:tcPr>
                  <w:tcW w:w="1939" w:type="pct"/>
                  <w:tcBorders>
                    <w:tl2br w:val="nil"/>
                    <w:tr2bl w:val="nil"/>
                  </w:tcBorders>
                  <w:noWrap w:val="0"/>
                  <w:vAlign w:val="center"/>
                </w:tcPr>
                <w:p w14:paraId="780FA61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lang w:val="en-US" w:eastAsia="zh-CN"/>
                    </w:rPr>
                    <w:t>仓库区</w:t>
                  </w:r>
                  <w:r>
                    <w:rPr>
                      <w:rFonts w:hint="default" w:ascii="Times New Roman" w:hAnsi="Times New Roman" w:eastAsia="宋体" w:cs="Times New Roman"/>
                      <w:color w:val="auto"/>
                      <w:lang w:eastAsia="zh-CN"/>
                    </w:rPr>
                    <w:t>建筑</w:t>
                  </w:r>
                  <w:r>
                    <w:rPr>
                      <w:rFonts w:hint="default" w:ascii="Times New Roman" w:hAnsi="Times New Roman" w:eastAsia="宋体" w:cs="Times New Roman"/>
                      <w:color w:val="auto"/>
                    </w:rPr>
                    <w:t>面积</w:t>
                  </w:r>
                  <w:r>
                    <w:rPr>
                      <w:rFonts w:hint="eastAsia" w:ascii="Times New Roman" w:hAnsi="Times New Roman" w:eastAsia="宋体" w:cs="Times New Roman"/>
                      <w:color w:val="auto"/>
                      <w:lang w:val="en-US" w:eastAsia="zh-CN"/>
                    </w:rPr>
                    <w:t>500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1921" w:type="pct"/>
                  <w:tcBorders>
                    <w:tl2br w:val="nil"/>
                    <w:tr2bl w:val="nil"/>
                  </w:tcBorders>
                  <w:noWrap w:val="0"/>
                  <w:vAlign w:val="center"/>
                </w:tcPr>
                <w:p w14:paraId="56EF603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lang w:val="en-US" w:eastAsia="zh-CN"/>
                    </w:rPr>
                    <w:t>仓库区</w:t>
                  </w:r>
                  <w:r>
                    <w:rPr>
                      <w:rFonts w:hint="default" w:ascii="Times New Roman" w:hAnsi="Times New Roman" w:eastAsia="宋体" w:cs="Times New Roman"/>
                      <w:color w:val="auto"/>
                      <w:lang w:eastAsia="zh-CN"/>
                    </w:rPr>
                    <w:t>建筑</w:t>
                  </w:r>
                  <w:r>
                    <w:rPr>
                      <w:rFonts w:hint="default" w:ascii="Times New Roman" w:hAnsi="Times New Roman" w:eastAsia="宋体" w:cs="Times New Roman"/>
                      <w:color w:val="auto"/>
                    </w:rPr>
                    <w:t>面积</w:t>
                  </w:r>
                  <w:r>
                    <w:rPr>
                      <w:rFonts w:hint="eastAsia" w:ascii="Times New Roman" w:hAnsi="Times New Roman" w:eastAsia="宋体" w:cs="Times New Roman"/>
                      <w:color w:val="auto"/>
                      <w:lang w:val="en-US" w:eastAsia="zh-CN"/>
                    </w:rPr>
                    <w:t>500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p>
              </w:tc>
              <w:tc>
                <w:tcPr>
                  <w:tcW w:w="689" w:type="pct"/>
                  <w:tcBorders>
                    <w:tl2br w:val="nil"/>
                    <w:tr2bl w:val="nil"/>
                  </w:tcBorders>
                  <w:noWrap w:val="0"/>
                  <w:vAlign w:val="center"/>
                </w:tcPr>
                <w:p w14:paraId="078CE2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val="en-US" w:eastAsia="zh-CN"/>
                    </w:rPr>
                    <w:t>符合</w:t>
                  </w:r>
                </w:p>
              </w:tc>
            </w:tr>
            <w:tr w14:paraId="219169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tcBorders>
                    <w:tl2br w:val="nil"/>
                    <w:tr2bl w:val="nil"/>
                  </w:tcBorders>
                  <w:noWrap w:val="0"/>
                  <w:vAlign w:val="center"/>
                </w:tcPr>
                <w:p w14:paraId="26015B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公用工程</w:t>
                  </w:r>
                </w:p>
              </w:tc>
              <w:tc>
                <w:tcPr>
                  <w:tcW w:w="1939" w:type="pct"/>
                  <w:tcBorders>
                    <w:tl2br w:val="nil"/>
                    <w:tr2bl w:val="nil"/>
                  </w:tcBorders>
                  <w:noWrap w:val="0"/>
                  <w:vAlign w:val="center"/>
                </w:tcPr>
                <w:p w14:paraId="1EEF579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给水：市政供水</w:t>
                  </w:r>
                  <w:r>
                    <w:rPr>
                      <w:rFonts w:hint="eastAsia" w:cs="Times New Roman"/>
                      <w:color w:val="auto"/>
                      <w:vertAlign w:val="baseline"/>
                      <w:lang w:eastAsia="zh-CN"/>
                    </w:rPr>
                    <w:t>。</w:t>
                  </w:r>
                </w:p>
                <w:p w14:paraId="01304FA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排水：雨污分流，</w:t>
                  </w:r>
                  <w:r>
                    <w:rPr>
                      <w:rFonts w:hint="default" w:ascii="Times New Roman" w:hAnsi="Times New Roman" w:cs="Times New Roman"/>
                      <w:color w:val="auto"/>
                    </w:rPr>
                    <w:t>雨水排入</w:t>
                  </w:r>
                  <w:r>
                    <w:rPr>
                      <w:rFonts w:hint="default" w:ascii="Times New Roman" w:hAnsi="Times New Roman" w:eastAsia="宋体" w:cs="Times New Roman"/>
                      <w:color w:val="auto"/>
                      <w:lang w:eastAsia="zh-CN"/>
                    </w:rPr>
                    <w:t>市政雨水管网</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生活污水及设备清洗废水经化粪池预处理达到庐山市工业污水处理厂接管标准后与浓水一同排入庐山市工业污水处理厂进行深度处理</w:t>
                  </w:r>
                  <w:r>
                    <w:rPr>
                      <w:rFonts w:hint="default" w:ascii="Times New Roman" w:hAnsi="Times New Roman" w:eastAsia="宋体" w:cs="Times New Roman"/>
                      <w:color w:val="auto"/>
                      <w:lang w:eastAsia="zh-CN"/>
                    </w:rPr>
                    <w:t>，经处理后达到《城镇污水处理厂污染物排放标准》（GB18918-2002）中一</w:t>
                  </w:r>
                  <w:r>
                    <w:rPr>
                      <w:rFonts w:hint="default" w:ascii="Times New Roman" w:hAnsi="Times New Roman" w:cs="Times New Roman"/>
                      <w:color w:val="auto"/>
                    </w:rPr>
                    <w:t>级</w:t>
                  </w:r>
                  <w:r>
                    <w:rPr>
                      <w:rFonts w:hint="eastAsia" w:ascii="Times New Roman" w:hAnsi="Times New Roman" w:cs="Times New Roman"/>
                      <w:color w:val="auto"/>
                      <w:lang w:val="en-US" w:eastAsia="zh-CN"/>
                    </w:rPr>
                    <w:t>A</w:t>
                  </w:r>
                  <w:r>
                    <w:rPr>
                      <w:rFonts w:hint="default" w:ascii="Times New Roman" w:hAnsi="Times New Roman" w:cs="Times New Roman"/>
                      <w:color w:val="auto"/>
                    </w:rPr>
                    <w:t>标准</w:t>
                  </w:r>
                  <w:r>
                    <w:rPr>
                      <w:rFonts w:hint="default" w:ascii="Times New Roman" w:hAnsi="Times New Roman" w:cs="Times New Roman"/>
                      <w:color w:val="auto"/>
                      <w:lang w:eastAsia="zh-CN"/>
                    </w:rPr>
                    <w:t>外排</w:t>
                  </w:r>
                  <w:r>
                    <w:rPr>
                      <w:rFonts w:hint="eastAsia" w:ascii="Times New Roman" w:hAnsi="Times New Roman" w:cs="Times New Roman"/>
                      <w:color w:val="auto"/>
                      <w:lang w:eastAsia="zh-CN"/>
                    </w:rPr>
                    <w:t>。</w:t>
                  </w:r>
                </w:p>
                <w:p w14:paraId="17708D7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供电：</w:t>
                  </w:r>
                  <w:r>
                    <w:rPr>
                      <w:rFonts w:hint="eastAsia" w:ascii="Times New Roman" w:hAnsi="Times New Roman" w:cs="Times New Roman"/>
                      <w:color w:val="auto"/>
                      <w:lang w:eastAsia="zh-CN"/>
                    </w:rPr>
                    <w:t>园区电网</w:t>
                  </w:r>
                  <w:r>
                    <w:rPr>
                      <w:rFonts w:hint="default" w:ascii="Times New Roman" w:hAnsi="Times New Roman" w:cs="Times New Roman"/>
                      <w:color w:val="auto"/>
                    </w:rPr>
                    <w:t>供电</w:t>
                  </w:r>
                  <w:r>
                    <w:rPr>
                      <w:rFonts w:hint="eastAsia" w:cs="Times New Roman"/>
                      <w:color w:val="auto"/>
                      <w:lang w:eastAsia="zh-CN"/>
                    </w:rPr>
                    <w:t>。</w:t>
                  </w:r>
                </w:p>
              </w:tc>
              <w:tc>
                <w:tcPr>
                  <w:tcW w:w="1921" w:type="pct"/>
                  <w:tcBorders>
                    <w:tl2br w:val="nil"/>
                    <w:tr2bl w:val="nil"/>
                  </w:tcBorders>
                  <w:noWrap w:val="0"/>
                  <w:vAlign w:val="center"/>
                </w:tcPr>
                <w:p w14:paraId="6FF55D2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给水：市政供水。</w:t>
                  </w:r>
                </w:p>
                <w:p w14:paraId="5C17CD0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排水：雨污分流，</w:t>
                  </w:r>
                  <w:r>
                    <w:rPr>
                      <w:rFonts w:hint="default" w:ascii="Times New Roman" w:hAnsi="Times New Roman" w:cs="Times New Roman"/>
                      <w:color w:val="auto"/>
                    </w:rPr>
                    <w:t>雨水排入</w:t>
                  </w:r>
                  <w:r>
                    <w:rPr>
                      <w:rFonts w:hint="default" w:ascii="Times New Roman" w:hAnsi="Times New Roman" w:eastAsia="宋体" w:cs="Times New Roman"/>
                      <w:color w:val="auto"/>
                      <w:lang w:eastAsia="zh-CN"/>
                    </w:rPr>
                    <w:t>市政雨水管网</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生活污水经化粪池预处理达到庐山市工业污水处理厂接管标准后与纯水制备浓水一同排入庐山市工业污水处理厂进行深度处理</w:t>
                  </w:r>
                  <w:r>
                    <w:rPr>
                      <w:rFonts w:hint="default" w:ascii="Times New Roman" w:hAnsi="Times New Roman" w:eastAsia="宋体" w:cs="Times New Roman"/>
                      <w:color w:val="auto"/>
                      <w:lang w:eastAsia="zh-CN"/>
                    </w:rPr>
                    <w:t>，经处理后达到《城镇污水处理厂污染物排放标准》（GB18918-2002）中一</w:t>
                  </w:r>
                  <w:r>
                    <w:rPr>
                      <w:rFonts w:hint="default" w:ascii="Times New Roman" w:hAnsi="Times New Roman" w:cs="Times New Roman"/>
                      <w:color w:val="auto"/>
                    </w:rPr>
                    <w:t>级</w:t>
                  </w:r>
                  <w:r>
                    <w:rPr>
                      <w:rFonts w:hint="eastAsia" w:ascii="Times New Roman" w:hAnsi="Times New Roman" w:cs="Times New Roman"/>
                      <w:color w:val="auto"/>
                      <w:lang w:val="en-US" w:eastAsia="zh-CN"/>
                    </w:rPr>
                    <w:t>A</w:t>
                  </w:r>
                  <w:r>
                    <w:rPr>
                      <w:rFonts w:hint="default" w:ascii="Times New Roman" w:hAnsi="Times New Roman" w:cs="Times New Roman"/>
                      <w:color w:val="auto"/>
                    </w:rPr>
                    <w:t>标准</w:t>
                  </w:r>
                  <w:r>
                    <w:rPr>
                      <w:rFonts w:hint="default" w:ascii="Times New Roman" w:hAnsi="Times New Roman" w:cs="Times New Roman"/>
                      <w:color w:val="auto"/>
                      <w:lang w:eastAsia="zh-CN"/>
                    </w:rPr>
                    <w:t>外排</w:t>
                  </w:r>
                  <w:r>
                    <w:rPr>
                      <w:rFonts w:hint="eastAsia" w:ascii="Times New Roman" w:hAnsi="Times New Roman" w:cs="Times New Roman"/>
                      <w:color w:val="auto"/>
                      <w:lang w:eastAsia="zh-CN"/>
                    </w:rPr>
                    <w:t>。</w:t>
                  </w:r>
                </w:p>
                <w:p w14:paraId="3329FAE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供电：</w:t>
                  </w:r>
                  <w:r>
                    <w:rPr>
                      <w:rFonts w:hint="eastAsia" w:ascii="Times New Roman" w:hAnsi="Times New Roman" w:cs="Times New Roman"/>
                      <w:color w:val="auto"/>
                      <w:lang w:eastAsia="zh-CN"/>
                    </w:rPr>
                    <w:t>园区电网</w:t>
                  </w:r>
                  <w:r>
                    <w:rPr>
                      <w:rFonts w:hint="default" w:ascii="Times New Roman" w:hAnsi="Times New Roman" w:cs="Times New Roman"/>
                      <w:color w:val="auto"/>
                    </w:rPr>
                    <w:t>供电</w:t>
                  </w:r>
                  <w:r>
                    <w:rPr>
                      <w:rFonts w:hint="eastAsia" w:ascii="Times New Roman" w:hAnsi="Times New Roman" w:cs="Times New Roman"/>
                      <w:color w:val="auto"/>
                      <w:lang w:eastAsia="zh-CN"/>
                    </w:rPr>
                    <w:t>。</w:t>
                  </w:r>
                </w:p>
              </w:tc>
              <w:tc>
                <w:tcPr>
                  <w:tcW w:w="689" w:type="pct"/>
                  <w:tcBorders>
                    <w:tl2br w:val="nil"/>
                    <w:tr2bl w:val="nil"/>
                  </w:tcBorders>
                  <w:noWrap w:val="0"/>
                  <w:vAlign w:val="center"/>
                </w:tcPr>
                <w:p w14:paraId="6A6CF9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val="en-US" w:eastAsia="zh-CN"/>
                    </w:rPr>
                    <w:t>符合</w:t>
                  </w:r>
                </w:p>
              </w:tc>
            </w:tr>
            <w:tr w14:paraId="159308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Merge w:val="restart"/>
                  <w:tcBorders>
                    <w:tl2br w:val="nil"/>
                    <w:tr2bl w:val="nil"/>
                  </w:tcBorders>
                  <w:noWrap w:val="0"/>
                  <w:vAlign w:val="center"/>
                </w:tcPr>
                <w:p w14:paraId="6F1B02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环保工程</w:t>
                  </w:r>
                </w:p>
              </w:tc>
              <w:tc>
                <w:tcPr>
                  <w:tcW w:w="1939" w:type="pct"/>
                  <w:tcBorders>
                    <w:tl2br w:val="nil"/>
                    <w:tr2bl w:val="nil"/>
                  </w:tcBorders>
                  <w:noWrap w:val="0"/>
                  <w:vAlign w:val="center"/>
                </w:tcPr>
                <w:p w14:paraId="6943359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lang w:val="en-US" w:eastAsia="zh-CN"/>
                    </w:rPr>
                    <w:t>生活污水及设备清洗废水经化粪池预处理达到庐山市工业污水处理厂接管标准后与浓水一同排入庐山市工业污水处理厂进行深度处理</w:t>
                  </w:r>
                  <w:r>
                    <w:rPr>
                      <w:rFonts w:hint="default" w:ascii="Times New Roman" w:hAnsi="Times New Roman" w:eastAsia="宋体" w:cs="Times New Roman"/>
                      <w:color w:val="auto"/>
                      <w:lang w:eastAsia="zh-CN"/>
                    </w:rPr>
                    <w:t>，经处理后达到《城镇污水处理厂污染物排放标准》（GB18918-2002）中一</w:t>
                  </w:r>
                  <w:r>
                    <w:rPr>
                      <w:rFonts w:hint="default" w:ascii="Times New Roman" w:hAnsi="Times New Roman" w:cs="Times New Roman"/>
                      <w:color w:val="auto"/>
                    </w:rPr>
                    <w:t>级</w:t>
                  </w:r>
                  <w:r>
                    <w:rPr>
                      <w:rFonts w:hint="eastAsia" w:ascii="Times New Roman" w:hAnsi="Times New Roman" w:cs="Times New Roman"/>
                      <w:color w:val="auto"/>
                      <w:lang w:val="en-US" w:eastAsia="zh-CN"/>
                    </w:rPr>
                    <w:t>A</w:t>
                  </w:r>
                  <w:r>
                    <w:rPr>
                      <w:rFonts w:hint="default" w:ascii="Times New Roman" w:hAnsi="Times New Roman" w:cs="Times New Roman"/>
                      <w:color w:val="auto"/>
                    </w:rPr>
                    <w:t>标准</w:t>
                  </w:r>
                  <w:r>
                    <w:rPr>
                      <w:rFonts w:hint="default" w:ascii="Times New Roman" w:hAnsi="Times New Roman" w:cs="Times New Roman"/>
                      <w:color w:val="auto"/>
                      <w:lang w:eastAsia="zh-CN"/>
                    </w:rPr>
                    <w:t>外排</w:t>
                  </w:r>
                  <w:r>
                    <w:rPr>
                      <w:rFonts w:hint="eastAsia" w:ascii="Times New Roman" w:hAnsi="Times New Roman" w:cs="Times New Roman"/>
                      <w:color w:val="auto"/>
                      <w:lang w:eastAsia="zh-CN"/>
                    </w:rPr>
                    <w:t>。</w:t>
                  </w:r>
                </w:p>
              </w:tc>
              <w:tc>
                <w:tcPr>
                  <w:tcW w:w="4935" w:type="dxa"/>
                  <w:tcBorders>
                    <w:tl2br w:val="nil"/>
                    <w:tr2bl w:val="nil"/>
                  </w:tcBorders>
                  <w:noWrap w:val="0"/>
                  <w:vAlign w:val="center"/>
                </w:tcPr>
                <w:p w14:paraId="2CF56EB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vertAlign w:val="baseline"/>
                      <w:lang w:eastAsia="zh-CN"/>
                    </w:rPr>
                  </w:pPr>
                  <w:commentRangeStart w:id="5"/>
                  <w:r>
                    <w:rPr>
                      <w:rFonts w:hint="eastAsia" w:ascii="Times New Roman" w:hAnsi="Times New Roman" w:eastAsia="宋体" w:cs="Times New Roman"/>
                      <w:color w:val="FF0000"/>
                      <w:lang w:val="en-US" w:eastAsia="zh-CN"/>
                    </w:rPr>
                    <w:t>设备清洗废水</w:t>
                  </w:r>
                  <w:commentRangeEnd w:id="5"/>
                  <w:r>
                    <w:commentReference w:id="5"/>
                  </w:r>
                  <w:r>
                    <w:rPr>
                      <w:rFonts w:hint="eastAsia" w:ascii="Times New Roman" w:hAnsi="Times New Roman" w:eastAsia="宋体" w:cs="Times New Roman"/>
                      <w:color w:val="FF0000"/>
                      <w:lang w:val="en-US" w:eastAsia="zh-CN"/>
                    </w:rPr>
                    <w:t>经沉淀池</w:t>
                  </w:r>
                  <w:r>
                    <w:rPr>
                      <w:rFonts w:hint="default" w:ascii="Times New Roman" w:hAnsi="Times New Roman" w:eastAsia="宋体" w:cs="Times New Roman"/>
                      <w:color w:val="FF0000"/>
                      <w:lang w:val="en-US" w:eastAsia="zh-CN"/>
                    </w:rPr>
                    <w:t>+化粪池预处理</w:t>
                  </w:r>
                  <w:r>
                    <w:rPr>
                      <w:rFonts w:hint="eastAsia" w:ascii="Times New Roman" w:hAnsi="Times New Roman" w:eastAsia="宋体" w:cs="Times New Roman"/>
                      <w:color w:val="FF0000"/>
                      <w:lang w:val="en-US" w:eastAsia="zh-CN"/>
                    </w:rPr>
                    <w:t>，</w:t>
                  </w:r>
                  <w:r>
                    <w:rPr>
                      <w:rFonts w:hint="default" w:ascii="Times New Roman" w:hAnsi="Times New Roman" w:eastAsia="宋体" w:cs="Times New Roman"/>
                      <w:color w:val="FF0000"/>
                      <w:lang w:eastAsia="zh-CN"/>
                    </w:rPr>
                    <w:t>特征因子总有机碳满足混装制剂类制药工业水污染物排放标准，其他因子满足达庐山工业污水处理厂接管标准</w:t>
                  </w:r>
                  <w:r>
                    <w:rPr>
                      <w:rFonts w:hint="eastAsia" w:ascii="Times New Roman" w:hAnsi="Times New Roman" w:eastAsia="宋体" w:cs="Times New Roman"/>
                      <w:color w:val="FF0000"/>
                      <w:lang w:eastAsia="zh-CN"/>
                    </w:rPr>
                    <w:t>后排入</w:t>
                  </w:r>
                  <w:r>
                    <w:rPr>
                      <w:rFonts w:hint="eastAsia" w:ascii="Times New Roman" w:hAnsi="Times New Roman" w:eastAsia="宋体" w:cs="Times New Roman"/>
                      <w:color w:val="FF0000"/>
                      <w:lang w:val="en-US" w:eastAsia="zh-CN"/>
                    </w:rPr>
                    <w:t>庐山</w:t>
                  </w:r>
                  <w:r>
                    <w:rPr>
                      <w:rFonts w:hint="eastAsia" w:ascii="Times New Roman" w:hAnsi="Times New Roman" w:eastAsia="宋体" w:cs="Times New Roman"/>
                      <w:color w:val="FF0000"/>
                      <w:lang w:eastAsia="zh-CN"/>
                    </w:rPr>
                    <w:t>工业污水处理厂进</w:t>
                  </w:r>
                  <w:r>
                    <w:rPr>
                      <w:rFonts w:hint="eastAsia" w:ascii="Times New Roman" w:hAnsi="Times New Roman" w:eastAsia="宋体" w:cs="Times New Roman"/>
                      <w:color w:val="FF0000"/>
                      <w:lang w:val="en-US" w:eastAsia="zh-CN"/>
                    </w:rPr>
                    <w:t>行深度</w:t>
                  </w:r>
                  <w:r>
                    <w:rPr>
                      <w:rFonts w:hint="eastAsia" w:ascii="Times New Roman" w:hAnsi="Times New Roman" w:eastAsia="宋体" w:cs="Times New Roman"/>
                      <w:color w:val="FF0000"/>
                      <w:lang w:eastAsia="zh-CN"/>
                    </w:rPr>
                    <w:t>处理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生活污水经化粪池预处理达到庐山市工业污水处理厂接管标准后与浓水一同排入庐山市工业污水处理厂进行深度处理</w:t>
                  </w:r>
                  <w:r>
                    <w:rPr>
                      <w:rFonts w:hint="default" w:ascii="Times New Roman" w:hAnsi="Times New Roman" w:eastAsia="宋体" w:cs="Times New Roman"/>
                      <w:color w:val="auto"/>
                      <w:lang w:eastAsia="zh-CN"/>
                    </w:rPr>
                    <w:t>，经处理后达到《城镇污水处理厂污染物排放标准》（GB18918-2002）中一</w:t>
                  </w:r>
                  <w:r>
                    <w:rPr>
                      <w:rFonts w:hint="default" w:ascii="Times New Roman" w:hAnsi="Times New Roman" w:cs="Times New Roman"/>
                      <w:color w:val="auto"/>
                    </w:rPr>
                    <w:t>级</w:t>
                  </w:r>
                  <w:r>
                    <w:rPr>
                      <w:rFonts w:hint="eastAsia" w:ascii="Times New Roman" w:hAnsi="Times New Roman" w:cs="Times New Roman"/>
                      <w:color w:val="auto"/>
                      <w:lang w:val="en-US" w:eastAsia="zh-CN"/>
                    </w:rPr>
                    <w:t>A</w:t>
                  </w:r>
                  <w:r>
                    <w:rPr>
                      <w:rFonts w:hint="default" w:ascii="Times New Roman" w:hAnsi="Times New Roman" w:cs="Times New Roman"/>
                      <w:color w:val="auto"/>
                    </w:rPr>
                    <w:t>标准</w:t>
                  </w:r>
                  <w:r>
                    <w:rPr>
                      <w:rFonts w:hint="default" w:ascii="Times New Roman" w:hAnsi="Times New Roman" w:cs="Times New Roman"/>
                      <w:color w:val="auto"/>
                      <w:lang w:eastAsia="zh-CN"/>
                    </w:rPr>
                    <w:t>外排</w:t>
                  </w:r>
                  <w:r>
                    <w:rPr>
                      <w:rFonts w:hint="eastAsia" w:ascii="Times New Roman" w:hAnsi="Times New Roman" w:cs="Times New Roman"/>
                      <w:color w:val="auto"/>
                      <w:lang w:eastAsia="zh-CN"/>
                    </w:rPr>
                    <w:t>。</w:t>
                  </w:r>
                </w:p>
              </w:tc>
              <w:tc>
                <w:tcPr>
                  <w:tcW w:w="689" w:type="pct"/>
                  <w:tcBorders>
                    <w:tl2br w:val="nil"/>
                    <w:tr2bl w:val="nil"/>
                  </w:tcBorders>
                  <w:noWrap w:val="0"/>
                  <w:vAlign w:val="center"/>
                </w:tcPr>
                <w:p w14:paraId="5C7604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符合</w:t>
                  </w:r>
                </w:p>
              </w:tc>
            </w:tr>
            <w:tr w14:paraId="4425B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Merge w:val="continue"/>
                  <w:tcBorders>
                    <w:tl2br w:val="nil"/>
                    <w:tr2bl w:val="nil"/>
                  </w:tcBorders>
                  <w:noWrap w:val="0"/>
                  <w:vAlign w:val="center"/>
                </w:tcPr>
                <w:p w14:paraId="031F24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p>
              </w:tc>
              <w:tc>
                <w:tcPr>
                  <w:tcW w:w="1939" w:type="pct"/>
                  <w:tcBorders>
                    <w:tl2br w:val="nil"/>
                    <w:tr2bl w:val="nil"/>
                  </w:tcBorders>
                  <w:noWrap w:val="0"/>
                  <w:vAlign w:val="center"/>
                </w:tcPr>
                <w:p w14:paraId="4EB9109E">
                  <w:pPr>
                    <w:pStyle w:val="22"/>
                    <w:keepNext w:val="0"/>
                    <w:keepLines w:val="0"/>
                    <w:pageBreakBefore w:val="0"/>
                    <w:kinsoku/>
                    <w:wordWrap/>
                    <w:overflowPunct/>
                    <w:topLinePunct w:val="0"/>
                    <w:autoSpaceDE/>
                    <w:autoSpaceDN/>
                    <w:bidi w:val="0"/>
                    <w:adjustRightInd/>
                    <w:spacing w:before="0" w:after="0"/>
                    <w:ind w:right="0"/>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加料、投料搅拌粉尘</w:t>
                  </w:r>
                  <w:r>
                    <w:rPr>
                      <w:rFonts w:hint="eastAsia"/>
                      <w:color w:val="auto"/>
                      <w:vertAlign w:val="baseline"/>
                      <w:lang w:val="en-US" w:eastAsia="zh-CN"/>
                    </w:rPr>
                    <w:t>：</w:t>
                  </w:r>
                  <w:r>
                    <w:rPr>
                      <w:rFonts w:hint="eastAsia" w:ascii="Times New Roman" w:hAnsi="Times New Roman" w:eastAsia="宋体" w:cs="Times New Roman"/>
                      <w:color w:val="auto"/>
                      <w:kern w:val="2"/>
                      <w:sz w:val="21"/>
                      <w:szCs w:val="21"/>
                      <w:highlight w:val="none"/>
                      <w:shd w:val="clear" w:color="auto" w:fill="auto"/>
                      <w:lang w:val="en-US" w:eastAsia="zh-CN" w:bidi="ar-SA"/>
                    </w:rPr>
                    <w:t>经自然沉降后由人工及时清扫，少量未沉降的粉尘通过车间空气净化系统处理后无组织排放；</w:t>
                  </w:r>
                </w:p>
                <w:p w14:paraId="72B74D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kern w:val="2"/>
                      <w:sz w:val="21"/>
                      <w:szCs w:val="21"/>
                      <w:highlight w:val="none"/>
                      <w:shd w:val="clear" w:color="auto" w:fill="auto"/>
                      <w:lang w:val="en-US" w:eastAsia="zh-CN" w:bidi="ar-SA"/>
                    </w:rPr>
                    <w:t>（灌装）涂布等工序产生的极少量有机废气，通过车间空气净化系统处理后无组织排放。</w:t>
                  </w:r>
                </w:p>
              </w:tc>
              <w:tc>
                <w:tcPr>
                  <w:tcW w:w="4935" w:type="dxa"/>
                  <w:tcBorders>
                    <w:tl2br w:val="nil"/>
                    <w:tr2bl w:val="nil"/>
                  </w:tcBorders>
                  <w:noWrap w:val="0"/>
                  <w:vAlign w:val="center"/>
                </w:tcPr>
                <w:p w14:paraId="45F5B89C">
                  <w:pPr>
                    <w:pStyle w:val="22"/>
                    <w:keepNext w:val="0"/>
                    <w:keepLines w:val="0"/>
                    <w:pageBreakBefore w:val="0"/>
                    <w:kinsoku/>
                    <w:wordWrap/>
                    <w:overflowPunct/>
                    <w:topLinePunct w:val="0"/>
                    <w:autoSpaceDE/>
                    <w:autoSpaceDN/>
                    <w:bidi w:val="0"/>
                    <w:adjustRightInd/>
                    <w:spacing w:before="0" w:after="0"/>
                    <w:ind w:right="0"/>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加料、投料搅拌粉尘</w:t>
                  </w:r>
                  <w:r>
                    <w:rPr>
                      <w:rFonts w:hint="eastAsia"/>
                      <w:color w:val="auto"/>
                      <w:vertAlign w:val="baseline"/>
                      <w:lang w:val="en-US" w:eastAsia="zh-CN"/>
                    </w:rPr>
                    <w:t>：</w:t>
                  </w:r>
                  <w:r>
                    <w:rPr>
                      <w:rFonts w:hint="eastAsia" w:ascii="Times New Roman" w:hAnsi="Times New Roman" w:eastAsia="宋体" w:cs="Times New Roman"/>
                      <w:color w:val="auto"/>
                      <w:kern w:val="2"/>
                      <w:sz w:val="21"/>
                      <w:szCs w:val="21"/>
                      <w:highlight w:val="none"/>
                      <w:shd w:val="clear" w:color="auto" w:fill="auto"/>
                      <w:lang w:val="en-US" w:eastAsia="zh-CN" w:bidi="ar-SA"/>
                    </w:rPr>
                    <w:t>经自然沉降后由人工及时清扫，少量未沉降的粉尘通过车间空气净化系统处理后无组织排放；</w:t>
                  </w:r>
                </w:p>
                <w:p w14:paraId="26F000D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kern w:val="2"/>
                      <w:sz w:val="21"/>
                      <w:szCs w:val="21"/>
                      <w:highlight w:val="none"/>
                      <w:shd w:val="clear" w:color="auto" w:fill="auto"/>
                      <w:lang w:val="en-US" w:eastAsia="zh-CN" w:bidi="ar-SA"/>
                    </w:rPr>
                    <w:t>（灌装）涂布、制胶、</w:t>
                  </w:r>
                  <w:r>
                    <w:rPr>
                      <w:rFonts w:hint="eastAsia" w:cs="Times New Roman"/>
                      <w:color w:val="auto"/>
                      <w:kern w:val="2"/>
                      <w:sz w:val="21"/>
                      <w:szCs w:val="21"/>
                      <w:highlight w:val="none"/>
                      <w:shd w:val="clear" w:color="auto" w:fill="auto"/>
                      <w:lang w:val="en-US" w:eastAsia="zh-CN" w:bidi="ar-SA"/>
                    </w:rPr>
                    <w:t>产品生产、</w:t>
                  </w:r>
                  <w:r>
                    <w:rPr>
                      <w:rFonts w:hint="eastAsia" w:ascii="Times New Roman" w:hAnsi="Times New Roman" w:eastAsia="宋体" w:cs="Times New Roman"/>
                      <w:color w:val="auto"/>
                      <w:kern w:val="2"/>
                      <w:sz w:val="21"/>
                      <w:szCs w:val="21"/>
                      <w:highlight w:val="none"/>
                      <w:shd w:val="clear" w:color="auto" w:fill="auto"/>
                      <w:lang w:val="en-US" w:eastAsia="zh-CN" w:bidi="ar-SA"/>
                    </w:rPr>
                    <w:t>喷码等工序产生的极少量有机废气，通过车间空气净化系统</w:t>
                  </w:r>
                  <w:r>
                    <w:rPr>
                      <w:rFonts w:hint="eastAsia" w:cs="Times New Roman"/>
                      <w:color w:val="auto"/>
                      <w:kern w:val="2"/>
                      <w:sz w:val="21"/>
                      <w:szCs w:val="21"/>
                      <w:highlight w:val="none"/>
                      <w:shd w:val="clear" w:color="auto" w:fill="auto"/>
                      <w:lang w:val="en-US" w:eastAsia="zh-CN" w:bidi="ar-SA"/>
                    </w:rPr>
                    <w:t>+二级活性炭处理装置</w:t>
                  </w:r>
                  <w:r>
                    <w:rPr>
                      <w:rFonts w:hint="eastAsia" w:ascii="Times New Roman" w:hAnsi="Times New Roman" w:eastAsia="宋体" w:cs="Times New Roman"/>
                      <w:color w:val="auto"/>
                      <w:kern w:val="2"/>
                      <w:sz w:val="21"/>
                      <w:szCs w:val="21"/>
                      <w:highlight w:val="none"/>
                      <w:shd w:val="clear" w:color="auto" w:fill="auto"/>
                      <w:lang w:val="en-US" w:eastAsia="zh-CN" w:bidi="ar-SA"/>
                    </w:rPr>
                    <w:t>处理后无组织排放。</w:t>
                  </w:r>
                </w:p>
              </w:tc>
              <w:tc>
                <w:tcPr>
                  <w:tcW w:w="689" w:type="pct"/>
                  <w:tcBorders>
                    <w:tl2br w:val="nil"/>
                    <w:tr2bl w:val="nil"/>
                  </w:tcBorders>
                  <w:noWrap w:val="0"/>
                  <w:vAlign w:val="center"/>
                </w:tcPr>
                <w:p w14:paraId="317594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符合</w:t>
                  </w:r>
                </w:p>
              </w:tc>
            </w:tr>
            <w:tr w14:paraId="3CB2C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Merge w:val="continue"/>
                  <w:tcBorders>
                    <w:tl2br w:val="nil"/>
                    <w:tr2bl w:val="nil"/>
                  </w:tcBorders>
                  <w:noWrap w:val="0"/>
                  <w:vAlign w:val="center"/>
                </w:tcPr>
                <w:p w14:paraId="02B8BF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p>
              </w:tc>
              <w:tc>
                <w:tcPr>
                  <w:tcW w:w="1939" w:type="pct"/>
                  <w:tcBorders>
                    <w:tl2br w:val="nil"/>
                    <w:tr2bl w:val="nil"/>
                  </w:tcBorders>
                  <w:noWrap w:val="0"/>
                  <w:vAlign w:val="center"/>
                </w:tcPr>
                <w:p w14:paraId="408C69C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设备基础减震；定期维护保养；隔声处理</w:t>
                  </w:r>
                </w:p>
              </w:tc>
              <w:tc>
                <w:tcPr>
                  <w:tcW w:w="1921" w:type="pct"/>
                  <w:tcBorders>
                    <w:tl2br w:val="nil"/>
                    <w:tr2bl w:val="nil"/>
                  </w:tcBorders>
                  <w:noWrap w:val="0"/>
                  <w:vAlign w:val="center"/>
                </w:tcPr>
                <w:p w14:paraId="01DF3B3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设备基础减震；隔声处理</w:t>
                  </w:r>
                </w:p>
              </w:tc>
              <w:tc>
                <w:tcPr>
                  <w:tcW w:w="689" w:type="pct"/>
                  <w:tcBorders>
                    <w:tl2br w:val="nil"/>
                    <w:tr2bl w:val="nil"/>
                  </w:tcBorders>
                  <w:noWrap w:val="0"/>
                  <w:vAlign w:val="center"/>
                </w:tcPr>
                <w:p w14:paraId="02E47B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符合</w:t>
                  </w:r>
                </w:p>
              </w:tc>
            </w:tr>
            <w:tr w14:paraId="735EA7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Merge w:val="continue"/>
                  <w:tcBorders>
                    <w:tl2br w:val="nil"/>
                    <w:tr2bl w:val="nil"/>
                  </w:tcBorders>
                  <w:noWrap w:val="0"/>
                  <w:vAlign w:val="center"/>
                </w:tcPr>
                <w:p w14:paraId="7222D6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p>
              </w:tc>
              <w:tc>
                <w:tcPr>
                  <w:tcW w:w="1939" w:type="pct"/>
                  <w:tcBorders>
                    <w:tl2br w:val="nil"/>
                    <w:tr2bl w:val="nil"/>
                  </w:tcBorders>
                  <w:noWrap w:val="0"/>
                  <w:vAlign w:val="center"/>
                </w:tcPr>
                <w:p w14:paraId="3E47BBC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一般固废：</w:t>
                  </w:r>
                  <w:r>
                    <w:rPr>
                      <w:rFonts w:hint="default" w:ascii="Times New Roman" w:hAnsi="Times New Roman" w:cs="Times New Roman"/>
                      <w:color w:val="auto"/>
                      <w:lang w:eastAsia="zh-CN"/>
                    </w:rPr>
                    <w:t>一般固废暂存间</w:t>
                  </w:r>
                  <w:r>
                    <w:rPr>
                      <w:rFonts w:hint="default" w:ascii="Times New Roman" w:hAnsi="Times New Roman" w:cs="Times New Roman"/>
                      <w:color w:val="auto"/>
                    </w:rPr>
                    <w:t>（</w:t>
                  </w:r>
                  <w:r>
                    <w:rPr>
                      <w:rFonts w:hint="default" w:ascii="Times New Roman" w:hAnsi="Times New Roman" w:cs="Times New Roman"/>
                      <w:color w:val="auto"/>
                      <w:lang w:eastAsia="zh-CN"/>
                    </w:rPr>
                    <w:t>占地面积</w:t>
                  </w:r>
                  <w:r>
                    <w:rPr>
                      <w:rFonts w:hint="eastAsia" w:cs="Times New Roman"/>
                      <w:color w:val="auto"/>
                      <w:lang w:val="en-US" w:eastAsia="zh-CN"/>
                    </w:rPr>
                    <w:t>15</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ascii="Times New Roman" w:hAnsi="Times New Roman" w:eastAsia="宋体" w:cs="Times New Roman"/>
                      <w:color w:val="auto"/>
                      <w:sz w:val="21"/>
                      <w:szCs w:val="21"/>
                      <w:lang w:eastAsia="zh-CN"/>
                    </w:rPr>
                    <w:t>；</w:t>
                  </w:r>
                </w:p>
                <w:p w14:paraId="426C53E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vertAlign w:val="baseline"/>
                      <w:lang w:eastAsia="zh-CN"/>
                    </w:rPr>
                  </w:pPr>
                  <w:r>
                    <w:rPr>
                      <w:rFonts w:hint="eastAsia" w:eastAsia="宋体"/>
                      <w:color w:val="auto"/>
                      <w:szCs w:val="21"/>
                      <w:lang w:eastAsia="zh-CN"/>
                    </w:rPr>
                    <w:t>危险废物：</w:t>
                  </w:r>
                  <w:r>
                    <w:rPr>
                      <w:rFonts w:hint="eastAsia" w:ascii="Times New Roman" w:hAnsi="Times New Roman" w:cs="Times New Roman"/>
                      <w:color w:val="auto"/>
                      <w:lang w:val="en-US" w:eastAsia="zh-CN"/>
                    </w:rPr>
                    <w:t>危险废物暂存间（占地面积</w:t>
                  </w:r>
                  <w:r>
                    <w:rPr>
                      <w:rFonts w:hint="eastAsia" w:cs="Times New Roman"/>
                      <w:color w:val="auto"/>
                      <w:lang w:val="en-US" w:eastAsia="zh-CN"/>
                    </w:rPr>
                    <w:t>5</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tc>
              <w:tc>
                <w:tcPr>
                  <w:tcW w:w="1921" w:type="pct"/>
                  <w:tcBorders>
                    <w:tl2br w:val="nil"/>
                    <w:tr2bl w:val="nil"/>
                  </w:tcBorders>
                  <w:noWrap w:val="0"/>
                  <w:vAlign w:val="center"/>
                </w:tcPr>
                <w:p w14:paraId="366E8E7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一般固废：</w:t>
                  </w:r>
                  <w:r>
                    <w:rPr>
                      <w:rFonts w:hint="default" w:ascii="Times New Roman" w:hAnsi="Times New Roman" w:cs="Times New Roman"/>
                      <w:color w:val="auto"/>
                      <w:lang w:eastAsia="zh-CN"/>
                    </w:rPr>
                    <w:t>一般固废暂存间</w:t>
                  </w:r>
                  <w:r>
                    <w:rPr>
                      <w:rFonts w:hint="default" w:ascii="Times New Roman" w:hAnsi="Times New Roman" w:cs="Times New Roman"/>
                      <w:color w:val="auto"/>
                    </w:rPr>
                    <w:t>（</w:t>
                  </w:r>
                  <w:r>
                    <w:rPr>
                      <w:rFonts w:hint="default" w:ascii="Times New Roman" w:hAnsi="Times New Roman" w:cs="Times New Roman"/>
                      <w:color w:val="auto"/>
                      <w:lang w:eastAsia="zh-CN"/>
                    </w:rPr>
                    <w:t>占地面积</w:t>
                  </w:r>
                  <w:r>
                    <w:rPr>
                      <w:rFonts w:hint="eastAsia" w:cs="Times New Roman"/>
                      <w:color w:val="auto"/>
                      <w:lang w:val="en-US" w:eastAsia="zh-CN"/>
                    </w:rPr>
                    <w:t>15</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ascii="Times New Roman" w:hAnsi="Times New Roman" w:eastAsia="宋体" w:cs="Times New Roman"/>
                      <w:color w:val="auto"/>
                      <w:sz w:val="21"/>
                      <w:szCs w:val="21"/>
                      <w:lang w:eastAsia="zh-CN"/>
                    </w:rPr>
                    <w:t>；</w:t>
                  </w:r>
                </w:p>
                <w:p w14:paraId="2620678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imes New Roman" w:hAnsi="Times New Roman" w:eastAsia="宋体" w:cs="Times New Roman"/>
                      <w:color w:val="auto"/>
                      <w:vertAlign w:val="baseline"/>
                      <w:lang w:val="en-US" w:eastAsia="zh-CN"/>
                    </w:rPr>
                  </w:pPr>
                  <w:r>
                    <w:rPr>
                      <w:rFonts w:hint="eastAsia" w:eastAsia="宋体"/>
                      <w:color w:val="auto"/>
                      <w:szCs w:val="21"/>
                      <w:lang w:eastAsia="zh-CN"/>
                    </w:rPr>
                    <w:t>危险废物：</w:t>
                  </w:r>
                  <w:r>
                    <w:rPr>
                      <w:rFonts w:hint="eastAsia" w:ascii="Times New Roman" w:hAnsi="Times New Roman" w:cs="Times New Roman"/>
                      <w:color w:val="auto"/>
                      <w:lang w:val="en-US" w:eastAsia="zh-CN"/>
                    </w:rPr>
                    <w:t>危险废物暂存间（占地面积</w:t>
                  </w:r>
                  <w:r>
                    <w:rPr>
                      <w:rFonts w:hint="eastAsia" w:cs="Times New Roman"/>
                      <w:color w:val="auto"/>
                      <w:lang w:val="en-US" w:eastAsia="zh-CN"/>
                    </w:rPr>
                    <w:t>5</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tc>
              <w:tc>
                <w:tcPr>
                  <w:tcW w:w="689" w:type="pct"/>
                  <w:tcBorders>
                    <w:tl2br w:val="nil"/>
                    <w:tr2bl w:val="nil"/>
                  </w:tcBorders>
                  <w:noWrap w:val="0"/>
                  <w:vAlign w:val="center"/>
                </w:tcPr>
                <w:p w14:paraId="0A2761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符合</w:t>
                  </w:r>
                </w:p>
              </w:tc>
            </w:tr>
          </w:tbl>
          <w:p w14:paraId="1A3045A8">
            <w:pPr>
              <w:keepNext w:val="0"/>
              <w:keepLines w:val="0"/>
              <w:pageBreakBefore w:val="0"/>
              <w:widowControl/>
              <w:kinsoku/>
              <w:wordWrap/>
              <w:overflowPunct/>
              <w:topLinePunct w:val="0"/>
              <w:autoSpaceDE/>
              <w:autoSpaceDN/>
              <w:bidi w:val="0"/>
              <w:adjustRightInd/>
              <w:snapToGrid/>
              <w:spacing w:before="157" w:beforeLines="50" w:line="288" w:lineRule="auto"/>
              <w:ind w:left="0" w:leftChars="0" w:firstLine="0" w:firstLineChars="0"/>
              <w:jc w:val="both"/>
              <w:textAlignment w:val="auto"/>
              <w:rPr>
                <w:rFonts w:hint="default" w:ascii="Calibri" w:hAnsi="Calibri" w:eastAsia="宋体" w:cs="Times New Roman"/>
                <w:color w:val="auto"/>
                <w:kern w:val="2"/>
                <w:sz w:val="21"/>
                <w:szCs w:val="20"/>
                <w:highlight w:val="none"/>
                <w:shd w:val="clear" w:color="auto" w:fill="auto"/>
                <w:vertAlign w:val="baseline"/>
                <w:lang w:val="en-US" w:eastAsia="zh-CN" w:bidi="ar-SA"/>
              </w:rPr>
            </w:pPr>
          </w:p>
          <w:p w14:paraId="0FA7CA71">
            <w:pPr>
              <w:rPr>
                <w:rFonts w:hint="default"/>
                <w:color w:val="auto"/>
                <w:lang w:val="en-US" w:eastAsia="zh-CN"/>
              </w:rPr>
            </w:pPr>
          </w:p>
        </w:tc>
      </w:tr>
    </w:tbl>
    <w:p w14:paraId="3C0365FC">
      <w:pPr>
        <w:pStyle w:val="34"/>
        <w:rPr>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3057"/>
      </w:tblGrid>
      <w:tr w14:paraId="0143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595" w:type="dxa"/>
            <w:noWrap w:val="0"/>
            <w:vAlign w:val="top"/>
          </w:tcPr>
          <w:p w14:paraId="7510669D">
            <w:pPr>
              <w:widowControl/>
              <w:ind w:firstLine="420" w:firstLineChars="200"/>
              <w:jc w:val="both"/>
              <w:rPr>
                <w:rFonts w:ascii="Calibri" w:hAnsi="Calibri" w:eastAsia="宋体" w:cs="Times New Roman"/>
                <w:color w:val="auto"/>
                <w:kern w:val="2"/>
                <w:sz w:val="21"/>
                <w:szCs w:val="20"/>
                <w:highlight w:val="none"/>
                <w:shd w:val="clear" w:color="auto" w:fill="auto"/>
                <w:vertAlign w:val="baseline"/>
                <w:lang w:val="en-US" w:eastAsia="zh-CN" w:bidi="ar-SA"/>
              </w:rPr>
            </w:pPr>
          </w:p>
        </w:tc>
        <w:tc>
          <w:tcPr>
            <w:tcW w:w="13057" w:type="dxa"/>
            <w:noWrap w:val="0"/>
            <w:vAlign w:val="top"/>
          </w:tcPr>
          <w:p w14:paraId="14497772">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Lines="0" w:line="360" w:lineRule="auto"/>
              <w:ind w:firstLine="482" w:firstLineChars="200"/>
              <w:textAlignment w:val="auto"/>
              <w:rPr>
                <w:rFonts w:hint="eastAsia"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lang w:val="en-US" w:eastAsia="zh-CN"/>
              </w:rPr>
              <w:t>二</w:t>
            </w:r>
            <w:r>
              <w:rPr>
                <w:rFonts w:hint="eastAsia" w:ascii="Times New Roman" w:hAnsi="Times New Roman" w:eastAsia="宋体" w:cs="Times New Roman"/>
                <w:b/>
                <w:bCs/>
                <w:color w:val="auto"/>
                <w:sz w:val="24"/>
                <w:szCs w:val="24"/>
                <w:lang w:eastAsia="zh-CN"/>
              </w:rPr>
              <w:t>、项目地理位置及周边关系</w:t>
            </w:r>
          </w:p>
          <w:p w14:paraId="51CFC8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rPr>
              <w:t>本项目建设地点位</w:t>
            </w:r>
            <w:r>
              <w:rPr>
                <w:rFonts w:hint="default" w:ascii="Times New Roman" w:hAnsi="Times New Roman" w:eastAsia="宋体" w:cs="Times New Roman"/>
                <w:color w:val="auto"/>
                <w:sz w:val="24"/>
                <w:szCs w:val="24"/>
                <w:lang w:val="en-US" w:eastAsia="zh-CN"/>
              </w:rPr>
              <w:t>于</w:t>
            </w:r>
            <w:r>
              <w:rPr>
                <w:rFonts w:hint="eastAsia" w:ascii="Times New Roman" w:hAnsi="Times New Roman" w:eastAsia="宋体" w:cs="Times New Roman"/>
                <w:color w:val="auto"/>
                <w:sz w:val="24"/>
                <w:szCs w:val="24"/>
                <w:lang w:val="en-US" w:eastAsia="zh-CN"/>
              </w:rPr>
              <w:t>江西省九江市庐山市工业园金鹿科技园</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highlight w:val="none"/>
                <w:lang w:eastAsia="zh-CN"/>
              </w:rPr>
              <w:t>中心</w:t>
            </w:r>
            <w:r>
              <w:rPr>
                <w:rFonts w:hint="default" w:ascii="Times New Roman" w:hAnsi="Times New Roman" w:eastAsia="宋体" w:cs="Times New Roman"/>
                <w:color w:val="auto"/>
                <w:sz w:val="24"/>
                <w:szCs w:val="24"/>
                <w:highlight w:val="none"/>
              </w:rPr>
              <w:t>地理坐标为E</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lang w:val="en-US" w:eastAsia="zh-CN"/>
              </w:rPr>
              <w:t>116°2′58.395″</w:t>
            </w:r>
            <w:r>
              <w:rPr>
                <w:rFonts w:hint="default" w:ascii="Times New Roman" w:hAnsi="Times New Roman" w:eastAsia="宋体" w:cs="Times New Roman"/>
                <w:color w:val="auto"/>
                <w:sz w:val="24"/>
                <w:szCs w:val="24"/>
                <w:highlight w:val="none"/>
              </w:rPr>
              <w:t>，N</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lang w:val="en-US" w:eastAsia="zh-CN"/>
              </w:rPr>
              <w:t>29°28′30.106″</w:t>
            </w:r>
            <w:r>
              <w:rPr>
                <w:rFonts w:hint="default" w:ascii="Times New Roman" w:hAnsi="Times New Roman" w:eastAsia="宋体" w:cs="Times New Roman"/>
                <w:color w:val="auto"/>
                <w:sz w:val="24"/>
                <w:szCs w:val="24"/>
              </w:rPr>
              <w:t>。根据现场踏勘可知，本项目厂区</w:t>
            </w:r>
            <w:r>
              <w:rPr>
                <w:rFonts w:hint="eastAsia" w:ascii="Times New Roman" w:hAnsi="Times New Roman" w:eastAsia="宋体" w:cs="Times New Roman"/>
                <w:color w:val="auto"/>
                <w:sz w:val="24"/>
                <w:lang w:val="en-US" w:eastAsia="zh-CN"/>
              </w:rPr>
              <w:t>东面与北面都是园区外荒地，南面为自然居家居用品有限公司（纺织厂），西面为土特产有限公司存储仓库</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地理位置见附图</w:t>
            </w:r>
            <w:r>
              <w:rPr>
                <w:rFonts w:hint="default" w:ascii="Times New Roman" w:hAnsi="Times New Roman" w:eastAsia="宋体" w:cs="Times New Roman"/>
                <w:color w:val="auto"/>
                <w:sz w:val="24"/>
                <w:szCs w:val="24"/>
                <w:lang w:eastAsia="zh-CN"/>
              </w:rPr>
              <w:t>一</w:t>
            </w:r>
            <w:r>
              <w:rPr>
                <w:rFonts w:hint="default" w:ascii="Times New Roman" w:hAnsi="Times New Roman" w:eastAsia="宋体" w:cs="Times New Roman"/>
                <w:color w:val="auto"/>
                <w:sz w:val="24"/>
                <w:szCs w:val="24"/>
              </w:rPr>
              <w:t>。</w:t>
            </w:r>
          </w:p>
          <w:p w14:paraId="07515FB4">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color w:val="auto"/>
                <w:sz w:val="24"/>
                <w:szCs w:val="24"/>
                <w:highlight w:val="none"/>
                <w:shd w:val="clear" w:color="auto" w:fill="auto"/>
                <w:lang w:eastAsia="zh-CN"/>
              </w:rPr>
            </w:pPr>
            <w:r>
              <w:rPr>
                <w:rFonts w:hint="eastAsia" w:cs="Times New Roman"/>
                <w:b/>
                <w:bCs/>
                <w:color w:val="auto"/>
                <w:sz w:val="24"/>
                <w:szCs w:val="24"/>
                <w:highlight w:val="none"/>
                <w:shd w:val="clear" w:color="auto" w:fill="auto"/>
                <w:lang w:val="en-US" w:eastAsia="zh-CN"/>
              </w:rPr>
              <w:t>三</w:t>
            </w:r>
            <w:r>
              <w:rPr>
                <w:rFonts w:hint="eastAsia" w:ascii="Times New Roman" w:hAnsi="Times New Roman" w:eastAsia="宋体" w:cs="Times New Roman"/>
                <w:b/>
                <w:bCs/>
                <w:color w:val="auto"/>
                <w:sz w:val="24"/>
                <w:szCs w:val="24"/>
                <w:highlight w:val="none"/>
                <w:shd w:val="clear" w:color="auto" w:fill="auto"/>
                <w:lang w:val="en-US" w:eastAsia="zh-CN"/>
              </w:rPr>
              <w:t>、</w:t>
            </w:r>
            <w:r>
              <w:rPr>
                <w:rFonts w:hint="default" w:ascii="Times New Roman" w:hAnsi="Times New Roman" w:eastAsia="宋体" w:cs="Times New Roman"/>
                <w:b/>
                <w:bCs/>
                <w:color w:val="auto"/>
                <w:sz w:val="24"/>
                <w:szCs w:val="24"/>
                <w:highlight w:val="none"/>
                <w:shd w:val="clear" w:color="auto" w:fill="auto"/>
                <w:lang w:eastAsia="zh-CN"/>
              </w:rPr>
              <w:t>工程内容及规模</w:t>
            </w:r>
          </w:p>
          <w:p w14:paraId="565B8B9F">
            <w:pPr>
              <w:keepNext w:val="0"/>
              <w:keepLines w:val="0"/>
              <w:pageBreakBefore w:val="0"/>
              <w:widowControl w:val="0"/>
              <w:suppressLineNumbers w:val="0"/>
              <w:kinsoku/>
              <w:wordWrap/>
              <w:overflowPunct/>
              <w:topLinePunct w:val="0"/>
              <w:autoSpaceDE/>
              <w:autoSpaceDN/>
              <w:bidi w:val="0"/>
              <w:adjustRightInd/>
              <w:snapToGrid/>
              <w:spacing w:beforeLines="0" w:afterLines="0" w:line="360" w:lineRule="auto"/>
              <w:ind w:left="0" w:leftChars="0" w:firstLine="480" w:firstLineChars="200"/>
              <w:jc w:val="both"/>
              <w:textAlignment w:val="baseline"/>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（1）项目名称：</w:t>
            </w:r>
            <w:r>
              <w:rPr>
                <w:rFonts w:hint="eastAsia" w:ascii="Times New Roman" w:hAnsi="Times New Roman" w:eastAsia="宋体" w:cs="Times New Roman"/>
                <w:color w:val="auto"/>
                <w:kern w:val="0"/>
                <w:sz w:val="24"/>
                <w:szCs w:val="24"/>
                <w:lang w:val="en-US" w:eastAsia="zh-CN" w:bidi="ar"/>
              </w:rPr>
              <w:t>江西捷报频传药业有限公司卫生材料生产项目</w:t>
            </w:r>
          </w:p>
          <w:p w14:paraId="381DA86E">
            <w:pPr>
              <w:keepNext w:val="0"/>
              <w:keepLines w:val="0"/>
              <w:pageBreakBefore w:val="0"/>
              <w:widowControl w:val="0"/>
              <w:suppressLineNumbers w:val="0"/>
              <w:kinsoku/>
              <w:wordWrap/>
              <w:overflowPunct/>
              <w:topLinePunct w:val="0"/>
              <w:autoSpaceDE/>
              <w:autoSpaceDN/>
              <w:bidi w:val="0"/>
              <w:adjustRightInd/>
              <w:snapToGrid/>
              <w:spacing w:beforeLines="0" w:afterLines="0" w:line="360" w:lineRule="auto"/>
              <w:ind w:left="0" w:leftChars="0" w:firstLine="480" w:firstLineChars="200"/>
              <w:jc w:val="both"/>
              <w:textAlignment w:val="baseline"/>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（2）建设单位：</w:t>
            </w:r>
            <w:r>
              <w:rPr>
                <w:rFonts w:hint="eastAsia" w:ascii="Times New Roman" w:hAnsi="Times New Roman" w:eastAsia="宋体" w:cs="Times New Roman"/>
                <w:color w:val="auto"/>
                <w:sz w:val="24"/>
                <w:szCs w:val="24"/>
                <w:u w:val="none"/>
                <w:lang w:eastAsia="zh-CN"/>
              </w:rPr>
              <w:t>江西捷报频传药业有限公司</w:t>
            </w:r>
          </w:p>
          <w:p w14:paraId="048EA0DC">
            <w:pPr>
              <w:keepNext w:val="0"/>
              <w:keepLines w:val="0"/>
              <w:pageBreakBefore w:val="0"/>
              <w:widowControl w:val="0"/>
              <w:suppressLineNumbers w:val="0"/>
              <w:kinsoku/>
              <w:wordWrap/>
              <w:overflowPunct/>
              <w:topLinePunct w:val="0"/>
              <w:autoSpaceDE/>
              <w:autoSpaceDN/>
              <w:bidi w:val="0"/>
              <w:adjustRightInd/>
              <w:snapToGrid/>
              <w:spacing w:beforeLines="0" w:afterLines="0" w:line="360" w:lineRule="auto"/>
              <w:ind w:left="0" w:leftChars="0" w:firstLine="480" w:firstLineChars="200"/>
              <w:jc w:val="both"/>
              <w:textAlignment w:val="baseline"/>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（3）建设性质：新建（重大变动）</w:t>
            </w:r>
          </w:p>
          <w:p w14:paraId="1FB2A22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b/>
                <w:bCs/>
                <w:color w:val="auto"/>
                <w:sz w:val="24"/>
                <w:szCs w:val="24"/>
              </w:rPr>
            </w:pPr>
            <w:r>
              <w:rPr>
                <w:rFonts w:hint="default" w:ascii="Times New Roman" w:hAnsi="Times New Roman" w:eastAsia="宋体" w:cs="Times New Roman"/>
                <w:color w:val="auto"/>
                <w:sz w:val="24"/>
                <w:szCs w:val="24"/>
              </w:rPr>
              <w:t>（4）占地面积：</w:t>
            </w:r>
            <w:r>
              <w:rPr>
                <w:rFonts w:hint="default"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利用租赁厂房及配套设施进行建设，项目建筑面积</w:t>
            </w:r>
            <w:r>
              <w:rPr>
                <w:rFonts w:hint="eastAsia" w:ascii="Times New Roman" w:hAnsi="Times New Roman" w:eastAsia="宋体" w:cs="Times New Roman"/>
                <w:color w:val="auto"/>
                <w:sz w:val="24"/>
                <w:szCs w:val="24"/>
                <w:lang w:val="en-US" w:eastAsia="zh-CN"/>
              </w:rPr>
              <w:t>2880m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vertAlign w:val="baseline"/>
                <w:lang w:val="en-US" w:eastAsia="zh-CN"/>
              </w:rPr>
              <w:t>，共两层</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主要建设内容为</w:t>
            </w:r>
            <w:r>
              <w:rPr>
                <w:rFonts w:hint="eastAsia" w:ascii="Times New Roman" w:hAnsi="Times New Roman" w:eastAsia="宋体" w:cs="Times New Roman"/>
                <w:color w:val="auto"/>
                <w:sz w:val="24"/>
                <w:szCs w:val="24"/>
                <w:lang w:val="en-US" w:eastAsia="zh-CN"/>
              </w:rPr>
              <w:t>生产车间及仓库区</w:t>
            </w:r>
            <w:r>
              <w:rPr>
                <w:rFonts w:hint="default" w:ascii="Times New Roman" w:hAnsi="Times New Roman" w:eastAsia="宋体" w:cs="Times New Roman"/>
                <w:color w:val="auto"/>
                <w:sz w:val="24"/>
                <w:szCs w:val="24"/>
                <w:lang w:eastAsia="zh-CN"/>
              </w:rPr>
              <w:t>等</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详见</w:t>
            </w:r>
            <w:r>
              <w:rPr>
                <w:rFonts w:hint="eastAsia" w:ascii="Times New Roman" w:hAnsi="Times New Roman" w:eastAsia="宋体" w:cs="Times New Roman"/>
                <w:color w:val="auto"/>
                <w:sz w:val="24"/>
                <w:szCs w:val="24"/>
                <w:lang w:eastAsia="zh-CN"/>
              </w:rPr>
              <w:t>下</w:t>
            </w: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eastAsia="zh-CN"/>
              </w:rPr>
              <w:t>。</w:t>
            </w:r>
          </w:p>
          <w:p w14:paraId="2F190FF7">
            <w:pPr>
              <w:keepNext w:val="0"/>
              <w:keepLines w:val="0"/>
              <w:pageBreakBefore w:val="0"/>
              <w:widowControl w:val="0"/>
              <w:kinsoku/>
              <w:wordWrap/>
              <w:overflowPunct/>
              <w:topLinePunct w:val="0"/>
              <w:autoSpaceDE w:val="0"/>
              <w:autoSpaceDN w:val="0"/>
              <w:bidi w:val="0"/>
              <w:adjustRightInd/>
              <w:snapToGrid/>
              <w:spacing w:before="157" w:beforeLines="50"/>
              <w:jc w:val="center"/>
              <w:textAlignment w:val="auto"/>
              <w:rPr>
                <w:rFonts w:hint="eastAsia" w:ascii="Times New Roman" w:hAnsi="Times New Roman" w:eastAsia="宋体" w:cs="Times New Roman"/>
                <w:b/>
                <w:bCs/>
                <w:color w:val="auto"/>
                <w:kern w:val="2"/>
                <w:sz w:val="21"/>
                <w:szCs w:val="21"/>
                <w:highlight w:val="none"/>
                <w:shd w:val="clear" w:color="auto" w:fill="auto"/>
                <w:lang w:val="en-US" w:eastAsia="zh-CN" w:bidi="ar-SA"/>
              </w:rPr>
            </w:pPr>
            <w:r>
              <w:rPr>
                <w:rFonts w:hint="default" w:ascii="Times New Roman" w:hAnsi="Times New Roman" w:cs="Times New Roman"/>
                <w:b/>
                <w:bCs/>
                <w:color w:val="auto"/>
                <w:sz w:val="24"/>
                <w:szCs w:val="24"/>
              </w:rPr>
              <w:t>表2-</w:t>
            </w: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rPr>
              <w:t xml:space="preserve">  </w:t>
            </w:r>
            <w:r>
              <w:rPr>
                <w:rFonts w:hint="eastAsia"/>
                <w:b/>
                <w:bCs/>
                <w:color w:val="auto"/>
                <w:sz w:val="21"/>
                <w:szCs w:val="21"/>
                <w:lang w:val="en-US" w:eastAsia="zh-CN"/>
              </w:rPr>
              <w:t>变动前后</w:t>
            </w:r>
            <w:r>
              <w:rPr>
                <w:rFonts w:hint="default" w:ascii="Times New Roman" w:hAnsi="Times New Roman" w:cs="Times New Roman"/>
                <w:b/>
                <w:bCs/>
                <w:color w:val="auto"/>
                <w:sz w:val="21"/>
                <w:szCs w:val="21"/>
              </w:rPr>
              <w:t>项目建设内容一览表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079"/>
              <w:gridCol w:w="2857"/>
              <w:gridCol w:w="3105"/>
              <w:gridCol w:w="2310"/>
              <w:gridCol w:w="2484"/>
            </w:tblGrid>
            <w:tr w14:paraId="054395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75" w:type="dxa"/>
                  <w:gridSpan w:val="2"/>
                  <w:tcBorders>
                    <w:tl2br w:val="nil"/>
                    <w:tr2bl w:val="nil"/>
                  </w:tcBorders>
                  <w:noWrap w:val="0"/>
                  <w:vAlign w:val="center"/>
                </w:tcPr>
                <w:p w14:paraId="0401FC62">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kern w:val="0"/>
                      <w:sz w:val="21"/>
                      <w:szCs w:val="21"/>
                      <w:vertAlign w:val="baseline"/>
                      <w:lang w:val="en-US" w:eastAsia="zh-CN" w:bidi="ar-SA"/>
                    </w:rPr>
                    <w:t>工程内容</w:t>
                  </w:r>
                </w:p>
              </w:tc>
              <w:tc>
                <w:tcPr>
                  <w:tcW w:w="2857" w:type="dxa"/>
                  <w:tcBorders>
                    <w:tl2br w:val="nil"/>
                    <w:tr2bl w:val="nil"/>
                  </w:tcBorders>
                  <w:noWrap w:val="0"/>
                  <w:vAlign w:val="center"/>
                </w:tcPr>
                <w:p w14:paraId="64D5CB94">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kern w:val="0"/>
                      <w:sz w:val="21"/>
                      <w:szCs w:val="21"/>
                      <w:vertAlign w:val="baseline"/>
                      <w:lang w:val="en-US" w:eastAsia="zh-CN" w:bidi="ar-SA"/>
                    </w:rPr>
                    <w:t>变动前主要建设内容</w:t>
                  </w:r>
                  <w:r>
                    <w:rPr>
                      <w:rFonts w:hint="eastAsia" w:cs="Times New Roman"/>
                      <w:b/>
                      <w:bCs/>
                      <w:color w:val="auto"/>
                      <w:kern w:val="0"/>
                      <w:sz w:val="21"/>
                      <w:szCs w:val="21"/>
                      <w:vertAlign w:val="baseline"/>
                      <w:lang w:val="en-US" w:eastAsia="zh-CN" w:bidi="ar-SA"/>
                    </w:rPr>
                    <w:t>及</w:t>
                  </w:r>
                  <w:r>
                    <w:rPr>
                      <w:rFonts w:hint="default" w:ascii="Times New Roman" w:hAnsi="Times New Roman" w:eastAsia="宋体" w:cs="Times New Roman"/>
                      <w:b/>
                      <w:bCs/>
                      <w:color w:val="auto"/>
                      <w:kern w:val="0"/>
                      <w:sz w:val="21"/>
                      <w:szCs w:val="21"/>
                      <w:vertAlign w:val="baseline"/>
                      <w:lang w:val="en-US" w:eastAsia="zh-CN" w:bidi="ar-SA"/>
                    </w:rPr>
                    <w:t>规模</w:t>
                  </w:r>
                </w:p>
              </w:tc>
              <w:tc>
                <w:tcPr>
                  <w:tcW w:w="3105" w:type="dxa"/>
                  <w:tcBorders>
                    <w:tl2br w:val="nil"/>
                    <w:tr2bl w:val="nil"/>
                  </w:tcBorders>
                  <w:noWrap w:val="0"/>
                  <w:vAlign w:val="center"/>
                </w:tcPr>
                <w:p w14:paraId="6587A616">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kern w:val="0"/>
                      <w:sz w:val="21"/>
                      <w:szCs w:val="21"/>
                      <w:vertAlign w:val="baseline"/>
                      <w:lang w:val="en-US" w:eastAsia="zh-CN" w:bidi="ar-SA"/>
                    </w:rPr>
                    <w:t>变动</w:t>
                  </w:r>
                  <w:r>
                    <w:rPr>
                      <w:rFonts w:hint="eastAsia" w:cs="Times New Roman"/>
                      <w:b/>
                      <w:bCs/>
                      <w:color w:val="auto"/>
                      <w:kern w:val="0"/>
                      <w:sz w:val="21"/>
                      <w:szCs w:val="21"/>
                      <w:vertAlign w:val="baseline"/>
                      <w:lang w:val="en-US" w:eastAsia="zh-CN" w:bidi="ar-SA"/>
                    </w:rPr>
                    <w:t>后</w:t>
                  </w:r>
                  <w:r>
                    <w:rPr>
                      <w:rFonts w:hint="default" w:ascii="Times New Roman" w:hAnsi="Times New Roman" w:eastAsia="宋体" w:cs="Times New Roman"/>
                      <w:b/>
                      <w:bCs/>
                      <w:color w:val="auto"/>
                      <w:kern w:val="0"/>
                      <w:sz w:val="21"/>
                      <w:szCs w:val="21"/>
                      <w:vertAlign w:val="baseline"/>
                      <w:lang w:val="en-US" w:eastAsia="zh-CN" w:bidi="ar-SA"/>
                    </w:rPr>
                    <w:t>主要建设内容及规模</w:t>
                  </w:r>
                </w:p>
              </w:tc>
              <w:tc>
                <w:tcPr>
                  <w:tcW w:w="2310" w:type="dxa"/>
                  <w:tcBorders>
                    <w:tl2br w:val="nil"/>
                    <w:tr2bl w:val="nil"/>
                  </w:tcBorders>
                  <w:noWrap w:val="0"/>
                  <w:vAlign w:val="center"/>
                </w:tcPr>
                <w:p w14:paraId="4CFAC406">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b/>
                      <w:bCs/>
                      <w:color w:val="auto"/>
                      <w:kern w:val="0"/>
                      <w:sz w:val="21"/>
                      <w:szCs w:val="21"/>
                      <w:vertAlign w:val="baseline"/>
                      <w:lang w:val="en-US" w:eastAsia="zh-CN" w:bidi="ar-SA"/>
                    </w:rPr>
                    <w:t>变动情况</w:t>
                  </w:r>
                </w:p>
              </w:tc>
              <w:tc>
                <w:tcPr>
                  <w:tcW w:w="2484" w:type="dxa"/>
                  <w:tcBorders>
                    <w:tl2br w:val="nil"/>
                    <w:tr2bl w:val="nil"/>
                  </w:tcBorders>
                  <w:noWrap w:val="0"/>
                  <w:vAlign w:val="center"/>
                </w:tcPr>
                <w:p w14:paraId="170ED502">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b/>
                      <w:bCs/>
                      <w:color w:val="FF0000"/>
                      <w:kern w:val="0"/>
                      <w:sz w:val="21"/>
                      <w:szCs w:val="21"/>
                      <w:vertAlign w:val="baseline"/>
                      <w:lang w:val="en-US" w:eastAsia="zh-CN" w:bidi="ar-SA"/>
                    </w:rPr>
                  </w:pPr>
                  <w:commentRangeStart w:id="6"/>
                  <w:r>
                    <w:rPr>
                      <w:rFonts w:hint="eastAsia" w:cs="Times New Roman"/>
                      <w:b/>
                      <w:bCs/>
                      <w:color w:val="FF0000"/>
                      <w:kern w:val="0"/>
                      <w:sz w:val="21"/>
                      <w:szCs w:val="21"/>
                      <w:vertAlign w:val="baseline"/>
                      <w:lang w:val="en-US" w:eastAsia="zh-CN" w:bidi="ar-SA"/>
                    </w:rPr>
                    <w:t>依托可行性</w:t>
                  </w:r>
                  <w:commentRangeEnd w:id="6"/>
                  <w:r>
                    <w:commentReference w:id="6"/>
                  </w:r>
                </w:p>
              </w:tc>
            </w:tr>
            <w:tr w14:paraId="44397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996" w:type="dxa"/>
                  <w:vMerge w:val="restart"/>
                  <w:tcBorders>
                    <w:top w:val="single" w:color="auto" w:sz="12" w:space="0"/>
                  </w:tcBorders>
                  <w:noWrap w:val="0"/>
                  <w:vAlign w:val="center"/>
                </w:tcPr>
                <w:p w14:paraId="7DF5AEB7">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主体</w:t>
                  </w:r>
                </w:p>
                <w:p w14:paraId="63F0E5A2">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工程</w:t>
                  </w:r>
                </w:p>
              </w:tc>
              <w:tc>
                <w:tcPr>
                  <w:tcW w:w="1079" w:type="dxa"/>
                  <w:tcBorders>
                    <w:top w:val="single" w:color="auto" w:sz="12" w:space="0"/>
                    <w:bottom w:val="single" w:color="auto" w:sz="4" w:space="0"/>
                  </w:tcBorders>
                  <w:noWrap w:val="0"/>
                  <w:vAlign w:val="center"/>
                </w:tcPr>
                <w:p w14:paraId="16F12D0D">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lang w:val="en-US" w:eastAsia="zh-CN"/>
                    </w:rPr>
                    <w:t>生产车间</w:t>
                  </w:r>
                </w:p>
              </w:tc>
              <w:tc>
                <w:tcPr>
                  <w:tcW w:w="2857" w:type="dxa"/>
                  <w:tcBorders>
                    <w:top w:val="single" w:color="auto" w:sz="12" w:space="0"/>
                    <w:bottom w:val="single" w:color="auto" w:sz="4" w:space="0"/>
                  </w:tcBorders>
                  <w:noWrap w:val="0"/>
                  <w:vAlign w:val="center"/>
                </w:tcPr>
                <w:p w14:paraId="30E50A9F">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lang w:eastAsia="zh-CN"/>
                    </w:rPr>
                    <w:t>建筑</w:t>
                  </w:r>
                  <w:r>
                    <w:rPr>
                      <w:rFonts w:hint="default" w:ascii="Times New Roman" w:hAnsi="Times New Roman" w:eastAsia="宋体" w:cs="Times New Roman"/>
                      <w:color w:val="auto"/>
                    </w:rPr>
                    <w:t>面积</w:t>
                  </w:r>
                  <w:r>
                    <w:rPr>
                      <w:rFonts w:hint="eastAsia" w:ascii="Times New Roman" w:hAnsi="Times New Roman" w:eastAsia="宋体" w:cs="Times New Roman"/>
                      <w:color w:val="auto"/>
                      <w:lang w:val="en-US" w:eastAsia="zh-CN"/>
                    </w:rPr>
                    <w:t>1800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eastAsia" w:ascii="Times New Roman" w:hAnsi="Times New Roman" w:eastAsia="宋体" w:cs="Times New Roman"/>
                      <w:color w:val="auto"/>
                      <w:vertAlign w:val="baseline"/>
                      <w:lang w:eastAsia="zh-CN"/>
                    </w:rPr>
                    <w:t>，</w:t>
                  </w:r>
                  <w:r>
                    <w:rPr>
                      <w:rFonts w:hint="eastAsia" w:ascii="Times New Roman" w:hAnsi="Times New Roman" w:eastAsia="宋体" w:cs="Times New Roman"/>
                      <w:color w:val="auto"/>
                      <w:vertAlign w:val="baseline"/>
                      <w:lang w:val="en-US" w:eastAsia="zh-CN"/>
                    </w:rPr>
                    <w:t>1F</w:t>
                  </w:r>
                  <w:r>
                    <w:rPr>
                      <w:rFonts w:hint="eastAsia" w:cs="Times New Roman"/>
                      <w:color w:val="auto"/>
                      <w:vertAlign w:val="baseline"/>
                      <w:lang w:val="en-US" w:eastAsia="zh-CN"/>
                    </w:rPr>
                    <w:t>：一车间</w:t>
                  </w:r>
                  <w:r>
                    <w:rPr>
                      <w:rFonts w:hint="eastAsia" w:ascii="Times New Roman" w:hAnsi="Times New Roman" w:eastAsia="宋体" w:cs="Times New Roman"/>
                      <w:color w:val="auto"/>
                      <w:vertAlign w:val="baseline"/>
                      <w:lang w:val="en-US" w:eastAsia="zh-CN"/>
                    </w:rPr>
                    <w:t>、2F</w:t>
                  </w:r>
                  <w:r>
                    <w:rPr>
                      <w:rFonts w:hint="eastAsia" w:cs="Times New Roman"/>
                      <w:color w:val="auto"/>
                      <w:vertAlign w:val="baseline"/>
                      <w:lang w:val="en-US" w:eastAsia="zh-CN"/>
                    </w:rPr>
                    <w:t>：二车间</w:t>
                  </w:r>
                </w:p>
              </w:tc>
              <w:tc>
                <w:tcPr>
                  <w:tcW w:w="3105" w:type="dxa"/>
                  <w:tcBorders>
                    <w:top w:val="single" w:color="auto" w:sz="12" w:space="0"/>
                    <w:bottom w:val="single" w:color="auto" w:sz="4" w:space="0"/>
                  </w:tcBorders>
                  <w:noWrap w:val="0"/>
                  <w:vAlign w:val="center"/>
                </w:tcPr>
                <w:p w14:paraId="4291FFCF">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lang w:eastAsia="zh-CN"/>
                    </w:rPr>
                    <w:t>建筑</w:t>
                  </w:r>
                  <w:r>
                    <w:rPr>
                      <w:rFonts w:hint="default" w:ascii="Times New Roman" w:hAnsi="Times New Roman" w:eastAsia="宋体" w:cs="Times New Roman"/>
                      <w:color w:val="auto"/>
                    </w:rPr>
                    <w:t>面积</w:t>
                  </w:r>
                  <w:r>
                    <w:rPr>
                      <w:rFonts w:hint="eastAsia" w:ascii="Times New Roman" w:hAnsi="Times New Roman" w:eastAsia="宋体" w:cs="Times New Roman"/>
                      <w:color w:val="auto"/>
                      <w:lang w:val="en-US" w:eastAsia="zh-CN"/>
                    </w:rPr>
                    <w:t>1800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eastAsia" w:ascii="Times New Roman" w:hAnsi="Times New Roman" w:eastAsia="宋体" w:cs="Times New Roman"/>
                      <w:color w:val="auto"/>
                      <w:vertAlign w:val="baseline"/>
                      <w:lang w:eastAsia="zh-CN"/>
                    </w:rPr>
                    <w:t>，</w:t>
                  </w:r>
                  <w:r>
                    <w:rPr>
                      <w:rFonts w:hint="eastAsia" w:ascii="Times New Roman" w:hAnsi="Times New Roman" w:eastAsia="宋体" w:cs="Times New Roman"/>
                      <w:color w:val="auto"/>
                      <w:vertAlign w:val="baseline"/>
                      <w:lang w:val="en-US" w:eastAsia="zh-CN"/>
                    </w:rPr>
                    <w:t>1F</w:t>
                  </w:r>
                  <w:r>
                    <w:rPr>
                      <w:rFonts w:hint="eastAsia" w:cs="Times New Roman"/>
                      <w:color w:val="auto"/>
                      <w:vertAlign w:val="baseline"/>
                      <w:lang w:val="en-US" w:eastAsia="zh-CN"/>
                    </w:rPr>
                    <w:t>：一车间</w:t>
                  </w:r>
                  <w:r>
                    <w:rPr>
                      <w:rFonts w:hint="eastAsia" w:ascii="Times New Roman" w:hAnsi="Times New Roman" w:eastAsia="宋体" w:cs="Times New Roman"/>
                      <w:color w:val="auto"/>
                      <w:vertAlign w:val="baseline"/>
                      <w:lang w:val="en-US" w:eastAsia="zh-CN"/>
                    </w:rPr>
                    <w:t>、2F</w:t>
                  </w:r>
                  <w:r>
                    <w:rPr>
                      <w:rFonts w:hint="eastAsia" w:cs="Times New Roman"/>
                      <w:color w:val="auto"/>
                      <w:vertAlign w:val="baseline"/>
                      <w:lang w:val="en-US" w:eastAsia="zh-CN"/>
                    </w:rPr>
                    <w:t>：二车间</w:t>
                  </w:r>
                </w:p>
              </w:tc>
              <w:tc>
                <w:tcPr>
                  <w:tcW w:w="2310" w:type="dxa"/>
                  <w:tcBorders>
                    <w:top w:val="single" w:color="auto" w:sz="12" w:space="0"/>
                    <w:bottom w:val="single" w:color="auto" w:sz="4" w:space="0"/>
                  </w:tcBorders>
                  <w:noWrap w:val="0"/>
                  <w:vAlign w:val="center"/>
                </w:tcPr>
                <w:p w14:paraId="66EA43E3">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未发生变动</w:t>
                  </w:r>
                </w:p>
              </w:tc>
              <w:tc>
                <w:tcPr>
                  <w:tcW w:w="2484" w:type="dxa"/>
                  <w:tcBorders>
                    <w:top w:val="single" w:color="auto" w:sz="12" w:space="0"/>
                    <w:bottom w:val="single" w:color="auto" w:sz="4" w:space="0"/>
                  </w:tcBorders>
                  <w:noWrap w:val="0"/>
                  <w:vAlign w:val="center"/>
                </w:tcPr>
                <w:p w14:paraId="0F63BD13">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FF0000"/>
                      <w:kern w:val="0"/>
                      <w:sz w:val="21"/>
                      <w:szCs w:val="21"/>
                      <w:vertAlign w:val="baseline"/>
                      <w:lang w:val="en-US" w:eastAsia="zh-CN" w:bidi="ar-SA"/>
                    </w:rPr>
                  </w:pPr>
                  <w:r>
                    <w:rPr>
                      <w:rFonts w:hint="eastAsia" w:cs="Times New Roman"/>
                      <w:color w:val="FF0000"/>
                      <w:vertAlign w:val="baseline"/>
                      <w:lang w:val="en-US" w:eastAsia="zh-CN"/>
                    </w:rPr>
                    <w:t>一车间</w:t>
                  </w:r>
                  <w:r>
                    <w:rPr>
                      <w:rFonts w:hint="eastAsia" w:ascii="Times New Roman" w:hAnsi="Times New Roman" w:eastAsia="宋体" w:cs="Times New Roman"/>
                      <w:color w:val="FF0000"/>
                      <w:vertAlign w:val="baseline"/>
                      <w:lang w:val="en-US" w:eastAsia="zh-CN"/>
                    </w:rPr>
                    <w:t>、</w:t>
                  </w:r>
                  <w:r>
                    <w:rPr>
                      <w:rFonts w:hint="eastAsia" w:cs="Times New Roman"/>
                      <w:color w:val="FF0000"/>
                      <w:vertAlign w:val="baseline"/>
                      <w:lang w:val="en-US" w:eastAsia="zh-CN"/>
                    </w:rPr>
                    <w:t>二车间</w:t>
                  </w:r>
                  <w:r>
                    <w:rPr>
                      <w:rFonts w:hint="eastAsia" w:cs="Times New Roman"/>
                      <w:color w:val="FF0000"/>
                      <w:kern w:val="0"/>
                      <w:sz w:val="21"/>
                      <w:szCs w:val="21"/>
                      <w:vertAlign w:val="baseline"/>
                      <w:lang w:val="en-US" w:eastAsia="zh-CN" w:bidi="ar-SA"/>
                    </w:rPr>
                    <w:t>满足新增产品生产线场地需求</w:t>
                  </w:r>
                </w:p>
              </w:tc>
            </w:tr>
            <w:tr w14:paraId="13F011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996" w:type="dxa"/>
                  <w:vMerge w:val="continue"/>
                  <w:noWrap w:val="0"/>
                  <w:vAlign w:val="center"/>
                </w:tcPr>
                <w:p w14:paraId="2C6C066E">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color w:val="auto"/>
                    </w:rPr>
                  </w:pPr>
                </w:p>
              </w:tc>
              <w:tc>
                <w:tcPr>
                  <w:tcW w:w="1079" w:type="dxa"/>
                  <w:tcBorders>
                    <w:top w:val="single" w:color="auto" w:sz="4" w:space="0"/>
                    <w:bottom w:val="single" w:color="auto" w:sz="4" w:space="0"/>
                  </w:tcBorders>
                  <w:noWrap w:val="0"/>
                  <w:vAlign w:val="center"/>
                </w:tcPr>
                <w:p w14:paraId="648CF732">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实验室</w:t>
                  </w:r>
                </w:p>
              </w:tc>
              <w:tc>
                <w:tcPr>
                  <w:tcW w:w="2857" w:type="dxa"/>
                  <w:tcBorders>
                    <w:top w:val="single" w:color="auto" w:sz="4" w:space="0"/>
                    <w:bottom w:val="single" w:color="auto" w:sz="4" w:space="0"/>
                  </w:tcBorders>
                  <w:noWrap w:val="0"/>
                  <w:vAlign w:val="center"/>
                </w:tcPr>
                <w:p w14:paraId="35ABA5DC">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eastAsia" w:ascii="Times New Roman" w:hAnsi="Times New Roman" w:eastAsia="宋体" w:cs="Times New Roman"/>
                      <w:color w:val="auto"/>
                      <w:vertAlign w:val="baseline"/>
                      <w:lang w:eastAsia="zh-CN"/>
                    </w:rPr>
                    <w:t>，</w:t>
                  </w:r>
                  <w:r>
                    <w:rPr>
                      <w:rFonts w:hint="eastAsia" w:ascii="Times New Roman" w:hAnsi="Times New Roman" w:eastAsia="宋体" w:cs="Times New Roman"/>
                      <w:color w:val="auto"/>
                      <w:vertAlign w:val="baseline"/>
                      <w:lang w:val="en-US" w:eastAsia="zh-CN"/>
                    </w:rPr>
                    <w:t>2F</w:t>
                  </w:r>
                </w:p>
              </w:tc>
              <w:tc>
                <w:tcPr>
                  <w:tcW w:w="3105" w:type="dxa"/>
                  <w:tcBorders>
                    <w:top w:val="single" w:color="auto" w:sz="4" w:space="0"/>
                    <w:bottom w:val="single" w:color="auto" w:sz="4" w:space="0"/>
                  </w:tcBorders>
                  <w:noWrap w:val="0"/>
                  <w:vAlign w:val="center"/>
                </w:tcPr>
                <w:p w14:paraId="5503A2F7">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eastAsia" w:ascii="Times New Roman" w:hAnsi="Times New Roman" w:eastAsia="宋体" w:cs="Times New Roman"/>
                      <w:color w:val="auto"/>
                      <w:vertAlign w:val="baseline"/>
                      <w:lang w:eastAsia="zh-CN"/>
                    </w:rPr>
                    <w:t>，</w:t>
                  </w:r>
                  <w:r>
                    <w:rPr>
                      <w:rFonts w:hint="eastAsia" w:ascii="Times New Roman" w:hAnsi="Times New Roman" w:eastAsia="宋体" w:cs="Times New Roman"/>
                      <w:color w:val="auto"/>
                      <w:vertAlign w:val="baseline"/>
                      <w:lang w:val="en-US" w:eastAsia="zh-CN"/>
                    </w:rPr>
                    <w:t>2F</w:t>
                  </w:r>
                </w:p>
              </w:tc>
              <w:tc>
                <w:tcPr>
                  <w:tcW w:w="2310" w:type="dxa"/>
                  <w:tcBorders>
                    <w:top w:val="single" w:color="auto" w:sz="4" w:space="0"/>
                    <w:bottom w:val="single" w:color="auto" w:sz="4" w:space="0"/>
                  </w:tcBorders>
                  <w:noWrap w:val="0"/>
                  <w:vAlign w:val="center"/>
                </w:tcPr>
                <w:p w14:paraId="28C901A7">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kern w:val="0"/>
                      <w:sz w:val="21"/>
                      <w:szCs w:val="21"/>
                      <w:vertAlign w:val="baseline"/>
                      <w:lang w:val="en-US" w:eastAsia="zh-CN" w:bidi="ar-SA"/>
                    </w:rPr>
                    <w:t>未发生变动</w:t>
                  </w:r>
                </w:p>
              </w:tc>
              <w:tc>
                <w:tcPr>
                  <w:tcW w:w="2484" w:type="dxa"/>
                  <w:tcBorders>
                    <w:top w:val="single" w:color="auto" w:sz="4" w:space="0"/>
                    <w:bottom w:val="single" w:color="auto" w:sz="4" w:space="0"/>
                  </w:tcBorders>
                  <w:noWrap w:val="0"/>
                  <w:vAlign w:val="center"/>
                </w:tcPr>
                <w:p w14:paraId="55280848">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FF0000"/>
                      <w:lang w:val="en-US" w:eastAsia="zh-CN"/>
                    </w:rPr>
                  </w:pPr>
                  <w:r>
                    <w:rPr>
                      <w:rFonts w:hint="eastAsia" w:cs="Times New Roman"/>
                      <w:color w:val="FF0000"/>
                      <w:kern w:val="0"/>
                      <w:sz w:val="21"/>
                      <w:szCs w:val="21"/>
                      <w:vertAlign w:val="baseline"/>
                      <w:lang w:val="en-US" w:eastAsia="zh-CN" w:bidi="ar-SA"/>
                    </w:rPr>
                    <w:t>满足本次变动后需求</w:t>
                  </w:r>
                </w:p>
              </w:tc>
            </w:tr>
            <w:tr w14:paraId="6AAC3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996" w:type="dxa"/>
                  <w:vMerge w:val="continue"/>
                  <w:noWrap w:val="0"/>
                  <w:vAlign w:val="center"/>
                </w:tcPr>
                <w:p w14:paraId="07BA1133">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lang w:val="en-US" w:eastAsia="zh-CN"/>
                    </w:rPr>
                  </w:pPr>
                </w:p>
              </w:tc>
              <w:tc>
                <w:tcPr>
                  <w:tcW w:w="1079" w:type="dxa"/>
                  <w:tcBorders>
                    <w:top w:val="single" w:color="auto" w:sz="4" w:space="0"/>
                  </w:tcBorders>
                  <w:noWrap w:val="0"/>
                  <w:vAlign w:val="center"/>
                </w:tcPr>
                <w:p w14:paraId="7E6B5DA4">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办公区</w:t>
                  </w:r>
                </w:p>
              </w:tc>
              <w:tc>
                <w:tcPr>
                  <w:tcW w:w="2857" w:type="dxa"/>
                  <w:tcBorders>
                    <w:top w:val="single" w:color="auto" w:sz="4" w:space="0"/>
                  </w:tcBorders>
                  <w:noWrap w:val="0"/>
                  <w:vAlign w:val="center"/>
                </w:tcPr>
                <w:p w14:paraId="16035FEA">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建筑面积</w:t>
                  </w:r>
                  <w:r>
                    <w:rPr>
                      <w:rFonts w:hint="eastAsia" w:ascii="Times New Roman" w:hAnsi="Times New Roman" w:eastAsia="宋体" w:cs="Times New Roman"/>
                      <w:color w:val="auto"/>
                      <w:lang w:val="en-US" w:eastAsia="zh-CN"/>
                    </w:rPr>
                    <w:t>260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eastAsia" w:ascii="Times New Roman" w:hAnsi="Times New Roman" w:eastAsia="宋体" w:cs="Times New Roman"/>
                      <w:color w:val="auto"/>
                      <w:vertAlign w:val="baseline"/>
                      <w:lang w:eastAsia="zh-CN"/>
                    </w:rPr>
                    <w:t>，</w:t>
                  </w:r>
                  <w:r>
                    <w:rPr>
                      <w:rFonts w:hint="eastAsia" w:ascii="Times New Roman" w:hAnsi="Times New Roman" w:eastAsia="宋体" w:cs="Times New Roman"/>
                      <w:color w:val="auto"/>
                      <w:vertAlign w:val="baseline"/>
                      <w:lang w:val="en-US" w:eastAsia="zh-CN"/>
                    </w:rPr>
                    <w:t>2F</w:t>
                  </w:r>
                </w:p>
              </w:tc>
              <w:tc>
                <w:tcPr>
                  <w:tcW w:w="3105" w:type="dxa"/>
                  <w:tcBorders>
                    <w:top w:val="single" w:color="auto" w:sz="4" w:space="0"/>
                  </w:tcBorders>
                  <w:noWrap w:val="0"/>
                  <w:vAlign w:val="center"/>
                </w:tcPr>
                <w:p w14:paraId="535CC99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建筑面积</w:t>
                  </w:r>
                  <w:r>
                    <w:rPr>
                      <w:rFonts w:hint="eastAsia" w:ascii="Times New Roman" w:hAnsi="Times New Roman" w:eastAsia="宋体" w:cs="Times New Roman"/>
                      <w:color w:val="auto"/>
                      <w:lang w:val="en-US" w:eastAsia="zh-CN"/>
                    </w:rPr>
                    <w:t>260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eastAsia" w:ascii="Times New Roman" w:hAnsi="Times New Roman" w:eastAsia="宋体" w:cs="Times New Roman"/>
                      <w:color w:val="auto"/>
                      <w:vertAlign w:val="baseline"/>
                      <w:lang w:eastAsia="zh-CN"/>
                    </w:rPr>
                    <w:t>，</w:t>
                  </w:r>
                  <w:r>
                    <w:rPr>
                      <w:rFonts w:hint="eastAsia" w:ascii="Times New Roman" w:hAnsi="Times New Roman" w:eastAsia="宋体" w:cs="Times New Roman"/>
                      <w:color w:val="auto"/>
                      <w:vertAlign w:val="baseline"/>
                      <w:lang w:val="en-US" w:eastAsia="zh-CN"/>
                    </w:rPr>
                    <w:t>2F</w:t>
                  </w:r>
                </w:p>
              </w:tc>
              <w:tc>
                <w:tcPr>
                  <w:tcW w:w="2310" w:type="dxa"/>
                  <w:tcBorders>
                    <w:top w:val="single" w:color="auto" w:sz="4" w:space="0"/>
                  </w:tcBorders>
                  <w:noWrap w:val="0"/>
                  <w:vAlign w:val="center"/>
                </w:tcPr>
                <w:p w14:paraId="354775CD">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kern w:val="0"/>
                      <w:sz w:val="21"/>
                      <w:szCs w:val="21"/>
                      <w:vertAlign w:val="baseline"/>
                      <w:lang w:val="en-US" w:eastAsia="zh-CN" w:bidi="ar-SA"/>
                    </w:rPr>
                    <w:t>未发生变动</w:t>
                  </w:r>
                </w:p>
              </w:tc>
              <w:tc>
                <w:tcPr>
                  <w:tcW w:w="2484" w:type="dxa"/>
                  <w:tcBorders>
                    <w:top w:val="single" w:color="auto" w:sz="4" w:space="0"/>
                  </w:tcBorders>
                  <w:noWrap w:val="0"/>
                  <w:vAlign w:val="center"/>
                </w:tcPr>
                <w:p w14:paraId="4979C2E1">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FF0000"/>
                      <w:lang w:val="en-US" w:eastAsia="zh-CN"/>
                    </w:rPr>
                  </w:pPr>
                  <w:r>
                    <w:rPr>
                      <w:rFonts w:hint="eastAsia" w:cs="Times New Roman"/>
                      <w:color w:val="FF0000"/>
                      <w:kern w:val="0"/>
                      <w:sz w:val="21"/>
                      <w:szCs w:val="21"/>
                      <w:vertAlign w:val="baseline"/>
                      <w:lang w:val="en-US" w:eastAsia="zh-CN" w:bidi="ar-SA"/>
                    </w:rPr>
                    <w:t>满足本次变动后需求</w:t>
                  </w:r>
                </w:p>
              </w:tc>
            </w:tr>
            <w:tr w14:paraId="103C8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6" w:type="dxa"/>
                  <w:tcBorders>
                    <w:tl2br w:val="nil"/>
                    <w:tr2bl w:val="nil"/>
                  </w:tcBorders>
                  <w:noWrap w:val="0"/>
                  <w:vAlign w:val="center"/>
                </w:tcPr>
                <w:p w14:paraId="66F7C068">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储运</w:t>
                  </w:r>
                </w:p>
                <w:p w14:paraId="042BE4A2">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工程</w:t>
                  </w:r>
                </w:p>
              </w:tc>
              <w:tc>
                <w:tcPr>
                  <w:tcW w:w="1079" w:type="dxa"/>
                  <w:tcBorders>
                    <w:tl2br w:val="nil"/>
                    <w:tr2bl w:val="nil"/>
                  </w:tcBorders>
                  <w:noWrap w:val="0"/>
                  <w:vAlign w:val="center"/>
                </w:tcPr>
                <w:p w14:paraId="5ED09CC6">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lang w:val="en-US" w:eastAsia="zh-CN"/>
                    </w:rPr>
                    <w:t>仓库区</w:t>
                  </w:r>
                </w:p>
              </w:tc>
              <w:tc>
                <w:tcPr>
                  <w:tcW w:w="2857" w:type="dxa"/>
                  <w:tcBorders>
                    <w:tl2br w:val="nil"/>
                    <w:tr2bl w:val="nil"/>
                  </w:tcBorders>
                  <w:noWrap w:val="0"/>
                  <w:vAlign w:val="center"/>
                </w:tcPr>
                <w:p w14:paraId="0D7918AE">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lang w:eastAsia="zh-CN"/>
                    </w:rPr>
                    <w:t>建筑</w:t>
                  </w:r>
                  <w:r>
                    <w:rPr>
                      <w:rFonts w:hint="default" w:ascii="Times New Roman" w:hAnsi="Times New Roman" w:eastAsia="宋体" w:cs="Times New Roman"/>
                      <w:color w:val="auto"/>
                    </w:rPr>
                    <w:t>面积</w:t>
                  </w:r>
                  <w:r>
                    <w:rPr>
                      <w:rFonts w:hint="eastAsia" w:ascii="Times New Roman" w:hAnsi="Times New Roman" w:eastAsia="宋体" w:cs="Times New Roman"/>
                      <w:color w:val="auto"/>
                      <w:lang w:val="en-US" w:eastAsia="zh-CN"/>
                    </w:rPr>
                    <w:t>500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eastAsia" w:ascii="Times New Roman" w:hAnsi="Times New Roman" w:eastAsia="宋体" w:cs="Times New Roman"/>
                      <w:color w:val="auto"/>
                      <w:vertAlign w:val="baseline"/>
                      <w:lang w:eastAsia="zh-CN"/>
                    </w:rPr>
                    <w:t>（</w:t>
                  </w:r>
                  <w:r>
                    <w:rPr>
                      <w:rFonts w:hint="eastAsia" w:ascii="Times New Roman" w:hAnsi="Times New Roman" w:eastAsia="宋体" w:cs="Times New Roman"/>
                      <w:color w:val="auto"/>
                      <w:vertAlign w:val="baseline"/>
                      <w:lang w:val="en-US" w:eastAsia="zh-CN"/>
                    </w:rPr>
                    <w:t>包含原料区、成品区</w:t>
                  </w:r>
                  <w:r>
                    <w:rPr>
                      <w:rFonts w:hint="eastAsia" w:ascii="Times New Roman" w:hAnsi="Times New Roman" w:eastAsia="宋体" w:cs="Times New Roman"/>
                      <w:color w:val="auto"/>
                      <w:vertAlign w:val="baseline"/>
                      <w:lang w:eastAsia="zh-CN"/>
                    </w:rPr>
                    <w:t>）</w:t>
                  </w:r>
                </w:p>
              </w:tc>
              <w:tc>
                <w:tcPr>
                  <w:tcW w:w="3105" w:type="dxa"/>
                  <w:tcBorders>
                    <w:tl2br w:val="nil"/>
                    <w:tr2bl w:val="nil"/>
                  </w:tcBorders>
                  <w:noWrap w:val="0"/>
                  <w:vAlign w:val="center"/>
                </w:tcPr>
                <w:p w14:paraId="3DB365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lang w:eastAsia="zh-CN"/>
                    </w:rPr>
                    <w:t>建筑</w:t>
                  </w:r>
                  <w:r>
                    <w:rPr>
                      <w:rFonts w:hint="default" w:ascii="Times New Roman" w:hAnsi="Times New Roman" w:eastAsia="宋体" w:cs="Times New Roman"/>
                      <w:color w:val="auto"/>
                    </w:rPr>
                    <w:t>面积</w:t>
                  </w:r>
                  <w:r>
                    <w:rPr>
                      <w:rFonts w:hint="eastAsia" w:ascii="Times New Roman" w:hAnsi="Times New Roman" w:eastAsia="宋体" w:cs="Times New Roman"/>
                      <w:color w:val="auto"/>
                      <w:lang w:val="en-US" w:eastAsia="zh-CN"/>
                    </w:rPr>
                    <w:t>500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eastAsia" w:ascii="Times New Roman" w:hAnsi="Times New Roman" w:eastAsia="宋体" w:cs="Times New Roman"/>
                      <w:color w:val="auto"/>
                      <w:vertAlign w:val="baseline"/>
                      <w:lang w:eastAsia="zh-CN"/>
                    </w:rPr>
                    <w:t>（</w:t>
                  </w:r>
                  <w:r>
                    <w:rPr>
                      <w:rFonts w:hint="eastAsia" w:ascii="Times New Roman" w:hAnsi="Times New Roman" w:eastAsia="宋体" w:cs="Times New Roman"/>
                      <w:color w:val="auto"/>
                      <w:vertAlign w:val="baseline"/>
                      <w:lang w:val="en-US" w:eastAsia="zh-CN"/>
                    </w:rPr>
                    <w:t>包含原料区、成品区</w:t>
                  </w:r>
                  <w:r>
                    <w:rPr>
                      <w:rFonts w:hint="eastAsia" w:ascii="Times New Roman" w:hAnsi="Times New Roman" w:eastAsia="宋体" w:cs="Times New Roman"/>
                      <w:color w:val="auto"/>
                      <w:vertAlign w:val="baseline"/>
                      <w:lang w:eastAsia="zh-CN"/>
                    </w:rPr>
                    <w:t>）</w:t>
                  </w:r>
                </w:p>
              </w:tc>
              <w:tc>
                <w:tcPr>
                  <w:tcW w:w="2310" w:type="dxa"/>
                  <w:tcBorders>
                    <w:tl2br w:val="nil"/>
                    <w:tr2bl w:val="nil"/>
                  </w:tcBorders>
                  <w:noWrap w:val="0"/>
                  <w:vAlign w:val="center"/>
                </w:tcPr>
                <w:p w14:paraId="00A02625">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eastAsia"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未发生变动</w:t>
                  </w:r>
                </w:p>
              </w:tc>
              <w:tc>
                <w:tcPr>
                  <w:tcW w:w="2484" w:type="dxa"/>
                  <w:tcBorders>
                    <w:tl2br w:val="nil"/>
                    <w:tr2bl w:val="nil"/>
                  </w:tcBorders>
                  <w:noWrap w:val="0"/>
                  <w:vAlign w:val="center"/>
                </w:tcPr>
                <w:p w14:paraId="1E8EC38E">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eastAsia" w:cs="Times New Roman"/>
                      <w:color w:val="FF0000"/>
                      <w:kern w:val="0"/>
                      <w:sz w:val="21"/>
                      <w:szCs w:val="21"/>
                      <w:vertAlign w:val="baseline"/>
                      <w:lang w:val="en-US" w:eastAsia="zh-CN" w:bidi="ar-SA"/>
                    </w:rPr>
                  </w:pPr>
                  <w:r>
                    <w:rPr>
                      <w:rFonts w:hint="eastAsia" w:cs="Times New Roman"/>
                      <w:color w:val="FF0000"/>
                      <w:kern w:val="0"/>
                      <w:sz w:val="21"/>
                      <w:szCs w:val="21"/>
                      <w:vertAlign w:val="baseline"/>
                      <w:lang w:val="en-US" w:eastAsia="zh-CN" w:bidi="ar-SA"/>
                    </w:rPr>
                    <w:t>满足本次变动后需求</w:t>
                  </w:r>
                </w:p>
              </w:tc>
            </w:tr>
            <w:tr w14:paraId="02A48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6" w:type="dxa"/>
                  <w:vMerge w:val="restart"/>
                  <w:tcBorders>
                    <w:tl2br w:val="nil"/>
                    <w:tr2bl w:val="nil"/>
                  </w:tcBorders>
                  <w:noWrap w:val="0"/>
                  <w:vAlign w:val="center"/>
                </w:tcPr>
                <w:p w14:paraId="5C2BED06">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公用</w:t>
                  </w:r>
                </w:p>
                <w:p w14:paraId="5AB4CCD9">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工程</w:t>
                  </w:r>
                </w:p>
              </w:tc>
              <w:tc>
                <w:tcPr>
                  <w:tcW w:w="1079" w:type="dxa"/>
                  <w:tcBorders>
                    <w:tl2br w:val="nil"/>
                    <w:tr2bl w:val="nil"/>
                  </w:tcBorders>
                  <w:noWrap w:val="0"/>
                  <w:vAlign w:val="center"/>
                </w:tcPr>
                <w:p w14:paraId="4A1FB8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rPr>
                    <w:t>给水</w:t>
                  </w:r>
                </w:p>
              </w:tc>
              <w:tc>
                <w:tcPr>
                  <w:tcW w:w="2857" w:type="dxa"/>
                  <w:tcBorders>
                    <w:tl2br w:val="nil"/>
                    <w:tr2bl w:val="nil"/>
                  </w:tcBorders>
                  <w:noWrap w:val="0"/>
                  <w:vAlign w:val="center"/>
                </w:tcPr>
                <w:p w14:paraId="7D829D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rPr>
                    <w:t>市政供水</w:t>
                  </w:r>
                </w:p>
              </w:tc>
              <w:tc>
                <w:tcPr>
                  <w:tcW w:w="3105" w:type="dxa"/>
                  <w:tcBorders>
                    <w:tl2br w:val="nil"/>
                    <w:tr2bl w:val="nil"/>
                  </w:tcBorders>
                  <w:noWrap w:val="0"/>
                  <w:vAlign w:val="center"/>
                </w:tcPr>
                <w:p w14:paraId="12A8662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rPr>
                    <w:t>市政供水</w:t>
                  </w:r>
                </w:p>
              </w:tc>
              <w:tc>
                <w:tcPr>
                  <w:tcW w:w="2310" w:type="dxa"/>
                  <w:tcBorders>
                    <w:tl2br w:val="nil"/>
                    <w:tr2bl w:val="nil"/>
                  </w:tcBorders>
                  <w:noWrap w:val="0"/>
                  <w:vAlign w:val="center"/>
                </w:tcPr>
                <w:p w14:paraId="1AC85103">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未发生变动</w:t>
                  </w:r>
                </w:p>
              </w:tc>
              <w:tc>
                <w:tcPr>
                  <w:tcW w:w="2484" w:type="dxa"/>
                  <w:tcBorders>
                    <w:tl2br w:val="nil"/>
                    <w:tr2bl w:val="nil"/>
                  </w:tcBorders>
                  <w:noWrap w:val="0"/>
                  <w:vAlign w:val="center"/>
                </w:tcPr>
                <w:p w14:paraId="1FDBEBF5">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FF0000"/>
                      <w:kern w:val="0"/>
                      <w:sz w:val="21"/>
                      <w:szCs w:val="21"/>
                      <w:vertAlign w:val="baseline"/>
                      <w:lang w:val="en-US" w:eastAsia="zh-CN" w:bidi="ar-SA"/>
                    </w:rPr>
                  </w:pPr>
                  <w:r>
                    <w:rPr>
                      <w:rFonts w:hint="eastAsia" w:cs="Times New Roman"/>
                      <w:color w:val="FF0000"/>
                      <w:kern w:val="0"/>
                      <w:sz w:val="21"/>
                      <w:szCs w:val="21"/>
                      <w:vertAlign w:val="baseline"/>
                      <w:lang w:val="en-US" w:eastAsia="zh-CN" w:bidi="ar-SA"/>
                    </w:rPr>
                    <w:t>满足本次变动后需求</w:t>
                  </w:r>
                </w:p>
              </w:tc>
            </w:tr>
            <w:tr w14:paraId="2926B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6" w:type="dxa"/>
                  <w:vMerge w:val="continue"/>
                  <w:tcBorders>
                    <w:tl2br w:val="nil"/>
                    <w:tr2bl w:val="nil"/>
                  </w:tcBorders>
                  <w:noWrap w:val="0"/>
                  <w:vAlign w:val="center"/>
                </w:tcPr>
                <w:p w14:paraId="6A1B64E1">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79" w:type="dxa"/>
                  <w:tcBorders>
                    <w:tl2br w:val="nil"/>
                    <w:tr2bl w:val="nil"/>
                  </w:tcBorders>
                  <w:noWrap w:val="0"/>
                  <w:vAlign w:val="center"/>
                </w:tcPr>
                <w:p w14:paraId="32A4F0B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排水</w:t>
                  </w:r>
                </w:p>
              </w:tc>
              <w:tc>
                <w:tcPr>
                  <w:tcW w:w="2857" w:type="dxa"/>
                  <w:tcBorders>
                    <w:tl2br w:val="nil"/>
                    <w:tr2bl w:val="nil"/>
                  </w:tcBorders>
                  <w:noWrap w:val="0"/>
                  <w:vAlign w:val="center"/>
                </w:tcPr>
                <w:p w14:paraId="7385071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rPr>
                    <w:t>厂区采用雨污分流系统，雨水通过雨水</w:t>
                  </w:r>
                  <w:r>
                    <w:rPr>
                      <w:rFonts w:hint="default" w:ascii="Times New Roman" w:hAnsi="Times New Roman" w:eastAsia="宋体" w:cs="Times New Roman"/>
                      <w:color w:val="auto"/>
                    </w:rPr>
                    <w:t>管网直接排放</w:t>
                  </w:r>
                  <w:r>
                    <w:rPr>
                      <w:rFonts w:hint="eastAsia" w:ascii="Times New Roman" w:hAnsi="Times New Roman" w:eastAsia="宋体" w:cs="Times New Roman"/>
                      <w:color w:val="auto"/>
                    </w:rPr>
                    <w:t>；</w:t>
                  </w:r>
                  <w:r>
                    <w:rPr>
                      <w:rFonts w:hint="eastAsia" w:ascii="Times New Roman" w:hAnsi="Times New Roman" w:eastAsia="宋体" w:cs="Times New Roman"/>
                      <w:color w:val="auto"/>
                      <w:lang w:eastAsia="zh-CN"/>
                    </w:rPr>
                    <w:t>生活污水及生产废水经化粪池处理后与浓水一同经园区污水管网排入庐山工业园污水处理厂</w:t>
                  </w:r>
                  <w:r>
                    <w:rPr>
                      <w:rFonts w:hint="default" w:ascii="Times New Roman" w:hAnsi="Times New Roman" w:eastAsia="宋体" w:cs="Times New Roman"/>
                      <w:color w:val="auto"/>
                    </w:rPr>
                    <w:t>，经处理后达到《城镇污水处理厂污染物排放标准》（GB18918-2002）中一级</w:t>
                  </w:r>
                  <w:r>
                    <w:rPr>
                      <w:rFonts w:hint="eastAsia" w:ascii="Times New Roman" w:hAnsi="Times New Roman" w:eastAsia="宋体" w:cs="Times New Roman"/>
                      <w:color w:val="auto"/>
                      <w:lang w:val="en-US" w:eastAsia="zh-CN"/>
                    </w:rPr>
                    <w:t>A</w:t>
                  </w:r>
                  <w:r>
                    <w:rPr>
                      <w:rFonts w:hint="default" w:ascii="Times New Roman" w:hAnsi="Times New Roman" w:eastAsia="宋体" w:cs="Times New Roman"/>
                      <w:color w:val="auto"/>
                    </w:rPr>
                    <w:t>标准</w:t>
                  </w:r>
                  <w:r>
                    <w:rPr>
                      <w:rFonts w:hint="default" w:ascii="Times New Roman" w:hAnsi="Times New Roman" w:eastAsia="宋体" w:cs="Times New Roman"/>
                      <w:color w:val="auto"/>
                      <w:lang w:eastAsia="zh-CN"/>
                    </w:rPr>
                    <w:t>外排</w:t>
                  </w:r>
                  <w:r>
                    <w:rPr>
                      <w:rFonts w:hint="eastAsia" w:ascii="Times New Roman" w:hAnsi="Times New Roman" w:eastAsia="宋体" w:cs="Times New Roman"/>
                      <w:color w:val="auto"/>
                      <w:lang w:eastAsia="zh-CN"/>
                    </w:rPr>
                    <w:t>。</w:t>
                  </w:r>
                </w:p>
              </w:tc>
              <w:tc>
                <w:tcPr>
                  <w:tcW w:w="3105" w:type="dxa"/>
                  <w:tcBorders>
                    <w:tl2br w:val="nil"/>
                    <w:tr2bl w:val="nil"/>
                  </w:tcBorders>
                  <w:noWrap w:val="0"/>
                  <w:vAlign w:val="center"/>
                </w:tcPr>
                <w:p w14:paraId="05485C5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厂区采用雨污分流系统，雨水通过雨水</w:t>
                  </w:r>
                  <w:r>
                    <w:rPr>
                      <w:rFonts w:hint="default" w:ascii="Times New Roman" w:hAnsi="Times New Roman" w:eastAsia="宋体" w:cs="Times New Roman"/>
                      <w:color w:val="auto"/>
                    </w:rPr>
                    <w:t>管网直接排放</w:t>
                  </w:r>
                  <w:r>
                    <w:rPr>
                      <w:rFonts w:hint="eastAsia" w:ascii="Times New Roman" w:hAnsi="Times New Roman" w:eastAsia="宋体" w:cs="Times New Roman"/>
                      <w:color w:val="auto"/>
                    </w:rPr>
                    <w:t>；</w:t>
                  </w:r>
                  <w:r>
                    <w:rPr>
                      <w:rFonts w:hint="eastAsia" w:ascii="Times New Roman" w:hAnsi="Times New Roman" w:eastAsia="宋体" w:cs="Times New Roman"/>
                      <w:color w:val="auto"/>
                      <w:lang w:eastAsia="zh-CN"/>
                    </w:rPr>
                    <w:t>生活污水及生产废水经化粪池处理后与</w:t>
                  </w:r>
                  <w:r>
                    <w:rPr>
                      <w:rFonts w:hint="eastAsia" w:ascii="Times New Roman" w:hAnsi="Times New Roman" w:eastAsia="宋体" w:cs="Times New Roman"/>
                      <w:color w:val="auto"/>
                      <w:lang w:val="en-US" w:eastAsia="zh-CN"/>
                    </w:rPr>
                    <w:t>纯水制备</w:t>
                  </w:r>
                  <w:r>
                    <w:rPr>
                      <w:rFonts w:hint="eastAsia" w:ascii="Times New Roman" w:hAnsi="Times New Roman" w:eastAsia="宋体" w:cs="Times New Roman"/>
                      <w:color w:val="auto"/>
                      <w:lang w:eastAsia="zh-CN"/>
                    </w:rPr>
                    <w:t>浓水一同经园区污水管网排入庐山工业园污水处理厂</w:t>
                  </w:r>
                  <w:r>
                    <w:rPr>
                      <w:rFonts w:hint="default" w:ascii="Times New Roman" w:hAnsi="Times New Roman" w:eastAsia="宋体" w:cs="Times New Roman"/>
                      <w:color w:val="auto"/>
                    </w:rPr>
                    <w:t>，经处理后达到《城镇污水处理厂污染物排放标准》（GB18918-2002）中一级</w:t>
                  </w:r>
                  <w:r>
                    <w:rPr>
                      <w:rFonts w:hint="eastAsia" w:ascii="Times New Roman" w:hAnsi="Times New Roman" w:eastAsia="宋体" w:cs="Times New Roman"/>
                      <w:color w:val="auto"/>
                      <w:lang w:val="en-US" w:eastAsia="zh-CN"/>
                    </w:rPr>
                    <w:t>A</w:t>
                  </w:r>
                  <w:r>
                    <w:rPr>
                      <w:rFonts w:hint="default" w:ascii="Times New Roman" w:hAnsi="Times New Roman" w:eastAsia="宋体" w:cs="Times New Roman"/>
                      <w:color w:val="auto"/>
                    </w:rPr>
                    <w:t>标准</w:t>
                  </w:r>
                  <w:r>
                    <w:rPr>
                      <w:rFonts w:hint="default" w:ascii="Times New Roman" w:hAnsi="Times New Roman" w:eastAsia="宋体" w:cs="Times New Roman"/>
                      <w:color w:val="auto"/>
                      <w:lang w:eastAsia="zh-CN"/>
                    </w:rPr>
                    <w:t>外排</w:t>
                  </w:r>
                  <w:r>
                    <w:rPr>
                      <w:rFonts w:hint="eastAsia" w:ascii="Times New Roman" w:hAnsi="Times New Roman" w:eastAsia="宋体" w:cs="Times New Roman"/>
                      <w:color w:val="auto"/>
                      <w:lang w:eastAsia="zh-CN"/>
                    </w:rPr>
                    <w:t>。</w:t>
                  </w:r>
                </w:p>
              </w:tc>
              <w:tc>
                <w:tcPr>
                  <w:tcW w:w="2310" w:type="dxa"/>
                  <w:tcBorders>
                    <w:tl2br w:val="nil"/>
                    <w:tr2bl w:val="nil"/>
                  </w:tcBorders>
                  <w:noWrap w:val="0"/>
                  <w:vAlign w:val="center"/>
                </w:tcPr>
                <w:p w14:paraId="761D58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设备清洗废水经</w:t>
                  </w:r>
                  <w:r>
                    <w:rPr>
                      <w:rFonts w:hint="eastAsia" w:cs="Times New Roman"/>
                      <w:color w:val="auto"/>
                      <w:lang w:val="en-US" w:eastAsia="zh-CN"/>
                    </w:rPr>
                    <w:t>沉淀池</w:t>
                  </w:r>
                  <w:r>
                    <w:rPr>
                      <w:rFonts w:hint="eastAsia" w:ascii="Times New Roman" w:hAnsi="Times New Roman" w:eastAsia="宋体" w:cs="Times New Roman"/>
                      <w:color w:val="auto"/>
                      <w:lang w:val="en-US" w:eastAsia="zh-CN"/>
                    </w:rPr>
                    <w:t>+化粪池预处理后排入园区污水处理厂</w:t>
                  </w:r>
                </w:p>
              </w:tc>
              <w:tc>
                <w:tcPr>
                  <w:tcW w:w="2484" w:type="dxa"/>
                  <w:tcBorders>
                    <w:tl2br w:val="nil"/>
                    <w:tr2bl w:val="nil"/>
                  </w:tcBorders>
                  <w:noWrap w:val="0"/>
                  <w:vAlign w:val="center"/>
                </w:tcPr>
                <w:p w14:paraId="6A05FA52">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eastAsia" w:ascii="Times New Roman" w:hAnsi="Times New Roman" w:eastAsia="宋体" w:cs="Times New Roman"/>
                      <w:color w:val="FF0000"/>
                      <w:kern w:val="0"/>
                      <w:sz w:val="21"/>
                      <w:szCs w:val="21"/>
                      <w:vertAlign w:val="baseline"/>
                      <w:lang w:val="en-US" w:eastAsia="zh-CN" w:bidi="ar-SA"/>
                    </w:rPr>
                  </w:pPr>
                  <w:r>
                    <w:rPr>
                      <w:rFonts w:hint="eastAsia" w:cs="Times New Roman"/>
                      <w:color w:val="FF0000"/>
                      <w:kern w:val="0"/>
                      <w:sz w:val="21"/>
                      <w:szCs w:val="21"/>
                      <w:vertAlign w:val="baseline"/>
                      <w:lang w:val="en-US" w:eastAsia="zh-CN" w:bidi="ar-SA"/>
                    </w:rPr>
                    <w:t>增加了沉淀池后可满足本次变动后需求</w:t>
                  </w:r>
                </w:p>
              </w:tc>
            </w:tr>
            <w:tr w14:paraId="273A9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dxa"/>
                  <w:vMerge w:val="continue"/>
                  <w:tcBorders>
                    <w:tl2br w:val="nil"/>
                    <w:tr2bl w:val="nil"/>
                  </w:tcBorders>
                  <w:noWrap w:val="0"/>
                  <w:vAlign w:val="center"/>
                </w:tcPr>
                <w:p w14:paraId="6D3A50F8">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79" w:type="dxa"/>
                  <w:tcBorders>
                    <w:tl2br w:val="nil"/>
                    <w:tr2bl w:val="nil"/>
                  </w:tcBorders>
                  <w:noWrap w:val="0"/>
                  <w:vAlign w:val="center"/>
                </w:tcPr>
                <w:p w14:paraId="6C3A2C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cs="Times New Roman"/>
                      <w:color w:val="auto"/>
                    </w:rPr>
                    <w:t>供电</w:t>
                  </w:r>
                </w:p>
              </w:tc>
              <w:tc>
                <w:tcPr>
                  <w:tcW w:w="2857" w:type="dxa"/>
                  <w:tcBorders>
                    <w:tl2br w:val="nil"/>
                    <w:tr2bl w:val="nil"/>
                  </w:tcBorders>
                  <w:noWrap w:val="0"/>
                  <w:vAlign w:val="center"/>
                </w:tcPr>
                <w:p w14:paraId="6E2F0B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cs="Times New Roman"/>
                      <w:color w:val="auto"/>
                      <w:lang w:eastAsia="zh-CN"/>
                    </w:rPr>
                    <w:t>园区电网</w:t>
                  </w:r>
                  <w:r>
                    <w:rPr>
                      <w:rFonts w:hint="default" w:ascii="Times New Roman" w:hAnsi="Times New Roman" w:cs="Times New Roman"/>
                      <w:color w:val="auto"/>
                    </w:rPr>
                    <w:t>供电</w:t>
                  </w:r>
                </w:p>
              </w:tc>
              <w:tc>
                <w:tcPr>
                  <w:tcW w:w="3105" w:type="dxa"/>
                  <w:tcBorders>
                    <w:tl2br w:val="nil"/>
                    <w:tr2bl w:val="nil"/>
                  </w:tcBorders>
                  <w:noWrap w:val="0"/>
                  <w:vAlign w:val="center"/>
                </w:tcPr>
                <w:p w14:paraId="124107F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园区电网</w:t>
                  </w:r>
                  <w:r>
                    <w:rPr>
                      <w:rFonts w:hint="default" w:ascii="Times New Roman" w:hAnsi="Times New Roman" w:eastAsia="宋体" w:cs="Times New Roman"/>
                      <w:color w:val="auto"/>
                    </w:rPr>
                    <w:t>供电</w:t>
                  </w:r>
                </w:p>
              </w:tc>
              <w:tc>
                <w:tcPr>
                  <w:tcW w:w="2310" w:type="dxa"/>
                  <w:tcBorders>
                    <w:tl2br w:val="nil"/>
                    <w:tr2bl w:val="nil"/>
                  </w:tcBorders>
                  <w:noWrap w:val="0"/>
                  <w:vAlign w:val="center"/>
                </w:tcPr>
                <w:p w14:paraId="1E05777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未发生变动</w:t>
                  </w:r>
                </w:p>
              </w:tc>
              <w:tc>
                <w:tcPr>
                  <w:tcW w:w="2484" w:type="dxa"/>
                  <w:tcBorders>
                    <w:tl2br w:val="nil"/>
                    <w:tr2bl w:val="nil"/>
                  </w:tcBorders>
                  <w:noWrap w:val="0"/>
                  <w:vAlign w:val="center"/>
                </w:tcPr>
                <w:p w14:paraId="4FDA7547">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FF0000"/>
                      <w:kern w:val="0"/>
                      <w:sz w:val="21"/>
                      <w:szCs w:val="21"/>
                      <w:vertAlign w:val="baseline"/>
                      <w:lang w:val="en-US" w:eastAsia="zh-CN" w:bidi="ar-SA"/>
                    </w:rPr>
                  </w:pPr>
                  <w:r>
                    <w:rPr>
                      <w:rFonts w:hint="eastAsia" w:cs="Times New Roman"/>
                      <w:color w:val="FF0000"/>
                      <w:kern w:val="0"/>
                      <w:sz w:val="21"/>
                      <w:szCs w:val="21"/>
                      <w:vertAlign w:val="baseline"/>
                      <w:lang w:val="en-US" w:eastAsia="zh-CN" w:bidi="ar-SA"/>
                    </w:rPr>
                    <w:t>满足本次变动后需求</w:t>
                  </w:r>
                </w:p>
              </w:tc>
            </w:tr>
            <w:tr w14:paraId="5A794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6" w:type="dxa"/>
                  <w:vMerge w:val="restart"/>
                  <w:tcBorders>
                    <w:tl2br w:val="nil"/>
                    <w:tr2bl w:val="nil"/>
                  </w:tcBorders>
                  <w:noWrap w:val="0"/>
                  <w:vAlign w:val="center"/>
                </w:tcPr>
                <w:p w14:paraId="57472647">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环保</w:t>
                  </w:r>
                </w:p>
                <w:p w14:paraId="136449CA">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工程</w:t>
                  </w:r>
                </w:p>
              </w:tc>
              <w:tc>
                <w:tcPr>
                  <w:tcW w:w="1079" w:type="dxa"/>
                  <w:tcBorders>
                    <w:tl2br w:val="nil"/>
                    <w:tr2bl w:val="nil"/>
                  </w:tcBorders>
                  <w:noWrap w:val="0"/>
                  <w:vAlign w:val="center"/>
                </w:tcPr>
                <w:p w14:paraId="2D0B0D57">
                  <w:pPr>
                    <w:adjustRightInd w:val="0"/>
                    <w:snapToGrid w:val="0"/>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废水</w:t>
                  </w:r>
                  <w:r>
                    <w:rPr>
                      <w:rFonts w:hint="default" w:ascii="Times New Roman" w:hAnsi="Times New Roman" w:eastAsia="宋体" w:cs="Times New Roman"/>
                      <w:color w:val="auto"/>
                      <w:sz w:val="21"/>
                      <w:szCs w:val="21"/>
                      <w:lang w:eastAsia="zh-CN"/>
                    </w:rPr>
                    <w:t>治理</w:t>
                  </w:r>
                </w:p>
              </w:tc>
              <w:tc>
                <w:tcPr>
                  <w:tcW w:w="2857" w:type="dxa"/>
                  <w:tcBorders>
                    <w:tl2br w:val="nil"/>
                    <w:tr2bl w:val="nil"/>
                  </w:tcBorders>
                  <w:noWrap w:val="0"/>
                  <w:vAlign w:val="center"/>
                </w:tcPr>
                <w:p w14:paraId="03C0631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color w:val="auto"/>
                      <w:vertAlign w:val="baseline"/>
                      <w:lang w:val="en-US" w:eastAsia="zh-CN"/>
                    </w:rPr>
                  </w:pPr>
                  <w:r>
                    <w:rPr>
                      <w:rFonts w:hint="eastAsia"/>
                      <w:color w:val="auto"/>
                      <w:vertAlign w:val="baseline"/>
                      <w:lang w:val="en-US" w:eastAsia="zh-CN"/>
                    </w:rPr>
                    <w:t>生活污水、设备清洗废水：化粪池；</w:t>
                  </w:r>
                </w:p>
                <w:p w14:paraId="141C1F41">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olor w:val="auto"/>
                      <w:vertAlign w:val="baseline"/>
                      <w:lang w:val="en-US" w:eastAsia="zh-CN"/>
                    </w:rPr>
                    <w:t>纯水制备浓水：</w:t>
                  </w:r>
                  <w:r>
                    <w:rPr>
                      <w:rFonts w:hint="eastAsia" w:ascii="Times New Roman" w:hAnsi="Times New Roman" w:eastAsia="宋体" w:cs="Times New Roman"/>
                      <w:color w:val="auto"/>
                      <w:lang w:val="en-US" w:eastAsia="zh-CN"/>
                    </w:rPr>
                    <w:t>属于清净下水直接</w:t>
                  </w:r>
                  <w:r>
                    <w:rPr>
                      <w:rFonts w:hint="eastAsia"/>
                      <w:color w:val="auto"/>
                      <w:vertAlign w:val="baseline"/>
                      <w:lang w:val="en-US" w:eastAsia="zh-CN"/>
                    </w:rPr>
                    <w:t>排入园区污水管网</w:t>
                  </w:r>
                </w:p>
              </w:tc>
              <w:tc>
                <w:tcPr>
                  <w:tcW w:w="3105" w:type="dxa"/>
                  <w:tcBorders>
                    <w:tl2br w:val="nil"/>
                    <w:tr2bl w:val="nil"/>
                  </w:tcBorders>
                  <w:noWrap w:val="0"/>
                  <w:vAlign w:val="center"/>
                </w:tcPr>
                <w:p w14:paraId="2D97B21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生活污水：化粪池</w:t>
                  </w:r>
                </w:p>
                <w:p w14:paraId="53A9082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设备清洗废水：</w:t>
                  </w:r>
                  <w:r>
                    <w:rPr>
                      <w:rFonts w:hint="eastAsia" w:cs="Times New Roman"/>
                      <w:color w:val="auto"/>
                      <w:lang w:val="en-US" w:eastAsia="zh-CN"/>
                    </w:rPr>
                    <w:t>沉淀池</w:t>
                  </w:r>
                  <w:r>
                    <w:rPr>
                      <w:rFonts w:hint="eastAsia" w:ascii="Times New Roman" w:hAnsi="Times New Roman" w:eastAsia="宋体" w:cs="Times New Roman"/>
                      <w:color w:val="auto"/>
                      <w:lang w:val="en-US" w:eastAsia="zh-CN"/>
                    </w:rPr>
                    <w:t>+化粪池</w:t>
                  </w:r>
                </w:p>
                <w:p w14:paraId="7E6D57F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纯水制备浓水</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属于清净下水直接</w:t>
                  </w:r>
                  <w:r>
                    <w:rPr>
                      <w:rFonts w:hint="eastAsia"/>
                      <w:color w:val="auto"/>
                      <w:vertAlign w:val="baseline"/>
                      <w:lang w:val="en-US" w:eastAsia="zh-CN"/>
                    </w:rPr>
                    <w:t>排入园区污水管网</w:t>
                  </w:r>
                </w:p>
              </w:tc>
              <w:tc>
                <w:tcPr>
                  <w:tcW w:w="2310" w:type="dxa"/>
                  <w:tcBorders>
                    <w:tl2br w:val="nil"/>
                    <w:tr2bl w:val="nil"/>
                  </w:tcBorders>
                  <w:noWrap w:val="0"/>
                  <w:vAlign w:val="center"/>
                </w:tcPr>
                <w:p w14:paraId="7ED964D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设备清洗废水经</w:t>
                  </w:r>
                  <w:r>
                    <w:rPr>
                      <w:rFonts w:hint="eastAsia" w:cs="Times New Roman"/>
                      <w:color w:val="auto"/>
                      <w:lang w:val="en-US" w:eastAsia="zh-CN"/>
                    </w:rPr>
                    <w:t>沉淀池</w:t>
                  </w:r>
                  <w:r>
                    <w:rPr>
                      <w:rFonts w:hint="eastAsia" w:ascii="Times New Roman" w:hAnsi="Times New Roman" w:eastAsia="宋体" w:cs="Times New Roman"/>
                      <w:color w:val="auto"/>
                      <w:lang w:val="en-US" w:eastAsia="zh-CN"/>
                    </w:rPr>
                    <w:t>+化粪池预处理后排入园区污水处理厂</w:t>
                  </w:r>
                </w:p>
              </w:tc>
              <w:tc>
                <w:tcPr>
                  <w:tcW w:w="2484" w:type="dxa"/>
                  <w:tcBorders>
                    <w:tl2br w:val="nil"/>
                    <w:tr2bl w:val="nil"/>
                  </w:tcBorders>
                  <w:noWrap w:val="0"/>
                  <w:vAlign w:val="center"/>
                </w:tcPr>
                <w:p w14:paraId="77160FFB">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FF0000"/>
                      <w:kern w:val="0"/>
                      <w:sz w:val="21"/>
                      <w:szCs w:val="21"/>
                      <w:vertAlign w:val="baseline"/>
                      <w:lang w:val="en-US" w:eastAsia="zh-CN" w:bidi="ar-SA"/>
                    </w:rPr>
                  </w:pPr>
                  <w:r>
                    <w:rPr>
                      <w:rFonts w:hint="eastAsia" w:cs="Times New Roman"/>
                      <w:color w:val="FF0000"/>
                      <w:kern w:val="0"/>
                      <w:sz w:val="21"/>
                      <w:szCs w:val="21"/>
                      <w:vertAlign w:val="baseline"/>
                      <w:lang w:val="en-US" w:eastAsia="zh-CN" w:bidi="ar-SA"/>
                    </w:rPr>
                    <w:t>增加了沉淀池后可满足本次变动后需求</w:t>
                  </w:r>
                </w:p>
              </w:tc>
            </w:tr>
            <w:tr w14:paraId="70D8F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6" w:type="dxa"/>
                  <w:vMerge w:val="continue"/>
                  <w:tcBorders>
                    <w:tl2br w:val="nil"/>
                    <w:tr2bl w:val="nil"/>
                  </w:tcBorders>
                  <w:noWrap w:val="0"/>
                  <w:vAlign w:val="center"/>
                </w:tcPr>
                <w:p w14:paraId="26248BB0">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79" w:type="dxa"/>
                  <w:tcBorders>
                    <w:tl2br w:val="nil"/>
                    <w:tr2bl w:val="nil"/>
                  </w:tcBorders>
                  <w:noWrap w:val="0"/>
                  <w:vAlign w:val="center"/>
                </w:tcPr>
                <w:p w14:paraId="6017209C">
                  <w:pPr>
                    <w:adjustRightInd w:val="0"/>
                    <w:snapToGrid w:val="0"/>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废</w:t>
                  </w:r>
                  <w:r>
                    <w:rPr>
                      <w:rFonts w:hint="default" w:ascii="Times New Roman" w:hAnsi="Times New Roman" w:eastAsia="宋体" w:cs="Times New Roman"/>
                      <w:color w:val="auto"/>
                      <w:sz w:val="21"/>
                      <w:szCs w:val="21"/>
                      <w:lang w:eastAsia="zh-CN"/>
                    </w:rPr>
                    <w:t>气治理</w:t>
                  </w:r>
                </w:p>
              </w:tc>
              <w:tc>
                <w:tcPr>
                  <w:tcW w:w="2857" w:type="dxa"/>
                  <w:tcBorders>
                    <w:tl2br w:val="nil"/>
                    <w:tr2bl w:val="nil"/>
                  </w:tcBorders>
                  <w:noWrap w:val="0"/>
                  <w:vAlign w:val="center"/>
                </w:tcPr>
                <w:p w14:paraId="0F1C1CD3">
                  <w:pPr>
                    <w:bidi w:val="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加料、投料搅拌粉尘：经自然沉降后由人工及时清扫，少量未沉降的粉尘通过车间空气净化系统处理后无组织排放，</w:t>
                  </w:r>
                </w:p>
                <w:p w14:paraId="7172BBDF">
                  <w:pPr>
                    <w:bidi w:val="0"/>
                    <w:jc w:val="center"/>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（灌装）涂布有机废气：通过车间空气净化系统处理后无组织排放</w:t>
                  </w:r>
                </w:p>
              </w:tc>
              <w:tc>
                <w:tcPr>
                  <w:tcW w:w="3105" w:type="dxa"/>
                  <w:tcBorders>
                    <w:tl2br w:val="nil"/>
                    <w:tr2bl w:val="nil"/>
                  </w:tcBorders>
                  <w:noWrap w:val="0"/>
                  <w:vAlign w:val="center"/>
                </w:tcPr>
                <w:p w14:paraId="0C330E65">
                  <w:pPr>
                    <w:pStyle w:val="22"/>
                    <w:keepNext w:val="0"/>
                    <w:keepLines w:val="0"/>
                    <w:pageBreakBefore w:val="0"/>
                    <w:kinsoku/>
                    <w:wordWrap/>
                    <w:overflowPunct/>
                    <w:topLinePunct w:val="0"/>
                    <w:autoSpaceDE/>
                    <w:autoSpaceDN/>
                    <w:bidi w:val="0"/>
                    <w:adjustRightInd/>
                    <w:spacing w:before="0" w:after="0"/>
                    <w:ind w:right="0"/>
                    <w:textAlignment w:val="auto"/>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加料、投料搅拌粉尘</w:t>
                  </w:r>
                  <w:r>
                    <w:rPr>
                      <w:rFonts w:hint="eastAsia"/>
                      <w:color w:val="auto"/>
                      <w:vertAlign w:val="baseline"/>
                      <w:lang w:val="en-US" w:eastAsia="zh-CN"/>
                    </w:rPr>
                    <w:t>：</w:t>
                  </w:r>
                  <w:r>
                    <w:rPr>
                      <w:rFonts w:hint="eastAsia" w:ascii="Times New Roman" w:hAnsi="Times New Roman" w:eastAsia="宋体" w:cs="Times New Roman"/>
                      <w:color w:val="auto"/>
                      <w:kern w:val="2"/>
                      <w:sz w:val="21"/>
                      <w:szCs w:val="21"/>
                      <w:highlight w:val="none"/>
                      <w:shd w:val="clear" w:color="auto" w:fill="auto"/>
                      <w:lang w:val="en-US" w:eastAsia="zh-CN" w:bidi="ar-SA"/>
                    </w:rPr>
                    <w:t>经自然沉降后由人工及时清扫，少量未沉降的粉尘通过车间空气净化系统处理后无组织排放；</w:t>
                  </w:r>
                </w:p>
                <w:p w14:paraId="00F50278">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（灌装）涂布、制胶、</w:t>
                  </w:r>
                  <w:r>
                    <w:rPr>
                      <w:rFonts w:hint="eastAsia" w:cs="Times New Roman"/>
                      <w:color w:val="auto"/>
                      <w:kern w:val="2"/>
                      <w:sz w:val="21"/>
                      <w:szCs w:val="21"/>
                      <w:highlight w:val="none"/>
                      <w:shd w:val="clear" w:color="auto" w:fill="auto"/>
                      <w:lang w:val="en-US" w:eastAsia="zh-CN" w:bidi="ar-SA"/>
                    </w:rPr>
                    <w:t>产品生产、</w:t>
                  </w:r>
                  <w:r>
                    <w:rPr>
                      <w:rFonts w:hint="eastAsia" w:ascii="Times New Roman" w:hAnsi="Times New Roman" w:eastAsia="宋体" w:cs="Times New Roman"/>
                      <w:color w:val="auto"/>
                      <w:kern w:val="2"/>
                      <w:sz w:val="21"/>
                      <w:szCs w:val="21"/>
                      <w:highlight w:val="none"/>
                      <w:shd w:val="clear" w:color="auto" w:fill="auto"/>
                      <w:lang w:val="en-US" w:eastAsia="zh-CN" w:bidi="ar-SA"/>
                    </w:rPr>
                    <w:t>喷码等工序产生的极少量有机废气，通过车间空气净化系统</w:t>
                  </w:r>
                  <w:r>
                    <w:rPr>
                      <w:rFonts w:hint="eastAsia" w:cs="Times New Roman"/>
                      <w:color w:val="auto"/>
                      <w:kern w:val="2"/>
                      <w:sz w:val="21"/>
                      <w:szCs w:val="21"/>
                      <w:highlight w:val="none"/>
                      <w:shd w:val="clear" w:color="auto" w:fill="auto"/>
                      <w:lang w:val="en-US" w:eastAsia="zh-CN" w:bidi="ar-SA"/>
                    </w:rPr>
                    <w:t>+二级活性炭处理装置</w:t>
                  </w:r>
                  <w:r>
                    <w:rPr>
                      <w:rFonts w:hint="eastAsia" w:ascii="Times New Roman" w:hAnsi="Times New Roman" w:eastAsia="宋体" w:cs="Times New Roman"/>
                      <w:color w:val="auto"/>
                      <w:kern w:val="2"/>
                      <w:sz w:val="21"/>
                      <w:szCs w:val="21"/>
                      <w:highlight w:val="none"/>
                      <w:shd w:val="clear" w:color="auto" w:fill="auto"/>
                      <w:lang w:val="en-US" w:eastAsia="zh-CN" w:bidi="ar-SA"/>
                    </w:rPr>
                    <w:t>处理后无组织排放。</w:t>
                  </w:r>
                </w:p>
              </w:tc>
              <w:tc>
                <w:tcPr>
                  <w:tcW w:w="2310" w:type="dxa"/>
                  <w:tcBorders>
                    <w:tl2br w:val="nil"/>
                    <w:tr2bl w:val="nil"/>
                  </w:tcBorders>
                  <w:noWrap w:val="0"/>
                  <w:vAlign w:val="center"/>
                </w:tcPr>
                <w:p w14:paraId="57E5EF71">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2"/>
                      <w:sz w:val="21"/>
                      <w:szCs w:val="21"/>
                      <w:highlight w:val="none"/>
                      <w:shd w:val="clear" w:color="auto" w:fill="auto"/>
                      <w:lang w:val="en-US" w:eastAsia="zh-CN" w:bidi="ar-SA"/>
                    </w:rPr>
                    <w:t>增加产品生产废气、</w:t>
                  </w:r>
                  <w:r>
                    <w:rPr>
                      <w:rFonts w:hint="eastAsia" w:ascii="Times New Roman" w:hAnsi="Times New Roman" w:eastAsia="宋体" w:cs="Times New Roman"/>
                      <w:color w:val="auto"/>
                      <w:kern w:val="2"/>
                      <w:sz w:val="21"/>
                      <w:szCs w:val="21"/>
                      <w:highlight w:val="none"/>
                      <w:shd w:val="clear" w:color="auto" w:fill="auto"/>
                      <w:lang w:val="en-US" w:eastAsia="zh-CN" w:bidi="ar-SA"/>
                    </w:rPr>
                    <w:t>制胶废气、喷码废气经车间空气净化系统+二级活性炭处理装置</w:t>
                  </w:r>
                  <w:r>
                    <w:rPr>
                      <w:rFonts w:hint="default" w:ascii="Times New Roman" w:hAnsi="Times New Roman" w:eastAsia="宋体" w:cs="Times New Roman"/>
                      <w:color w:val="auto"/>
                      <w:kern w:val="2"/>
                      <w:sz w:val="21"/>
                      <w:szCs w:val="21"/>
                      <w:highlight w:val="none"/>
                      <w:shd w:val="clear" w:color="auto" w:fill="auto"/>
                      <w:lang w:val="en-US" w:eastAsia="zh-CN" w:bidi="ar-SA"/>
                    </w:rPr>
                    <w:t>（处理效率</w:t>
                  </w:r>
                  <w:r>
                    <w:rPr>
                      <w:rFonts w:hint="eastAsia" w:ascii="Times New Roman" w:hAnsi="Times New Roman" w:eastAsia="宋体" w:cs="Times New Roman"/>
                      <w:color w:val="auto"/>
                      <w:kern w:val="2"/>
                      <w:sz w:val="21"/>
                      <w:szCs w:val="21"/>
                      <w:highlight w:val="none"/>
                      <w:shd w:val="clear" w:color="auto" w:fill="auto"/>
                      <w:lang w:val="en-US" w:eastAsia="zh-CN" w:bidi="ar-SA"/>
                    </w:rPr>
                    <w:t>51</w:t>
                  </w:r>
                  <w:r>
                    <w:rPr>
                      <w:rFonts w:hint="default" w:ascii="Times New Roman" w:hAnsi="Times New Roman" w:eastAsia="宋体" w:cs="Times New Roman"/>
                      <w:color w:val="auto"/>
                      <w:kern w:val="2"/>
                      <w:sz w:val="21"/>
                      <w:szCs w:val="21"/>
                      <w:highlight w:val="none"/>
                      <w:shd w:val="clear" w:color="auto" w:fill="auto"/>
                      <w:lang w:val="en-US" w:eastAsia="zh-CN" w:bidi="ar-SA"/>
                    </w:rPr>
                    <w:t>%）</w:t>
                  </w:r>
                  <w:r>
                    <w:rPr>
                      <w:rFonts w:hint="eastAsia" w:ascii="Times New Roman" w:hAnsi="Times New Roman" w:eastAsia="宋体" w:cs="Times New Roman"/>
                      <w:color w:val="auto"/>
                      <w:kern w:val="2"/>
                      <w:sz w:val="21"/>
                      <w:szCs w:val="21"/>
                      <w:highlight w:val="none"/>
                      <w:shd w:val="clear" w:color="auto" w:fill="auto"/>
                      <w:lang w:val="en-US" w:eastAsia="zh-CN" w:bidi="ar-SA"/>
                    </w:rPr>
                    <w:t>处理后无组织排放</w:t>
                  </w:r>
                </w:p>
              </w:tc>
              <w:tc>
                <w:tcPr>
                  <w:tcW w:w="2484" w:type="dxa"/>
                  <w:tcBorders>
                    <w:tl2br w:val="nil"/>
                    <w:tr2bl w:val="nil"/>
                  </w:tcBorders>
                  <w:noWrap w:val="0"/>
                  <w:vAlign w:val="center"/>
                </w:tcPr>
                <w:p w14:paraId="0A8BAECF">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eastAsia" w:cs="Times New Roman"/>
                      <w:color w:val="FF0000"/>
                      <w:kern w:val="0"/>
                      <w:sz w:val="21"/>
                      <w:szCs w:val="21"/>
                      <w:vertAlign w:val="baseline"/>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增加了二级活性炭处理装置后可</w:t>
                  </w:r>
                  <w:r>
                    <w:rPr>
                      <w:rFonts w:hint="eastAsia" w:cs="Times New Roman"/>
                      <w:color w:val="FF0000"/>
                      <w:kern w:val="0"/>
                      <w:sz w:val="21"/>
                      <w:szCs w:val="21"/>
                      <w:vertAlign w:val="baseline"/>
                      <w:lang w:val="en-US" w:eastAsia="zh-CN" w:bidi="ar-SA"/>
                    </w:rPr>
                    <w:t>满足本次变动后需求</w:t>
                  </w:r>
                </w:p>
              </w:tc>
            </w:tr>
            <w:tr w14:paraId="43F62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6" w:type="dxa"/>
                  <w:vMerge w:val="continue"/>
                  <w:tcBorders>
                    <w:tl2br w:val="nil"/>
                    <w:tr2bl w:val="nil"/>
                  </w:tcBorders>
                  <w:noWrap w:val="0"/>
                  <w:vAlign w:val="center"/>
                </w:tcPr>
                <w:p w14:paraId="7F331A29">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79" w:type="dxa"/>
                  <w:tcBorders>
                    <w:tl2br w:val="nil"/>
                    <w:tr2bl w:val="nil"/>
                  </w:tcBorders>
                  <w:noWrap w:val="0"/>
                  <w:vAlign w:val="center"/>
                </w:tcPr>
                <w:p w14:paraId="62BE05E5">
                  <w:pPr>
                    <w:adjustRightInd w:val="0"/>
                    <w:snapToGrid w:val="0"/>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噪声</w:t>
                  </w:r>
                  <w:r>
                    <w:rPr>
                      <w:rFonts w:hint="default" w:ascii="Times New Roman" w:hAnsi="Times New Roman" w:eastAsia="宋体" w:cs="Times New Roman"/>
                      <w:color w:val="auto"/>
                      <w:sz w:val="21"/>
                      <w:szCs w:val="21"/>
                      <w:lang w:eastAsia="zh-CN"/>
                    </w:rPr>
                    <w:t>治理</w:t>
                  </w:r>
                </w:p>
              </w:tc>
              <w:tc>
                <w:tcPr>
                  <w:tcW w:w="2857" w:type="dxa"/>
                  <w:tcBorders>
                    <w:tl2br w:val="nil"/>
                    <w:tr2bl w:val="nil"/>
                  </w:tcBorders>
                  <w:noWrap w:val="0"/>
                  <w:vAlign w:val="center"/>
                </w:tcPr>
                <w:p w14:paraId="5DD62539">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设备基础减震；定期维护保养；隔声处理</w:t>
                  </w:r>
                </w:p>
              </w:tc>
              <w:tc>
                <w:tcPr>
                  <w:tcW w:w="3105" w:type="dxa"/>
                  <w:tcBorders>
                    <w:tl2br w:val="nil"/>
                    <w:tr2bl w:val="nil"/>
                  </w:tcBorders>
                  <w:noWrap w:val="0"/>
                  <w:vAlign w:val="center"/>
                </w:tcPr>
                <w:p w14:paraId="5B6B3663">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设备基础减震；定期维护保养；隔声处理</w:t>
                  </w:r>
                </w:p>
              </w:tc>
              <w:tc>
                <w:tcPr>
                  <w:tcW w:w="2310" w:type="dxa"/>
                  <w:tcBorders>
                    <w:tl2br w:val="nil"/>
                    <w:tr2bl w:val="nil"/>
                  </w:tcBorders>
                  <w:noWrap w:val="0"/>
                  <w:vAlign w:val="center"/>
                </w:tcPr>
                <w:p w14:paraId="5A5B8A55">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未发生变动</w:t>
                  </w:r>
                </w:p>
              </w:tc>
              <w:tc>
                <w:tcPr>
                  <w:tcW w:w="2484" w:type="dxa"/>
                  <w:tcBorders>
                    <w:tl2br w:val="nil"/>
                    <w:tr2bl w:val="nil"/>
                  </w:tcBorders>
                  <w:noWrap w:val="0"/>
                  <w:vAlign w:val="center"/>
                </w:tcPr>
                <w:p w14:paraId="38235F0F">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FF0000"/>
                      <w:kern w:val="0"/>
                      <w:sz w:val="21"/>
                      <w:szCs w:val="21"/>
                      <w:vertAlign w:val="baseline"/>
                      <w:lang w:val="en-US" w:eastAsia="zh-CN" w:bidi="ar-SA"/>
                    </w:rPr>
                  </w:pPr>
                  <w:r>
                    <w:rPr>
                      <w:rFonts w:hint="eastAsia" w:cs="Times New Roman"/>
                      <w:color w:val="FF0000"/>
                      <w:kern w:val="0"/>
                      <w:sz w:val="21"/>
                      <w:szCs w:val="21"/>
                      <w:vertAlign w:val="baseline"/>
                      <w:lang w:val="en-US" w:eastAsia="zh-CN" w:bidi="ar-SA"/>
                    </w:rPr>
                    <w:t>满足本次变动后需求</w:t>
                  </w:r>
                </w:p>
              </w:tc>
            </w:tr>
            <w:tr w14:paraId="1757B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96" w:type="dxa"/>
                  <w:vMerge w:val="continue"/>
                  <w:tcBorders>
                    <w:tl2br w:val="nil"/>
                    <w:tr2bl w:val="nil"/>
                  </w:tcBorders>
                  <w:noWrap w:val="0"/>
                  <w:vAlign w:val="center"/>
                </w:tcPr>
                <w:p w14:paraId="6AD54802">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p>
              </w:tc>
              <w:tc>
                <w:tcPr>
                  <w:tcW w:w="1079" w:type="dxa"/>
                  <w:tcBorders>
                    <w:tl2br w:val="nil"/>
                    <w:tr2bl w:val="nil"/>
                  </w:tcBorders>
                  <w:noWrap w:val="0"/>
                  <w:vAlign w:val="center"/>
                </w:tcPr>
                <w:p w14:paraId="66A2F539">
                  <w:pPr>
                    <w:adjustRightInd w:val="0"/>
                    <w:snapToGrid w:val="0"/>
                    <w:jc w:val="center"/>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固废</w:t>
                  </w:r>
                  <w:r>
                    <w:rPr>
                      <w:rFonts w:hint="default" w:ascii="Times New Roman" w:hAnsi="Times New Roman" w:eastAsia="宋体" w:cs="Times New Roman"/>
                      <w:color w:val="auto"/>
                      <w:sz w:val="21"/>
                      <w:szCs w:val="21"/>
                      <w:lang w:eastAsia="zh-CN"/>
                    </w:rPr>
                    <w:t>治理</w:t>
                  </w:r>
                </w:p>
              </w:tc>
              <w:tc>
                <w:tcPr>
                  <w:tcW w:w="2857" w:type="dxa"/>
                  <w:tcBorders>
                    <w:tl2br w:val="nil"/>
                    <w:tr2bl w:val="nil"/>
                  </w:tcBorders>
                  <w:noWrap w:val="0"/>
                  <w:vAlign w:val="center"/>
                </w:tcPr>
                <w:p w14:paraId="054AB6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一般固废：</w:t>
                  </w:r>
                  <w:r>
                    <w:rPr>
                      <w:rFonts w:hint="default" w:ascii="Times New Roman" w:hAnsi="Times New Roman" w:cs="Times New Roman"/>
                      <w:color w:val="auto"/>
                      <w:lang w:eastAsia="zh-CN"/>
                    </w:rPr>
                    <w:t>一般固废暂存间</w:t>
                  </w:r>
                  <w:r>
                    <w:rPr>
                      <w:rFonts w:hint="default" w:ascii="Times New Roman" w:hAnsi="Times New Roman" w:cs="Times New Roman"/>
                      <w:color w:val="auto"/>
                    </w:rPr>
                    <w:t>（</w:t>
                  </w:r>
                  <w:r>
                    <w:rPr>
                      <w:rFonts w:hint="default" w:ascii="Times New Roman" w:hAnsi="Times New Roman" w:cs="Times New Roman"/>
                      <w:color w:val="auto"/>
                      <w:lang w:eastAsia="zh-CN"/>
                    </w:rPr>
                    <w:t>占地面积</w:t>
                  </w:r>
                  <w:r>
                    <w:rPr>
                      <w:rFonts w:hint="eastAsia" w:ascii="Times New Roman" w:hAnsi="Times New Roman" w:cs="Times New Roman"/>
                      <w:color w:val="auto"/>
                      <w:lang w:val="en-US" w:eastAsia="zh-CN"/>
                    </w:rPr>
                    <w:t>15</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ascii="Times New Roman" w:hAnsi="Times New Roman" w:eastAsia="宋体" w:cs="Times New Roman"/>
                      <w:color w:val="auto"/>
                      <w:sz w:val="21"/>
                      <w:szCs w:val="21"/>
                      <w:lang w:eastAsia="zh-CN"/>
                    </w:rPr>
                    <w:t>；</w:t>
                  </w:r>
                </w:p>
                <w:p w14:paraId="35CB1C47">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eastAsia="宋体"/>
                      <w:color w:val="auto"/>
                      <w:szCs w:val="21"/>
                      <w:lang w:eastAsia="zh-CN"/>
                    </w:rPr>
                    <w:t>危险废物：</w:t>
                  </w:r>
                  <w:r>
                    <w:rPr>
                      <w:rFonts w:hint="eastAsia" w:ascii="Times New Roman" w:hAnsi="Times New Roman" w:cs="Times New Roman"/>
                      <w:color w:val="auto"/>
                      <w:lang w:val="en-US" w:eastAsia="zh-CN"/>
                    </w:rPr>
                    <w:t>危险废物暂存间（占地面积5m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tc>
              <w:tc>
                <w:tcPr>
                  <w:tcW w:w="3105" w:type="dxa"/>
                  <w:tcBorders>
                    <w:tl2br w:val="nil"/>
                    <w:tr2bl w:val="nil"/>
                  </w:tcBorders>
                  <w:noWrap w:val="0"/>
                  <w:vAlign w:val="center"/>
                </w:tcPr>
                <w:p w14:paraId="04FBA1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一般固废：</w:t>
                  </w:r>
                  <w:r>
                    <w:rPr>
                      <w:rFonts w:hint="default" w:ascii="Times New Roman" w:hAnsi="Times New Roman" w:cs="Times New Roman"/>
                      <w:color w:val="auto"/>
                      <w:lang w:eastAsia="zh-CN"/>
                    </w:rPr>
                    <w:t>一般固废暂存间</w:t>
                  </w:r>
                  <w:r>
                    <w:rPr>
                      <w:rFonts w:hint="default" w:ascii="Times New Roman" w:hAnsi="Times New Roman" w:cs="Times New Roman"/>
                      <w:color w:val="auto"/>
                    </w:rPr>
                    <w:t>（</w:t>
                  </w:r>
                  <w:r>
                    <w:rPr>
                      <w:rFonts w:hint="default" w:ascii="Times New Roman" w:hAnsi="Times New Roman" w:cs="Times New Roman"/>
                      <w:color w:val="auto"/>
                      <w:lang w:eastAsia="zh-CN"/>
                    </w:rPr>
                    <w:t>占地面积</w:t>
                  </w:r>
                  <w:r>
                    <w:rPr>
                      <w:rFonts w:hint="eastAsia" w:ascii="Times New Roman" w:hAnsi="Times New Roman" w:cs="Times New Roman"/>
                      <w:color w:val="auto"/>
                      <w:lang w:val="en-US" w:eastAsia="zh-CN"/>
                    </w:rPr>
                    <w:t>15</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r>
                    <w:rPr>
                      <w:rFonts w:hint="eastAsia" w:ascii="Times New Roman" w:hAnsi="Times New Roman" w:eastAsia="宋体" w:cs="Times New Roman"/>
                      <w:color w:val="auto"/>
                      <w:sz w:val="21"/>
                      <w:szCs w:val="21"/>
                      <w:lang w:eastAsia="zh-CN"/>
                    </w:rPr>
                    <w:t>；</w:t>
                  </w:r>
                </w:p>
                <w:p w14:paraId="4A646B33">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eastAsia="宋体"/>
                      <w:color w:val="auto"/>
                      <w:szCs w:val="21"/>
                      <w:lang w:eastAsia="zh-CN"/>
                    </w:rPr>
                    <w:t>危险废物：</w:t>
                  </w:r>
                  <w:r>
                    <w:rPr>
                      <w:rFonts w:hint="eastAsia" w:ascii="Times New Roman" w:hAnsi="Times New Roman" w:cs="Times New Roman"/>
                      <w:color w:val="auto"/>
                      <w:lang w:val="en-US" w:eastAsia="zh-CN"/>
                    </w:rPr>
                    <w:t>危险废物暂存间（占地面积5m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tc>
              <w:tc>
                <w:tcPr>
                  <w:tcW w:w="2310" w:type="dxa"/>
                  <w:tcBorders>
                    <w:tl2br w:val="nil"/>
                    <w:tr2bl w:val="nil"/>
                  </w:tcBorders>
                  <w:noWrap w:val="0"/>
                  <w:vAlign w:val="center"/>
                </w:tcPr>
                <w:p w14:paraId="74A10648">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kern w:val="0"/>
                      <w:sz w:val="21"/>
                      <w:szCs w:val="21"/>
                      <w:vertAlign w:val="baseline"/>
                      <w:lang w:val="en-US" w:eastAsia="zh-CN" w:bidi="ar-SA"/>
                    </w:rPr>
                    <w:t>未发生变动</w:t>
                  </w:r>
                </w:p>
              </w:tc>
              <w:tc>
                <w:tcPr>
                  <w:tcW w:w="2484" w:type="dxa"/>
                  <w:tcBorders>
                    <w:tl2br w:val="nil"/>
                    <w:tr2bl w:val="nil"/>
                  </w:tcBorders>
                  <w:noWrap w:val="0"/>
                  <w:vAlign w:val="center"/>
                </w:tcPr>
                <w:p w14:paraId="7B693B05">
                  <w:pPr>
                    <w:keepNext w:val="0"/>
                    <w:keepLines w:val="0"/>
                    <w:pageBreakBefore w:val="0"/>
                    <w:widowControl/>
                    <w:kinsoku/>
                    <w:wordWrap/>
                    <w:overflowPunct/>
                    <w:topLinePunct w:val="0"/>
                    <w:autoSpaceDE/>
                    <w:autoSpaceDN/>
                    <w:bidi w:val="0"/>
                    <w:adjustRightInd/>
                    <w:snapToGrid/>
                    <w:spacing w:before="0" w:beforeLines="0" w:line="240" w:lineRule="auto"/>
                    <w:jc w:val="center"/>
                    <w:textAlignment w:val="auto"/>
                    <w:rPr>
                      <w:rFonts w:hint="default" w:ascii="Times New Roman" w:hAnsi="Times New Roman" w:eastAsia="宋体" w:cs="Times New Roman"/>
                      <w:color w:val="FF0000"/>
                      <w:kern w:val="0"/>
                      <w:sz w:val="21"/>
                      <w:szCs w:val="21"/>
                      <w:vertAlign w:val="baseline"/>
                      <w:lang w:val="en-US" w:eastAsia="zh-CN" w:bidi="ar-SA"/>
                    </w:rPr>
                  </w:pPr>
                  <w:r>
                    <w:rPr>
                      <w:rFonts w:hint="eastAsia" w:cs="Times New Roman"/>
                      <w:color w:val="FF0000"/>
                      <w:kern w:val="0"/>
                      <w:sz w:val="21"/>
                      <w:szCs w:val="21"/>
                      <w:vertAlign w:val="baseline"/>
                      <w:lang w:val="en-US" w:eastAsia="zh-CN" w:bidi="ar-SA"/>
                    </w:rPr>
                    <w:t>满足本次变动后需求</w:t>
                  </w:r>
                </w:p>
              </w:tc>
            </w:tr>
          </w:tbl>
          <w:p w14:paraId="36BA084A">
            <w:pPr>
              <w:keepNext w:val="0"/>
              <w:keepLines w:val="0"/>
              <w:pageBreakBefore w:val="0"/>
              <w:widowControl/>
              <w:kinsoku/>
              <w:wordWrap/>
              <w:overflowPunct/>
              <w:topLinePunct w:val="0"/>
              <w:autoSpaceDE/>
              <w:autoSpaceDN/>
              <w:bidi w:val="0"/>
              <w:adjustRightInd/>
              <w:snapToGrid/>
              <w:spacing w:before="157" w:beforeLines="50" w:line="288"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bidi="ar-SA"/>
              </w:rPr>
            </w:pPr>
            <w:r>
              <w:rPr>
                <w:rFonts w:hint="eastAsia" w:cs="Times New Roman"/>
                <w:b/>
                <w:bCs/>
                <w:color w:val="auto"/>
                <w:kern w:val="0"/>
                <w:sz w:val="24"/>
                <w:szCs w:val="24"/>
                <w:lang w:val="en-US" w:eastAsia="zh-CN" w:bidi="ar-SA"/>
              </w:rPr>
              <w:t>四</w:t>
            </w:r>
            <w:r>
              <w:rPr>
                <w:rFonts w:hint="default" w:ascii="Times New Roman" w:hAnsi="Times New Roman" w:cs="Times New Roman"/>
                <w:b/>
                <w:bCs/>
                <w:color w:val="auto"/>
                <w:kern w:val="0"/>
                <w:sz w:val="24"/>
                <w:szCs w:val="24"/>
                <w:lang w:val="en-US" w:eastAsia="zh-CN" w:bidi="ar-SA"/>
              </w:rPr>
              <w:t>、产品方案</w:t>
            </w:r>
          </w:p>
          <w:p w14:paraId="52F26DA4">
            <w:pPr>
              <w:keepNext w:val="0"/>
              <w:keepLines w:val="0"/>
              <w:pageBreakBefore w:val="0"/>
              <w:widowControl w:val="0"/>
              <w:kinsoku/>
              <w:wordWrap/>
              <w:overflowPunct/>
              <w:topLinePunct w:val="0"/>
              <w:autoSpaceDE/>
              <w:autoSpaceDN/>
              <w:bidi w:val="0"/>
              <w:adjustRightInd/>
              <w:snapToGrid w:val="0"/>
              <w:spacing w:before="120"/>
              <w:jc w:val="center"/>
              <w:textAlignment w:val="auto"/>
              <w:rPr>
                <w:rFonts w:hint="default"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rPr>
              <w:t>2-</w:t>
            </w:r>
            <w:r>
              <w:rPr>
                <w:rFonts w:hint="eastAsia" w:cs="Times New Roman"/>
                <w:b/>
                <w:color w:val="auto"/>
                <w:sz w:val="21"/>
                <w:szCs w:val="21"/>
                <w:lang w:val="en-US" w:eastAsia="zh-CN"/>
              </w:rPr>
              <w:t>4</w:t>
            </w:r>
            <w:r>
              <w:rPr>
                <w:rFonts w:ascii="Times New Roman" w:hAnsi="Times New Roman" w:eastAsia="宋体" w:cs="Times New Roman"/>
                <w:b/>
                <w:color w:val="auto"/>
                <w:sz w:val="21"/>
                <w:szCs w:val="21"/>
              </w:rPr>
              <w:t xml:space="preserve">  </w:t>
            </w:r>
            <w:r>
              <w:rPr>
                <w:rFonts w:hint="eastAsia"/>
                <w:b/>
                <w:bCs/>
                <w:color w:val="auto"/>
                <w:szCs w:val="21"/>
                <w:lang w:val="en-US" w:eastAsia="zh-CN"/>
              </w:rPr>
              <w:t>变动前后</w:t>
            </w:r>
            <w:r>
              <w:rPr>
                <w:rFonts w:hint="default" w:ascii="Times New Roman" w:hAnsi="Times New Roman" w:eastAsia="宋体" w:cs="Times New Roman"/>
                <w:b/>
                <w:color w:val="auto"/>
                <w:sz w:val="21"/>
                <w:szCs w:val="21"/>
              </w:rPr>
              <w:t>产品方案一览表</w:t>
            </w:r>
          </w:p>
          <w:tbl>
            <w:tblPr>
              <w:tblStyle w:val="25"/>
              <w:tblW w:w="4967"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2844"/>
              <w:gridCol w:w="1578"/>
              <w:gridCol w:w="1851"/>
              <w:gridCol w:w="758"/>
              <w:gridCol w:w="1560"/>
              <w:gridCol w:w="1825"/>
              <w:gridCol w:w="1608"/>
            </w:tblGrid>
            <w:tr w14:paraId="22DB71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87" w:type="pct"/>
                  <w:vMerge w:val="restart"/>
                  <w:tcBorders>
                    <w:top w:val="single" w:color="auto" w:sz="12" w:space="0"/>
                  </w:tcBorders>
                  <w:noWrap w:val="0"/>
                  <w:vAlign w:val="center"/>
                </w:tcPr>
                <w:p w14:paraId="4807B35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ascii="Times New Roman" w:hAnsi="Times New Roman" w:eastAsia="宋体" w:cs="Times New Roman"/>
                      <w:b/>
                      <w:bCs/>
                      <w:color w:val="auto"/>
                      <w:kern w:val="0"/>
                      <w:sz w:val="21"/>
                      <w:szCs w:val="21"/>
                      <w:vertAlign w:val="baseline"/>
                      <w:lang w:val="en-US" w:eastAsia="zh-CN" w:bidi="ar-SA"/>
                    </w:rPr>
                    <w:t>序号</w:t>
                  </w:r>
                </w:p>
              </w:tc>
              <w:tc>
                <w:tcPr>
                  <w:tcW w:w="1114" w:type="pct"/>
                  <w:vMerge w:val="restart"/>
                  <w:tcBorders>
                    <w:top w:val="single" w:color="auto" w:sz="12" w:space="0"/>
                  </w:tcBorders>
                  <w:noWrap w:val="0"/>
                  <w:vAlign w:val="center"/>
                </w:tcPr>
                <w:p w14:paraId="75A14CC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kern w:val="0"/>
                      <w:sz w:val="21"/>
                      <w:szCs w:val="21"/>
                      <w:vertAlign w:val="baseline"/>
                      <w:lang w:val="en-US" w:eastAsia="zh-CN" w:bidi="ar-SA"/>
                    </w:rPr>
                    <w:t>产品方案</w:t>
                  </w:r>
                </w:p>
              </w:tc>
              <w:tc>
                <w:tcPr>
                  <w:tcW w:w="1343" w:type="pct"/>
                  <w:gridSpan w:val="2"/>
                  <w:tcBorders>
                    <w:top w:val="single" w:color="auto" w:sz="12" w:space="0"/>
                  </w:tcBorders>
                  <w:noWrap w:val="0"/>
                  <w:vAlign w:val="center"/>
                </w:tcPr>
                <w:p w14:paraId="71D9C0E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bCs/>
                      <w:color w:val="auto"/>
                      <w:kern w:val="0"/>
                      <w:sz w:val="21"/>
                      <w:szCs w:val="21"/>
                      <w:vertAlign w:val="baseline"/>
                      <w:lang w:val="en-US" w:eastAsia="zh-CN" w:bidi="ar-SA"/>
                    </w:rPr>
                  </w:pPr>
                  <w:r>
                    <w:rPr>
                      <w:rFonts w:hint="eastAsia" w:cs="Times New Roman"/>
                      <w:b/>
                      <w:bCs/>
                      <w:color w:val="auto"/>
                      <w:kern w:val="0"/>
                      <w:sz w:val="21"/>
                      <w:szCs w:val="21"/>
                      <w:vertAlign w:val="baseline"/>
                      <w:lang w:val="en-US" w:eastAsia="zh-CN" w:bidi="ar-SA"/>
                    </w:rPr>
                    <w:t>变动前</w:t>
                  </w:r>
                </w:p>
              </w:tc>
              <w:tc>
                <w:tcPr>
                  <w:tcW w:w="1623" w:type="pct"/>
                  <w:gridSpan w:val="3"/>
                  <w:tcBorders>
                    <w:top w:val="single" w:color="auto" w:sz="12" w:space="0"/>
                  </w:tcBorders>
                  <w:noWrap w:val="0"/>
                  <w:vAlign w:val="center"/>
                </w:tcPr>
                <w:p w14:paraId="42C304C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bCs/>
                      <w:color w:val="auto"/>
                      <w:kern w:val="0"/>
                      <w:sz w:val="21"/>
                      <w:szCs w:val="21"/>
                      <w:vertAlign w:val="baseline"/>
                      <w:lang w:val="en-US" w:eastAsia="zh-CN" w:bidi="ar-SA"/>
                    </w:rPr>
                  </w:pPr>
                  <w:r>
                    <w:rPr>
                      <w:rFonts w:hint="eastAsia" w:cs="Times New Roman"/>
                      <w:b/>
                      <w:bCs/>
                      <w:color w:val="auto"/>
                      <w:kern w:val="0"/>
                      <w:sz w:val="21"/>
                      <w:szCs w:val="21"/>
                      <w:vertAlign w:val="baseline"/>
                      <w:lang w:val="en-US" w:eastAsia="zh-CN" w:bidi="ar-SA"/>
                    </w:rPr>
                    <w:t>变动后</w:t>
                  </w:r>
                </w:p>
              </w:tc>
              <w:tc>
                <w:tcPr>
                  <w:tcW w:w="630" w:type="pct"/>
                  <w:vMerge w:val="restart"/>
                  <w:tcBorders>
                    <w:top w:val="single" w:color="auto" w:sz="12" w:space="0"/>
                  </w:tcBorders>
                  <w:noWrap w:val="0"/>
                  <w:vAlign w:val="center"/>
                </w:tcPr>
                <w:p w14:paraId="5231B95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cs="Times New Roman"/>
                      <w:b/>
                      <w:bCs/>
                      <w:color w:val="auto"/>
                      <w:kern w:val="0"/>
                      <w:sz w:val="21"/>
                      <w:szCs w:val="21"/>
                      <w:vertAlign w:val="baseline"/>
                      <w:lang w:val="en-US" w:eastAsia="zh-CN" w:bidi="ar-SA"/>
                    </w:rPr>
                    <w:t>变动情况</w:t>
                  </w:r>
                </w:p>
              </w:tc>
            </w:tr>
            <w:tr w14:paraId="402056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87" w:type="pct"/>
                  <w:vMerge w:val="continue"/>
                  <w:tcBorders>
                    <w:bottom w:val="single" w:color="auto" w:sz="12" w:space="0"/>
                  </w:tcBorders>
                  <w:noWrap w:val="0"/>
                  <w:vAlign w:val="center"/>
                </w:tcPr>
                <w:p w14:paraId="3DC752E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1114" w:type="pct"/>
                  <w:vMerge w:val="continue"/>
                  <w:tcBorders>
                    <w:bottom w:val="single" w:color="auto" w:sz="12" w:space="0"/>
                  </w:tcBorders>
                  <w:noWrap w:val="0"/>
                  <w:vAlign w:val="center"/>
                </w:tcPr>
                <w:p w14:paraId="5E4A54D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618" w:type="pct"/>
                  <w:tcBorders>
                    <w:bottom w:val="single" w:color="auto" w:sz="12" w:space="0"/>
                  </w:tcBorders>
                  <w:noWrap w:val="0"/>
                  <w:vAlign w:val="center"/>
                </w:tcPr>
                <w:p w14:paraId="04882A2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bCs/>
                      <w:color w:val="auto"/>
                      <w:kern w:val="0"/>
                      <w:sz w:val="21"/>
                      <w:szCs w:val="21"/>
                      <w:vertAlign w:val="baseline"/>
                      <w:lang w:val="en-US" w:eastAsia="zh-CN" w:bidi="ar-SA"/>
                    </w:rPr>
                  </w:pPr>
                  <w:r>
                    <w:rPr>
                      <w:rFonts w:hint="eastAsia" w:cs="Times New Roman"/>
                      <w:b/>
                      <w:bCs/>
                      <w:color w:val="auto"/>
                      <w:kern w:val="0"/>
                      <w:sz w:val="21"/>
                      <w:szCs w:val="21"/>
                      <w:vertAlign w:val="baseline"/>
                      <w:lang w:val="en-US" w:eastAsia="zh-CN" w:bidi="ar-SA"/>
                    </w:rPr>
                    <w:t>生产规模</w:t>
                  </w:r>
                </w:p>
              </w:tc>
              <w:tc>
                <w:tcPr>
                  <w:tcW w:w="725" w:type="pct"/>
                  <w:tcBorders>
                    <w:bottom w:val="single" w:color="auto" w:sz="12" w:space="0"/>
                  </w:tcBorders>
                  <w:noWrap w:val="0"/>
                  <w:vAlign w:val="center"/>
                </w:tcPr>
                <w:p w14:paraId="66AB76E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bCs/>
                      <w:color w:val="auto"/>
                      <w:kern w:val="0"/>
                      <w:sz w:val="21"/>
                      <w:szCs w:val="21"/>
                      <w:vertAlign w:val="baseline"/>
                      <w:lang w:val="en-US" w:eastAsia="zh-CN" w:bidi="ar-SA"/>
                    </w:rPr>
                  </w:pPr>
                  <w:r>
                    <w:rPr>
                      <w:rFonts w:hint="eastAsia" w:cs="Times New Roman"/>
                      <w:b/>
                      <w:bCs/>
                      <w:color w:val="auto"/>
                      <w:kern w:val="0"/>
                      <w:sz w:val="21"/>
                      <w:szCs w:val="21"/>
                      <w:vertAlign w:val="baseline"/>
                      <w:lang w:val="en-US" w:eastAsia="zh-CN" w:bidi="ar-SA"/>
                    </w:rPr>
                    <w:t>去向</w:t>
                  </w:r>
                </w:p>
              </w:tc>
              <w:tc>
                <w:tcPr>
                  <w:tcW w:w="908" w:type="pct"/>
                  <w:gridSpan w:val="2"/>
                  <w:tcBorders>
                    <w:bottom w:val="single" w:color="auto" w:sz="12" w:space="0"/>
                  </w:tcBorders>
                  <w:noWrap w:val="0"/>
                  <w:vAlign w:val="center"/>
                </w:tcPr>
                <w:p w14:paraId="00537FC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kern w:val="0"/>
                      <w:sz w:val="21"/>
                      <w:szCs w:val="21"/>
                      <w:vertAlign w:val="baseline"/>
                      <w:lang w:val="en-US" w:eastAsia="zh-CN" w:bidi="ar-SA"/>
                    </w:rPr>
                    <w:t>生产规模</w:t>
                  </w:r>
                </w:p>
              </w:tc>
              <w:tc>
                <w:tcPr>
                  <w:tcW w:w="715" w:type="pct"/>
                  <w:tcBorders>
                    <w:bottom w:val="single" w:color="auto" w:sz="12" w:space="0"/>
                  </w:tcBorders>
                  <w:noWrap w:val="0"/>
                  <w:vAlign w:val="center"/>
                </w:tcPr>
                <w:p w14:paraId="7D881D9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eastAsia" w:cs="Times New Roman"/>
                      <w:b/>
                      <w:bCs/>
                      <w:color w:val="auto"/>
                      <w:kern w:val="0"/>
                      <w:sz w:val="21"/>
                      <w:szCs w:val="21"/>
                      <w:vertAlign w:val="baseline"/>
                      <w:lang w:val="en-US" w:eastAsia="zh-CN" w:bidi="ar-SA"/>
                    </w:rPr>
                    <w:t>去向</w:t>
                  </w:r>
                </w:p>
              </w:tc>
              <w:tc>
                <w:tcPr>
                  <w:tcW w:w="630" w:type="pct"/>
                  <w:vMerge w:val="continue"/>
                  <w:noWrap w:val="0"/>
                  <w:vAlign w:val="center"/>
                </w:tcPr>
                <w:p w14:paraId="0BD0722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r>
            <w:tr w14:paraId="1468B7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87" w:type="pct"/>
                  <w:tcBorders>
                    <w:top w:val="single" w:color="auto" w:sz="12" w:space="0"/>
                  </w:tcBorders>
                  <w:noWrap w:val="0"/>
                  <w:vAlign w:val="center"/>
                </w:tcPr>
                <w:p w14:paraId="534C1823">
                  <w:pPr>
                    <w:pStyle w:val="31"/>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1114" w:type="pct"/>
                  <w:tcBorders>
                    <w:top w:val="single" w:color="auto" w:sz="12" w:space="0"/>
                  </w:tcBorders>
                  <w:noWrap w:val="0"/>
                  <w:vAlign w:val="center"/>
                </w:tcPr>
                <w:p w14:paraId="22B6671A">
                  <w:pPr>
                    <w:bidi w:val="0"/>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医用退热贴</w:t>
                  </w:r>
                </w:p>
              </w:tc>
              <w:tc>
                <w:tcPr>
                  <w:tcW w:w="618" w:type="pct"/>
                  <w:tcBorders>
                    <w:top w:val="single" w:color="auto" w:sz="12" w:space="0"/>
                  </w:tcBorders>
                  <w:noWrap w:val="0"/>
                  <w:vAlign w:val="center"/>
                </w:tcPr>
                <w:p w14:paraId="7B73E4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6000万片/a</w:t>
                  </w:r>
                </w:p>
              </w:tc>
              <w:tc>
                <w:tcPr>
                  <w:tcW w:w="725" w:type="pct"/>
                  <w:tcBorders>
                    <w:top w:val="single" w:color="auto" w:sz="12" w:space="0"/>
                  </w:tcBorders>
                  <w:noWrap w:val="0"/>
                  <w:vAlign w:val="center"/>
                </w:tcPr>
                <w:p w14:paraId="3F9107E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908" w:type="pct"/>
                  <w:gridSpan w:val="2"/>
                  <w:tcBorders>
                    <w:top w:val="single" w:color="auto" w:sz="12" w:space="0"/>
                  </w:tcBorders>
                  <w:noWrap w:val="0"/>
                  <w:vAlign w:val="center"/>
                </w:tcPr>
                <w:p w14:paraId="4ED8A7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6000万片/a</w:t>
                  </w:r>
                </w:p>
              </w:tc>
              <w:tc>
                <w:tcPr>
                  <w:tcW w:w="715" w:type="pct"/>
                  <w:tcBorders>
                    <w:top w:val="single" w:color="auto" w:sz="12" w:space="0"/>
                  </w:tcBorders>
                  <w:noWrap w:val="0"/>
                  <w:vAlign w:val="center"/>
                </w:tcPr>
                <w:p w14:paraId="699FE86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630" w:type="pct"/>
                  <w:tcBorders>
                    <w:top w:val="single" w:color="auto" w:sz="12" w:space="0"/>
                  </w:tcBorders>
                  <w:noWrap w:val="0"/>
                  <w:vAlign w:val="center"/>
                </w:tcPr>
                <w:p w14:paraId="2426DF7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无变动</w:t>
                  </w:r>
                </w:p>
              </w:tc>
            </w:tr>
            <w:tr w14:paraId="55A18F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7" w:type="pct"/>
                  <w:tcBorders>
                    <w:tl2br w:val="nil"/>
                    <w:tr2bl w:val="nil"/>
                  </w:tcBorders>
                  <w:noWrap w:val="0"/>
                  <w:vAlign w:val="center"/>
                </w:tcPr>
                <w:p w14:paraId="0AF0A586">
                  <w:pPr>
                    <w:pStyle w:val="31"/>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1114" w:type="pct"/>
                  <w:tcBorders>
                    <w:tl2br w:val="nil"/>
                    <w:tr2bl w:val="nil"/>
                  </w:tcBorders>
                  <w:noWrap w:val="0"/>
                  <w:vAlign w:val="center"/>
                </w:tcPr>
                <w:p w14:paraId="0F6EDB5C">
                  <w:pPr>
                    <w:bidi w:val="0"/>
                    <w:jc w:val="center"/>
                    <w:rPr>
                      <w:rFonts w:hint="default" w:ascii="Times New Roman" w:hAnsi="Times New Roman"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生理性海水鼻腔喷雾剂</w:t>
                  </w:r>
                </w:p>
              </w:tc>
              <w:tc>
                <w:tcPr>
                  <w:tcW w:w="618" w:type="pct"/>
                  <w:tcBorders>
                    <w:tl2br w:val="nil"/>
                    <w:tr2bl w:val="nil"/>
                  </w:tcBorders>
                  <w:noWrap w:val="0"/>
                  <w:vAlign w:val="center"/>
                </w:tcPr>
                <w:p w14:paraId="68F9C9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900万瓶/a</w:t>
                  </w:r>
                </w:p>
              </w:tc>
              <w:tc>
                <w:tcPr>
                  <w:tcW w:w="725" w:type="pct"/>
                  <w:tcBorders>
                    <w:tl2br w:val="nil"/>
                    <w:tr2bl w:val="nil"/>
                  </w:tcBorders>
                  <w:noWrap w:val="0"/>
                  <w:vAlign w:val="center"/>
                </w:tcPr>
                <w:p w14:paraId="7BA396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908" w:type="pct"/>
                  <w:gridSpan w:val="2"/>
                  <w:tcBorders>
                    <w:tl2br w:val="nil"/>
                    <w:tr2bl w:val="nil"/>
                  </w:tcBorders>
                  <w:noWrap w:val="0"/>
                  <w:vAlign w:val="center"/>
                </w:tcPr>
                <w:p w14:paraId="70C134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900万瓶/a</w:t>
                  </w:r>
                </w:p>
              </w:tc>
              <w:tc>
                <w:tcPr>
                  <w:tcW w:w="715" w:type="pct"/>
                  <w:tcBorders>
                    <w:tl2br w:val="nil"/>
                    <w:tr2bl w:val="nil"/>
                  </w:tcBorders>
                  <w:noWrap w:val="0"/>
                  <w:vAlign w:val="center"/>
                </w:tcPr>
                <w:p w14:paraId="039B1DB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630" w:type="pct"/>
                  <w:tcBorders>
                    <w:tl2br w:val="nil"/>
                    <w:tr2bl w:val="nil"/>
                  </w:tcBorders>
                  <w:noWrap w:val="0"/>
                  <w:vAlign w:val="center"/>
                </w:tcPr>
                <w:p w14:paraId="466F9FF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无变动</w:t>
                  </w:r>
                </w:p>
              </w:tc>
            </w:tr>
            <w:tr w14:paraId="03B0F3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7" w:type="pct"/>
                  <w:tcBorders>
                    <w:tl2br w:val="nil"/>
                    <w:tr2bl w:val="nil"/>
                  </w:tcBorders>
                  <w:noWrap w:val="0"/>
                  <w:vAlign w:val="center"/>
                </w:tcPr>
                <w:p w14:paraId="3A5BEEA5">
                  <w:pPr>
                    <w:pStyle w:val="31"/>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1114" w:type="pct"/>
                  <w:tcBorders>
                    <w:tl2br w:val="nil"/>
                    <w:tr2bl w:val="nil"/>
                  </w:tcBorders>
                  <w:noWrap w:val="0"/>
                  <w:vAlign w:val="center"/>
                </w:tcPr>
                <w:p w14:paraId="7DA117FC">
                  <w:pPr>
                    <w:bidi w:val="0"/>
                    <w:jc w:val="center"/>
                    <w:rPr>
                      <w:rFonts w:hint="eastAsia"/>
                      <w:color w:val="auto"/>
                      <w:lang w:val="en-US" w:eastAsia="zh-CN"/>
                    </w:rPr>
                  </w:pPr>
                  <w:r>
                    <w:rPr>
                      <w:rFonts w:hint="eastAsia" w:ascii="Times New Roman" w:hAnsi="Times New Roman" w:eastAsia="宋体" w:cs="Times New Roman"/>
                      <w:color w:val="auto"/>
                      <w:kern w:val="0"/>
                      <w:sz w:val="21"/>
                      <w:szCs w:val="19"/>
                      <w:lang w:val="en-US" w:eastAsia="zh-CN" w:bidi="ar"/>
                    </w:rPr>
                    <w:t>医用硅酮疤痕凝胶</w:t>
                  </w:r>
                </w:p>
              </w:tc>
              <w:tc>
                <w:tcPr>
                  <w:tcW w:w="618" w:type="pct"/>
                  <w:tcBorders>
                    <w:tl2br w:val="nil"/>
                    <w:tr2bl w:val="nil"/>
                  </w:tcBorders>
                  <w:noWrap w:val="0"/>
                  <w:vAlign w:val="center"/>
                </w:tcPr>
                <w:p w14:paraId="32B004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300万只/a</w:t>
                  </w:r>
                </w:p>
              </w:tc>
              <w:tc>
                <w:tcPr>
                  <w:tcW w:w="725" w:type="pct"/>
                  <w:tcBorders>
                    <w:tl2br w:val="nil"/>
                    <w:tr2bl w:val="nil"/>
                  </w:tcBorders>
                  <w:noWrap w:val="0"/>
                  <w:vAlign w:val="center"/>
                </w:tcPr>
                <w:p w14:paraId="198D6E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908" w:type="pct"/>
                  <w:gridSpan w:val="2"/>
                  <w:tcBorders>
                    <w:tl2br w:val="nil"/>
                    <w:tr2bl w:val="nil"/>
                  </w:tcBorders>
                  <w:noWrap w:val="0"/>
                  <w:vAlign w:val="center"/>
                </w:tcPr>
                <w:p w14:paraId="4FBC08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300万只/a</w:t>
                  </w:r>
                </w:p>
              </w:tc>
              <w:tc>
                <w:tcPr>
                  <w:tcW w:w="715" w:type="pct"/>
                  <w:tcBorders>
                    <w:tl2br w:val="nil"/>
                    <w:tr2bl w:val="nil"/>
                  </w:tcBorders>
                  <w:noWrap w:val="0"/>
                  <w:vAlign w:val="center"/>
                </w:tcPr>
                <w:p w14:paraId="5CBE36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630" w:type="pct"/>
                  <w:tcBorders>
                    <w:tl2br w:val="nil"/>
                    <w:tr2bl w:val="nil"/>
                  </w:tcBorders>
                  <w:noWrap w:val="0"/>
                  <w:vAlign w:val="center"/>
                </w:tcPr>
                <w:p w14:paraId="24CA0CA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无变动</w:t>
                  </w:r>
                </w:p>
              </w:tc>
            </w:tr>
            <w:tr w14:paraId="4B6C97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7" w:type="pct"/>
                  <w:tcBorders>
                    <w:tl2br w:val="nil"/>
                    <w:tr2bl w:val="nil"/>
                  </w:tcBorders>
                  <w:noWrap w:val="0"/>
                  <w:vAlign w:val="center"/>
                </w:tcPr>
                <w:p w14:paraId="2E8EF89F">
                  <w:pPr>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olor w:val="auto"/>
                      <w:szCs w:val="21"/>
                    </w:rPr>
                    <w:t>4</w:t>
                  </w:r>
                </w:p>
              </w:tc>
              <w:tc>
                <w:tcPr>
                  <w:tcW w:w="1114" w:type="pct"/>
                  <w:tcBorders>
                    <w:tl2br w:val="nil"/>
                    <w:tr2bl w:val="nil"/>
                  </w:tcBorders>
                  <w:noWrap w:val="0"/>
                  <w:vAlign w:val="center"/>
                </w:tcPr>
                <w:p w14:paraId="740E68A8">
                  <w:pPr>
                    <w:widowControl/>
                    <w:jc w:val="center"/>
                    <w:rPr>
                      <w:rFonts w:hint="eastAsia" w:ascii="Times New Roman" w:hAnsi="Times New Roman" w:eastAsia="宋体" w:cs="Times New Roman"/>
                      <w:color w:val="auto"/>
                      <w:kern w:val="0"/>
                      <w:sz w:val="21"/>
                      <w:szCs w:val="19"/>
                      <w:lang w:val="en-US" w:eastAsia="zh-CN" w:bidi="ar"/>
                    </w:rPr>
                  </w:pPr>
                  <w:r>
                    <w:rPr>
                      <w:rFonts w:hint="eastAsia"/>
                      <w:color w:val="auto"/>
                      <w:szCs w:val="19"/>
                      <w:lang w:bidi="ar"/>
                    </w:rPr>
                    <w:t>穴位压力刺激贴</w:t>
                  </w:r>
                </w:p>
              </w:tc>
              <w:tc>
                <w:tcPr>
                  <w:tcW w:w="618" w:type="pct"/>
                  <w:tcBorders>
                    <w:tl2br w:val="nil"/>
                    <w:tr2bl w:val="nil"/>
                  </w:tcBorders>
                  <w:noWrap w:val="0"/>
                  <w:vAlign w:val="center"/>
                </w:tcPr>
                <w:p w14:paraId="65031513">
                  <w:pPr>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kern w:val="0"/>
                      <w:sz w:val="21"/>
                      <w:szCs w:val="21"/>
                      <w:vertAlign w:val="baseline"/>
                      <w:lang w:val="en-US" w:eastAsia="zh-CN" w:bidi="ar-SA"/>
                    </w:rPr>
                    <w:t>/</w:t>
                  </w:r>
                </w:p>
              </w:tc>
              <w:tc>
                <w:tcPr>
                  <w:tcW w:w="725" w:type="pct"/>
                  <w:tcBorders>
                    <w:tl2br w:val="nil"/>
                    <w:tr2bl w:val="nil"/>
                  </w:tcBorders>
                  <w:noWrap w:val="0"/>
                  <w:vAlign w:val="center"/>
                </w:tcPr>
                <w:p w14:paraId="1CB6E93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w:t>
                  </w:r>
                </w:p>
              </w:tc>
              <w:tc>
                <w:tcPr>
                  <w:tcW w:w="908" w:type="pct"/>
                  <w:gridSpan w:val="2"/>
                  <w:tcBorders>
                    <w:tl2br w:val="nil"/>
                    <w:tr2bl w:val="nil"/>
                  </w:tcBorders>
                  <w:noWrap w:val="0"/>
                  <w:vAlign w:val="center"/>
                </w:tcPr>
                <w:p w14:paraId="72533E39">
                  <w:pPr>
                    <w:snapToGrid w:val="0"/>
                    <w:spacing w:line="240" w:lineRule="auto"/>
                    <w:jc w:val="center"/>
                    <w:textAlignment w:val="auto"/>
                    <w:rPr>
                      <w:rFonts w:hint="eastAsia"/>
                      <w:color w:val="auto"/>
                      <w:lang w:val="en-US" w:eastAsia="zh-CN"/>
                    </w:rPr>
                  </w:pPr>
                  <w:r>
                    <w:rPr>
                      <w:rFonts w:hint="eastAsia"/>
                      <w:color w:val="auto"/>
                      <w:szCs w:val="21"/>
                    </w:rPr>
                    <w:t>5000万贴</w:t>
                  </w:r>
                  <w:r>
                    <w:rPr>
                      <w:rFonts w:hint="eastAsia"/>
                      <w:color w:val="auto"/>
                      <w:lang w:val="en-US" w:eastAsia="zh-CN"/>
                    </w:rPr>
                    <w:t>/a</w:t>
                  </w:r>
                </w:p>
              </w:tc>
              <w:tc>
                <w:tcPr>
                  <w:tcW w:w="715" w:type="pct"/>
                  <w:tcBorders>
                    <w:tl2br w:val="nil"/>
                    <w:tr2bl w:val="nil"/>
                  </w:tcBorders>
                  <w:noWrap w:val="0"/>
                  <w:vAlign w:val="center"/>
                </w:tcPr>
                <w:p w14:paraId="6F0D524B">
                  <w:pPr>
                    <w:snapToGrid w:val="0"/>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630" w:type="pct"/>
                  <w:tcBorders>
                    <w:tl2br w:val="nil"/>
                    <w:tr2bl w:val="nil"/>
                  </w:tcBorders>
                  <w:noWrap w:val="0"/>
                  <w:vAlign w:val="center"/>
                </w:tcPr>
                <w:p w14:paraId="06E5770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增加产品</w:t>
                  </w:r>
                </w:p>
              </w:tc>
            </w:tr>
            <w:tr w14:paraId="1B3761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7" w:type="pct"/>
                  <w:tcBorders>
                    <w:tl2br w:val="nil"/>
                    <w:tr2bl w:val="nil"/>
                  </w:tcBorders>
                  <w:noWrap w:val="0"/>
                  <w:vAlign w:val="center"/>
                </w:tcPr>
                <w:p w14:paraId="44903711">
                  <w:pPr>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olor w:val="auto"/>
                      <w:szCs w:val="21"/>
                    </w:rPr>
                    <w:t>5</w:t>
                  </w:r>
                </w:p>
              </w:tc>
              <w:tc>
                <w:tcPr>
                  <w:tcW w:w="1114" w:type="pct"/>
                  <w:tcBorders>
                    <w:tl2br w:val="nil"/>
                    <w:tr2bl w:val="nil"/>
                  </w:tcBorders>
                  <w:noWrap w:val="0"/>
                  <w:vAlign w:val="center"/>
                </w:tcPr>
                <w:p w14:paraId="2D6C860D">
                  <w:pPr>
                    <w:widowControl/>
                    <w:jc w:val="center"/>
                    <w:rPr>
                      <w:rFonts w:hint="eastAsia" w:ascii="Times New Roman" w:hAnsi="Times New Roman" w:eastAsia="宋体" w:cs="Times New Roman"/>
                      <w:color w:val="auto"/>
                      <w:kern w:val="0"/>
                      <w:sz w:val="21"/>
                      <w:szCs w:val="19"/>
                      <w:lang w:val="en-US" w:eastAsia="zh-CN" w:bidi="ar"/>
                    </w:rPr>
                  </w:pPr>
                  <w:r>
                    <w:rPr>
                      <w:rFonts w:hint="eastAsia"/>
                      <w:color w:val="auto"/>
                      <w:szCs w:val="19"/>
                      <w:lang w:bidi="ar"/>
                    </w:rPr>
                    <w:t>通气鼻贴</w:t>
                  </w:r>
                </w:p>
              </w:tc>
              <w:tc>
                <w:tcPr>
                  <w:tcW w:w="618" w:type="pct"/>
                  <w:tcBorders>
                    <w:tl2br w:val="nil"/>
                    <w:tr2bl w:val="nil"/>
                  </w:tcBorders>
                  <w:noWrap w:val="0"/>
                  <w:vAlign w:val="center"/>
                </w:tcPr>
                <w:p w14:paraId="23C61A29">
                  <w:pPr>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kern w:val="0"/>
                      <w:sz w:val="21"/>
                      <w:szCs w:val="21"/>
                      <w:vertAlign w:val="baseline"/>
                      <w:lang w:val="en-US" w:eastAsia="zh-CN" w:bidi="ar-SA"/>
                    </w:rPr>
                    <w:t>/</w:t>
                  </w:r>
                </w:p>
              </w:tc>
              <w:tc>
                <w:tcPr>
                  <w:tcW w:w="725" w:type="pct"/>
                  <w:tcBorders>
                    <w:tl2br w:val="nil"/>
                    <w:tr2bl w:val="nil"/>
                  </w:tcBorders>
                  <w:noWrap w:val="0"/>
                  <w:vAlign w:val="center"/>
                </w:tcPr>
                <w:p w14:paraId="1D6CB39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w:t>
                  </w:r>
                </w:p>
              </w:tc>
              <w:tc>
                <w:tcPr>
                  <w:tcW w:w="908" w:type="pct"/>
                  <w:gridSpan w:val="2"/>
                  <w:tcBorders>
                    <w:tl2br w:val="nil"/>
                    <w:tr2bl w:val="nil"/>
                  </w:tcBorders>
                  <w:noWrap w:val="0"/>
                  <w:vAlign w:val="center"/>
                </w:tcPr>
                <w:p w14:paraId="36F17CFC">
                  <w:pPr>
                    <w:snapToGrid w:val="0"/>
                    <w:spacing w:line="240" w:lineRule="auto"/>
                    <w:jc w:val="center"/>
                    <w:textAlignment w:val="auto"/>
                    <w:rPr>
                      <w:rFonts w:hint="eastAsia"/>
                      <w:color w:val="auto"/>
                      <w:lang w:val="en-US" w:eastAsia="zh-CN"/>
                    </w:rPr>
                  </w:pPr>
                  <w:r>
                    <w:rPr>
                      <w:rFonts w:hint="eastAsia"/>
                      <w:color w:val="auto"/>
                      <w:szCs w:val="21"/>
                    </w:rPr>
                    <w:t>5000万贴</w:t>
                  </w:r>
                  <w:r>
                    <w:rPr>
                      <w:rFonts w:hint="eastAsia"/>
                      <w:color w:val="auto"/>
                      <w:lang w:val="en-US" w:eastAsia="zh-CN"/>
                    </w:rPr>
                    <w:t>/a</w:t>
                  </w:r>
                </w:p>
              </w:tc>
              <w:tc>
                <w:tcPr>
                  <w:tcW w:w="715" w:type="pct"/>
                  <w:tcBorders>
                    <w:tl2br w:val="nil"/>
                    <w:tr2bl w:val="nil"/>
                  </w:tcBorders>
                  <w:noWrap w:val="0"/>
                  <w:vAlign w:val="center"/>
                </w:tcPr>
                <w:p w14:paraId="3A82EDB2">
                  <w:pPr>
                    <w:snapToGrid w:val="0"/>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630" w:type="pct"/>
                  <w:tcBorders>
                    <w:tl2br w:val="nil"/>
                    <w:tr2bl w:val="nil"/>
                  </w:tcBorders>
                  <w:noWrap w:val="0"/>
                  <w:vAlign w:val="center"/>
                </w:tcPr>
                <w:p w14:paraId="7637401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增加产品</w:t>
                  </w:r>
                </w:p>
              </w:tc>
            </w:tr>
            <w:tr w14:paraId="6AEB7D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7" w:type="pct"/>
                  <w:tcBorders>
                    <w:tl2br w:val="nil"/>
                    <w:tr2bl w:val="nil"/>
                  </w:tcBorders>
                  <w:noWrap w:val="0"/>
                  <w:vAlign w:val="center"/>
                </w:tcPr>
                <w:p w14:paraId="51447CC0">
                  <w:pPr>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olor w:val="auto"/>
                      <w:szCs w:val="21"/>
                    </w:rPr>
                    <w:t>6</w:t>
                  </w:r>
                </w:p>
              </w:tc>
              <w:tc>
                <w:tcPr>
                  <w:tcW w:w="1114" w:type="pct"/>
                  <w:tcBorders>
                    <w:tl2br w:val="nil"/>
                    <w:tr2bl w:val="nil"/>
                  </w:tcBorders>
                  <w:noWrap w:val="0"/>
                  <w:vAlign w:val="center"/>
                </w:tcPr>
                <w:p w14:paraId="02A8928D">
                  <w:pPr>
                    <w:widowControl/>
                    <w:jc w:val="center"/>
                    <w:rPr>
                      <w:rFonts w:hint="eastAsia" w:ascii="Times New Roman" w:hAnsi="Times New Roman" w:eastAsia="宋体" w:cs="Times New Roman"/>
                      <w:color w:val="auto"/>
                      <w:kern w:val="0"/>
                      <w:sz w:val="21"/>
                      <w:szCs w:val="19"/>
                      <w:lang w:val="en-US" w:eastAsia="zh-CN" w:bidi="ar"/>
                    </w:rPr>
                  </w:pPr>
                  <w:r>
                    <w:rPr>
                      <w:rFonts w:hint="eastAsia"/>
                      <w:color w:val="auto"/>
                      <w:szCs w:val="19"/>
                      <w:lang w:bidi="ar"/>
                    </w:rPr>
                    <w:t>重组胶原蛋白贴</w:t>
                  </w:r>
                </w:p>
              </w:tc>
              <w:tc>
                <w:tcPr>
                  <w:tcW w:w="618" w:type="pct"/>
                  <w:tcBorders>
                    <w:tl2br w:val="nil"/>
                    <w:tr2bl w:val="nil"/>
                  </w:tcBorders>
                  <w:noWrap w:val="0"/>
                  <w:vAlign w:val="center"/>
                </w:tcPr>
                <w:p w14:paraId="71CCAF0F">
                  <w:pPr>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kern w:val="0"/>
                      <w:sz w:val="21"/>
                      <w:szCs w:val="21"/>
                      <w:vertAlign w:val="baseline"/>
                      <w:lang w:val="en-US" w:eastAsia="zh-CN" w:bidi="ar-SA"/>
                    </w:rPr>
                    <w:t>/</w:t>
                  </w:r>
                </w:p>
              </w:tc>
              <w:tc>
                <w:tcPr>
                  <w:tcW w:w="725" w:type="pct"/>
                  <w:tcBorders>
                    <w:tl2br w:val="nil"/>
                    <w:tr2bl w:val="nil"/>
                  </w:tcBorders>
                  <w:noWrap w:val="0"/>
                  <w:vAlign w:val="center"/>
                </w:tcPr>
                <w:p w14:paraId="68E67E6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w:t>
                  </w:r>
                </w:p>
              </w:tc>
              <w:tc>
                <w:tcPr>
                  <w:tcW w:w="908" w:type="pct"/>
                  <w:gridSpan w:val="2"/>
                  <w:tcBorders>
                    <w:tl2br w:val="nil"/>
                    <w:tr2bl w:val="nil"/>
                  </w:tcBorders>
                  <w:noWrap w:val="0"/>
                  <w:vAlign w:val="center"/>
                </w:tcPr>
                <w:p w14:paraId="7A030FCD">
                  <w:pPr>
                    <w:snapToGrid w:val="0"/>
                    <w:spacing w:line="240" w:lineRule="auto"/>
                    <w:jc w:val="center"/>
                    <w:textAlignment w:val="auto"/>
                    <w:rPr>
                      <w:rFonts w:hint="eastAsia"/>
                      <w:color w:val="auto"/>
                      <w:lang w:val="en-US" w:eastAsia="zh-CN"/>
                    </w:rPr>
                  </w:pPr>
                  <w:r>
                    <w:rPr>
                      <w:rFonts w:hint="eastAsia"/>
                      <w:color w:val="auto"/>
                      <w:szCs w:val="21"/>
                    </w:rPr>
                    <w:t>500万片</w:t>
                  </w:r>
                  <w:r>
                    <w:rPr>
                      <w:rFonts w:hint="eastAsia"/>
                      <w:color w:val="auto"/>
                      <w:lang w:val="en-US" w:eastAsia="zh-CN"/>
                    </w:rPr>
                    <w:t>/a</w:t>
                  </w:r>
                </w:p>
              </w:tc>
              <w:tc>
                <w:tcPr>
                  <w:tcW w:w="715" w:type="pct"/>
                  <w:tcBorders>
                    <w:tl2br w:val="nil"/>
                    <w:tr2bl w:val="nil"/>
                  </w:tcBorders>
                  <w:noWrap w:val="0"/>
                  <w:vAlign w:val="center"/>
                </w:tcPr>
                <w:p w14:paraId="12754139">
                  <w:pPr>
                    <w:snapToGrid w:val="0"/>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630" w:type="pct"/>
                  <w:tcBorders>
                    <w:tl2br w:val="nil"/>
                    <w:tr2bl w:val="nil"/>
                  </w:tcBorders>
                  <w:noWrap w:val="0"/>
                  <w:vAlign w:val="center"/>
                </w:tcPr>
                <w:p w14:paraId="0C6506E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增加产品</w:t>
                  </w:r>
                </w:p>
              </w:tc>
            </w:tr>
            <w:tr w14:paraId="5C720F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287" w:type="pct"/>
                  <w:vMerge w:val="restart"/>
                  <w:tcBorders>
                    <w:tl2br w:val="nil"/>
                    <w:tr2bl w:val="nil"/>
                  </w:tcBorders>
                  <w:noWrap w:val="0"/>
                  <w:vAlign w:val="center"/>
                </w:tcPr>
                <w:p w14:paraId="081ED246">
                  <w:pPr>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olor w:val="auto"/>
                      <w:szCs w:val="21"/>
                    </w:rPr>
                    <w:t>7</w:t>
                  </w:r>
                </w:p>
              </w:tc>
              <w:tc>
                <w:tcPr>
                  <w:tcW w:w="1114" w:type="pct"/>
                  <w:vMerge w:val="restart"/>
                  <w:tcBorders>
                    <w:tl2br w:val="nil"/>
                    <w:tr2bl w:val="nil"/>
                  </w:tcBorders>
                  <w:noWrap w:val="0"/>
                  <w:vAlign w:val="center"/>
                </w:tcPr>
                <w:p w14:paraId="7BB1DA59">
                  <w:pPr>
                    <w:widowControl/>
                    <w:jc w:val="center"/>
                    <w:rPr>
                      <w:rFonts w:hint="eastAsia" w:ascii="Times New Roman" w:hAnsi="Times New Roman" w:eastAsia="宋体" w:cs="Times New Roman"/>
                      <w:color w:val="auto"/>
                      <w:kern w:val="0"/>
                      <w:sz w:val="21"/>
                      <w:szCs w:val="19"/>
                      <w:lang w:val="en-US" w:eastAsia="zh-CN" w:bidi="ar"/>
                    </w:rPr>
                  </w:pPr>
                  <w:r>
                    <w:rPr>
                      <w:rFonts w:hint="eastAsia"/>
                      <w:color w:val="auto"/>
                      <w:szCs w:val="19"/>
                      <w:lang w:bidi="ar"/>
                    </w:rPr>
                    <w:t>壳聚糖止血粉</w:t>
                  </w:r>
                </w:p>
              </w:tc>
              <w:tc>
                <w:tcPr>
                  <w:tcW w:w="618" w:type="pct"/>
                  <w:vMerge w:val="restart"/>
                  <w:tcBorders>
                    <w:tl2br w:val="nil"/>
                    <w:tr2bl w:val="nil"/>
                  </w:tcBorders>
                  <w:noWrap w:val="0"/>
                  <w:vAlign w:val="center"/>
                </w:tcPr>
                <w:p w14:paraId="631AC288">
                  <w:pPr>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kern w:val="0"/>
                      <w:sz w:val="21"/>
                      <w:szCs w:val="21"/>
                      <w:vertAlign w:val="baseline"/>
                      <w:lang w:val="en-US" w:eastAsia="zh-CN" w:bidi="ar-SA"/>
                    </w:rPr>
                    <w:t>/</w:t>
                  </w:r>
                </w:p>
              </w:tc>
              <w:tc>
                <w:tcPr>
                  <w:tcW w:w="725" w:type="pct"/>
                  <w:vMerge w:val="restart"/>
                  <w:tcBorders>
                    <w:tl2br w:val="nil"/>
                    <w:tr2bl w:val="nil"/>
                  </w:tcBorders>
                  <w:noWrap w:val="0"/>
                  <w:vAlign w:val="center"/>
                </w:tcPr>
                <w:p w14:paraId="1B6A11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w:t>
                  </w:r>
                </w:p>
              </w:tc>
              <w:tc>
                <w:tcPr>
                  <w:tcW w:w="297" w:type="pct"/>
                  <w:tcBorders>
                    <w:tl2br w:val="nil"/>
                    <w:tr2bl w:val="nil"/>
                  </w:tcBorders>
                  <w:noWrap w:val="0"/>
                  <w:vAlign w:val="center"/>
                </w:tcPr>
                <w:p w14:paraId="56437EDE">
                  <w:pPr>
                    <w:snapToGrid w:val="0"/>
                    <w:spacing w:line="240" w:lineRule="auto"/>
                    <w:jc w:val="center"/>
                    <w:textAlignment w:val="auto"/>
                    <w:rPr>
                      <w:rFonts w:hint="default"/>
                      <w:color w:val="auto"/>
                      <w:lang w:val="en-US" w:eastAsia="zh-CN"/>
                    </w:rPr>
                  </w:pPr>
                  <w:r>
                    <w:rPr>
                      <w:rFonts w:hint="eastAsia"/>
                      <w:color w:val="auto"/>
                      <w:lang w:val="en-US" w:eastAsia="zh-CN"/>
                    </w:rPr>
                    <w:t>1g</w:t>
                  </w:r>
                </w:p>
              </w:tc>
              <w:tc>
                <w:tcPr>
                  <w:tcW w:w="610" w:type="pct"/>
                  <w:tcBorders>
                    <w:tl2br w:val="nil"/>
                    <w:tr2bl w:val="nil"/>
                  </w:tcBorders>
                  <w:noWrap w:val="0"/>
                  <w:vAlign w:val="center"/>
                </w:tcPr>
                <w:p w14:paraId="54945AF6">
                  <w:pPr>
                    <w:snapToGrid w:val="0"/>
                    <w:spacing w:line="240" w:lineRule="auto"/>
                    <w:jc w:val="center"/>
                    <w:textAlignment w:val="auto"/>
                    <w:rPr>
                      <w:rFonts w:hint="eastAsia"/>
                      <w:color w:val="auto"/>
                      <w:szCs w:val="21"/>
                    </w:rPr>
                  </w:pPr>
                  <w:r>
                    <w:rPr>
                      <w:rFonts w:hint="eastAsia"/>
                      <w:color w:val="auto"/>
                      <w:szCs w:val="21"/>
                      <w:lang w:val="en-US" w:eastAsia="zh-CN"/>
                    </w:rPr>
                    <w:t>1</w:t>
                  </w:r>
                  <w:r>
                    <w:rPr>
                      <w:rFonts w:hint="eastAsia"/>
                      <w:color w:val="auto"/>
                      <w:szCs w:val="21"/>
                    </w:rPr>
                    <w:t>00万瓶</w:t>
                  </w:r>
                  <w:r>
                    <w:rPr>
                      <w:rFonts w:hint="eastAsia"/>
                      <w:color w:val="auto"/>
                      <w:lang w:val="en-US" w:eastAsia="zh-CN"/>
                    </w:rPr>
                    <w:t>/a</w:t>
                  </w:r>
                </w:p>
              </w:tc>
              <w:tc>
                <w:tcPr>
                  <w:tcW w:w="715" w:type="pct"/>
                  <w:tcBorders>
                    <w:tl2br w:val="nil"/>
                    <w:tr2bl w:val="nil"/>
                  </w:tcBorders>
                  <w:noWrap w:val="0"/>
                  <w:vAlign w:val="center"/>
                </w:tcPr>
                <w:p w14:paraId="7FAF28AD">
                  <w:pPr>
                    <w:snapToGrid w:val="0"/>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630" w:type="pct"/>
                  <w:tcBorders>
                    <w:tl2br w:val="nil"/>
                    <w:tr2bl w:val="nil"/>
                  </w:tcBorders>
                  <w:noWrap w:val="0"/>
                  <w:vAlign w:val="center"/>
                </w:tcPr>
                <w:p w14:paraId="026A226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增加产品</w:t>
                  </w:r>
                </w:p>
              </w:tc>
            </w:tr>
            <w:tr w14:paraId="532FE3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287" w:type="pct"/>
                  <w:vMerge w:val="continue"/>
                  <w:tcBorders>
                    <w:tl2br w:val="nil"/>
                    <w:tr2bl w:val="nil"/>
                  </w:tcBorders>
                  <w:noWrap w:val="0"/>
                  <w:vAlign w:val="center"/>
                </w:tcPr>
                <w:p w14:paraId="7D2ADD30">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rPr>
                  </w:pPr>
                </w:p>
              </w:tc>
              <w:tc>
                <w:tcPr>
                  <w:tcW w:w="1114" w:type="pct"/>
                  <w:vMerge w:val="continue"/>
                  <w:tcBorders>
                    <w:tl2br w:val="nil"/>
                    <w:tr2bl w:val="nil"/>
                  </w:tcBorders>
                  <w:noWrap w:val="0"/>
                  <w:vAlign w:val="center"/>
                </w:tcPr>
                <w:p w14:paraId="1187C11C">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rPr>
                  </w:pPr>
                </w:p>
              </w:tc>
              <w:tc>
                <w:tcPr>
                  <w:tcW w:w="618" w:type="pct"/>
                  <w:vMerge w:val="continue"/>
                  <w:tcBorders>
                    <w:tl2br w:val="nil"/>
                    <w:tr2bl w:val="nil"/>
                  </w:tcBorders>
                  <w:noWrap w:val="0"/>
                  <w:vAlign w:val="center"/>
                </w:tcPr>
                <w:p w14:paraId="54F6CD4D">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rPr>
                  </w:pPr>
                </w:p>
              </w:tc>
              <w:tc>
                <w:tcPr>
                  <w:tcW w:w="725" w:type="pct"/>
                  <w:vMerge w:val="continue"/>
                  <w:tcBorders>
                    <w:tl2br w:val="nil"/>
                    <w:tr2bl w:val="nil"/>
                  </w:tcBorders>
                  <w:noWrap w:val="0"/>
                  <w:vAlign w:val="center"/>
                </w:tcPr>
                <w:p w14:paraId="52D63803">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rPr>
                  </w:pPr>
                </w:p>
              </w:tc>
              <w:tc>
                <w:tcPr>
                  <w:tcW w:w="297" w:type="pct"/>
                  <w:tcBorders>
                    <w:tl2br w:val="nil"/>
                    <w:tr2bl w:val="nil"/>
                  </w:tcBorders>
                  <w:noWrap w:val="0"/>
                  <w:vAlign w:val="center"/>
                </w:tcPr>
                <w:p w14:paraId="794E91A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3g</w:t>
                  </w:r>
                </w:p>
              </w:tc>
              <w:tc>
                <w:tcPr>
                  <w:tcW w:w="610" w:type="pct"/>
                  <w:tcBorders>
                    <w:tl2br w:val="nil"/>
                    <w:tr2bl w:val="nil"/>
                  </w:tcBorders>
                  <w:noWrap w:val="0"/>
                  <w:vAlign w:val="center"/>
                </w:tcPr>
                <w:p w14:paraId="4345A30D">
                  <w:pPr>
                    <w:snapToGrid w:val="0"/>
                    <w:spacing w:line="240" w:lineRule="auto"/>
                    <w:jc w:val="center"/>
                    <w:textAlignment w:val="auto"/>
                    <w:rPr>
                      <w:rFonts w:hint="eastAsia"/>
                      <w:color w:val="auto"/>
                      <w:szCs w:val="21"/>
                    </w:rPr>
                  </w:pPr>
                  <w:r>
                    <w:rPr>
                      <w:rFonts w:hint="eastAsia"/>
                      <w:color w:val="auto"/>
                      <w:szCs w:val="21"/>
                      <w:lang w:val="en-US" w:eastAsia="zh-CN"/>
                    </w:rPr>
                    <w:t>1</w:t>
                  </w:r>
                  <w:r>
                    <w:rPr>
                      <w:rFonts w:hint="eastAsia"/>
                      <w:color w:val="auto"/>
                      <w:szCs w:val="21"/>
                    </w:rPr>
                    <w:t>00万</w:t>
                  </w:r>
                  <w:r>
                    <w:rPr>
                      <w:rFonts w:hint="eastAsia"/>
                      <w:color w:val="auto"/>
                      <w:szCs w:val="21"/>
                      <w:lang w:val="en-US" w:eastAsia="zh-CN"/>
                    </w:rPr>
                    <w:t>袋</w:t>
                  </w:r>
                  <w:r>
                    <w:rPr>
                      <w:rFonts w:hint="eastAsia"/>
                      <w:color w:val="auto"/>
                      <w:lang w:val="en-US" w:eastAsia="zh-CN"/>
                    </w:rPr>
                    <w:t>/a</w:t>
                  </w:r>
                </w:p>
              </w:tc>
              <w:tc>
                <w:tcPr>
                  <w:tcW w:w="715" w:type="pct"/>
                  <w:tcBorders>
                    <w:tl2br w:val="nil"/>
                    <w:tr2bl w:val="nil"/>
                  </w:tcBorders>
                  <w:noWrap w:val="0"/>
                  <w:vAlign w:val="center"/>
                </w:tcPr>
                <w:p w14:paraId="5465E1F4">
                  <w:pPr>
                    <w:snapToGrid w:val="0"/>
                    <w:spacing w:line="240" w:lineRule="auto"/>
                    <w:jc w:val="center"/>
                    <w:textAlignment w:val="auto"/>
                    <w:rPr>
                      <w:rFonts w:hint="eastAsia"/>
                      <w:color w:val="auto"/>
                      <w:szCs w:val="21"/>
                    </w:rPr>
                  </w:pPr>
                  <w:r>
                    <w:rPr>
                      <w:rFonts w:hint="eastAsia" w:cs="Times New Roman"/>
                      <w:b w:val="0"/>
                      <w:bCs w:val="0"/>
                      <w:color w:val="auto"/>
                      <w:kern w:val="0"/>
                      <w:sz w:val="21"/>
                      <w:szCs w:val="21"/>
                      <w:vertAlign w:val="baseline"/>
                      <w:lang w:val="en-US" w:eastAsia="zh-CN" w:bidi="ar-SA"/>
                    </w:rPr>
                    <w:t>外售</w:t>
                  </w:r>
                </w:p>
              </w:tc>
              <w:tc>
                <w:tcPr>
                  <w:tcW w:w="630" w:type="pct"/>
                  <w:tcBorders>
                    <w:tl2br w:val="nil"/>
                    <w:tr2bl w:val="nil"/>
                  </w:tcBorders>
                  <w:noWrap w:val="0"/>
                  <w:vAlign w:val="center"/>
                </w:tcPr>
                <w:p w14:paraId="6AED6B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ascii="Times New Roman" w:hAnsi="Times New Roman" w:eastAsia="宋体" w:cs="Times New Roman"/>
                      <w:b w:val="0"/>
                      <w:bCs w:val="0"/>
                      <w:color w:val="auto"/>
                      <w:kern w:val="0"/>
                      <w:sz w:val="21"/>
                      <w:szCs w:val="21"/>
                      <w:vertAlign w:val="baseline"/>
                      <w:lang w:val="en-US" w:eastAsia="zh-CN" w:bidi="ar-SA"/>
                    </w:rPr>
                    <w:t>增加产品</w:t>
                  </w:r>
                </w:p>
              </w:tc>
            </w:tr>
            <w:tr w14:paraId="5DA221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7" w:type="pct"/>
                  <w:tcBorders>
                    <w:tl2br w:val="nil"/>
                    <w:tr2bl w:val="nil"/>
                  </w:tcBorders>
                  <w:noWrap w:val="0"/>
                  <w:vAlign w:val="center"/>
                </w:tcPr>
                <w:p w14:paraId="09EB6B08">
                  <w:pPr>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olor w:val="auto"/>
                      <w:szCs w:val="21"/>
                    </w:rPr>
                    <w:t>8</w:t>
                  </w:r>
                </w:p>
              </w:tc>
              <w:tc>
                <w:tcPr>
                  <w:tcW w:w="1114" w:type="pct"/>
                  <w:tcBorders>
                    <w:tl2br w:val="nil"/>
                    <w:tr2bl w:val="nil"/>
                  </w:tcBorders>
                  <w:noWrap w:val="0"/>
                  <w:vAlign w:val="center"/>
                </w:tcPr>
                <w:p w14:paraId="51AC6AB2">
                  <w:pPr>
                    <w:widowControl/>
                    <w:jc w:val="center"/>
                    <w:rPr>
                      <w:rFonts w:hint="eastAsia" w:ascii="Times New Roman" w:hAnsi="Times New Roman" w:eastAsia="宋体" w:cs="Times New Roman"/>
                      <w:color w:val="auto"/>
                      <w:kern w:val="0"/>
                      <w:sz w:val="21"/>
                      <w:szCs w:val="19"/>
                      <w:lang w:val="en-US" w:eastAsia="zh-CN" w:bidi="ar"/>
                    </w:rPr>
                  </w:pPr>
                  <w:r>
                    <w:rPr>
                      <w:rFonts w:hint="eastAsia"/>
                      <w:color w:val="auto"/>
                      <w:szCs w:val="19"/>
                      <w:lang w:bidi="ar"/>
                    </w:rPr>
                    <w:t>医用透明质酸钠敷贴</w:t>
                  </w:r>
                </w:p>
              </w:tc>
              <w:tc>
                <w:tcPr>
                  <w:tcW w:w="618" w:type="pct"/>
                  <w:tcBorders>
                    <w:tl2br w:val="nil"/>
                    <w:tr2bl w:val="nil"/>
                  </w:tcBorders>
                  <w:noWrap w:val="0"/>
                  <w:vAlign w:val="center"/>
                </w:tcPr>
                <w:p w14:paraId="0592B960">
                  <w:pPr>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kern w:val="0"/>
                      <w:sz w:val="21"/>
                      <w:szCs w:val="21"/>
                      <w:vertAlign w:val="baseline"/>
                      <w:lang w:val="en-US" w:eastAsia="zh-CN" w:bidi="ar-SA"/>
                    </w:rPr>
                    <w:t>/</w:t>
                  </w:r>
                </w:p>
              </w:tc>
              <w:tc>
                <w:tcPr>
                  <w:tcW w:w="725" w:type="pct"/>
                  <w:tcBorders>
                    <w:tl2br w:val="nil"/>
                    <w:tr2bl w:val="nil"/>
                  </w:tcBorders>
                  <w:noWrap w:val="0"/>
                  <w:vAlign w:val="center"/>
                </w:tcPr>
                <w:p w14:paraId="72BB21D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w:t>
                  </w:r>
                </w:p>
              </w:tc>
              <w:tc>
                <w:tcPr>
                  <w:tcW w:w="908" w:type="pct"/>
                  <w:gridSpan w:val="2"/>
                  <w:tcBorders>
                    <w:tl2br w:val="nil"/>
                    <w:tr2bl w:val="nil"/>
                  </w:tcBorders>
                  <w:noWrap w:val="0"/>
                  <w:vAlign w:val="center"/>
                </w:tcPr>
                <w:p w14:paraId="6081BB8F">
                  <w:pPr>
                    <w:snapToGrid w:val="0"/>
                    <w:spacing w:line="240" w:lineRule="auto"/>
                    <w:jc w:val="center"/>
                    <w:textAlignment w:val="auto"/>
                    <w:rPr>
                      <w:rFonts w:hint="eastAsia"/>
                      <w:color w:val="auto"/>
                      <w:lang w:val="en-US" w:eastAsia="zh-CN"/>
                    </w:rPr>
                  </w:pPr>
                  <w:r>
                    <w:rPr>
                      <w:rFonts w:hint="eastAsia"/>
                      <w:color w:val="auto"/>
                      <w:szCs w:val="21"/>
                    </w:rPr>
                    <w:t>500万片</w:t>
                  </w:r>
                  <w:r>
                    <w:rPr>
                      <w:rFonts w:hint="eastAsia"/>
                      <w:color w:val="auto"/>
                      <w:lang w:val="en-US" w:eastAsia="zh-CN"/>
                    </w:rPr>
                    <w:t>/a</w:t>
                  </w:r>
                </w:p>
              </w:tc>
              <w:tc>
                <w:tcPr>
                  <w:tcW w:w="715" w:type="pct"/>
                  <w:tcBorders>
                    <w:tl2br w:val="nil"/>
                    <w:tr2bl w:val="nil"/>
                  </w:tcBorders>
                  <w:noWrap w:val="0"/>
                  <w:vAlign w:val="center"/>
                </w:tcPr>
                <w:p w14:paraId="423591C6">
                  <w:pPr>
                    <w:snapToGrid w:val="0"/>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630" w:type="pct"/>
                  <w:tcBorders>
                    <w:tl2br w:val="nil"/>
                    <w:tr2bl w:val="nil"/>
                  </w:tcBorders>
                  <w:noWrap w:val="0"/>
                  <w:vAlign w:val="center"/>
                </w:tcPr>
                <w:p w14:paraId="03E77D9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增加产品</w:t>
                  </w:r>
                </w:p>
              </w:tc>
            </w:tr>
            <w:tr w14:paraId="752DE1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7" w:type="pct"/>
                  <w:tcBorders>
                    <w:tl2br w:val="nil"/>
                    <w:tr2bl w:val="nil"/>
                  </w:tcBorders>
                  <w:noWrap w:val="0"/>
                  <w:vAlign w:val="center"/>
                </w:tcPr>
                <w:p w14:paraId="73B20889">
                  <w:pPr>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olor w:val="auto"/>
                      <w:szCs w:val="21"/>
                    </w:rPr>
                    <w:t>9</w:t>
                  </w:r>
                </w:p>
              </w:tc>
              <w:tc>
                <w:tcPr>
                  <w:tcW w:w="1114" w:type="pct"/>
                  <w:tcBorders>
                    <w:tl2br w:val="nil"/>
                    <w:tr2bl w:val="nil"/>
                  </w:tcBorders>
                  <w:noWrap w:val="0"/>
                  <w:vAlign w:val="center"/>
                </w:tcPr>
                <w:p w14:paraId="4D7FB8E4">
                  <w:pPr>
                    <w:widowControl/>
                    <w:jc w:val="center"/>
                    <w:rPr>
                      <w:rFonts w:hint="eastAsia" w:ascii="Times New Roman" w:hAnsi="Times New Roman" w:eastAsia="宋体" w:cs="Times New Roman"/>
                      <w:color w:val="auto"/>
                      <w:kern w:val="0"/>
                      <w:sz w:val="21"/>
                      <w:szCs w:val="19"/>
                      <w:lang w:val="en-US" w:eastAsia="zh-CN" w:bidi="ar"/>
                    </w:rPr>
                  </w:pPr>
                  <w:r>
                    <w:rPr>
                      <w:rFonts w:hint="eastAsia"/>
                      <w:color w:val="auto"/>
                      <w:szCs w:val="19"/>
                      <w:lang w:bidi="ar"/>
                    </w:rPr>
                    <w:t>创口贴</w:t>
                  </w:r>
                </w:p>
              </w:tc>
              <w:tc>
                <w:tcPr>
                  <w:tcW w:w="618" w:type="pct"/>
                  <w:tcBorders>
                    <w:tl2br w:val="nil"/>
                    <w:tr2bl w:val="nil"/>
                  </w:tcBorders>
                  <w:noWrap w:val="0"/>
                  <w:vAlign w:val="center"/>
                </w:tcPr>
                <w:p w14:paraId="719614C3">
                  <w:pPr>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kern w:val="0"/>
                      <w:sz w:val="21"/>
                      <w:szCs w:val="21"/>
                      <w:vertAlign w:val="baseline"/>
                      <w:lang w:val="en-US" w:eastAsia="zh-CN" w:bidi="ar-SA"/>
                    </w:rPr>
                    <w:t>/</w:t>
                  </w:r>
                </w:p>
              </w:tc>
              <w:tc>
                <w:tcPr>
                  <w:tcW w:w="725" w:type="pct"/>
                  <w:tcBorders>
                    <w:tl2br w:val="nil"/>
                    <w:tr2bl w:val="nil"/>
                  </w:tcBorders>
                  <w:noWrap w:val="0"/>
                  <w:vAlign w:val="center"/>
                </w:tcPr>
                <w:p w14:paraId="25F3619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w:t>
                  </w:r>
                </w:p>
              </w:tc>
              <w:tc>
                <w:tcPr>
                  <w:tcW w:w="908" w:type="pct"/>
                  <w:gridSpan w:val="2"/>
                  <w:tcBorders>
                    <w:tl2br w:val="nil"/>
                    <w:tr2bl w:val="nil"/>
                  </w:tcBorders>
                  <w:noWrap w:val="0"/>
                  <w:vAlign w:val="center"/>
                </w:tcPr>
                <w:p w14:paraId="73900C31">
                  <w:pPr>
                    <w:snapToGrid w:val="0"/>
                    <w:spacing w:line="240" w:lineRule="auto"/>
                    <w:jc w:val="center"/>
                    <w:textAlignment w:val="auto"/>
                    <w:rPr>
                      <w:rFonts w:hint="eastAsia"/>
                      <w:color w:val="auto"/>
                      <w:lang w:val="en-US" w:eastAsia="zh-CN"/>
                    </w:rPr>
                  </w:pPr>
                  <w:r>
                    <w:rPr>
                      <w:rFonts w:hint="eastAsia"/>
                      <w:color w:val="auto"/>
                      <w:szCs w:val="21"/>
                    </w:rPr>
                    <w:t>5000万贴</w:t>
                  </w:r>
                  <w:r>
                    <w:rPr>
                      <w:rFonts w:hint="eastAsia"/>
                      <w:color w:val="auto"/>
                      <w:lang w:val="en-US" w:eastAsia="zh-CN"/>
                    </w:rPr>
                    <w:t>/a</w:t>
                  </w:r>
                </w:p>
              </w:tc>
              <w:tc>
                <w:tcPr>
                  <w:tcW w:w="715" w:type="pct"/>
                  <w:tcBorders>
                    <w:tl2br w:val="nil"/>
                    <w:tr2bl w:val="nil"/>
                  </w:tcBorders>
                  <w:noWrap w:val="0"/>
                  <w:vAlign w:val="center"/>
                </w:tcPr>
                <w:p w14:paraId="50F9C48E">
                  <w:pPr>
                    <w:snapToGrid w:val="0"/>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630" w:type="pct"/>
                  <w:tcBorders>
                    <w:tl2br w:val="nil"/>
                    <w:tr2bl w:val="nil"/>
                  </w:tcBorders>
                  <w:noWrap w:val="0"/>
                  <w:vAlign w:val="center"/>
                </w:tcPr>
                <w:p w14:paraId="7A9905D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增加产品</w:t>
                  </w:r>
                </w:p>
              </w:tc>
            </w:tr>
            <w:tr w14:paraId="7C78B8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87" w:type="pct"/>
                  <w:tcBorders>
                    <w:tl2br w:val="nil"/>
                    <w:tr2bl w:val="nil"/>
                  </w:tcBorders>
                  <w:noWrap w:val="0"/>
                  <w:vAlign w:val="center"/>
                </w:tcPr>
                <w:p w14:paraId="195F65D0">
                  <w:pPr>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olor w:val="auto"/>
                      <w:szCs w:val="21"/>
                    </w:rPr>
                    <w:t>10</w:t>
                  </w:r>
                </w:p>
              </w:tc>
              <w:tc>
                <w:tcPr>
                  <w:tcW w:w="1114" w:type="pct"/>
                  <w:tcBorders>
                    <w:tl2br w:val="nil"/>
                    <w:tr2bl w:val="nil"/>
                  </w:tcBorders>
                  <w:noWrap w:val="0"/>
                  <w:vAlign w:val="center"/>
                </w:tcPr>
                <w:p w14:paraId="4D051698">
                  <w:pPr>
                    <w:widowControl/>
                    <w:jc w:val="center"/>
                    <w:rPr>
                      <w:rFonts w:hint="eastAsia" w:ascii="Times New Roman" w:hAnsi="Times New Roman" w:eastAsia="宋体" w:cs="Times New Roman"/>
                      <w:color w:val="auto"/>
                      <w:kern w:val="0"/>
                      <w:sz w:val="21"/>
                      <w:szCs w:val="19"/>
                      <w:lang w:val="en-US" w:eastAsia="zh-CN" w:bidi="ar"/>
                    </w:rPr>
                  </w:pPr>
                  <w:r>
                    <w:rPr>
                      <w:rFonts w:hint="eastAsia"/>
                      <w:color w:val="auto"/>
                      <w:szCs w:val="19"/>
                      <w:lang w:bidi="ar"/>
                    </w:rPr>
                    <w:t>晕车贴</w:t>
                  </w:r>
                </w:p>
              </w:tc>
              <w:tc>
                <w:tcPr>
                  <w:tcW w:w="618" w:type="pct"/>
                  <w:tcBorders>
                    <w:tl2br w:val="nil"/>
                    <w:tr2bl w:val="nil"/>
                  </w:tcBorders>
                  <w:noWrap w:val="0"/>
                  <w:vAlign w:val="center"/>
                </w:tcPr>
                <w:p w14:paraId="541DA06A">
                  <w:pPr>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kern w:val="0"/>
                      <w:sz w:val="21"/>
                      <w:szCs w:val="21"/>
                      <w:vertAlign w:val="baseline"/>
                      <w:lang w:val="en-US" w:eastAsia="zh-CN" w:bidi="ar-SA"/>
                    </w:rPr>
                    <w:t>/</w:t>
                  </w:r>
                </w:p>
              </w:tc>
              <w:tc>
                <w:tcPr>
                  <w:tcW w:w="725" w:type="pct"/>
                  <w:tcBorders>
                    <w:tl2br w:val="nil"/>
                    <w:tr2bl w:val="nil"/>
                  </w:tcBorders>
                  <w:noWrap w:val="0"/>
                  <w:vAlign w:val="center"/>
                </w:tcPr>
                <w:p w14:paraId="7741FA1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w:t>
                  </w:r>
                </w:p>
              </w:tc>
              <w:tc>
                <w:tcPr>
                  <w:tcW w:w="908" w:type="pct"/>
                  <w:gridSpan w:val="2"/>
                  <w:tcBorders>
                    <w:tl2br w:val="nil"/>
                    <w:tr2bl w:val="nil"/>
                  </w:tcBorders>
                  <w:noWrap w:val="0"/>
                  <w:vAlign w:val="center"/>
                </w:tcPr>
                <w:p w14:paraId="1CAAEA1D">
                  <w:pPr>
                    <w:snapToGrid w:val="0"/>
                    <w:spacing w:line="240" w:lineRule="auto"/>
                    <w:jc w:val="center"/>
                    <w:textAlignment w:val="auto"/>
                    <w:rPr>
                      <w:rFonts w:hint="eastAsia"/>
                      <w:color w:val="auto"/>
                      <w:lang w:val="en-US" w:eastAsia="zh-CN"/>
                    </w:rPr>
                  </w:pPr>
                  <w:r>
                    <w:rPr>
                      <w:rFonts w:hint="eastAsia"/>
                      <w:color w:val="auto"/>
                      <w:szCs w:val="21"/>
                    </w:rPr>
                    <w:t>2000万贴</w:t>
                  </w:r>
                  <w:r>
                    <w:rPr>
                      <w:rFonts w:hint="eastAsia"/>
                      <w:color w:val="auto"/>
                      <w:lang w:val="en-US" w:eastAsia="zh-CN"/>
                    </w:rPr>
                    <w:t>/a</w:t>
                  </w:r>
                </w:p>
              </w:tc>
              <w:tc>
                <w:tcPr>
                  <w:tcW w:w="715" w:type="pct"/>
                  <w:tcBorders>
                    <w:tl2br w:val="nil"/>
                    <w:tr2bl w:val="nil"/>
                  </w:tcBorders>
                  <w:noWrap w:val="0"/>
                  <w:vAlign w:val="center"/>
                </w:tcPr>
                <w:p w14:paraId="0A7D42DB">
                  <w:pPr>
                    <w:snapToGrid w:val="0"/>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630" w:type="pct"/>
                  <w:tcBorders>
                    <w:tl2br w:val="nil"/>
                    <w:tr2bl w:val="nil"/>
                  </w:tcBorders>
                  <w:noWrap w:val="0"/>
                  <w:vAlign w:val="center"/>
                </w:tcPr>
                <w:p w14:paraId="19C45D9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增加产品</w:t>
                  </w:r>
                </w:p>
              </w:tc>
            </w:tr>
            <w:tr w14:paraId="36F934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87" w:type="pct"/>
                  <w:tcBorders>
                    <w:tl2br w:val="nil"/>
                    <w:tr2bl w:val="nil"/>
                  </w:tcBorders>
                  <w:noWrap w:val="0"/>
                  <w:vAlign w:val="center"/>
                </w:tcPr>
                <w:p w14:paraId="13FAAE24">
                  <w:pPr>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color w:val="auto"/>
                      <w:szCs w:val="21"/>
                    </w:rPr>
                    <w:t>11</w:t>
                  </w:r>
                </w:p>
              </w:tc>
              <w:tc>
                <w:tcPr>
                  <w:tcW w:w="1114" w:type="pct"/>
                  <w:tcBorders>
                    <w:tl2br w:val="nil"/>
                    <w:tr2bl w:val="nil"/>
                  </w:tcBorders>
                  <w:noWrap w:val="0"/>
                  <w:vAlign w:val="center"/>
                </w:tcPr>
                <w:p w14:paraId="50C9F96B">
                  <w:pPr>
                    <w:widowControl/>
                    <w:jc w:val="center"/>
                    <w:rPr>
                      <w:rFonts w:hint="eastAsia" w:ascii="Times New Roman" w:hAnsi="Times New Roman" w:eastAsia="宋体" w:cs="Times New Roman"/>
                      <w:color w:val="auto"/>
                      <w:kern w:val="0"/>
                      <w:sz w:val="21"/>
                      <w:szCs w:val="19"/>
                      <w:lang w:val="en-US" w:eastAsia="zh-CN" w:bidi="ar"/>
                    </w:rPr>
                  </w:pPr>
                  <w:r>
                    <w:rPr>
                      <w:rFonts w:hint="eastAsia"/>
                      <w:color w:val="auto"/>
                      <w:szCs w:val="19"/>
                      <w:lang w:bidi="ar"/>
                    </w:rPr>
                    <w:t>三伏贴</w:t>
                  </w:r>
                </w:p>
              </w:tc>
              <w:tc>
                <w:tcPr>
                  <w:tcW w:w="618" w:type="pct"/>
                  <w:tcBorders>
                    <w:tl2br w:val="nil"/>
                    <w:tr2bl w:val="nil"/>
                  </w:tcBorders>
                  <w:noWrap w:val="0"/>
                  <w:vAlign w:val="center"/>
                </w:tcPr>
                <w:p w14:paraId="1BEDA305">
                  <w:pPr>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kern w:val="0"/>
                      <w:sz w:val="21"/>
                      <w:szCs w:val="21"/>
                      <w:vertAlign w:val="baseline"/>
                      <w:lang w:val="en-US" w:eastAsia="zh-CN" w:bidi="ar-SA"/>
                    </w:rPr>
                    <w:t>/</w:t>
                  </w:r>
                </w:p>
              </w:tc>
              <w:tc>
                <w:tcPr>
                  <w:tcW w:w="725" w:type="pct"/>
                  <w:tcBorders>
                    <w:tl2br w:val="nil"/>
                    <w:tr2bl w:val="nil"/>
                  </w:tcBorders>
                  <w:noWrap w:val="0"/>
                  <w:vAlign w:val="center"/>
                </w:tcPr>
                <w:p w14:paraId="54CB84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w:t>
                  </w:r>
                </w:p>
              </w:tc>
              <w:tc>
                <w:tcPr>
                  <w:tcW w:w="908" w:type="pct"/>
                  <w:gridSpan w:val="2"/>
                  <w:tcBorders>
                    <w:tl2br w:val="nil"/>
                    <w:tr2bl w:val="nil"/>
                  </w:tcBorders>
                  <w:noWrap w:val="0"/>
                  <w:vAlign w:val="center"/>
                </w:tcPr>
                <w:p w14:paraId="030CB05A">
                  <w:pPr>
                    <w:snapToGrid w:val="0"/>
                    <w:spacing w:line="240" w:lineRule="auto"/>
                    <w:jc w:val="center"/>
                    <w:textAlignment w:val="auto"/>
                    <w:rPr>
                      <w:rFonts w:hint="eastAsia"/>
                      <w:color w:val="auto"/>
                      <w:lang w:val="en-US" w:eastAsia="zh-CN"/>
                    </w:rPr>
                  </w:pPr>
                  <w:r>
                    <w:rPr>
                      <w:rFonts w:hint="eastAsia"/>
                      <w:color w:val="auto"/>
                      <w:szCs w:val="21"/>
                    </w:rPr>
                    <w:t>4000万贴</w:t>
                  </w:r>
                  <w:r>
                    <w:rPr>
                      <w:rFonts w:hint="eastAsia"/>
                      <w:color w:val="auto"/>
                      <w:lang w:val="en-US" w:eastAsia="zh-CN"/>
                    </w:rPr>
                    <w:t>/a</w:t>
                  </w:r>
                </w:p>
              </w:tc>
              <w:tc>
                <w:tcPr>
                  <w:tcW w:w="715" w:type="pct"/>
                  <w:tcBorders>
                    <w:tl2br w:val="nil"/>
                    <w:tr2bl w:val="nil"/>
                  </w:tcBorders>
                  <w:noWrap w:val="0"/>
                  <w:vAlign w:val="center"/>
                </w:tcPr>
                <w:p w14:paraId="22F6A820">
                  <w:pPr>
                    <w:snapToGrid w:val="0"/>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630" w:type="pct"/>
                  <w:tcBorders>
                    <w:tl2br w:val="nil"/>
                    <w:tr2bl w:val="nil"/>
                  </w:tcBorders>
                  <w:noWrap w:val="0"/>
                  <w:vAlign w:val="center"/>
                </w:tcPr>
                <w:p w14:paraId="3689566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增加产品</w:t>
                  </w:r>
                </w:p>
              </w:tc>
            </w:tr>
            <w:tr w14:paraId="36A79F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87" w:type="pct"/>
                  <w:tcBorders>
                    <w:bottom w:val="single" w:color="auto" w:sz="12" w:space="0"/>
                    <w:tl2br w:val="nil"/>
                    <w:tr2bl w:val="nil"/>
                  </w:tcBorders>
                  <w:noWrap w:val="0"/>
                  <w:vAlign w:val="center"/>
                </w:tcPr>
                <w:p w14:paraId="7A767854">
                  <w:pPr>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12</w:t>
                  </w:r>
                </w:p>
              </w:tc>
              <w:tc>
                <w:tcPr>
                  <w:tcW w:w="1114" w:type="pct"/>
                  <w:tcBorders>
                    <w:bottom w:val="single" w:color="auto" w:sz="12" w:space="0"/>
                    <w:tl2br w:val="nil"/>
                    <w:tr2bl w:val="nil"/>
                  </w:tcBorders>
                  <w:noWrap w:val="0"/>
                  <w:vAlign w:val="center"/>
                </w:tcPr>
                <w:p w14:paraId="09ED8F6B">
                  <w:pPr>
                    <w:widowControl/>
                    <w:jc w:val="center"/>
                    <w:rPr>
                      <w:rFonts w:hint="eastAsia" w:eastAsia="宋体"/>
                      <w:color w:val="auto"/>
                      <w:szCs w:val="19"/>
                      <w:lang w:val="en-US" w:eastAsia="zh-CN" w:bidi="ar"/>
                    </w:rPr>
                  </w:pPr>
                  <w:r>
                    <w:rPr>
                      <w:rFonts w:hint="eastAsia"/>
                      <w:color w:val="auto"/>
                      <w:szCs w:val="19"/>
                      <w:lang w:val="en-US" w:eastAsia="zh-CN" w:bidi="ar"/>
                    </w:rPr>
                    <w:t>冰凉贴</w:t>
                  </w:r>
                </w:p>
              </w:tc>
              <w:tc>
                <w:tcPr>
                  <w:tcW w:w="618" w:type="pct"/>
                  <w:tcBorders>
                    <w:bottom w:val="single" w:color="auto" w:sz="12" w:space="0"/>
                    <w:tl2br w:val="nil"/>
                    <w:tr2bl w:val="nil"/>
                  </w:tcBorders>
                  <w:noWrap w:val="0"/>
                  <w:vAlign w:val="center"/>
                </w:tcPr>
                <w:p w14:paraId="7D00D0EB">
                  <w:pPr>
                    <w:snapToGrid w:val="0"/>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w:t>
                  </w:r>
                </w:p>
              </w:tc>
              <w:tc>
                <w:tcPr>
                  <w:tcW w:w="725" w:type="pct"/>
                  <w:tcBorders>
                    <w:bottom w:val="single" w:color="auto" w:sz="12" w:space="0"/>
                    <w:tl2br w:val="nil"/>
                    <w:tr2bl w:val="nil"/>
                  </w:tcBorders>
                  <w:noWrap w:val="0"/>
                  <w:vAlign w:val="center"/>
                </w:tcPr>
                <w:p w14:paraId="264520B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w:t>
                  </w:r>
                </w:p>
              </w:tc>
              <w:tc>
                <w:tcPr>
                  <w:tcW w:w="908" w:type="pct"/>
                  <w:gridSpan w:val="2"/>
                  <w:tcBorders>
                    <w:bottom w:val="single" w:color="auto" w:sz="12" w:space="0"/>
                    <w:tl2br w:val="nil"/>
                    <w:tr2bl w:val="nil"/>
                  </w:tcBorders>
                  <w:noWrap w:val="0"/>
                  <w:vAlign w:val="center"/>
                </w:tcPr>
                <w:p w14:paraId="00BBB29A">
                  <w:pPr>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2000</w:t>
                  </w:r>
                  <w:r>
                    <w:rPr>
                      <w:rFonts w:hint="eastAsia"/>
                      <w:color w:val="auto"/>
                      <w:szCs w:val="21"/>
                    </w:rPr>
                    <w:t>万贴</w:t>
                  </w:r>
                  <w:r>
                    <w:rPr>
                      <w:rFonts w:hint="eastAsia"/>
                      <w:color w:val="auto"/>
                      <w:lang w:val="en-US" w:eastAsia="zh-CN"/>
                    </w:rPr>
                    <w:t>/a</w:t>
                  </w:r>
                </w:p>
              </w:tc>
              <w:tc>
                <w:tcPr>
                  <w:tcW w:w="715" w:type="pct"/>
                  <w:tcBorders>
                    <w:bottom w:val="single" w:color="auto" w:sz="12" w:space="0"/>
                    <w:tl2br w:val="nil"/>
                    <w:tr2bl w:val="nil"/>
                  </w:tcBorders>
                  <w:noWrap w:val="0"/>
                  <w:vAlign w:val="center"/>
                </w:tcPr>
                <w:p w14:paraId="3461554E">
                  <w:pPr>
                    <w:snapToGrid w:val="0"/>
                    <w:spacing w:line="240" w:lineRule="auto"/>
                    <w:jc w:val="center"/>
                    <w:textAlignment w:val="auto"/>
                    <w:rPr>
                      <w:rFonts w:hint="eastAsia" w:cs="Times New Roman"/>
                      <w:b w:val="0"/>
                      <w:bCs w:val="0"/>
                      <w:color w:val="auto"/>
                      <w:kern w:val="0"/>
                      <w:sz w:val="21"/>
                      <w:szCs w:val="21"/>
                      <w:vertAlign w:val="baseline"/>
                      <w:lang w:val="en-US" w:eastAsia="zh-CN" w:bidi="ar-SA"/>
                    </w:rPr>
                  </w:pPr>
                  <w:r>
                    <w:rPr>
                      <w:rFonts w:hint="eastAsia" w:cs="Times New Roman"/>
                      <w:b w:val="0"/>
                      <w:bCs w:val="0"/>
                      <w:color w:val="auto"/>
                      <w:kern w:val="0"/>
                      <w:sz w:val="21"/>
                      <w:szCs w:val="21"/>
                      <w:vertAlign w:val="baseline"/>
                      <w:lang w:val="en-US" w:eastAsia="zh-CN" w:bidi="ar-SA"/>
                    </w:rPr>
                    <w:t>外售</w:t>
                  </w:r>
                </w:p>
              </w:tc>
              <w:tc>
                <w:tcPr>
                  <w:tcW w:w="630" w:type="pct"/>
                  <w:tcBorders>
                    <w:bottom w:val="single" w:color="auto" w:sz="12" w:space="0"/>
                    <w:tl2br w:val="nil"/>
                    <w:tr2bl w:val="nil"/>
                  </w:tcBorders>
                  <w:noWrap w:val="0"/>
                  <w:vAlign w:val="center"/>
                </w:tcPr>
                <w:p w14:paraId="0D3014A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增加产品</w:t>
                  </w:r>
                </w:p>
              </w:tc>
            </w:tr>
          </w:tbl>
          <w:p w14:paraId="46023139">
            <w:pPr>
              <w:snapToGrid w:val="0"/>
              <w:spacing w:line="360" w:lineRule="auto"/>
              <w:ind w:firstLine="480" w:firstLineChars="200"/>
              <w:jc w:val="both"/>
              <w:textAlignment w:val="auto"/>
              <w:rPr>
                <w:rFonts w:hint="eastAsia"/>
                <w:b/>
                <w:bCs/>
                <w:color w:val="auto"/>
                <w:szCs w:val="21"/>
              </w:rPr>
            </w:pPr>
            <w:r>
              <w:rPr>
                <w:rFonts w:hint="eastAsia"/>
                <w:b w:val="0"/>
                <w:bCs w:val="0"/>
                <w:color w:val="auto"/>
                <w:sz w:val="24"/>
                <w:szCs w:val="24"/>
                <w:lang w:val="en-US" w:eastAsia="zh-CN"/>
              </w:rPr>
              <w:t>本项目变动前后产品规格见下表。</w:t>
            </w:r>
          </w:p>
          <w:p w14:paraId="36BC6478">
            <w:pPr>
              <w:snapToGrid w:val="0"/>
              <w:spacing w:before="156" w:beforeLines="50" w:line="240" w:lineRule="auto"/>
              <w:jc w:val="center"/>
              <w:textAlignment w:val="auto"/>
              <w:rPr>
                <w:b/>
                <w:bCs/>
                <w:color w:val="auto"/>
                <w:szCs w:val="21"/>
              </w:rPr>
            </w:pPr>
            <w:r>
              <w:rPr>
                <w:rFonts w:hint="eastAsia"/>
                <w:b/>
                <w:bCs/>
                <w:color w:val="auto"/>
                <w:szCs w:val="21"/>
              </w:rPr>
              <w:t>表</w:t>
            </w:r>
            <w:r>
              <w:rPr>
                <w:rFonts w:hint="eastAsia"/>
                <w:b/>
                <w:bCs/>
                <w:color w:val="auto"/>
                <w:szCs w:val="21"/>
                <w:lang w:val="en-US" w:eastAsia="zh-CN"/>
              </w:rPr>
              <w:t>2</w:t>
            </w:r>
            <w:r>
              <w:rPr>
                <w:rFonts w:hint="eastAsia"/>
                <w:b/>
                <w:bCs/>
                <w:color w:val="auto"/>
                <w:szCs w:val="21"/>
              </w:rPr>
              <w:t>-</w:t>
            </w:r>
            <w:r>
              <w:rPr>
                <w:rFonts w:hint="eastAsia"/>
                <w:b/>
                <w:bCs/>
                <w:color w:val="auto"/>
                <w:szCs w:val="21"/>
                <w:lang w:val="en-US" w:eastAsia="zh-CN"/>
              </w:rPr>
              <w:t>5</w:t>
            </w:r>
            <w:r>
              <w:rPr>
                <w:rFonts w:hint="eastAsia"/>
                <w:b/>
                <w:bCs/>
                <w:color w:val="auto"/>
                <w:szCs w:val="21"/>
              </w:rPr>
              <w:t xml:space="preserve">  </w:t>
            </w:r>
            <w:r>
              <w:rPr>
                <w:rFonts w:hint="eastAsia"/>
                <w:b/>
                <w:bCs/>
                <w:color w:val="auto"/>
                <w:szCs w:val="21"/>
                <w:lang w:val="en-US" w:eastAsia="zh-CN"/>
              </w:rPr>
              <w:t>变动前后</w:t>
            </w:r>
            <w:r>
              <w:rPr>
                <w:rFonts w:hint="eastAsia"/>
                <w:b/>
                <w:bCs/>
                <w:color w:val="auto"/>
                <w:szCs w:val="21"/>
              </w:rPr>
              <w:t>产品规格一览表</w:t>
            </w:r>
          </w:p>
          <w:tbl>
            <w:tblPr>
              <w:tblStyle w:val="24"/>
              <w:tblW w:w="499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2321"/>
              <w:gridCol w:w="3205"/>
              <w:gridCol w:w="2459"/>
              <w:gridCol w:w="1874"/>
              <w:gridCol w:w="2356"/>
            </w:tblGrid>
            <w:tr w14:paraId="14E56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35" w:type="pct"/>
                  <w:vMerge w:val="restart"/>
                  <w:tcBorders>
                    <w:tl2br w:val="nil"/>
                    <w:tr2bl w:val="nil"/>
                  </w:tcBorders>
                  <w:noWrap w:val="0"/>
                  <w:vAlign w:val="center"/>
                </w:tcPr>
                <w:p w14:paraId="4D7E8A1A">
                  <w:pPr>
                    <w:pStyle w:val="14"/>
                    <w:adjustRightInd/>
                    <w:spacing w:line="240" w:lineRule="auto"/>
                    <w:ind w:firstLine="0"/>
                    <w:jc w:val="center"/>
                    <w:textAlignment w:val="auto"/>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rPr>
                    <w:t>序号</w:t>
                  </w:r>
                </w:p>
              </w:tc>
              <w:tc>
                <w:tcPr>
                  <w:tcW w:w="905" w:type="pct"/>
                  <w:vMerge w:val="restart"/>
                  <w:tcBorders>
                    <w:tl2br w:val="nil"/>
                    <w:tr2bl w:val="nil"/>
                  </w:tcBorders>
                  <w:noWrap w:val="0"/>
                  <w:vAlign w:val="center"/>
                </w:tcPr>
                <w:p w14:paraId="6F080C36">
                  <w:pPr>
                    <w:pStyle w:val="14"/>
                    <w:adjustRightInd/>
                    <w:spacing w:line="240" w:lineRule="auto"/>
                    <w:ind w:firstLine="0"/>
                    <w:jc w:val="center"/>
                    <w:textAlignment w:val="auto"/>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rPr>
                    <w:t>产品</w:t>
                  </w:r>
                </w:p>
              </w:tc>
              <w:tc>
                <w:tcPr>
                  <w:tcW w:w="1250" w:type="pct"/>
                  <w:tcBorders>
                    <w:tl2br w:val="nil"/>
                    <w:tr2bl w:val="nil"/>
                  </w:tcBorders>
                  <w:noWrap w:val="0"/>
                  <w:vAlign w:val="center"/>
                </w:tcPr>
                <w:p w14:paraId="2256117F">
                  <w:pPr>
                    <w:pStyle w:val="14"/>
                    <w:adjustRightInd/>
                    <w:spacing w:line="240" w:lineRule="auto"/>
                    <w:ind w:firstLine="0"/>
                    <w:jc w:val="center"/>
                    <w:textAlignment w:val="auto"/>
                    <w:rPr>
                      <w:rFonts w:hint="default"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变动前</w:t>
                  </w:r>
                </w:p>
              </w:tc>
              <w:tc>
                <w:tcPr>
                  <w:tcW w:w="2609" w:type="pct"/>
                  <w:gridSpan w:val="3"/>
                  <w:tcBorders>
                    <w:tl2br w:val="nil"/>
                    <w:tr2bl w:val="nil"/>
                  </w:tcBorders>
                  <w:noWrap w:val="0"/>
                  <w:vAlign w:val="center"/>
                </w:tcPr>
                <w:p w14:paraId="602E85E6">
                  <w:pPr>
                    <w:pStyle w:val="14"/>
                    <w:adjustRightInd/>
                    <w:spacing w:line="240" w:lineRule="auto"/>
                    <w:ind w:firstLine="0"/>
                    <w:jc w:val="center"/>
                    <w:textAlignment w:val="auto"/>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变动后</w:t>
                  </w:r>
                </w:p>
              </w:tc>
            </w:tr>
            <w:tr w14:paraId="038A5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5CA0A66D">
                  <w:pPr>
                    <w:pStyle w:val="14"/>
                    <w:adjustRightInd/>
                    <w:spacing w:line="240" w:lineRule="auto"/>
                    <w:ind w:firstLine="0"/>
                    <w:jc w:val="center"/>
                    <w:textAlignment w:val="auto"/>
                    <w:rPr>
                      <w:rFonts w:hint="eastAsia" w:ascii="Times New Roman" w:hAnsi="Times New Roman" w:eastAsia="宋体" w:cs="Times New Roman"/>
                      <w:b/>
                      <w:bCs/>
                      <w:color w:val="auto"/>
                      <w:sz w:val="21"/>
                    </w:rPr>
                  </w:pPr>
                </w:p>
              </w:tc>
              <w:tc>
                <w:tcPr>
                  <w:tcW w:w="905" w:type="pct"/>
                  <w:vMerge w:val="continue"/>
                  <w:tcBorders>
                    <w:tl2br w:val="nil"/>
                    <w:tr2bl w:val="nil"/>
                  </w:tcBorders>
                  <w:noWrap w:val="0"/>
                  <w:vAlign w:val="center"/>
                </w:tcPr>
                <w:p w14:paraId="51E1E923">
                  <w:pPr>
                    <w:pStyle w:val="14"/>
                    <w:adjustRightInd/>
                    <w:spacing w:line="240" w:lineRule="auto"/>
                    <w:ind w:firstLine="0"/>
                    <w:jc w:val="center"/>
                    <w:textAlignment w:val="auto"/>
                    <w:rPr>
                      <w:rFonts w:hint="eastAsia" w:ascii="Times New Roman" w:hAnsi="Times New Roman" w:eastAsia="宋体" w:cs="Times New Roman"/>
                      <w:b/>
                      <w:bCs/>
                      <w:color w:val="auto"/>
                      <w:sz w:val="21"/>
                    </w:rPr>
                  </w:pPr>
                </w:p>
              </w:tc>
              <w:tc>
                <w:tcPr>
                  <w:tcW w:w="1250" w:type="pct"/>
                  <w:tcBorders>
                    <w:tl2br w:val="nil"/>
                    <w:tr2bl w:val="nil"/>
                  </w:tcBorders>
                  <w:noWrap w:val="0"/>
                  <w:vAlign w:val="center"/>
                </w:tcPr>
                <w:p w14:paraId="223E9FFB">
                  <w:pPr>
                    <w:pStyle w:val="14"/>
                    <w:adjustRightInd/>
                    <w:spacing w:line="240" w:lineRule="auto"/>
                    <w:ind w:firstLine="0"/>
                    <w:jc w:val="center"/>
                    <w:textAlignment w:val="auto"/>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rPr>
                    <w:t>规格</w:t>
                  </w:r>
                </w:p>
              </w:tc>
              <w:tc>
                <w:tcPr>
                  <w:tcW w:w="959" w:type="pct"/>
                  <w:tcBorders>
                    <w:tl2br w:val="nil"/>
                    <w:tr2bl w:val="nil"/>
                  </w:tcBorders>
                  <w:noWrap w:val="0"/>
                  <w:vAlign w:val="center"/>
                </w:tcPr>
                <w:p w14:paraId="7D9C77AB">
                  <w:pPr>
                    <w:pStyle w:val="14"/>
                    <w:adjustRightInd/>
                    <w:spacing w:line="240" w:lineRule="auto"/>
                    <w:ind w:firstLine="0"/>
                    <w:jc w:val="center"/>
                    <w:textAlignment w:val="auto"/>
                    <w:rPr>
                      <w:rFonts w:hint="eastAsia" w:ascii="Times New Roman" w:hAnsi="Times New Roman" w:eastAsia="宋体" w:cs="Times New Roman"/>
                      <w:b/>
                      <w:bCs/>
                      <w:color w:val="auto"/>
                      <w:sz w:val="21"/>
                      <w:lang w:val="en-US" w:eastAsia="zh-CN"/>
                    </w:rPr>
                  </w:pPr>
                  <w:r>
                    <w:rPr>
                      <w:rFonts w:hint="eastAsia" w:ascii="Times New Roman" w:hAnsi="Times New Roman" w:eastAsia="宋体" w:cs="Times New Roman"/>
                      <w:b/>
                      <w:bCs/>
                      <w:color w:val="auto"/>
                      <w:sz w:val="21"/>
                      <w:lang w:val="en-US" w:eastAsia="zh-CN"/>
                    </w:rPr>
                    <w:t>产品</w:t>
                  </w:r>
                </w:p>
              </w:tc>
              <w:tc>
                <w:tcPr>
                  <w:tcW w:w="1650" w:type="pct"/>
                  <w:gridSpan w:val="2"/>
                  <w:tcBorders>
                    <w:tl2br w:val="nil"/>
                    <w:tr2bl w:val="nil"/>
                  </w:tcBorders>
                  <w:noWrap w:val="0"/>
                  <w:vAlign w:val="center"/>
                </w:tcPr>
                <w:p w14:paraId="7788C7F9">
                  <w:pPr>
                    <w:pStyle w:val="14"/>
                    <w:adjustRightInd/>
                    <w:spacing w:line="240" w:lineRule="auto"/>
                    <w:ind w:firstLine="0"/>
                    <w:jc w:val="center"/>
                    <w:textAlignment w:val="auto"/>
                    <w:rPr>
                      <w:rFonts w:hint="eastAsia" w:ascii="Times New Roman" w:hAnsi="Times New Roman" w:eastAsia="宋体" w:cs="Times New Roman"/>
                      <w:b/>
                      <w:bCs/>
                      <w:color w:val="auto"/>
                      <w:sz w:val="21"/>
                    </w:rPr>
                  </w:pPr>
                  <w:r>
                    <w:rPr>
                      <w:rFonts w:hint="eastAsia" w:ascii="Times New Roman" w:hAnsi="Times New Roman" w:eastAsia="宋体" w:cs="Times New Roman"/>
                      <w:b/>
                      <w:bCs/>
                      <w:color w:val="auto"/>
                      <w:sz w:val="21"/>
                      <w:lang w:val="en-US" w:eastAsia="zh-CN"/>
                    </w:rPr>
                    <w:t>规格</w:t>
                  </w:r>
                </w:p>
              </w:tc>
            </w:tr>
            <w:tr w14:paraId="27AB5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35" w:type="pct"/>
                  <w:vMerge w:val="restart"/>
                  <w:tcBorders>
                    <w:tl2br w:val="nil"/>
                    <w:tr2bl w:val="nil"/>
                  </w:tcBorders>
                  <w:noWrap w:val="0"/>
                  <w:vAlign w:val="center"/>
                </w:tcPr>
                <w:p w14:paraId="6FE6ABB1">
                  <w:pPr>
                    <w:pStyle w:val="14"/>
                    <w:adjustRightInd/>
                    <w:spacing w:line="240" w:lineRule="auto"/>
                    <w:ind w:firstLine="0"/>
                    <w:jc w:val="center"/>
                    <w:textAlignment w:val="auto"/>
                    <w:rPr>
                      <w:rFonts w:ascii="Times New Roman" w:hAnsi="Times New Roman" w:eastAsia="宋体" w:cs="Times New Roman"/>
                      <w:color w:val="auto"/>
                      <w:sz w:val="21"/>
                    </w:rPr>
                  </w:pPr>
                  <w:r>
                    <w:rPr>
                      <w:rFonts w:hint="eastAsia" w:ascii="Times New Roman" w:hAnsi="Times New Roman" w:eastAsia="宋体" w:cs="Times New Roman"/>
                      <w:color w:val="auto"/>
                      <w:sz w:val="21"/>
                    </w:rPr>
                    <w:t>1</w:t>
                  </w:r>
                </w:p>
              </w:tc>
              <w:tc>
                <w:tcPr>
                  <w:tcW w:w="905" w:type="pct"/>
                  <w:vMerge w:val="restart"/>
                  <w:tcBorders>
                    <w:tl2br w:val="nil"/>
                    <w:tr2bl w:val="nil"/>
                  </w:tcBorders>
                  <w:noWrap w:val="0"/>
                  <w:vAlign w:val="center"/>
                </w:tcPr>
                <w:p w14:paraId="3327049E">
                  <w:pPr>
                    <w:pStyle w:val="14"/>
                    <w:adjustRightInd/>
                    <w:spacing w:line="240" w:lineRule="auto"/>
                    <w:ind w:firstLine="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医用退热贴</w:t>
                  </w:r>
                </w:p>
              </w:tc>
              <w:tc>
                <w:tcPr>
                  <w:tcW w:w="1250" w:type="pct"/>
                  <w:tcBorders>
                    <w:tl2br w:val="nil"/>
                    <w:tr2bl w:val="nil"/>
                  </w:tcBorders>
                  <w:noWrap w:val="0"/>
                  <w:vAlign w:val="center"/>
                </w:tcPr>
                <w:p w14:paraId="710DCE79">
                  <w:pPr>
                    <w:pStyle w:val="14"/>
                    <w:adjustRightInd/>
                    <w:spacing w:line="240" w:lineRule="auto"/>
                    <w:ind w:firstLine="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4cm</w:t>
                  </w:r>
                  <w:r>
                    <w:rPr>
                      <w:rFonts w:ascii="Times New Roman" w:hAnsi="Times New Roman" w:eastAsia="宋体" w:cs="Times New Roman"/>
                      <w:color w:val="auto"/>
                      <w:sz w:val="21"/>
                    </w:rPr>
                    <w:t>×</w:t>
                  </w:r>
                  <w:r>
                    <w:rPr>
                      <w:rFonts w:hint="eastAsia" w:ascii="Times New Roman" w:hAnsi="Times New Roman" w:eastAsia="宋体" w:cs="Times New Roman"/>
                      <w:color w:val="auto"/>
                      <w:sz w:val="21"/>
                    </w:rPr>
                    <w:t>9cm</w:t>
                  </w:r>
                </w:p>
              </w:tc>
              <w:tc>
                <w:tcPr>
                  <w:tcW w:w="959" w:type="pct"/>
                  <w:vMerge w:val="restart"/>
                  <w:tcBorders>
                    <w:tl2br w:val="nil"/>
                    <w:tr2bl w:val="nil"/>
                  </w:tcBorders>
                  <w:noWrap w:val="0"/>
                  <w:vAlign w:val="center"/>
                </w:tcPr>
                <w:p w14:paraId="16D7057A">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医用退热/</w:t>
                  </w:r>
                  <w:r>
                    <w:rPr>
                      <w:rFonts w:hint="eastAsia" w:ascii="Times New Roman" w:hAnsi="Times New Roman" w:eastAsia="宋体" w:cs="Times New Roman"/>
                      <w:color w:val="auto"/>
                      <w:sz w:val="21"/>
                      <w:szCs w:val="19"/>
                      <w:lang w:bidi="ar"/>
                    </w:rPr>
                    <w:t>冰凉</w:t>
                  </w:r>
                  <w:r>
                    <w:rPr>
                      <w:rFonts w:hint="eastAsia" w:ascii="Times New Roman" w:hAnsi="Times New Roman" w:eastAsia="宋体" w:cs="Times New Roman"/>
                      <w:color w:val="auto"/>
                      <w:sz w:val="21"/>
                    </w:rPr>
                    <w:t>贴</w:t>
                  </w:r>
                </w:p>
              </w:tc>
              <w:tc>
                <w:tcPr>
                  <w:tcW w:w="1650" w:type="pct"/>
                  <w:gridSpan w:val="2"/>
                  <w:tcBorders>
                    <w:tl2br w:val="nil"/>
                    <w:tr2bl w:val="nil"/>
                  </w:tcBorders>
                  <w:noWrap w:val="0"/>
                  <w:vAlign w:val="center"/>
                </w:tcPr>
                <w:p w14:paraId="0FDCF3BB">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4cm</w:t>
                  </w:r>
                  <w:r>
                    <w:rPr>
                      <w:rFonts w:ascii="Times New Roman" w:hAnsi="Times New Roman" w:eastAsia="宋体" w:cs="Times New Roman"/>
                      <w:color w:val="auto"/>
                      <w:sz w:val="21"/>
                    </w:rPr>
                    <w:t>×</w:t>
                  </w:r>
                  <w:r>
                    <w:rPr>
                      <w:rFonts w:hint="eastAsia" w:ascii="Times New Roman" w:hAnsi="Times New Roman" w:eastAsia="宋体" w:cs="Times New Roman"/>
                      <w:color w:val="auto"/>
                      <w:sz w:val="21"/>
                    </w:rPr>
                    <w:t>9cm</w:t>
                  </w:r>
                </w:p>
              </w:tc>
            </w:tr>
            <w:tr w14:paraId="23F1D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35" w:type="pct"/>
                  <w:vMerge w:val="continue"/>
                  <w:tcBorders>
                    <w:tl2br w:val="nil"/>
                    <w:tr2bl w:val="nil"/>
                  </w:tcBorders>
                  <w:noWrap w:val="0"/>
                  <w:vAlign w:val="center"/>
                </w:tcPr>
                <w:p w14:paraId="62A946C2">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905" w:type="pct"/>
                  <w:vMerge w:val="continue"/>
                  <w:tcBorders>
                    <w:tl2br w:val="nil"/>
                    <w:tr2bl w:val="nil"/>
                  </w:tcBorders>
                  <w:noWrap w:val="0"/>
                  <w:vAlign w:val="center"/>
                </w:tcPr>
                <w:p w14:paraId="7BF98C94">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1250" w:type="pct"/>
                  <w:tcBorders>
                    <w:tl2br w:val="nil"/>
                    <w:tr2bl w:val="nil"/>
                  </w:tcBorders>
                  <w:noWrap w:val="0"/>
                  <w:vAlign w:val="center"/>
                </w:tcPr>
                <w:p w14:paraId="3A58FD68">
                  <w:pPr>
                    <w:pStyle w:val="14"/>
                    <w:adjustRightInd/>
                    <w:spacing w:line="240" w:lineRule="auto"/>
                    <w:ind w:firstLine="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4cm</w:t>
                  </w:r>
                  <w:r>
                    <w:rPr>
                      <w:rFonts w:ascii="Times New Roman" w:hAnsi="Times New Roman" w:eastAsia="宋体" w:cs="Times New Roman"/>
                      <w:color w:val="auto"/>
                      <w:sz w:val="21"/>
                    </w:rPr>
                    <w:t>×</w:t>
                  </w:r>
                  <w:r>
                    <w:rPr>
                      <w:rFonts w:hint="eastAsia" w:ascii="Times New Roman" w:hAnsi="Times New Roman" w:eastAsia="宋体" w:cs="Times New Roman"/>
                      <w:color w:val="auto"/>
                      <w:sz w:val="21"/>
                    </w:rPr>
                    <w:t>11cm</w:t>
                  </w:r>
                </w:p>
              </w:tc>
              <w:tc>
                <w:tcPr>
                  <w:tcW w:w="959" w:type="pct"/>
                  <w:vMerge w:val="continue"/>
                  <w:tcBorders>
                    <w:tl2br w:val="nil"/>
                    <w:tr2bl w:val="nil"/>
                  </w:tcBorders>
                  <w:noWrap w:val="0"/>
                  <w:vAlign w:val="center"/>
                </w:tcPr>
                <w:p w14:paraId="037733E4">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1650" w:type="pct"/>
                  <w:gridSpan w:val="2"/>
                  <w:tcBorders>
                    <w:tl2br w:val="nil"/>
                    <w:tr2bl w:val="nil"/>
                  </w:tcBorders>
                  <w:noWrap w:val="0"/>
                  <w:vAlign w:val="center"/>
                </w:tcPr>
                <w:p w14:paraId="0407861E">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4cm</w:t>
                  </w:r>
                  <w:r>
                    <w:rPr>
                      <w:rFonts w:ascii="Times New Roman" w:hAnsi="Times New Roman" w:eastAsia="宋体" w:cs="Times New Roman"/>
                      <w:color w:val="auto"/>
                      <w:sz w:val="21"/>
                    </w:rPr>
                    <w:t>×</w:t>
                  </w:r>
                  <w:r>
                    <w:rPr>
                      <w:rFonts w:hint="eastAsia" w:ascii="Times New Roman" w:hAnsi="Times New Roman" w:eastAsia="宋体" w:cs="Times New Roman"/>
                      <w:color w:val="auto"/>
                      <w:sz w:val="21"/>
                    </w:rPr>
                    <w:t>11cm</w:t>
                  </w:r>
                </w:p>
              </w:tc>
            </w:tr>
            <w:tr w14:paraId="7DD79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35" w:type="pct"/>
                  <w:vMerge w:val="continue"/>
                  <w:tcBorders>
                    <w:tl2br w:val="nil"/>
                    <w:tr2bl w:val="nil"/>
                  </w:tcBorders>
                  <w:noWrap w:val="0"/>
                  <w:vAlign w:val="center"/>
                </w:tcPr>
                <w:p w14:paraId="4B9BAAD5">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905" w:type="pct"/>
                  <w:vMerge w:val="continue"/>
                  <w:tcBorders>
                    <w:tl2br w:val="nil"/>
                    <w:tr2bl w:val="nil"/>
                  </w:tcBorders>
                  <w:noWrap w:val="0"/>
                  <w:vAlign w:val="center"/>
                </w:tcPr>
                <w:p w14:paraId="1AA5CDAD">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1250" w:type="pct"/>
                  <w:tcBorders>
                    <w:tl2br w:val="nil"/>
                    <w:tr2bl w:val="nil"/>
                  </w:tcBorders>
                  <w:noWrap w:val="0"/>
                  <w:vAlign w:val="center"/>
                </w:tcPr>
                <w:p w14:paraId="1ED61BC4">
                  <w:pPr>
                    <w:pStyle w:val="14"/>
                    <w:adjustRightInd/>
                    <w:spacing w:line="240" w:lineRule="auto"/>
                    <w:ind w:firstLine="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5cm</w:t>
                  </w:r>
                  <w:r>
                    <w:rPr>
                      <w:rFonts w:ascii="Times New Roman" w:hAnsi="Times New Roman" w:eastAsia="宋体" w:cs="Times New Roman"/>
                      <w:color w:val="auto"/>
                      <w:sz w:val="21"/>
                    </w:rPr>
                    <w:t>×</w:t>
                  </w:r>
                  <w:r>
                    <w:rPr>
                      <w:rFonts w:hint="eastAsia" w:ascii="Times New Roman" w:hAnsi="Times New Roman" w:eastAsia="宋体" w:cs="Times New Roman"/>
                      <w:color w:val="auto"/>
                      <w:sz w:val="21"/>
                    </w:rPr>
                    <w:t>12cm</w:t>
                  </w:r>
                </w:p>
              </w:tc>
              <w:tc>
                <w:tcPr>
                  <w:tcW w:w="959" w:type="pct"/>
                  <w:vMerge w:val="continue"/>
                  <w:tcBorders>
                    <w:tl2br w:val="nil"/>
                    <w:tr2bl w:val="nil"/>
                  </w:tcBorders>
                  <w:noWrap w:val="0"/>
                  <w:vAlign w:val="center"/>
                </w:tcPr>
                <w:p w14:paraId="23223D29">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1650" w:type="pct"/>
                  <w:gridSpan w:val="2"/>
                  <w:tcBorders>
                    <w:tl2br w:val="nil"/>
                    <w:tr2bl w:val="nil"/>
                  </w:tcBorders>
                  <w:noWrap w:val="0"/>
                  <w:vAlign w:val="center"/>
                </w:tcPr>
                <w:p w14:paraId="1EEC3A72">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5cm</w:t>
                  </w:r>
                  <w:r>
                    <w:rPr>
                      <w:rFonts w:ascii="Times New Roman" w:hAnsi="Times New Roman" w:eastAsia="宋体" w:cs="Times New Roman"/>
                      <w:color w:val="auto"/>
                      <w:sz w:val="21"/>
                    </w:rPr>
                    <w:t>×</w:t>
                  </w:r>
                  <w:r>
                    <w:rPr>
                      <w:rFonts w:hint="eastAsia" w:ascii="Times New Roman" w:hAnsi="Times New Roman" w:eastAsia="宋体" w:cs="Times New Roman"/>
                      <w:color w:val="auto"/>
                      <w:sz w:val="21"/>
                    </w:rPr>
                    <w:t>12cm</w:t>
                  </w:r>
                </w:p>
              </w:tc>
            </w:tr>
            <w:tr w14:paraId="795DA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tcBorders>
                    <w:tl2br w:val="nil"/>
                    <w:tr2bl w:val="nil"/>
                  </w:tcBorders>
                  <w:noWrap w:val="0"/>
                  <w:vAlign w:val="center"/>
                </w:tcPr>
                <w:p w14:paraId="30427D30">
                  <w:pPr>
                    <w:pStyle w:val="14"/>
                    <w:adjustRightInd/>
                    <w:spacing w:line="240" w:lineRule="auto"/>
                    <w:ind w:firstLine="0"/>
                    <w:jc w:val="center"/>
                    <w:textAlignment w:val="auto"/>
                    <w:rPr>
                      <w:rFonts w:ascii="Times New Roman" w:hAnsi="Times New Roman" w:eastAsia="宋体" w:cs="Times New Roman"/>
                      <w:color w:val="auto"/>
                      <w:sz w:val="21"/>
                    </w:rPr>
                  </w:pPr>
                  <w:r>
                    <w:rPr>
                      <w:rFonts w:hint="eastAsia" w:ascii="Times New Roman" w:hAnsi="Times New Roman" w:eastAsia="宋体" w:cs="Times New Roman"/>
                      <w:color w:val="auto"/>
                      <w:sz w:val="21"/>
                    </w:rPr>
                    <w:t>2</w:t>
                  </w:r>
                </w:p>
              </w:tc>
              <w:tc>
                <w:tcPr>
                  <w:tcW w:w="905" w:type="pct"/>
                  <w:tcBorders>
                    <w:tl2br w:val="nil"/>
                    <w:tr2bl w:val="nil"/>
                  </w:tcBorders>
                  <w:noWrap w:val="0"/>
                  <w:vAlign w:val="center"/>
                </w:tcPr>
                <w:p w14:paraId="6BE89FB6">
                  <w:pPr>
                    <w:pStyle w:val="14"/>
                    <w:adjustRightInd/>
                    <w:spacing w:line="240" w:lineRule="auto"/>
                    <w:ind w:firstLine="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szCs w:val="21"/>
                    </w:rPr>
                    <w:t>生理性海水鼻腔喷雾剂</w:t>
                  </w:r>
                </w:p>
              </w:tc>
              <w:tc>
                <w:tcPr>
                  <w:tcW w:w="1250" w:type="pct"/>
                  <w:tcBorders>
                    <w:tl2br w:val="nil"/>
                    <w:tr2bl w:val="nil"/>
                  </w:tcBorders>
                  <w:noWrap w:val="0"/>
                  <w:vAlign w:val="center"/>
                </w:tcPr>
                <w:p w14:paraId="719D6ADE">
                  <w:pPr>
                    <w:pStyle w:val="14"/>
                    <w:adjustRightInd/>
                    <w:spacing w:line="240" w:lineRule="auto"/>
                    <w:ind w:firstLine="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60ml</w:t>
                  </w:r>
                </w:p>
              </w:tc>
              <w:tc>
                <w:tcPr>
                  <w:tcW w:w="959" w:type="pct"/>
                  <w:tcBorders>
                    <w:tl2br w:val="nil"/>
                    <w:tr2bl w:val="nil"/>
                  </w:tcBorders>
                  <w:noWrap w:val="0"/>
                  <w:vAlign w:val="center"/>
                </w:tcPr>
                <w:p w14:paraId="40C6FF57">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szCs w:val="21"/>
                    </w:rPr>
                    <w:t>生理性海水鼻腔喷雾剂</w:t>
                  </w:r>
                </w:p>
              </w:tc>
              <w:tc>
                <w:tcPr>
                  <w:tcW w:w="1650" w:type="pct"/>
                  <w:gridSpan w:val="2"/>
                  <w:tcBorders>
                    <w:tl2br w:val="nil"/>
                    <w:tr2bl w:val="nil"/>
                  </w:tcBorders>
                  <w:noWrap w:val="0"/>
                  <w:vAlign w:val="center"/>
                </w:tcPr>
                <w:p w14:paraId="394647CD">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60ml</w:t>
                  </w:r>
                </w:p>
              </w:tc>
            </w:tr>
            <w:tr w14:paraId="76725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35" w:type="pct"/>
                  <w:tcBorders>
                    <w:tl2br w:val="nil"/>
                    <w:tr2bl w:val="nil"/>
                  </w:tcBorders>
                  <w:noWrap w:val="0"/>
                  <w:vAlign w:val="center"/>
                </w:tcPr>
                <w:p w14:paraId="748C46DE">
                  <w:pPr>
                    <w:pStyle w:val="14"/>
                    <w:adjustRightInd/>
                    <w:spacing w:line="240" w:lineRule="auto"/>
                    <w:ind w:firstLine="0"/>
                    <w:jc w:val="center"/>
                    <w:textAlignment w:val="auto"/>
                    <w:rPr>
                      <w:rFonts w:ascii="Times New Roman" w:hAnsi="Times New Roman" w:eastAsia="宋体" w:cs="Times New Roman"/>
                      <w:color w:val="auto"/>
                      <w:sz w:val="21"/>
                    </w:rPr>
                  </w:pPr>
                  <w:r>
                    <w:rPr>
                      <w:rFonts w:hint="eastAsia" w:ascii="Times New Roman" w:hAnsi="Times New Roman" w:eastAsia="宋体" w:cs="Times New Roman"/>
                      <w:color w:val="auto"/>
                      <w:sz w:val="21"/>
                    </w:rPr>
                    <w:t>3</w:t>
                  </w:r>
                </w:p>
              </w:tc>
              <w:tc>
                <w:tcPr>
                  <w:tcW w:w="905" w:type="pct"/>
                  <w:tcBorders>
                    <w:tl2br w:val="nil"/>
                    <w:tr2bl w:val="nil"/>
                  </w:tcBorders>
                  <w:noWrap w:val="0"/>
                  <w:vAlign w:val="center"/>
                </w:tcPr>
                <w:p w14:paraId="1FEEA6EF">
                  <w:pPr>
                    <w:pStyle w:val="14"/>
                    <w:adjustRightInd/>
                    <w:spacing w:line="240" w:lineRule="auto"/>
                    <w:ind w:firstLine="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19"/>
                      <w:lang w:bidi="ar"/>
                    </w:rPr>
                    <w:t>医用硅酮疤痕凝胶</w:t>
                  </w:r>
                </w:p>
              </w:tc>
              <w:tc>
                <w:tcPr>
                  <w:tcW w:w="1250" w:type="pct"/>
                  <w:tcBorders>
                    <w:tl2br w:val="nil"/>
                    <w:tr2bl w:val="nil"/>
                  </w:tcBorders>
                  <w:noWrap w:val="0"/>
                  <w:vAlign w:val="center"/>
                </w:tcPr>
                <w:p w14:paraId="42B1BE5E">
                  <w:pPr>
                    <w:pStyle w:val="14"/>
                    <w:adjustRightInd/>
                    <w:spacing w:line="240" w:lineRule="auto"/>
                    <w:ind w:firstLine="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10g、15g、30g、40g、50g、60g、80g、90g、100g</w:t>
                  </w:r>
                </w:p>
              </w:tc>
              <w:tc>
                <w:tcPr>
                  <w:tcW w:w="959" w:type="pct"/>
                  <w:tcBorders>
                    <w:tl2br w:val="nil"/>
                    <w:tr2bl w:val="nil"/>
                  </w:tcBorders>
                  <w:noWrap w:val="0"/>
                  <w:vAlign w:val="center"/>
                </w:tcPr>
                <w:p w14:paraId="7070EAA9">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szCs w:val="19"/>
                      <w:lang w:bidi="ar"/>
                    </w:rPr>
                    <w:t>医用硅酮疤痕凝胶</w:t>
                  </w:r>
                </w:p>
              </w:tc>
              <w:tc>
                <w:tcPr>
                  <w:tcW w:w="1650" w:type="pct"/>
                  <w:gridSpan w:val="2"/>
                  <w:tcBorders>
                    <w:tl2br w:val="nil"/>
                    <w:tr2bl w:val="nil"/>
                  </w:tcBorders>
                  <w:noWrap w:val="0"/>
                  <w:vAlign w:val="center"/>
                </w:tcPr>
                <w:p w14:paraId="1CBA7B41">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10g、15g、30g、40g、50g、60g、80g、90g、100g</w:t>
                  </w:r>
                </w:p>
              </w:tc>
            </w:tr>
            <w:tr w14:paraId="662C9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restart"/>
                  <w:tcBorders>
                    <w:tl2br w:val="nil"/>
                    <w:tr2bl w:val="nil"/>
                  </w:tcBorders>
                  <w:noWrap w:val="0"/>
                  <w:vAlign w:val="center"/>
                </w:tcPr>
                <w:p w14:paraId="6DF2F77B">
                  <w:pPr>
                    <w:snapToGrid w:val="0"/>
                    <w:spacing w:line="240" w:lineRule="auto"/>
                    <w:jc w:val="center"/>
                    <w:textAlignment w:val="auto"/>
                    <w:rPr>
                      <w:rFonts w:hint="default" w:eastAsia="宋体"/>
                      <w:color w:val="auto"/>
                      <w:lang w:val="en-US" w:eastAsia="zh-CN"/>
                    </w:rPr>
                  </w:pPr>
                  <w:r>
                    <w:rPr>
                      <w:rFonts w:hint="eastAsia"/>
                      <w:color w:val="auto"/>
                      <w:lang w:val="en-US" w:eastAsia="zh-CN"/>
                    </w:rPr>
                    <w:t>/</w:t>
                  </w:r>
                </w:p>
              </w:tc>
              <w:tc>
                <w:tcPr>
                  <w:tcW w:w="2155" w:type="pct"/>
                  <w:gridSpan w:val="2"/>
                  <w:vMerge w:val="restart"/>
                  <w:tcBorders>
                    <w:tl2br w:val="nil"/>
                    <w:tr2bl w:val="nil"/>
                  </w:tcBorders>
                  <w:noWrap w:val="0"/>
                  <w:vAlign w:val="center"/>
                </w:tcPr>
                <w:p w14:paraId="5AC750A6">
                  <w:pPr>
                    <w:pStyle w:val="14"/>
                    <w:adjustRightInd/>
                    <w:spacing w:line="240" w:lineRule="auto"/>
                    <w:ind w:firstLine="0"/>
                    <w:jc w:val="center"/>
                    <w:textAlignment w:val="auto"/>
                    <w:rPr>
                      <w:rFonts w:hint="eastAsia" w:ascii="Times New Roman" w:hAnsi="Times New Roman" w:eastAsia="宋体" w:cs="Times New Roman"/>
                      <w:color w:val="auto"/>
                      <w:sz w:val="21"/>
                    </w:rPr>
                  </w:pPr>
                  <w:r>
                    <w:rPr>
                      <w:rFonts w:hint="eastAsia"/>
                      <w:color w:val="auto"/>
                      <w:sz w:val="21"/>
                      <w:szCs w:val="21"/>
                      <w:lang w:val="en-US" w:eastAsia="zh-CN"/>
                    </w:rPr>
                    <w:t>/</w:t>
                  </w:r>
                </w:p>
              </w:tc>
              <w:tc>
                <w:tcPr>
                  <w:tcW w:w="959" w:type="pct"/>
                  <w:vMerge w:val="restart"/>
                  <w:tcBorders>
                    <w:tl2br w:val="nil"/>
                    <w:tr2bl w:val="nil"/>
                  </w:tcBorders>
                  <w:noWrap w:val="0"/>
                  <w:vAlign w:val="center"/>
                </w:tcPr>
                <w:p w14:paraId="752F72D4">
                  <w:pPr>
                    <w:widowControl/>
                    <w:jc w:val="center"/>
                    <w:rPr>
                      <w:rFonts w:hint="eastAsia" w:ascii="Times New Roman" w:hAnsi="Times New Roman" w:eastAsia="宋体" w:cs="Times New Roman"/>
                      <w:color w:val="auto"/>
                      <w:sz w:val="21"/>
                    </w:rPr>
                  </w:pPr>
                  <w:r>
                    <w:rPr>
                      <w:rFonts w:hint="eastAsia"/>
                      <w:color w:val="auto"/>
                      <w:szCs w:val="19"/>
                      <w:lang w:bidi="ar"/>
                    </w:rPr>
                    <w:t>重组胶原蛋白贴</w:t>
                  </w:r>
                </w:p>
              </w:tc>
              <w:tc>
                <w:tcPr>
                  <w:tcW w:w="731" w:type="pct"/>
                  <w:tcBorders>
                    <w:tl2br w:val="nil"/>
                    <w:tr2bl w:val="nil"/>
                  </w:tcBorders>
                  <w:noWrap w:val="0"/>
                  <w:vAlign w:val="center"/>
                </w:tcPr>
                <w:p w14:paraId="729CFD8C">
                  <w:pPr>
                    <w:pStyle w:val="14"/>
                    <w:adjustRightInd/>
                    <w:spacing w:line="240" w:lineRule="auto"/>
                    <w:ind w:firstLine="0" w:firstLineChars="0"/>
                    <w:jc w:val="center"/>
                    <w:textAlignment w:val="auto"/>
                    <w:rPr>
                      <w:color w:val="auto"/>
                    </w:rPr>
                  </w:pPr>
                  <w:r>
                    <w:rPr>
                      <w:rFonts w:hint="eastAsia" w:ascii="Times New Roman" w:hAnsi="Times New Roman" w:eastAsia="宋体" w:cs="Times New Roman"/>
                      <w:color w:val="auto"/>
                      <w:sz w:val="21"/>
                      <w:lang w:val="zh-CN"/>
                    </w:rPr>
                    <w:t>Ⅰ</w:t>
                  </w:r>
                  <w:r>
                    <w:rPr>
                      <w:rFonts w:hint="eastAsia" w:ascii="Times New Roman" w:hAnsi="Times New Roman" w:eastAsia="宋体" w:cs="Times New Roman"/>
                      <w:color w:val="auto"/>
                      <w:sz w:val="21"/>
                    </w:rPr>
                    <w:t>型（方形）</w:t>
                  </w:r>
                </w:p>
              </w:tc>
              <w:tc>
                <w:tcPr>
                  <w:tcW w:w="919" w:type="pct"/>
                  <w:tcBorders>
                    <w:tl2br w:val="nil"/>
                    <w:tr2bl w:val="nil"/>
                  </w:tcBorders>
                  <w:noWrap w:val="0"/>
                  <w:vAlign w:val="center"/>
                </w:tcPr>
                <w:p w14:paraId="0ACA0B28">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5-25cm×5-25cm</w:t>
                  </w:r>
                </w:p>
              </w:tc>
            </w:tr>
            <w:tr w14:paraId="00371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35" w:type="pct"/>
                  <w:vMerge w:val="continue"/>
                  <w:tcBorders>
                    <w:tl2br w:val="nil"/>
                    <w:tr2bl w:val="nil"/>
                  </w:tcBorders>
                  <w:noWrap w:val="0"/>
                  <w:vAlign w:val="center"/>
                </w:tcPr>
                <w:p w14:paraId="7E41E0A0">
                  <w:pPr>
                    <w:pStyle w:val="14"/>
                    <w:adjustRightInd/>
                    <w:spacing w:line="240" w:lineRule="auto"/>
                    <w:ind w:firstLine="0"/>
                    <w:jc w:val="center"/>
                    <w:textAlignment w:val="auto"/>
                    <w:rPr>
                      <w:color w:val="auto"/>
                    </w:rPr>
                  </w:pPr>
                </w:p>
              </w:tc>
              <w:tc>
                <w:tcPr>
                  <w:tcW w:w="2155" w:type="pct"/>
                  <w:gridSpan w:val="2"/>
                  <w:vMerge w:val="continue"/>
                  <w:tcBorders>
                    <w:tl2br w:val="nil"/>
                    <w:tr2bl w:val="nil"/>
                  </w:tcBorders>
                  <w:noWrap w:val="0"/>
                  <w:vAlign w:val="center"/>
                </w:tcPr>
                <w:p w14:paraId="376EBC4A">
                  <w:pPr>
                    <w:pStyle w:val="14"/>
                    <w:adjustRightInd/>
                    <w:spacing w:line="240" w:lineRule="auto"/>
                    <w:ind w:firstLine="0"/>
                    <w:jc w:val="center"/>
                    <w:textAlignment w:val="auto"/>
                    <w:rPr>
                      <w:color w:val="auto"/>
                    </w:rPr>
                  </w:pPr>
                </w:p>
              </w:tc>
              <w:tc>
                <w:tcPr>
                  <w:tcW w:w="959" w:type="pct"/>
                  <w:vMerge w:val="continue"/>
                  <w:tcBorders>
                    <w:tl2br w:val="nil"/>
                    <w:tr2bl w:val="nil"/>
                  </w:tcBorders>
                  <w:noWrap w:val="0"/>
                  <w:vAlign w:val="center"/>
                </w:tcPr>
                <w:p w14:paraId="598B09C8">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5E26204B">
                  <w:pPr>
                    <w:pStyle w:val="14"/>
                    <w:adjustRightInd/>
                    <w:spacing w:line="240" w:lineRule="auto"/>
                    <w:ind w:firstLine="0" w:firstLineChars="0"/>
                    <w:jc w:val="center"/>
                    <w:textAlignment w:val="auto"/>
                    <w:rPr>
                      <w:color w:val="auto"/>
                    </w:rPr>
                  </w:pPr>
                  <w:r>
                    <w:rPr>
                      <w:rFonts w:hint="eastAsia" w:ascii="Times New Roman" w:hAnsi="Times New Roman" w:eastAsia="宋体" w:cs="Times New Roman"/>
                      <w:color w:val="auto"/>
                      <w:sz w:val="21"/>
                    </w:rPr>
                    <w:t>Ⅱ型（长方型）</w:t>
                  </w:r>
                </w:p>
              </w:tc>
              <w:tc>
                <w:tcPr>
                  <w:tcW w:w="919" w:type="pct"/>
                  <w:tcBorders>
                    <w:tl2br w:val="nil"/>
                    <w:tr2bl w:val="nil"/>
                  </w:tcBorders>
                  <w:noWrap w:val="0"/>
                  <w:vAlign w:val="center"/>
                </w:tcPr>
                <w:p w14:paraId="77212E91">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18-24cm×20-25cm</w:t>
                  </w:r>
                </w:p>
              </w:tc>
            </w:tr>
            <w:tr w14:paraId="08B2E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04A34A99">
                  <w:pPr>
                    <w:pStyle w:val="14"/>
                    <w:adjustRightInd/>
                    <w:spacing w:line="240" w:lineRule="auto"/>
                    <w:ind w:firstLine="0"/>
                    <w:jc w:val="center"/>
                    <w:textAlignment w:val="auto"/>
                    <w:rPr>
                      <w:color w:val="auto"/>
                    </w:rPr>
                  </w:pPr>
                </w:p>
              </w:tc>
              <w:tc>
                <w:tcPr>
                  <w:tcW w:w="2155" w:type="pct"/>
                  <w:gridSpan w:val="2"/>
                  <w:vMerge w:val="continue"/>
                  <w:tcBorders>
                    <w:tl2br w:val="nil"/>
                    <w:tr2bl w:val="nil"/>
                  </w:tcBorders>
                  <w:noWrap w:val="0"/>
                  <w:vAlign w:val="center"/>
                </w:tcPr>
                <w:p w14:paraId="1DA3FC24">
                  <w:pPr>
                    <w:pStyle w:val="14"/>
                    <w:adjustRightInd/>
                    <w:spacing w:line="240" w:lineRule="auto"/>
                    <w:ind w:firstLine="0"/>
                    <w:jc w:val="center"/>
                    <w:textAlignment w:val="auto"/>
                    <w:rPr>
                      <w:color w:val="auto"/>
                    </w:rPr>
                  </w:pPr>
                </w:p>
              </w:tc>
              <w:tc>
                <w:tcPr>
                  <w:tcW w:w="959" w:type="pct"/>
                  <w:vMerge w:val="continue"/>
                  <w:tcBorders>
                    <w:tl2br w:val="nil"/>
                    <w:tr2bl w:val="nil"/>
                  </w:tcBorders>
                  <w:noWrap w:val="0"/>
                  <w:vAlign w:val="center"/>
                </w:tcPr>
                <w:p w14:paraId="39E5B43C">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26A0A5A3">
                  <w:pPr>
                    <w:pStyle w:val="14"/>
                    <w:adjustRightInd/>
                    <w:spacing w:line="240" w:lineRule="auto"/>
                    <w:ind w:firstLine="0" w:firstLineChars="0"/>
                    <w:jc w:val="center"/>
                    <w:textAlignment w:val="auto"/>
                    <w:rPr>
                      <w:color w:val="auto"/>
                    </w:rPr>
                  </w:pPr>
                  <w:r>
                    <w:rPr>
                      <w:rFonts w:hint="eastAsia" w:ascii="Times New Roman" w:hAnsi="Times New Roman" w:eastAsia="宋体" w:cs="Times New Roman"/>
                      <w:color w:val="auto"/>
                      <w:sz w:val="21"/>
                    </w:rPr>
                    <w:t>Ⅲ（圆型）</w:t>
                  </w:r>
                </w:p>
              </w:tc>
              <w:tc>
                <w:tcPr>
                  <w:tcW w:w="919" w:type="pct"/>
                  <w:tcBorders>
                    <w:tl2br w:val="nil"/>
                    <w:tr2bl w:val="nil"/>
                  </w:tcBorders>
                  <w:noWrap w:val="0"/>
                  <w:vAlign w:val="center"/>
                </w:tcPr>
                <w:p w14:paraId="4C178D9A">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Φ1cm-Φ50cm</w:t>
                  </w:r>
                </w:p>
              </w:tc>
            </w:tr>
            <w:tr w14:paraId="23514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7B48FFD6">
                  <w:pPr>
                    <w:pStyle w:val="14"/>
                    <w:adjustRightInd/>
                    <w:spacing w:line="240" w:lineRule="auto"/>
                    <w:ind w:firstLine="0"/>
                    <w:jc w:val="center"/>
                    <w:textAlignment w:val="auto"/>
                    <w:rPr>
                      <w:color w:val="auto"/>
                    </w:rPr>
                  </w:pPr>
                </w:p>
              </w:tc>
              <w:tc>
                <w:tcPr>
                  <w:tcW w:w="2155" w:type="pct"/>
                  <w:gridSpan w:val="2"/>
                  <w:vMerge w:val="continue"/>
                  <w:tcBorders>
                    <w:tl2br w:val="nil"/>
                    <w:tr2bl w:val="nil"/>
                  </w:tcBorders>
                  <w:noWrap w:val="0"/>
                  <w:vAlign w:val="center"/>
                </w:tcPr>
                <w:p w14:paraId="33743C2D">
                  <w:pPr>
                    <w:pStyle w:val="14"/>
                    <w:adjustRightInd/>
                    <w:spacing w:line="240" w:lineRule="auto"/>
                    <w:ind w:firstLine="0"/>
                    <w:jc w:val="center"/>
                    <w:textAlignment w:val="auto"/>
                    <w:rPr>
                      <w:color w:val="auto"/>
                    </w:rPr>
                  </w:pPr>
                </w:p>
              </w:tc>
              <w:tc>
                <w:tcPr>
                  <w:tcW w:w="959" w:type="pct"/>
                  <w:vMerge w:val="continue"/>
                  <w:tcBorders>
                    <w:tl2br w:val="nil"/>
                    <w:tr2bl w:val="nil"/>
                  </w:tcBorders>
                  <w:noWrap w:val="0"/>
                  <w:vAlign w:val="center"/>
                </w:tcPr>
                <w:p w14:paraId="4438096A">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63E1015A">
                  <w:pPr>
                    <w:pStyle w:val="14"/>
                    <w:adjustRightInd/>
                    <w:spacing w:line="240" w:lineRule="auto"/>
                    <w:ind w:firstLine="0" w:firstLineChars="0"/>
                    <w:jc w:val="center"/>
                    <w:textAlignment w:val="auto"/>
                    <w:rPr>
                      <w:color w:val="auto"/>
                    </w:rPr>
                  </w:pPr>
                  <w:r>
                    <w:rPr>
                      <w:rFonts w:hint="eastAsia" w:ascii="Times New Roman" w:hAnsi="Times New Roman" w:eastAsia="宋体" w:cs="Times New Roman"/>
                      <w:color w:val="auto"/>
                      <w:sz w:val="21"/>
                    </w:rPr>
                    <w:t>Ⅳ型（椭圆型）</w:t>
                  </w:r>
                </w:p>
              </w:tc>
              <w:tc>
                <w:tcPr>
                  <w:tcW w:w="919" w:type="pct"/>
                  <w:tcBorders>
                    <w:tl2br w:val="nil"/>
                    <w:tr2bl w:val="nil"/>
                  </w:tcBorders>
                  <w:noWrap w:val="0"/>
                  <w:vAlign w:val="center"/>
                </w:tcPr>
                <w:p w14:paraId="1FC17A31">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18-24cm×20-25cm</w:t>
                  </w:r>
                </w:p>
              </w:tc>
            </w:tr>
            <w:tr w14:paraId="54B2A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7BBF3020">
                  <w:pPr>
                    <w:snapToGrid w:val="0"/>
                    <w:spacing w:line="240" w:lineRule="auto"/>
                    <w:jc w:val="center"/>
                    <w:textAlignment w:val="auto"/>
                    <w:rPr>
                      <w:rFonts w:hint="eastAsia"/>
                      <w:color w:val="auto"/>
                    </w:rPr>
                  </w:pPr>
                </w:p>
              </w:tc>
              <w:tc>
                <w:tcPr>
                  <w:tcW w:w="2155" w:type="pct"/>
                  <w:gridSpan w:val="2"/>
                  <w:vMerge w:val="continue"/>
                  <w:tcBorders>
                    <w:tl2br w:val="nil"/>
                    <w:tr2bl w:val="nil"/>
                  </w:tcBorders>
                  <w:noWrap w:val="0"/>
                  <w:vAlign w:val="center"/>
                </w:tcPr>
                <w:p w14:paraId="5A594A77">
                  <w:pPr>
                    <w:pStyle w:val="14"/>
                    <w:adjustRightInd/>
                    <w:spacing w:line="240" w:lineRule="auto"/>
                    <w:ind w:firstLine="0"/>
                    <w:jc w:val="center"/>
                    <w:textAlignment w:val="auto"/>
                    <w:rPr>
                      <w:rFonts w:hint="default" w:ascii="Times New Roman" w:hAnsi="Times New Roman" w:eastAsia="宋体" w:cs="Times New Roman"/>
                      <w:color w:val="auto"/>
                      <w:sz w:val="21"/>
                      <w:lang w:val="en-US" w:eastAsia="zh-CN"/>
                    </w:rPr>
                  </w:pPr>
                </w:p>
              </w:tc>
              <w:tc>
                <w:tcPr>
                  <w:tcW w:w="959" w:type="pct"/>
                  <w:vMerge w:val="restart"/>
                  <w:tcBorders>
                    <w:tl2br w:val="nil"/>
                    <w:tr2bl w:val="nil"/>
                  </w:tcBorders>
                  <w:noWrap w:val="0"/>
                  <w:vAlign w:val="center"/>
                </w:tcPr>
                <w:p w14:paraId="2711A761">
                  <w:pPr>
                    <w:widowControl/>
                    <w:jc w:val="center"/>
                    <w:rPr>
                      <w:rFonts w:hint="eastAsia" w:ascii="Times New Roman" w:hAnsi="Times New Roman" w:eastAsia="宋体" w:cs="Times New Roman"/>
                      <w:color w:val="auto"/>
                      <w:sz w:val="21"/>
                      <w:lang w:val="en-US" w:eastAsia="zh-CN"/>
                    </w:rPr>
                  </w:pPr>
                  <w:r>
                    <w:rPr>
                      <w:rFonts w:hint="eastAsia"/>
                      <w:color w:val="auto"/>
                      <w:szCs w:val="19"/>
                      <w:lang w:bidi="ar"/>
                    </w:rPr>
                    <w:t>壳聚糖止血粉</w:t>
                  </w:r>
                </w:p>
              </w:tc>
              <w:tc>
                <w:tcPr>
                  <w:tcW w:w="731" w:type="pct"/>
                  <w:tcBorders>
                    <w:tl2br w:val="nil"/>
                    <w:tr2bl w:val="nil"/>
                  </w:tcBorders>
                  <w:noWrap w:val="0"/>
                  <w:vAlign w:val="center"/>
                </w:tcPr>
                <w:p w14:paraId="35EBDEB5">
                  <w:pPr>
                    <w:pStyle w:val="14"/>
                    <w:adjustRightInd/>
                    <w:spacing w:line="240" w:lineRule="auto"/>
                    <w:ind w:firstLine="0" w:firstLineChars="0"/>
                    <w:jc w:val="center"/>
                    <w:textAlignment w:val="auto"/>
                    <w:rPr>
                      <w:color w:val="auto"/>
                    </w:rPr>
                  </w:pPr>
                  <w:r>
                    <w:rPr>
                      <w:rFonts w:hint="eastAsia" w:ascii="Times New Roman" w:hAnsi="Times New Roman" w:eastAsia="宋体" w:cs="Times New Roman"/>
                      <w:color w:val="auto"/>
                      <w:sz w:val="21"/>
                      <w:lang w:val="en-US" w:eastAsia="zh-CN"/>
                    </w:rPr>
                    <w:t>瓶装</w:t>
                  </w:r>
                </w:p>
              </w:tc>
              <w:tc>
                <w:tcPr>
                  <w:tcW w:w="919" w:type="pct"/>
                  <w:tcBorders>
                    <w:tl2br w:val="nil"/>
                    <w:tr2bl w:val="nil"/>
                  </w:tcBorders>
                  <w:noWrap w:val="0"/>
                  <w:vAlign w:val="center"/>
                </w:tcPr>
                <w:p w14:paraId="01C918C5">
                  <w:pPr>
                    <w:pStyle w:val="14"/>
                    <w:adjustRightInd/>
                    <w:spacing w:line="240" w:lineRule="auto"/>
                    <w:ind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1g</w:t>
                  </w:r>
                </w:p>
              </w:tc>
            </w:tr>
            <w:tr w14:paraId="5A813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29C99001">
                  <w:pPr>
                    <w:pStyle w:val="14"/>
                    <w:adjustRightInd/>
                    <w:spacing w:line="240" w:lineRule="auto"/>
                    <w:ind w:firstLine="0"/>
                    <w:jc w:val="center"/>
                    <w:textAlignment w:val="auto"/>
                    <w:rPr>
                      <w:color w:val="auto"/>
                    </w:rPr>
                  </w:pPr>
                </w:p>
              </w:tc>
              <w:tc>
                <w:tcPr>
                  <w:tcW w:w="2155" w:type="pct"/>
                  <w:gridSpan w:val="2"/>
                  <w:vMerge w:val="continue"/>
                  <w:tcBorders>
                    <w:tl2br w:val="nil"/>
                    <w:tr2bl w:val="nil"/>
                  </w:tcBorders>
                  <w:noWrap w:val="0"/>
                  <w:vAlign w:val="center"/>
                </w:tcPr>
                <w:p w14:paraId="1EB4C839">
                  <w:pPr>
                    <w:pStyle w:val="14"/>
                    <w:adjustRightInd/>
                    <w:spacing w:line="240" w:lineRule="auto"/>
                    <w:ind w:firstLine="0"/>
                    <w:jc w:val="center"/>
                    <w:textAlignment w:val="auto"/>
                    <w:rPr>
                      <w:rFonts w:hint="default" w:ascii="Times New Roman" w:hAnsi="Times New Roman" w:eastAsia="宋体" w:cs="Times New Roman"/>
                      <w:color w:val="auto"/>
                      <w:sz w:val="21"/>
                      <w:lang w:val="en-US" w:eastAsia="zh-CN"/>
                    </w:rPr>
                  </w:pPr>
                </w:p>
              </w:tc>
              <w:tc>
                <w:tcPr>
                  <w:tcW w:w="959" w:type="pct"/>
                  <w:vMerge w:val="continue"/>
                  <w:tcBorders>
                    <w:tl2br w:val="nil"/>
                    <w:tr2bl w:val="nil"/>
                  </w:tcBorders>
                  <w:noWrap w:val="0"/>
                  <w:vAlign w:val="center"/>
                </w:tcPr>
                <w:p w14:paraId="16D31AAA">
                  <w:pPr>
                    <w:pStyle w:val="14"/>
                    <w:adjustRightInd/>
                    <w:spacing w:line="240" w:lineRule="auto"/>
                    <w:ind w:firstLine="0" w:firstLineChars="0"/>
                    <w:jc w:val="center"/>
                    <w:textAlignment w:val="auto"/>
                    <w:rPr>
                      <w:rFonts w:hint="eastAsia" w:ascii="Times New Roman" w:hAnsi="Times New Roman" w:eastAsia="宋体" w:cs="Times New Roman"/>
                      <w:color w:val="auto"/>
                      <w:sz w:val="21"/>
                      <w:lang w:val="en-US" w:eastAsia="zh-CN"/>
                    </w:rPr>
                  </w:pPr>
                </w:p>
              </w:tc>
              <w:tc>
                <w:tcPr>
                  <w:tcW w:w="731" w:type="pct"/>
                  <w:tcBorders>
                    <w:tl2br w:val="nil"/>
                    <w:tr2bl w:val="nil"/>
                  </w:tcBorders>
                  <w:noWrap w:val="0"/>
                  <w:vAlign w:val="center"/>
                </w:tcPr>
                <w:p w14:paraId="07296EA4">
                  <w:pPr>
                    <w:pStyle w:val="14"/>
                    <w:adjustRightInd/>
                    <w:spacing w:line="240" w:lineRule="auto"/>
                    <w:ind w:firstLine="0" w:firstLineChars="0"/>
                    <w:jc w:val="center"/>
                    <w:textAlignment w:val="auto"/>
                    <w:rPr>
                      <w:color w:val="auto"/>
                    </w:rPr>
                  </w:pPr>
                  <w:r>
                    <w:rPr>
                      <w:rFonts w:hint="eastAsia" w:ascii="Times New Roman" w:hAnsi="Times New Roman" w:eastAsia="宋体" w:cs="Times New Roman"/>
                      <w:color w:val="auto"/>
                      <w:sz w:val="21"/>
                      <w:lang w:val="en-US" w:eastAsia="zh-CN"/>
                    </w:rPr>
                    <w:t>袋装</w:t>
                  </w:r>
                </w:p>
              </w:tc>
              <w:tc>
                <w:tcPr>
                  <w:tcW w:w="919" w:type="pct"/>
                  <w:tcBorders>
                    <w:tl2br w:val="nil"/>
                    <w:tr2bl w:val="nil"/>
                  </w:tcBorders>
                  <w:noWrap w:val="0"/>
                  <w:vAlign w:val="center"/>
                </w:tcPr>
                <w:p w14:paraId="2C3CF95A">
                  <w:pPr>
                    <w:pStyle w:val="14"/>
                    <w:adjustRightInd/>
                    <w:spacing w:line="240" w:lineRule="auto"/>
                    <w:ind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3g</w:t>
                  </w:r>
                </w:p>
              </w:tc>
            </w:tr>
            <w:tr w14:paraId="4DEAB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1E356C55">
                  <w:pPr>
                    <w:snapToGrid w:val="0"/>
                    <w:spacing w:line="240" w:lineRule="auto"/>
                    <w:jc w:val="center"/>
                    <w:textAlignment w:val="auto"/>
                    <w:rPr>
                      <w:rFonts w:hint="eastAsia"/>
                      <w:color w:val="auto"/>
                    </w:rPr>
                  </w:pPr>
                </w:p>
              </w:tc>
              <w:tc>
                <w:tcPr>
                  <w:tcW w:w="2155" w:type="pct"/>
                  <w:gridSpan w:val="2"/>
                  <w:vMerge w:val="continue"/>
                  <w:tcBorders>
                    <w:tl2br w:val="nil"/>
                    <w:tr2bl w:val="nil"/>
                  </w:tcBorders>
                  <w:noWrap w:val="0"/>
                  <w:vAlign w:val="center"/>
                </w:tcPr>
                <w:p w14:paraId="74CBAE16">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959" w:type="pct"/>
                  <w:vMerge w:val="restart"/>
                  <w:tcBorders>
                    <w:tl2br w:val="nil"/>
                    <w:tr2bl w:val="nil"/>
                  </w:tcBorders>
                  <w:noWrap w:val="0"/>
                  <w:vAlign w:val="center"/>
                </w:tcPr>
                <w:p w14:paraId="0FED6B27">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医用透明质酸钠敷贴</w:t>
                  </w:r>
                </w:p>
              </w:tc>
              <w:tc>
                <w:tcPr>
                  <w:tcW w:w="731" w:type="pct"/>
                  <w:tcBorders>
                    <w:tl2br w:val="nil"/>
                    <w:tr2bl w:val="nil"/>
                  </w:tcBorders>
                  <w:noWrap w:val="0"/>
                  <w:vAlign w:val="center"/>
                </w:tcPr>
                <w:p w14:paraId="620CA956">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lang w:val="zh-CN"/>
                    </w:rPr>
                    <w:t>Ⅰ</w:t>
                  </w:r>
                  <w:r>
                    <w:rPr>
                      <w:rFonts w:hint="eastAsia" w:ascii="Times New Roman" w:hAnsi="Times New Roman" w:eastAsia="宋体" w:cs="Times New Roman"/>
                      <w:color w:val="auto"/>
                      <w:sz w:val="21"/>
                    </w:rPr>
                    <w:t>型（方形）</w:t>
                  </w:r>
                </w:p>
              </w:tc>
              <w:tc>
                <w:tcPr>
                  <w:tcW w:w="919" w:type="pct"/>
                  <w:tcBorders>
                    <w:tl2br w:val="nil"/>
                    <w:tr2bl w:val="nil"/>
                  </w:tcBorders>
                  <w:noWrap w:val="0"/>
                  <w:vAlign w:val="center"/>
                </w:tcPr>
                <w:p w14:paraId="7EDA118E">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5-25cm×5-25cm</w:t>
                  </w:r>
                </w:p>
              </w:tc>
            </w:tr>
            <w:tr w14:paraId="092469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35" w:type="pct"/>
                  <w:vMerge w:val="continue"/>
                  <w:tcBorders>
                    <w:tl2br w:val="nil"/>
                    <w:tr2bl w:val="nil"/>
                  </w:tcBorders>
                  <w:noWrap w:val="0"/>
                  <w:vAlign w:val="center"/>
                </w:tcPr>
                <w:p w14:paraId="25986C42">
                  <w:pPr>
                    <w:pStyle w:val="14"/>
                    <w:adjustRightInd/>
                    <w:spacing w:line="240" w:lineRule="auto"/>
                    <w:ind w:firstLine="0"/>
                    <w:jc w:val="center"/>
                    <w:textAlignment w:val="auto"/>
                    <w:rPr>
                      <w:color w:val="auto"/>
                    </w:rPr>
                  </w:pPr>
                </w:p>
              </w:tc>
              <w:tc>
                <w:tcPr>
                  <w:tcW w:w="2155" w:type="pct"/>
                  <w:gridSpan w:val="2"/>
                  <w:vMerge w:val="continue"/>
                  <w:tcBorders>
                    <w:tl2br w:val="nil"/>
                    <w:tr2bl w:val="nil"/>
                  </w:tcBorders>
                  <w:noWrap w:val="0"/>
                  <w:vAlign w:val="center"/>
                </w:tcPr>
                <w:p w14:paraId="3ECBDDFA">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3CB8D49C">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300F9E33">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Ⅱ型（长方型）</w:t>
                  </w:r>
                </w:p>
              </w:tc>
              <w:tc>
                <w:tcPr>
                  <w:tcW w:w="919" w:type="pct"/>
                  <w:tcBorders>
                    <w:tl2br w:val="nil"/>
                    <w:tr2bl w:val="nil"/>
                  </w:tcBorders>
                  <w:noWrap w:val="0"/>
                  <w:vAlign w:val="center"/>
                </w:tcPr>
                <w:p w14:paraId="49A9F2D1">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18-24cm×20-25cm</w:t>
                  </w:r>
                </w:p>
              </w:tc>
            </w:tr>
            <w:tr w14:paraId="05D11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1B829005">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2155" w:type="pct"/>
                  <w:gridSpan w:val="2"/>
                  <w:vMerge w:val="continue"/>
                  <w:tcBorders>
                    <w:tl2br w:val="nil"/>
                    <w:tr2bl w:val="nil"/>
                  </w:tcBorders>
                  <w:noWrap w:val="0"/>
                  <w:vAlign w:val="center"/>
                </w:tcPr>
                <w:p w14:paraId="3BA2573F">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2B9A41B2">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74B26826">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Ⅲ（圆型）</w:t>
                  </w:r>
                </w:p>
              </w:tc>
              <w:tc>
                <w:tcPr>
                  <w:tcW w:w="919" w:type="pct"/>
                  <w:tcBorders>
                    <w:tl2br w:val="nil"/>
                    <w:tr2bl w:val="nil"/>
                  </w:tcBorders>
                  <w:noWrap w:val="0"/>
                  <w:vAlign w:val="center"/>
                </w:tcPr>
                <w:p w14:paraId="7171E132">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Φ1cm-Φ50cm</w:t>
                  </w:r>
                </w:p>
              </w:tc>
            </w:tr>
            <w:tr w14:paraId="5DDBD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5D17C391">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2155" w:type="pct"/>
                  <w:gridSpan w:val="2"/>
                  <w:vMerge w:val="continue"/>
                  <w:tcBorders>
                    <w:tl2br w:val="nil"/>
                    <w:tr2bl w:val="nil"/>
                  </w:tcBorders>
                  <w:noWrap w:val="0"/>
                  <w:vAlign w:val="center"/>
                </w:tcPr>
                <w:p w14:paraId="2724106F">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0887A252">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624739C1">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Ⅳ型（椭圆型）</w:t>
                  </w:r>
                </w:p>
              </w:tc>
              <w:tc>
                <w:tcPr>
                  <w:tcW w:w="919" w:type="pct"/>
                  <w:tcBorders>
                    <w:tl2br w:val="nil"/>
                    <w:tr2bl w:val="nil"/>
                  </w:tcBorders>
                  <w:noWrap w:val="0"/>
                  <w:vAlign w:val="center"/>
                </w:tcPr>
                <w:p w14:paraId="5C4BB0C7">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18-24cm×20-25cm</w:t>
                  </w:r>
                </w:p>
              </w:tc>
            </w:tr>
            <w:tr w14:paraId="0BD23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767D2DD6">
                  <w:pPr>
                    <w:snapToGrid w:val="0"/>
                    <w:spacing w:line="240" w:lineRule="auto"/>
                    <w:jc w:val="center"/>
                    <w:textAlignment w:val="auto"/>
                    <w:rPr>
                      <w:rFonts w:hint="eastAsia"/>
                      <w:color w:val="auto"/>
                    </w:rPr>
                  </w:pPr>
                </w:p>
              </w:tc>
              <w:tc>
                <w:tcPr>
                  <w:tcW w:w="2155" w:type="pct"/>
                  <w:gridSpan w:val="2"/>
                  <w:vMerge w:val="continue"/>
                  <w:tcBorders>
                    <w:tl2br w:val="nil"/>
                    <w:tr2bl w:val="nil"/>
                  </w:tcBorders>
                  <w:noWrap w:val="0"/>
                  <w:vAlign w:val="center"/>
                </w:tcPr>
                <w:p w14:paraId="2289BC92">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959" w:type="pct"/>
                  <w:vMerge w:val="restart"/>
                  <w:tcBorders>
                    <w:tl2br w:val="nil"/>
                    <w:tr2bl w:val="nil"/>
                  </w:tcBorders>
                  <w:noWrap w:val="0"/>
                  <w:vAlign w:val="center"/>
                </w:tcPr>
                <w:p w14:paraId="39DC849B">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穴位压力刺激贴</w:t>
                  </w:r>
                </w:p>
              </w:tc>
              <w:tc>
                <w:tcPr>
                  <w:tcW w:w="731" w:type="pct"/>
                  <w:tcBorders>
                    <w:tl2br w:val="nil"/>
                    <w:tr2bl w:val="nil"/>
                  </w:tcBorders>
                  <w:noWrap w:val="0"/>
                  <w:vAlign w:val="center"/>
                </w:tcPr>
                <w:p w14:paraId="3FB2246D">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肩部穴位型</w:t>
                  </w:r>
                </w:p>
              </w:tc>
              <w:tc>
                <w:tcPr>
                  <w:tcW w:w="919" w:type="pct"/>
                  <w:vMerge w:val="restart"/>
                  <w:tcBorders>
                    <w:tl2br w:val="nil"/>
                    <w:tr2bl w:val="nil"/>
                  </w:tcBorders>
                  <w:noWrap w:val="0"/>
                  <w:vAlign w:val="center"/>
                </w:tcPr>
                <w:p w14:paraId="107A9A83">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方形：2.5</w:t>
                  </w:r>
                  <w:r>
                    <w:rPr>
                      <w:rFonts w:hint="eastAsia" w:ascii="Times New Roman" w:hAnsi="Times New Roman" w:eastAsia="宋体" w:cs="Times New Roman"/>
                      <w:color w:val="auto"/>
                      <w:sz w:val="21"/>
                      <w:lang w:eastAsia="zh-CN"/>
                    </w:rPr>
                    <w:t>—</w:t>
                  </w:r>
                  <w:r>
                    <w:rPr>
                      <w:rFonts w:hint="eastAsia" w:ascii="Times New Roman" w:hAnsi="Times New Roman" w:eastAsia="宋体" w:cs="Times New Roman"/>
                      <w:color w:val="auto"/>
                      <w:sz w:val="21"/>
                      <w:lang w:val="en-US" w:eastAsia="zh-CN"/>
                    </w:rPr>
                    <w:t>12</w:t>
                  </w:r>
                  <w:r>
                    <w:rPr>
                      <w:rFonts w:hint="eastAsia" w:ascii="Times New Roman" w:hAnsi="Times New Roman" w:eastAsia="宋体" w:cs="Times New Roman"/>
                      <w:color w:val="auto"/>
                      <w:sz w:val="21"/>
                    </w:rPr>
                    <w:t>cm×2.5</w:t>
                  </w:r>
                  <w:r>
                    <w:rPr>
                      <w:rFonts w:hint="eastAsia" w:ascii="Times New Roman" w:hAnsi="Times New Roman" w:eastAsia="宋体" w:cs="Times New Roman"/>
                      <w:color w:val="auto"/>
                      <w:sz w:val="21"/>
                      <w:lang w:eastAsia="zh-CN"/>
                    </w:rPr>
                    <w:t>—</w:t>
                  </w:r>
                  <w:r>
                    <w:rPr>
                      <w:rFonts w:hint="eastAsia" w:ascii="Times New Roman" w:hAnsi="Times New Roman" w:eastAsia="宋体" w:cs="Times New Roman"/>
                      <w:color w:val="auto"/>
                      <w:sz w:val="21"/>
                      <w:lang w:val="en-US" w:eastAsia="zh-CN"/>
                    </w:rPr>
                    <w:t>14</w:t>
                  </w:r>
                  <w:r>
                    <w:rPr>
                      <w:rFonts w:hint="eastAsia" w:ascii="Times New Roman" w:hAnsi="Times New Roman" w:eastAsia="宋体" w:cs="Times New Roman"/>
                      <w:color w:val="auto"/>
                      <w:sz w:val="21"/>
                    </w:rPr>
                    <w:t>cm</w:t>
                  </w:r>
                </w:p>
              </w:tc>
            </w:tr>
            <w:tr w14:paraId="6F9C8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68C11FEB">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0891F0F7">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73A29A85">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55B57BEC">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颈椎穴位型</w:t>
                  </w:r>
                </w:p>
              </w:tc>
              <w:tc>
                <w:tcPr>
                  <w:tcW w:w="919" w:type="pct"/>
                  <w:vMerge w:val="continue"/>
                  <w:tcBorders>
                    <w:tl2br w:val="nil"/>
                    <w:tr2bl w:val="nil"/>
                  </w:tcBorders>
                  <w:noWrap w:val="0"/>
                  <w:vAlign w:val="center"/>
                </w:tcPr>
                <w:p w14:paraId="3570EBA8">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48A6C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314ED965">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5F72860E">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0F4A3AE4">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2D66AD53">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腰部穴位型</w:t>
                  </w:r>
                </w:p>
              </w:tc>
              <w:tc>
                <w:tcPr>
                  <w:tcW w:w="919" w:type="pct"/>
                  <w:vMerge w:val="continue"/>
                  <w:tcBorders>
                    <w:tl2br w:val="nil"/>
                    <w:tr2bl w:val="nil"/>
                  </w:tcBorders>
                  <w:noWrap w:val="0"/>
                  <w:vAlign w:val="center"/>
                </w:tcPr>
                <w:p w14:paraId="0508251F">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26140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7767402B">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1332C8F7">
                  <w:pPr>
                    <w:pStyle w:val="14"/>
                    <w:adjustRightInd/>
                    <w:spacing w:line="240" w:lineRule="auto"/>
                    <w:ind w:firstLine="0"/>
                    <w:jc w:val="center"/>
                    <w:textAlignment w:val="auto"/>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7F3A8E0A">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4C6DE460">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关节穴位型</w:t>
                  </w:r>
                </w:p>
              </w:tc>
              <w:tc>
                <w:tcPr>
                  <w:tcW w:w="919" w:type="pct"/>
                  <w:vMerge w:val="continue"/>
                  <w:tcBorders>
                    <w:tl2br w:val="nil"/>
                    <w:tr2bl w:val="nil"/>
                  </w:tcBorders>
                  <w:noWrap w:val="0"/>
                  <w:vAlign w:val="center"/>
                </w:tcPr>
                <w:p w14:paraId="5E98EC9C">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3EBAD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45FDABD6">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0A32BC47">
                  <w:pPr>
                    <w:pStyle w:val="14"/>
                    <w:adjustRightInd/>
                    <w:spacing w:line="240" w:lineRule="auto"/>
                    <w:ind w:firstLine="0"/>
                    <w:jc w:val="center"/>
                    <w:textAlignment w:val="auto"/>
                    <w:rPr>
                      <w:rFonts w:hint="eastAsia" w:ascii="Times New Roman" w:hAnsi="Times New Roman" w:eastAsia="宋体" w:cs="Times New Roman"/>
                      <w:color w:val="auto"/>
                      <w:sz w:val="21"/>
                      <w:szCs w:val="19"/>
                      <w:lang w:bidi="ar"/>
                    </w:rPr>
                  </w:pPr>
                </w:p>
              </w:tc>
              <w:tc>
                <w:tcPr>
                  <w:tcW w:w="959" w:type="pct"/>
                  <w:vMerge w:val="continue"/>
                  <w:tcBorders>
                    <w:tl2br w:val="nil"/>
                    <w:tr2bl w:val="nil"/>
                  </w:tcBorders>
                  <w:noWrap w:val="0"/>
                  <w:vAlign w:val="center"/>
                </w:tcPr>
                <w:p w14:paraId="0DA28BFE">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0ECBC0B7">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膝盖穴位型</w:t>
                  </w:r>
                </w:p>
              </w:tc>
              <w:tc>
                <w:tcPr>
                  <w:tcW w:w="919" w:type="pct"/>
                  <w:vMerge w:val="continue"/>
                  <w:tcBorders>
                    <w:tl2br w:val="nil"/>
                    <w:tr2bl w:val="nil"/>
                  </w:tcBorders>
                  <w:noWrap w:val="0"/>
                  <w:vAlign w:val="center"/>
                </w:tcPr>
                <w:p w14:paraId="676D0E5C">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2666D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67A9C7AC">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55ECF4EF">
                  <w:pPr>
                    <w:pStyle w:val="14"/>
                    <w:adjustRightInd/>
                    <w:spacing w:line="240" w:lineRule="auto"/>
                    <w:ind w:firstLine="0"/>
                    <w:jc w:val="center"/>
                    <w:textAlignment w:val="auto"/>
                    <w:rPr>
                      <w:rFonts w:hint="eastAsia" w:ascii="Times New Roman" w:hAnsi="Times New Roman" w:eastAsia="宋体" w:cs="Times New Roman"/>
                      <w:color w:val="auto"/>
                      <w:sz w:val="21"/>
                      <w:szCs w:val="19"/>
                      <w:lang w:bidi="ar"/>
                    </w:rPr>
                  </w:pPr>
                </w:p>
              </w:tc>
              <w:tc>
                <w:tcPr>
                  <w:tcW w:w="959" w:type="pct"/>
                  <w:vMerge w:val="continue"/>
                  <w:tcBorders>
                    <w:tl2br w:val="nil"/>
                    <w:tr2bl w:val="nil"/>
                  </w:tcBorders>
                  <w:noWrap w:val="0"/>
                  <w:vAlign w:val="center"/>
                </w:tcPr>
                <w:p w14:paraId="1934D85F">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17AF9261">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足部穴位型</w:t>
                  </w:r>
                </w:p>
              </w:tc>
              <w:tc>
                <w:tcPr>
                  <w:tcW w:w="919" w:type="pct"/>
                  <w:vMerge w:val="restart"/>
                  <w:tcBorders>
                    <w:tl2br w:val="nil"/>
                    <w:tr2bl w:val="nil"/>
                  </w:tcBorders>
                  <w:noWrap w:val="0"/>
                  <w:vAlign w:val="center"/>
                </w:tcPr>
                <w:p w14:paraId="3F293236">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圆形：直径2.0cm</w:t>
                  </w:r>
                  <w:r>
                    <w:rPr>
                      <w:rFonts w:hint="eastAsia" w:ascii="Times New Roman" w:hAnsi="Times New Roman" w:eastAsia="宋体" w:cs="Times New Roman"/>
                      <w:color w:val="auto"/>
                      <w:sz w:val="21"/>
                      <w:lang w:eastAsia="zh-CN"/>
                    </w:rPr>
                    <w:t>—</w:t>
                  </w:r>
                  <w:r>
                    <w:rPr>
                      <w:rFonts w:hint="eastAsia" w:ascii="Times New Roman" w:hAnsi="Times New Roman" w:eastAsia="宋体" w:cs="Times New Roman"/>
                      <w:color w:val="auto"/>
                      <w:sz w:val="21"/>
                    </w:rPr>
                    <w:t>直径4.0cm</w:t>
                  </w:r>
                </w:p>
              </w:tc>
            </w:tr>
            <w:tr w14:paraId="50CCD2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39720568">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614BE96A">
                  <w:pPr>
                    <w:pStyle w:val="14"/>
                    <w:adjustRightInd/>
                    <w:spacing w:line="240" w:lineRule="auto"/>
                    <w:ind w:firstLine="0"/>
                    <w:jc w:val="center"/>
                    <w:textAlignment w:val="auto"/>
                    <w:rPr>
                      <w:rFonts w:hint="eastAsia" w:ascii="Times New Roman" w:hAnsi="Times New Roman" w:eastAsia="宋体" w:cs="Times New Roman"/>
                      <w:color w:val="auto"/>
                      <w:sz w:val="21"/>
                      <w:szCs w:val="19"/>
                      <w:lang w:bidi="ar"/>
                    </w:rPr>
                  </w:pPr>
                </w:p>
              </w:tc>
              <w:tc>
                <w:tcPr>
                  <w:tcW w:w="959" w:type="pct"/>
                  <w:vMerge w:val="continue"/>
                  <w:tcBorders>
                    <w:tl2br w:val="nil"/>
                    <w:tr2bl w:val="nil"/>
                  </w:tcBorders>
                  <w:noWrap w:val="0"/>
                  <w:vAlign w:val="center"/>
                </w:tcPr>
                <w:p w14:paraId="75D7D8EA">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7A27B9A3">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胸部穴位型</w:t>
                  </w:r>
                </w:p>
              </w:tc>
              <w:tc>
                <w:tcPr>
                  <w:tcW w:w="919" w:type="pct"/>
                  <w:vMerge w:val="continue"/>
                  <w:tcBorders>
                    <w:tl2br w:val="nil"/>
                    <w:tr2bl w:val="nil"/>
                  </w:tcBorders>
                  <w:noWrap w:val="0"/>
                  <w:vAlign w:val="center"/>
                </w:tcPr>
                <w:p w14:paraId="1D578FBE">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0F18C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71CF74EE">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7FAE0634">
                  <w:pPr>
                    <w:pStyle w:val="14"/>
                    <w:adjustRightInd/>
                    <w:spacing w:line="240" w:lineRule="auto"/>
                    <w:ind w:firstLine="0"/>
                    <w:jc w:val="center"/>
                    <w:textAlignment w:val="auto"/>
                    <w:rPr>
                      <w:rFonts w:hint="eastAsia" w:ascii="Times New Roman" w:hAnsi="Times New Roman" w:eastAsia="宋体" w:cs="Times New Roman"/>
                      <w:color w:val="auto"/>
                      <w:sz w:val="21"/>
                      <w:szCs w:val="19"/>
                      <w:lang w:bidi="ar"/>
                    </w:rPr>
                  </w:pPr>
                </w:p>
              </w:tc>
              <w:tc>
                <w:tcPr>
                  <w:tcW w:w="959" w:type="pct"/>
                  <w:vMerge w:val="continue"/>
                  <w:tcBorders>
                    <w:tl2br w:val="nil"/>
                    <w:tr2bl w:val="nil"/>
                  </w:tcBorders>
                  <w:noWrap w:val="0"/>
                  <w:vAlign w:val="center"/>
                </w:tcPr>
                <w:p w14:paraId="6D054397">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6E2FE222">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腹部穴位型</w:t>
                  </w:r>
                </w:p>
              </w:tc>
              <w:tc>
                <w:tcPr>
                  <w:tcW w:w="919" w:type="pct"/>
                  <w:vMerge w:val="continue"/>
                  <w:tcBorders>
                    <w:tl2br w:val="nil"/>
                    <w:tr2bl w:val="nil"/>
                  </w:tcBorders>
                  <w:noWrap w:val="0"/>
                  <w:vAlign w:val="center"/>
                </w:tcPr>
                <w:p w14:paraId="0B097F09">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29B39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39088C27">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233EC950">
                  <w:pPr>
                    <w:pStyle w:val="14"/>
                    <w:adjustRightInd/>
                    <w:spacing w:line="240" w:lineRule="auto"/>
                    <w:ind w:firstLine="0"/>
                    <w:jc w:val="center"/>
                    <w:textAlignment w:val="auto"/>
                    <w:rPr>
                      <w:rFonts w:hint="eastAsia" w:ascii="Times New Roman" w:hAnsi="Times New Roman" w:eastAsia="宋体" w:cs="Times New Roman"/>
                      <w:color w:val="auto"/>
                      <w:sz w:val="21"/>
                      <w:szCs w:val="19"/>
                      <w:lang w:bidi="ar"/>
                    </w:rPr>
                  </w:pPr>
                </w:p>
              </w:tc>
              <w:tc>
                <w:tcPr>
                  <w:tcW w:w="959" w:type="pct"/>
                  <w:vMerge w:val="continue"/>
                  <w:tcBorders>
                    <w:tl2br w:val="nil"/>
                    <w:tr2bl w:val="nil"/>
                  </w:tcBorders>
                  <w:noWrap w:val="0"/>
                  <w:vAlign w:val="center"/>
                </w:tcPr>
                <w:p w14:paraId="6267FD5C">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1E0A6917">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手部穴位型</w:t>
                  </w:r>
                </w:p>
              </w:tc>
              <w:tc>
                <w:tcPr>
                  <w:tcW w:w="919" w:type="pct"/>
                  <w:vMerge w:val="continue"/>
                  <w:tcBorders>
                    <w:tl2br w:val="nil"/>
                    <w:tr2bl w:val="nil"/>
                  </w:tcBorders>
                  <w:noWrap w:val="0"/>
                  <w:vAlign w:val="center"/>
                </w:tcPr>
                <w:p w14:paraId="5DB52867">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42F16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1EE4EF01">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2057EB6B">
                  <w:pPr>
                    <w:widowControl/>
                    <w:jc w:val="center"/>
                    <w:rPr>
                      <w:rFonts w:hint="eastAsia" w:ascii="Times New Roman" w:hAnsi="Times New Roman" w:eastAsia="宋体" w:cs="Times New Roman"/>
                      <w:color w:val="auto"/>
                      <w:sz w:val="21"/>
                      <w:szCs w:val="19"/>
                      <w:lang w:bidi="ar"/>
                    </w:rPr>
                  </w:pPr>
                </w:p>
              </w:tc>
              <w:tc>
                <w:tcPr>
                  <w:tcW w:w="959" w:type="pct"/>
                  <w:vMerge w:val="continue"/>
                  <w:tcBorders>
                    <w:tl2br w:val="nil"/>
                    <w:tr2bl w:val="nil"/>
                  </w:tcBorders>
                  <w:noWrap w:val="0"/>
                  <w:vAlign w:val="center"/>
                </w:tcPr>
                <w:p w14:paraId="698D3946">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74C32A93">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耳部穴位型</w:t>
                  </w:r>
                </w:p>
              </w:tc>
              <w:tc>
                <w:tcPr>
                  <w:tcW w:w="919" w:type="pct"/>
                  <w:vMerge w:val="continue"/>
                  <w:tcBorders>
                    <w:tl2br w:val="nil"/>
                    <w:tr2bl w:val="nil"/>
                  </w:tcBorders>
                  <w:noWrap w:val="0"/>
                  <w:vAlign w:val="center"/>
                </w:tcPr>
                <w:p w14:paraId="554E6967">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6750F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52347E54">
                  <w:pPr>
                    <w:snapToGrid w:val="0"/>
                    <w:spacing w:line="240" w:lineRule="auto"/>
                    <w:jc w:val="center"/>
                    <w:textAlignment w:val="auto"/>
                    <w:rPr>
                      <w:rFonts w:hint="eastAsia"/>
                      <w:color w:val="auto"/>
                    </w:rPr>
                  </w:pPr>
                </w:p>
              </w:tc>
              <w:tc>
                <w:tcPr>
                  <w:tcW w:w="2155" w:type="pct"/>
                  <w:gridSpan w:val="2"/>
                  <w:vMerge w:val="continue"/>
                  <w:tcBorders>
                    <w:tl2br w:val="nil"/>
                    <w:tr2bl w:val="nil"/>
                  </w:tcBorders>
                  <w:noWrap w:val="0"/>
                  <w:vAlign w:val="center"/>
                </w:tcPr>
                <w:p w14:paraId="5212B6FA">
                  <w:pPr>
                    <w:widowControl/>
                    <w:jc w:val="center"/>
                    <w:rPr>
                      <w:rFonts w:hint="eastAsia" w:ascii="Times New Roman" w:hAnsi="Times New Roman" w:eastAsia="宋体" w:cs="Times New Roman"/>
                      <w:color w:val="auto"/>
                      <w:sz w:val="21"/>
                      <w:szCs w:val="19"/>
                      <w:lang w:bidi="ar"/>
                    </w:rPr>
                  </w:pPr>
                </w:p>
              </w:tc>
              <w:tc>
                <w:tcPr>
                  <w:tcW w:w="959" w:type="pct"/>
                  <w:vMerge w:val="restart"/>
                  <w:tcBorders>
                    <w:tl2br w:val="nil"/>
                    <w:tr2bl w:val="nil"/>
                  </w:tcBorders>
                  <w:noWrap w:val="0"/>
                  <w:vAlign w:val="center"/>
                </w:tcPr>
                <w:p w14:paraId="461AECDE">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创口贴</w:t>
                  </w:r>
                </w:p>
              </w:tc>
              <w:tc>
                <w:tcPr>
                  <w:tcW w:w="731" w:type="pct"/>
                  <w:tcBorders>
                    <w:tl2br w:val="nil"/>
                    <w:tr2bl w:val="nil"/>
                  </w:tcBorders>
                  <w:noWrap w:val="0"/>
                  <w:vAlign w:val="center"/>
                </w:tcPr>
                <w:p w14:paraId="38D887DD">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防水型</w:t>
                  </w:r>
                </w:p>
              </w:tc>
              <w:tc>
                <w:tcPr>
                  <w:tcW w:w="919" w:type="pct"/>
                  <w:vMerge w:val="restart"/>
                  <w:tcBorders>
                    <w:tl2br w:val="nil"/>
                    <w:tr2bl w:val="nil"/>
                  </w:tcBorders>
                  <w:noWrap w:val="0"/>
                  <w:vAlign w:val="center"/>
                </w:tcPr>
                <w:p w14:paraId="6D4FB88D">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50-100mm×18-50mm</w:t>
                  </w:r>
                </w:p>
              </w:tc>
            </w:tr>
            <w:tr w14:paraId="5BFD5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01223EB1">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7C518EB2">
                  <w:pPr>
                    <w:widowControl/>
                    <w:jc w:val="center"/>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30A083EB">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3884CE22">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透气型</w:t>
                  </w:r>
                </w:p>
              </w:tc>
              <w:tc>
                <w:tcPr>
                  <w:tcW w:w="919" w:type="pct"/>
                  <w:vMerge w:val="continue"/>
                  <w:tcBorders>
                    <w:tl2br w:val="nil"/>
                    <w:tr2bl w:val="nil"/>
                  </w:tcBorders>
                  <w:noWrap w:val="0"/>
                  <w:vAlign w:val="center"/>
                </w:tcPr>
                <w:p w14:paraId="49F9027D">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4F095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6FF8D72C">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6B13A89D">
                  <w:pPr>
                    <w:widowControl/>
                    <w:jc w:val="center"/>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213D7ED8">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7D2A79E7">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弹力型</w:t>
                  </w:r>
                </w:p>
              </w:tc>
              <w:tc>
                <w:tcPr>
                  <w:tcW w:w="919" w:type="pct"/>
                  <w:vMerge w:val="continue"/>
                  <w:tcBorders>
                    <w:tl2br w:val="nil"/>
                    <w:tr2bl w:val="nil"/>
                  </w:tcBorders>
                  <w:noWrap w:val="0"/>
                  <w:vAlign w:val="center"/>
                </w:tcPr>
                <w:p w14:paraId="28BD6A5C">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6004A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35" w:type="pct"/>
                  <w:vMerge w:val="continue"/>
                  <w:tcBorders>
                    <w:tl2br w:val="nil"/>
                    <w:tr2bl w:val="nil"/>
                  </w:tcBorders>
                  <w:noWrap w:val="0"/>
                  <w:vAlign w:val="center"/>
                </w:tcPr>
                <w:p w14:paraId="0A6E6834">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7868B4E7">
                  <w:pPr>
                    <w:widowControl/>
                    <w:jc w:val="center"/>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4BC3B07B">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60262535">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超大型</w:t>
                  </w:r>
                </w:p>
              </w:tc>
              <w:tc>
                <w:tcPr>
                  <w:tcW w:w="919" w:type="pct"/>
                  <w:vMerge w:val="continue"/>
                  <w:tcBorders>
                    <w:tl2br w:val="nil"/>
                    <w:tr2bl w:val="nil"/>
                  </w:tcBorders>
                  <w:noWrap w:val="0"/>
                  <w:vAlign w:val="center"/>
                </w:tcPr>
                <w:p w14:paraId="1A95D07A">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56AF2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26F591F8">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39CACF47">
                  <w:pPr>
                    <w:widowControl/>
                    <w:jc w:val="center"/>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2447A951">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37704080">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透明防水型</w:t>
                  </w:r>
                </w:p>
              </w:tc>
              <w:tc>
                <w:tcPr>
                  <w:tcW w:w="919" w:type="pct"/>
                  <w:vMerge w:val="continue"/>
                  <w:tcBorders>
                    <w:tl2br w:val="nil"/>
                    <w:tr2bl w:val="nil"/>
                  </w:tcBorders>
                  <w:noWrap w:val="0"/>
                  <w:vAlign w:val="center"/>
                </w:tcPr>
                <w:p w14:paraId="34E173C2">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22ECBE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55D1F7A1">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455DC1CA">
                  <w:pPr>
                    <w:widowControl/>
                    <w:jc w:val="center"/>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02AC2F01">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0E73AD47">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防水弹力型</w:t>
                  </w:r>
                </w:p>
              </w:tc>
              <w:tc>
                <w:tcPr>
                  <w:tcW w:w="919" w:type="pct"/>
                  <w:vMerge w:val="continue"/>
                  <w:tcBorders>
                    <w:tl2br w:val="nil"/>
                    <w:tr2bl w:val="nil"/>
                  </w:tcBorders>
                  <w:noWrap w:val="0"/>
                  <w:vAlign w:val="center"/>
                </w:tcPr>
                <w:p w14:paraId="0FCE1DB7">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36AC6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23F17F81">
                  <w:pPr>
                    <w:snapToGrid w:val="0"/>
                    <w:spacing w:line="240" w:lineRule="auto"/>
                    <w:jc w:val="center"/>
                    <w:textAlignment w:val="auto"/>
                    <w:rPr>
                      <w:rFonts w:hint="eastAsia"/>
                      <w:color w:val="auto"/>
                    </w:rPr>
                  </w:pPr>
                </w:p>
              </w:tc>
              <w:tc>
                <w:tcPr>
                  <w:tcW w:w="2155" w:type="pct"/>
                  <w:gridSpan w:val="2"/>
                  <w:vMerge w:val="continue"/>
                  <w:tcBorders>
                    <w:tl2br w:val="nil"/>
                    <w:tr2bl w:val="nil"/>
                  </w:tcBorders>
                  <w:noWrap w:val="0"/>
                  <w:vAlign w:val="center"/>
                </w:tcPr>
                <w:p w14:paraId="77FE18AA">
                  <w:pPr>
                    <w:widowControl/>
                    <w:jc w:val="center"/>
                    <w:rPr>
                      <w:rFonts w:hint="eastAsia" w:ascii="Times New Roman" w:hAnsi="Times New Roman" w:eastAsia="宋体" w:cs="Times New Roman"/>
                      <w:color w:val="auto"/>
                      <w:sz w:val="21"/>
                      <w:highlight w:val="yellow"/>
                    </w:rPr>
                  </w:pPr>
                </w:p>
              </w:tc>
              <w:tc>
                <w:tcPr>
                  <w:tcW w:w="959" w:type="pct"/>
                  <w:vMerge w:val="restart"/>
                  <w:tcBorders>
                    <w:tl2br w:val="nil"/>
                    <w:tr2bl w:val="nil"/>
                  </w:tcBorders>
                  <w:noWrap w:val="0"/>
                  <w:vAlign w:val="center"/>
                </w:tcPr>
                <w:p w14:paraId="4F6FF32E">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晕车贴</w:t>
                  </w:r>
                </w:p>
              </w:tc>
              <w:tc>
                <w:tcPr>
                  <w:tcW w:w="731" w:type="pct"/>
                  <w:tcBorders>
                    <w:tl2br w:val="nil"/>
                    <w:tr2bl w:val="nil"/>
                  </w:tcBorders>
                  <w:noWrap w:val="0"/>
                  <w:vAlign w:val="center"/>
                </w:tcPr>
                <w:p w14:paraId="371A862D">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圆形</w:t>
                  </w:r>
                </w:p>
              </w:tc>
              <w:tc>
                <w:tcPr>
                  <w:tcW w:w="919" w:type="pct"/>
                  <w:tcBorders>
                    <w:tl2br w:val="nil"/>
                    <w:tr2bl w:val="nil"/>
                  </w:tcBorders>
                  <w:noWrap w:val="0"/>
                  <w:vAlign w:val="center"/>
                </w:tcPr>
                <w:p w14:paraId="24EADC1E">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直径1.5</w:t>
                  </w:r>
                  <w:r>
                    <w:rPr>
                      <w:rFonts w:hint="eastAsia" w:ascii="Times New Roman" w:hAnsi="Times New Roman" w:eastAsia="宋体" w:cs="Times New Roman"/>
                      <w:color w:val="auto"/>
                      <w:sz w:val="21"/>
                      <w:lang w:eastAsia="zh-CN"/>
                    </w:rPr>
                    <w:t>—</w:t>
                  </w:r>
                  <w:r>
                    <w:rPr>
                      <w:rFonts w:hint="eastAsia" w:ascii="Times New Roman" w:hAnsi="Times New Roman" w:eastAsia="宋体" w:cs="Times New Roman"/>
                      <w:color w:val="auto"/>
                      <w:sz w:val="21"/>
                      <w:lang w:val="en-US" w:eastAsia="zh-CN"/>
                    </w:rPr>
                    <w:t>4</w:t>
                  </w:r>
                  <w:r>
                    <w:rPr>
                      <w:rFonts w:hint="eastAsia" w:ascii="Times New Roman" w:hAnsi="Times New Roman" w:eastAsia="宋体" w:cs="Times New Roman"/>
                      <w:color w:val="auto"/>
                      <w:sz w:val="21"/>
                    </w:rPr>
                    <w:t>cm</w:t>
                  </w:r>
                </w:p>
              </w:tc>
            </w:tr>
            <w:tr w14:paraId="03BF83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67836609">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22E185DF">
                  <w:pPr>
                    <w:widowControl/>
                    <w:jc w:val="center"/>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71812447">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25E7111B">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其他</w:t>
                  </w:r>
                </w:p>
              </w:tc>
              <w:tc>
                <w:tcPr>
                  <w:tcW w:w="919" w:type="pct"/>
                  <w:tcBorders>
                    <w:tl2br w:val="nil"/>
                    <w:tr2bl w:val="nil"/>
                  </w:tcBorders>
                  <w:noWrap w:val="0"/>
                  <w:vAlign w:val="center"/>
                </w:tcPr>
                <w:p w14:paraId="49ED38F3">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其他可定制</w:t>
                  </w:r>
                </w:p>
              </w:tc>
            </w:tr>
            <w:tr w14:paraId="4E49A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06619CE4">
                  <w:pPr>
                    <w:snapToGrid w:val="0"/>
                    <w:spacing w:line="240" w:lineRule="auto"/>
                    <w:jc w:val="center"/>
                    <w:textAlignment w:val="auto"/>
                    <w:rPr>
                      <w:rFonts w:hint="eastAsia"/>
                      <w:color w:val="auto"/>
                    </w:rPr>
                  </w:pPr>
                </w:p>
              </w:tc>
              <w:tc>
                <w:tcPr>
                  <w:tcW w:w="2155" w:type="pct"/>
                  <w:gridSpan w:val="2"/>
                  <w:vMerge w:val="continue"/>
                  <w:tcBorders>
                    <w:tl2br w:val="nil"/>
                    <w:tr2bl w:val="nil"/>
                  </w:tcBorders>
                  <w:noWrap w:val="0"/>
                  <w:vAlign w:val="center"/>
                </w:tcPr>
                <w:p w14:paraId="506DD9A7">
                  <w:pPr>
                    <w:widowControl/>
                    <w:jc w:val="center"/>
                    <w:rPr>
                      <w:rFonts w:ascii="Times New Roman" w:hAnsi="Times New Roman" w:eastAsia="宋体" w:cs="Times New Roman"/>
                      <w:color w:val="auto"/>
                      <w:sz w:val="21"/>
                      <w:highlight w:val="yellow"/>
                    </w:rPr>
                  </w:pPr>
                </w:p>
              </w:tc>
              <w:tc>
                <w:tcPr>
                  <w:tcW w:w="959" w:type="pct"/>
                  <w:vMerge w:val="restart"/>
                  <w:tcBorders>
                    <w:tl2br w:val="nil"/>
                    <w:tr2bl w:val="nil"/>
                  </w:tcBorders>
                  <w:noWrap w:val="0"/>
                  <w:vAlign w:val="center"/>
                </w:tcPr>
                <w:p w14:paraId="3CFE31C1">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三伏贴</w:t>
                  </w:r>
                </w:p>
              </w:tc>
              <w:tc>
                <w:tcPr>
                  <w:tcW w:w="731" w:type="pct"/>
                  <w:tcBorders>
                    <w:tl2br w:val="nil"/>
                    <w:tr2bl w:val="nil"/>
                  </w:tcBorders>
                  <w:noWrap w:val="0"/>
                  <w:vAlign w:val="center"/>
                </w:tcPr>
                <w:p w14:paraId="632EA7E5">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腰椎型</w:t>
                  </w:r>
                </w:p>
              </w:tc>
              <w:tc>
                <w:tcPr>
                  <w:tcW w:w="919" w:type="pct"/>
                  <w:vMerge w:val="restart"/>
                  <w:tcBorders>
                    <w:tl2br w:val="nil"/>
                    <w:tr2bl w:val="nil"/>
                  </w:tcBorders>
                  <w:noWrap w:val="0"/>
                  <w:vAlign w:val="center"/>
                </w:tcPr>
                <w:p w14:paraId="2A78F1D0">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6</w:t>
                  </w:r>
                  <w:r>
                    <w:rPr>
                      <w:rFonts w:hint="eastAsia" w:ascii="Times New Roman" w:hAnsi="Times New Roman" w:eastAsia="宋体" w:cs="Times New Roman"/>
                      <w:color w:val="auto"/>
                      <w:sz w:val="21"/>
                      <w:lang w:eastAsia="zh-CN"/>
                    </w:rPr>
                    <w:t>—</w:t>
                  </w:r>
                  <w:r>
                    <w:rPr>
                      <w:rFonts w:hint="eastAsia" w:ascii="Times New Roman" w:hAnsi="Times New Roman" w:eastAsia="宋体" w:cs="Times New Roman"/>
                      <w:color w:val="auto"/>
                      <w:sz w:val="21"/>
                      <w:lang w:val="en-US" w:eastAsia="zh-CN"/>
                    </w:rPr>
                    <w:t>12</w:t>
                  </w:r>
                  <w:r>
                    <w:rPr>
                      <w:rFonts w:hint="eastAsia" w:ascii="Times New Roman" w:hAnsi="Times New Roman" w:eastAsia="宋体" w:cs="Times New Roman"/>
                      <w:color w:val="auto"/>
                      <w:sz w:val="21"/>
                    </w:rPr>
                    <w:t>cm×7</w:t>
                  </w:r>
                  <w:r>
                    <w:rPr>
                      <w:rFonts w:hint="eastAsia" w:ascii="Times New Roman" w:hAnsi="Times New Roman" w:eastAsia="宋体" w:cs="Times New Roman"/>
                      <w:color w:val="auto"/>
                      <w:sz w:val="21"/>
                      <w:lang w:eastAsia="zh-CN"/>
                    </w:rPr>
                    <w:t>—</w:t>
                  </w:r>
                  <w:r>
                    <w:rPr>
                      <w:rFonts w:hint="eastAsia" w:ascii="Times New Roman" w:hAnsi="Times New Roman" w:eastAsia="宋体" w:cs="Times New Roman"/>
                      <w:color w:val="auto"/>
                      <w:sz w:val="21"/>
                      <w:lang w:val="en-US" w:eastAsia="zh-CN"/>
                    </w:rPr>
                    <w:t>14</w:t>
                  </w:r>
                  <w:r>
                    <w:rPr>
                      <w:rFonts w:hint="eastAsia" w:ascii="Times New Roman" w:hAnsi="Times New Roman" w:eastAsia="宋体" w:cs="Times New Roman"/>
                      <w:color w:val="auto"/>
                      <w:sz w:val="21"/>
                    </w:rPr>
                    <w:t>cm</w:t>
                  </w:r>
                </w:p>
              </w:tc>
            </w:tr>
            <w:tr w14:paraId="6EC02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13A441A0">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7C0867EE">
                  <w:pPr>
                    <w:widowControl/>
                    <w:jc w:val="center"/>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78B45DC6">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74B99A98">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颈椎型</w:t>
                  </w:r>
                </w:p>
              </w:tc>
              <w:tc>
                <w:tcPr>
                  <w:tcW w:w="919" w:type="pct"/>
                  <w:vMerge w:val="continue"/>
                  <w:tcBorders>
                    <w:tl2br w:val="nil"/>
                    <w:tr2bl w:val="nil"/>
                  </w:tcBorders>
                  <w:noWrap w:val="0"/>
                  <w:vAlign w:val="center"/>
                </w:tcPr>
                <w:p w14:paraId="0B234AA8">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4D113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3672FEA2">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7DB76B31">
                  <w:pPr>
                    <w:widowControl/>
                    <w:jc w:val="center"/>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562F95A9">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731" w:type="pct"/>
                  <w:tcBorders>
                    <w:tl2br w:val="nil"/>
                    <w:tr2bl w:val="nil"/>
                  </w:tcBorders>
                  <w:noWrap w:val="0"/>
                  <w:vAlign w:val="center"/>
                </w:tcPr>
                <w:p w14:paraId="5967E335">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膝盖型</w:t>
                  </w:r>
                </w:p>
              </w:tc>
              <w:tc>
                <w:tcPr>
                  <w:tcW w:w="919" w:type="pct"/>
                  <w:vMerge w:val="continue"/>
                  <w:tcBorders>
                    <w:tl2br w:val="nil"/>
                    <w:tr2bl w:val="nil"/>
                  </w:tcBorders>
                  <w:noWrap w:val="0"/>
                  <w:vAlign w:val="center"/>
                </w:tcPr>
                <w:p w14:paraId="273CF776">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r>
            <w:tr w14:paraId="5C6616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23FD0007">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3AFAD171">
                  <w:pPr>
                    <w:widowControl/>
                    <w:jc w:val="center"/>
                    <w:rPr>
                      <w:rFonts w:hint="eastAsia" w:ascii="Times New Roman" w:hAnsi="Times New Roman" w:eastAsia="宋体" w:cs="Times New Roman"/>
                      <w:color w:val="auto"/>
                      <w:sz w:val="21"/>
                    </w:rPr>
                  </w:pPr>
                </w:p>
              </w:tc>
              <w:tc>
                <w:tcPr>
                  <w:tcW w:w="959" w:type="pct"/>
                  <w:vMerge w:val="restart"/>
                  <w:tcBorders>
                    <w:tl2br w:val="nil"/>
                    <w:tr2bl w:val="nil"/>
                  </w:tcBorders>
                  <w:noWrap w:val="0"/>
                  <w:vAlign w:val="center"/>
                </w:tcPr>
                <w:p w14:paraId="2AA3839A">
                  <w:pPr>
                    <w:pStyle w:val="14"/>
                    <w:adjustRightInd/>
                    <w:spacing w:line="240" w:lineRule="auto"/>
                    <w:ind w:firstLine="0" w:firstLineChars="0"/>
                    <w:jc w:val="center"/>
                    <w:textAlignment w:val="auto"/>
                    <w:rPr>
                      <w:rFonts w:hint="eastAsia"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冰凉贴</w:t>
                  </w:r>
                </w:p>
              </w:tc>
              <w:tc>
                <w:tcPr>
                  <w:tcW w:w="1650" w:type="pct"/>
                  <w:gridSpan w:val="2"/>
                  <w:tcBorders>
                    <w:tl2br w:val="nil"/>
                    <w:tr2bl w:val="nil"/>
                  </w:tcBorders>
                  <w:noWrap w:val="0"/>
                  <w:vAlign w:val="center"/>
                </w:tcPr>
                <w:p w14:paraId="7C2DDF7B">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4cm×9cm</w:t>
                  </w:r>
                </w:p>
              </w:tc>
            </w:tr>
            <w:tr w14:paraId="3FC8F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76D3DE09">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46C5DE92">
                  <w:pPr>
                    <w:widowControl/>
                    <w:jc w:val="center"/>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40B59B3A">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1650" w:type="pct"/>
                  <w:gridSpan w:val="2"/>
                  <w:tcBorders>
                    <w:tl2br w:val="nil"/>
                    <w:tr2bl w:val="nil"/>
                  </w:tcBorders>
                  <w:noWrap w:val="0"/>
                  <w:vAlign w:val="center"/>
                </w:tcPr>
                <w:p w14:paraId="25A30C95">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4cm×11cm</w:t>
                  </w:r>
                </w:p>
              </w:tc>
            </w:tr>
            <w:tr w14:paraId="12F16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5A7D136D">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5B28DBC3">
                  <w:pPr>
                    <w:widowControl/>
                    <w:jc w:val="center"/>
                    <w:rPr>
                      <w:rFonts w:hint="eastAsia" w:ascii="Times New Roman" w:hAnsi="Times New Roman" w:eastAsia="宋体" w:cs="Times New Roman"/>
                      <w:color w:val="auto"/>
                      <w:sz w:val="21"/>
                    </w:rPr>
                  </w:pPr>
                </w:p>
              </w:tc>
              <w:tc>
                <w:tcPr>
                  <w:tcW w:w="959" w:type="pct"/>
                  <w:vMerge w:val="continue"/>
                  <w:tcBorders>
                    <w:tl2br w:val="nil"/>
                    <w:tr2bl w:val="nil"/>
                  </w:tcBorders>
                  <w:noWrap w:val="0"/>
                  <w:vAlign w:val="center"/>
                </w:tcPr>
                <w:p w14:paraId="4714D9AC">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p>
              </w:tc>
              <w:tc>
                <w:tcPr>
                  <w:tcW w:w="1650" w:type="pct"/>
                  <w:gridSpan w:val="2"/>
                  <w:tcBorders>
                    <w:tl2br w:val="nil"/>
                    <w:tr2bl w:val="nil"/>
                  </w:tcBorders>
                  <w:noWrap w:val="0"/>
                  <w:vAlign w:val="center"/>
                </w:tcPr>
                <w:p w14:paraId="4A9D6A63">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5cm×12cm</w:t>
                  </w:r>
                </w:p>
              </w:tc>
            </w:tr>
            <w:tr w14:paraId="5D6C9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5" w:type="pct"/>
                  <w:vMerge w:val="continue"/>
                  <w:tcBorders>
                    <w:tl2br w:val="nil"/>
                    <w:tr2bl w:val="nil"/>
                  </w:tcBorders>
                  <w:noWrap w:val="0"/>
                  <w:vAlign w:val="center"/>
                </w:tcPr>
                <w:p w14:paraId="7EAAE046">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73BE9AF7">
                  <w:pPr>
                    <w:widowControl/>
                    <w:jc w:val="center"/>
                    <w:rPr>
                      <w:rFonts w:hint="eastAsia" w:ascii="Times New Roman" w:hAnsi="Times New Roman" w:eastAsia="宋体" w:cs="Times New Roman"/>
                      <w:color w:val="auto"/>
                      <w:sz w:val="21"/>
                      <w:szCs w:val="19"/>
                      <w:lang w:bidi="ar"/>
                    </w:rPr>
                  </w:pPr>
                </w:p>
              </w:tc>
              <w:tc>
                <w:tcPr>
                  <w:tcW w:w="959" w:type="pct"/>
                  <w:vMerge w:val="restart"/>
                  <w:tcBorders>
                    <w:tl2br w:val="nil"/>
                    <w:tr2bl w:val="nil"/>
                  </w:tcBorders>
                  <w:noWrap w:val="0"/>
                  <w:vAlign w:val="center"/>
                </w:tcPr>
                <w:p w14:paraId="70B8C218">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通气鼻贴</w:t>
                  </w:r>
                </w:p>
              </w:tc>
              <w:tc>
                <w:tcPr>
                  <w:tcW w:w="731" w:type="pct"/>
                  <w:tcBorders>
                    <w:tl2br w:val="nil"/>
                    <w:tr2bl w:val="nil"/>
                  </w:tcBorders>
                  <w:noWrap w:val="0"/>
                  <w:vAlign w:val="center"/>
                </w:tcPr>
                <w:p w14:paraId="339A5C82">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肤色型</w:t>
                  </w:r>
                </w:p>
              </w:tc>
              <w:tc>
                <w:tcPr>
                  <w:tcW w:w="919" w:type="pct"/>
                  <w:vMerge w:val="restart"/>
                  <w:tcBorders>
                    <w:tl2br w:val="nil"/>
                    <w:tr2bl w:val="nil"/>
                  </w:tcBorders>
                  <w:noWrap w:val="0"/>
                  <w:vAlign w:val="center"/>
                </w:tcPr>
                <w:p w14:paraId="2674BD6A">
                  <w:pPr>
                    <w:pStyle w:val="14"/>
                    <w:adjustRightInd/>
                    <w:spacing w:line="240" w:lineRule="auto"/>
                    <w:ind w:firstLine="0" w:firstLine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Times New Roman"/>
                      <w:color w:val="auto"/>
                      <w:sz w:val="21"/>
                    </w:rPr>
                    <w:t>42-66mm×13.5-18mm</w:t>
                  </w:r>
                </w:p>
              </w:tc>
            </w:tr>
            <w:tr w14:paraId="04597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35" w:type="pct"/>
                  <w:vMerge w:val="continue"/>
                  <w:tcBorders>
                    <w:tl2br w:val="nil"/>
                    <w:tr2bl w:val="nil"/>
                  </w:tcBorders>
                  <w:noWrap w:val="0"/>
                  <w:vAlign w:val="center"/>
                </w:tcPr>
                <w:p w14:paraId="158F1C02">
                  <w:pPr>
                    <w:snapToGrid w:val="0"/>
                    <w:spacing w:line="240" w:lineRule="auto"/>
                    <w:jc w:val="center"/>
                    <w:textAlignment w:val="auto"/>
                    <w:rPr>
                      <w:rFonts w:hint="eastAsia"/>
                      <w:color w:val="auto"/>
                      <w:szCs w:val="21"/>
                    </w:rPr>
                  </w:pPr>
                </w:p>
              </w:tc>
              <w:tc>
                <w:tcPr>
                  <w:tcW w:w="2155" w:type="pct"/>
                  <w:gridSpan w:val="2"/>
                  <w:vMerge w:val="continue"/>
                  <w:tcBorders>
                    <w:tl2br w:val="nil"/>
                    <w:tr2bl w:val="nil"/>
                  </w:tcBorders>
                  <w:noWrap w:val="0"/>
                  <w:vAlign w:val="center"/>
                </w:tcPr>
                <w:p w14:paraId="71A4CB8B">
                  <w:pPr>
                    <w:widowControl/>
                    <w:jc w:val="center"/>
                    <w:rPr>
                      <w:rFonts w:hint="eastAsia" w:ascii="Times New Roman" w:hAnsi="Times New Roman" w:eastAsia="宋体" w:cs="Times New Roman"/>
                      <w:color w:val="auto"/>
                      <w:sz w:val="21"/>
                      <w:szCs w:val="19"/>
                      <w:lang w:bidi="ar"/>
                    </w:rPr>
                  </w:pPr>
                </w:p>
              </w:tc>
              <w:tc>
                <w:tcPr>
                  <w:tcW w:w="959" w:type="pct"/>
                  <w:vMerge w:val="continue"/>
                  <w:tcBorders>
                    <w:tl2br w:val="nil"/>
                    <w:tr2bl w:val="nil"/>
                  </w:tcBorders>
                  <w:noWrap w:val="0"/>
                  <w:vAlign w:val="center"/>
                </w:tcPr>
                <w:p w14:paraId="59FC6546">
                  <w:pPr>
                    <w:widowControl/>
                    <w:jc w:val="center"/>
                    <w:rPr>
                      <w:rFonts w:hint="eastAsia" w:ascii="Times New Roman" w:hAnsi="Times New Roman" w:eastAsia="宋体" w:cs="Times New Roman"/>
                      <w:color w:val="auto"/>
                      <w:sz w:val="21"/>
                      <w:szCs w:val="19"/>
                      <w:lang w:bidi="ar"/>
                    </w:rPr>
                  </w:pPr>
                </w:p>
              </w:tc>
              <w:tc>
                <w:tcPr>
                  <w:tcW w:w="731" w:type="pct"/>
                  <w:tcBorders>
                    <w:tl2br w:val="nil"/>
                    <w:tr2bl w:val="nil"/>
                  </w:tcBorders>
                  <w:noWrap w:val="0"/>
                  <w:vAlign w:val="center"/>
                </w:tcPr>
                <w:p w14:paraId="3F418903">
                  <w:pPr>
                    <w:pStyle w:val="14"/>
                    <w:adjustRightInd/>
                    <w:spacing w:line="240" w:lineRule="auto"/>
                    <w:ind w:firstLine="0" w:firstLineChars="0"/>
                    <w:jc w:val="center"/>
                    <w:textAlignment w:val="auto"/>
                    <w:rPr>
                      <w:color w:val="auto"/>
                    </w:rPr>
                  </w:pPr>
                  <w:r>
                    <w:rPr>
                      <w:rFonts w:hint="eastAsia" w:ascii="Times New Roman" w:hAnsi="Times New Roman" w:eastAsia="宋体" w:cs="Times New Roman"/>
                      <w:color w:val="auto"/>
                      <w:sz w:val="21"/>
                      <w:szCs w:val="19"/>
                      <w:lang w:bidi="ar"/>
                    </w:rPr>
                    <w:t>透明型</w:t>
                  </w:r>
                </w:p>
              </w:tc>
              <w:tc>
                <w:tcPr>
                  <w:tcW w:w="919" w:type="pct"/>
                  <w:vMerge w:val="continue"/>
                  <w:tcBorders>
                    <w:tl2br w:val="nil"/>
                    <w:tr2bl w:val="nil"/>
                  </w:tcBorders>
                  <w:noWrap w:val="0"/>
                  <w:vAlign w:val="center"/>
                </w:tcPr>
                <w:p w14:paraId="1EC16D95">
                  <w:pPr>
                    <w:pStyle w:val="14"/>
                    <w:adjustRightInd/>
                    <w:spacing w:line="240" w:lineRule="auto"/>
                    <w:ind w:firstLine="0" w:firstLineChars="0"/>
                    <w:jc w:val="center"/>
                    <w:textAlignment w:val="auto"/>
                    <w:rPr>
                      <w:rFonts w:hint="eastAsia" w:ascii="Times New Roman" w:hAnsi="Times New Roman" w:eastAsia="宋体" w:cs="Times New Roman"/>
                      <w:color w:val="auto"/>
                      <w:sz w:val="21"/>
                      <w:szCs w:val="19"/>
                      <w:lang w:bidi="ar"/>
                    </w:rPr>
                  </w:pPr>
                </w:p>
              </w:tc>
            </w:tr>
          </w:tbl>
          <w:p w14:paraId="7A9E11D9">
            <w:pPr>
              <w:snapToGrid w:val="0"/>
              <w:spacing w:line="360" w:lineRule="auto"/>
              <w:ind w:firstLine="480" w:firstLineChars="200"/>
              <w:jc w:val="both"/>
              <w:textAlignment w:val="auto"/>
              <w:rPr>
                <w:rFonts w:hint="default" w:eastAsia="宋体"/>
                <w:b w:val="0"/>
                <w:bCs w:val="0"/>
                <w:color w:val="auto"/>
                <w:sz w:val="24"/>
                <w:szCs w:val="24"/>
                <w:lang w:val="en-US" w:eastAsia="zh-CN"/>
              </w:rPr>
            </w:pPr>
            <w:r>
              <w:rPr>
                <w:rFonts w:hint="eastAsia"/>
                <w:b w:val="0"/>
                <w:bCs w:val="0"/>
                <w:color w:val="auto"/>
                <w:sz w:val="24"/>
                <w:szCs w:val="24"/>
                <w:lang w:val="en-US" w:eastAsia="zh-CN"/>
              </w:rPr>
              <w:t>本项目变动前后产品标准见下表。</w:t>
            </w:r>
          </w:p>
          <w:p w14:paraId="15CA2B1D">
            <w:pPr>
              <w:snapToGrid w:val="0"/>
              <w:spacing w:line="240" w:lineRule="auto"/>
              <w:jc w:val="center"/>
              <w:textAlignment w:val="auto"/>
              <w:rPr>
                <w:b/>
                <w:bCs/>
                <w:color w:val="auto"/>
                <w:szCs w:val="21"/>
              </w:rPr>
            </w:pPr>
            <w:r>
              <w:rPr>
                <w:rFonts w:hint="eastAsia"/>
                <w:b/>
                <w:bCs/>
                <w:color w:val="auto"/>
                <w:szCs w:val="21"/>
              </w:rPr>
              <w:t>表</w:t>
            </w:r>
            <w:r>
              <w:rPr>
                <w:rFonts w:hint="eastAsia"/>
                <w:b/>
                <w:bCs/>
                <w:color w:val="auto"/>
                <w:szCs w:val="21"/>
                <w:lang w:val="en-US" w:eastAsia="zh-CN"/>
              </w:rPr>
              <w:t>2</w:t>
            </w:r>
            <w:r>
              <w:rPr>
                <w:rFonts w:hint="eastAsia"/>
                <w:b/>
                <w:bCs/>
                <w:color w:val="auto"/>
                <w:szCs w:val="21"/>
              </w:rPr>
              <w:t>-</w:t>
            </w:r>
            <w:r>
              <w:rPr>
                <w:rFonts w:hint="eastAsia"/>
                <w:b/>
                <w:bCs/>
                <w:color w:val="auto"/>
                <w:szCs w:val="21"/>
                <w:lang w:val="en-US" w:eastAsia="zh-CN"/>
              </w:rPr>
              <w:t>6</w:t>
            </w:r>
            <w:r>
              <w:rPr>
                <w:rFonts w:hint="eastAsia"/>
                <w:b/>
                <w:bCs/>
                <w:color w:val="auto"/>
                <w:szCs w:val="21"/>
              </w:rPr>
              <w:t xml:space="preserve">  </w:t>
            </w:r>
            <w:r>
              <w:rPr>
                <w:rFonts w:hint="eastAsia"/>
                <w:b/>
                <w:bCs/>
                <w:color w:val="auto"/>
                <w:szCs w:val="21"/>
                <w:lang w:val="en-US" w:eastAsia="zh-CN"/>
              </w:rPr>
              <w:t>变动前后</w:t>
            </w:r>
            <w:r>
              <w:rPr>
                <w:rFonts w:hint="eastAsia"/>
                <w:b/>
                <w:bCs/>
                <w:color w:val="auto"/>
                <w:szCs w:val="21"/>
              </w:rPr>
              <w:t>产品标准一览表</w:t>
            </w:r>
          </w:p>
          <w:tbl>
            <w:tblPr>
              <w:tblStyle w:val="2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1597"/>
              <w:gridCol w:w="1394"/>
              <w:gridCol w:w="2981"/>
              <w:gridCol w:w="1530"/>
              <w:gridCol w:w="1410"/>
              <w:gridCol w:w="3238"/>
            </w:tblGrid>
            <w:tr w14:paraId="0D1762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67" w:type="pct"/>
                  <w:vMerge w:val="restart"/>
                  <w:tcBorders>
                    <w:tl2br w:val="nil"/>
                    <w:tr2bl w:val="nil"/>
                  </w:tcBorders>
                  <w:noWrap w:val="0"/>
                  <w:vAlign w:val="center"/>
                </w:tcPr>
                <w:p w14:paraId="0A48777C">
                  <w:pPr>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2326" w:type="pct"/>
                  <w:gridSpan w:val="3"/>
                  <w:tcBorders>
                    <w:tl2br w:val="nil"/>
                    <w:tr2bl w:val="nil"/>
                  </w:tcBorders>
                  <w:noWrap w:val="0"/>
                  <w:vAlign w:val="center"/>
                </w:tcPr>
                <w:p w14:paraId="10761017">
                  <w:pPr>
                    <w:snapToGrid w:val="0"/>
                    <w:spacing w:line="240" w:lineRule="auto"/>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变动前</w:t>
                  </w:r>
                </w:p>
              </w:tc>
              <w:tc>
                <w:tcPr>
                  <w:tcW w:w="2406" w:type="pct"/>
                  <w:gridSpan w:val="3"/>
                  <w:tcBorders>
                    <w:tl2br w:val="nil"/>
                    <w:tr2bl w:val="nil"/>
                  </w:tcBorders>
                  <w:noWrap w:val="0"/>
                  <w:vAlign w:val="center"/>
                </w:tcPr>
                <w:p w14:paraId="5CA3BD31">
                  <w:pPr>
                    <w:snapToGrid w:val="0"/>
                    <w:spacing w:line="240" w:lineRule="auto"/>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变动后</w:t>
                  </w:r>
                </w:p>
              </w:tc>
            </w:tr>
            <w:tr w14:paraId="163AA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267" w:type="pct"/>
                  <w:vMerge w:val="continue"/>
                  <w:tcBorders>
                    <w:tl2br w:val="nil"/>
                    <w:tr2bl w:val="nil"/>
                  </w:tcBorders>
                  <w:noWrap w:val="0"/>
                  <w:vAlign w:val="center"/>
                </w:tcPr>
                <w:p w14:paraId="755C34D3">
                  <w:pPr>
                    <w:snapToGrid w:val="0"/>
                    <w:spacing w:line="240" w:lineRule="auto"/>
                    <w:jc w:val="center"/>
                    <w:textAlignment w:val="auto"/>
                    <w:rPr>
                      <w:rFonts w:hint="default" w:ascii="Times New Roman" w:hAnsi="Times New Roman" w:cs="Times New Roman"/>
                      <w:b/>
                      <w:bCs/>
                      <w:color w:val="auto"/>
                      <w:szCs w:val="21"/>
                    </w:rPr>
                  </w:pPr>
                </w:p>
              </w:tc>
              <w:tc>
                <w:tcPr>
                  <w:tcW w:w="622" w:type="pct"/>
                  <w:tcBorders>
                    <w:tl2br w:val="nil"/>
                    <w:tr2bl w:val="nil"/>
                  </w:tcBorders>
                  <w:noWrap w:val="0"/>
                  <w:vAlign w:val="center"/>
                </w:tcPr>
                <w:p w14:paraId="48607342">
                  <w:pPr>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产品</w:t>
                  </w:r>
                </w:p>
              </w:tc>
              <w:tc>
                <w:tcPr>
                  <w:tcW w:w="1704" w:type="pct"/>
                  <w:gridSpan w:val="2"/>
                  <w:tcBorders>
                    <w:tl2br w:val="nil"/>
                    <w:tr2bl w:val="nil"/>
                  </w:tcBorders>
                  <w:noWrap w:val="0"/>
                  <w:vAlign w:val="center"/>
                </w:tcPr>
                <w:p w14:paraId="4B1B83F3">
                  <w:pPr>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标准</w:t>
                  </w:r>
                </w:p>
              </w:tc>
              <w:tc>
                <w:tcPr>
                  <w:tcW w:w="596" w:type="pct"/>
                  <w:tcBorders>
                    <w:tl2br w:val="nil"/>
                    <w:tr2bl w:val="nil"/>
                  </w:tcBorders>
                  <w:noWrap w:val="0"/>
                  <w:vAlign w:val="center"/>
                </w:tcPr>
                <w:p w14:paraId="147EEB0B">
                  <w:pPr>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产品</w:t>
                  </w:r>
                </w:p>
              </w:tc>
              <w:tc>
                <w:tcPr>
                  <w:tcW w:w="1810" w:type="pct"/>
                  <w:gridSpan w:val="2"/>
                  <w:tcBorders>
                    <w:tl2br w:val="nil"/>
                    <w:tr2bl w:val="nil"/>
                  </w:tcBorders>
                  <w:noWrap w:val="0"/>
                  <w:vAlign w:val="center"/>
                </w:tcPr>
                <w:p w14:paraId="787DB6E7">
                  <w:pPr>
                    <w:snapToGrid w:val="0"/>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标准</w:t>
                  </w:r>
                </w:p>
              </w:tc>
            </w:tr>
            <w:tr w14:paraId="2074A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restart"/>
                  <w:tcBorders>
                    <w:tl2br w:val="nil"/>
                    <w:tr2bl w:val="nil"/>
                  </w:tcBorders>
                  <w:noWrap w:val="0"/>
                  <w:vAlign w:val="center"/>
                </w:tcPr>
                <w:p w14:paraId="0B8E2200">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622" w:type="pct"/>
                  <w:vMerge w:val="restart"/>
                  <w:tcBorders>
                    <w:tl2br w:val="nil"/>
                    <w:tr2bl w:val="nil"/>
                  </w:tcBorders>
                  <w:noWrap w:val="0"/>
                  <w:vAlign w:val="center"/>
                </w:tcPr>
                <w:p w14:paraId="46A01FE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rPr>
                    <w:t>医用退热贴</w:t>
                  </w:r>
                </w:p>
              </w:tc>
              <w:tc>
                <w:tcPr>
                  <w:tcW w:w="543" w:type="pct"/>
                  <w:tcBorders>
                    <w:tl2br w:val="nil"/>
                    <w:tr2bl w:val="nil"/>
                  </w:tcBorders>
                  <w:noWrap w:val="0"/>
                  <w:vAlign w:val="center"/>
                </w:tcPr>
                <w:p w14:paraId="0CFD0841">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规格尺寸</w:t>
                  </w:r>
                </w:p>
              </w:tc>
              <w:tc>
                <w:tcPr>
                  <w:tcW w:w="1161" w:type="pct"/>
                  <w:tcBorders>
                    <w:tl2br w:val="nil"/>
                    <w:tr2bl w:val="nil"/>
                  </w:tcBorders>
                  <w:noWrap w:val="0"/>
                  <w:vAlign w:val="center"/>
                </w:tcPr>
                <w:p w14:paraId="0729263E">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误差不超过5%</w:t>
                  </w:r>
                </w:p>
              </w:tc>
              <w:tc>
                <w:tcPr>
                  <w:tcW w:w="596" w:type="pct"/>
                  <w:vMerge w:val="restart"/>
                  <w:tcBorders>
                    <w:tl2br w:val="nil"/>
                    <w:tr2bl w:val="nil"/>
                  </w:tcBorders>
                  <w:noWrap w:val="0"/>
                  <w:vAlign w:val="center"/>
                </w:tcPr>
                <w:p w14:paraId="6BD1326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rPr>
                    <w:t>医用退热</w:t>
                  </w:r>
                  <w:r>
                    <w:rPr>
                      <w:rFonts w:hint="default" w:ascii="Times New Roman" w:hAnsi="Times New Roman" w:cs="Times New Roman"/>
                      <w:color w:val="auto"/>
                      <w:lang w:val="en-US" w:eastAsia="zh-CN"/>
                    </w:rPr>
                    <w:t>/冰凉</w:t>
                  </w:r>
                  <w:r>
                    <w:rPr>
                      <w:rFonts w:hint="default" w:ascii="Times New Roman" w:hAnsi="Times New Roman" w:cs="Times New Roman"/>
                      <w:color w:val="auto"/>
                    </w:rPr>
                    <w:t>贴</w:t>
                  </w:r>
                </w:p>
              </w:tc>
              <w:tc>
                <w:tcPr>
                  <w:tcW w:w="549" w:type="pct"/>
                  <w:tcBorders>
                    <w:tl2br w:val="nil"/>
                    <w:tr2bl w:val="nil"/>
                  </w:tcBorders>
                  <w:noWrap w:val="0"/>
                  <w:vAlign w:val="center"/>
                </w:tcPr>
                <w:p w14:paraId="22AB2BD6">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规格尺寸</w:t>
                  </w:r>
                </w:p>
              </w:tc>
              <w:tc>
                <w:tcPr>
                  <w:tcW w:w="1261" w:type="pct"/>
                  <w:tcBorders>
                    <w:tl2br w:val="nil"/>
                    <w:tr2bl w:val="nil"/>
                  </w:tcBorders>
                  <w:noWrap w:val="0"/>
                  <w:vAlign w:val="center"/>
                </w:tcPr>
                <w:p w14:paraId="64DD41E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误差不超过5%</w:t>
                  </w:r>
                </w:p>
              </w:tc>
            </w:tr>
            <w:tr w14:paraId="3B2CB4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6A920375">
                  <w:pPr>
                    <w:snapToGrid w:val="0"/>
                    <w:spacing w:line="240" w:lineRule="auto"/>
                    <w:jc w:val="center"/>
                    <w:textAlignment w:val="auto"/>
                    <w:rPr>
                      <w:rFonts w:hint="default" w:ascii="Times New Roman" w:hAnsi="Times New Roman" w:cs="Times New Roman"/>
                      <w:color w:val="auto"/>
                      <w:szCs w:val="21"/>
                    </w:rPr>
                  </w:pPr>
                </w:p>
              </w:tc>
              <w:tc>
                <w:tcPr>
                  <w:tcW w:w="622" w:type="pct"/>
                  <w:vMerge w:val="continue"/>
                  <w:tcBorders>
                    <w:tl2br w:val="nil"/>
                    <w:tr2bl w:val="nil"/>
                  </w:tcBorders>
                  <w:noWrap w:val="0"/>
                  <w:vAlign w:val="center"/>
                </w:tcPr>
                <w:p w14:paraId="429450AD">
                  <w:pPr>
                    <w:snapToGrid w:val="0"/>
                    <w:spacing w:line="240" w:lineRule="auto"/>
                    <w:jc w:val="center"/>
                    <w:textAlignment w:val="auto"/>
                    <w:rPr>
                      <w:rFonts w:hint="default" w:ascii="Times New Roman" w:hAnsi="Times New Roman" w:cs="Times New Roman"/>
                      <w:color w:val="auto"/>
                    </w:rPr>
                  </w:pPr>
                </w:p>
              </w:tc>
              <w:tc>
                <w:tcPr>
                  <w:tcW w:w="543" w:type="pct"/>
                  <w:tcBorders>
                    <w:tl2br w:val="nil"/>
                    <w:tr2bl w:val="nil"/>
                  </w:tcBorders>
                  <w:noWrap w:val="0"/>
                  <w:vAlign w:val="center"/>
                </w:tcPr>
                <w:p w14:paraId="13CA312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161" w:type="pct"/>
                  <w:tcBorders>
                    <w:tl2br w:val="nil"/>
                    <w:tr2bl w:val="nil"/>
                  </w:tcBorders>
                  <w:noWrap w:val="0"/>
                  <w:vAlign w:val="center"/>
                </w:tcPr>
                <w:p w14:paraId="557C9F90">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4-8.5</w:t>
                  </w:r>
                </w:p>
              </w:tc>
              <w:tc>
                <w:tcPr>
                  <w:tcW w:w="596" w:type="pct"/>
                  <w:vMerge w:val="continue"/>
                  <w:tcBorders>
                    <w:tl2br w:val="nil"/>
                    <w:tr2bl w:val="nil"/>
                  </w:tcBorders>
                  <w:noWrap w:val="0"/>
                  <w:vAlign w:val="center"/>
                </w:tcPr>
                <w:p w14:paraId="2D07C462">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5CFE2229">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261" w:type="pct"/>
                  <w:tcBorders>
                    <w:tl2br w:val="nil"/>
                    <w:tr2bl w:val="nil"/>
                  </w:tcBorders>
                  <w:noWrap w:val="0"/>
                  <w:vAlign w:val="center"/>
                </w:tcPr>
                <w:p w14:paraId="02A2D11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4-8.5</w:t>
                  </w:r>
                </w:p>
              </w:tc>
            </w:tr>
            <w:tr w14:paraId="4CE91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0B48D094">
                  <w:pPr>
                    <w:snapToGrid w:val="0"/>
                    <w:spacing w:line="240" w:lineRule="auto"/>
                    <w:jc w:val="center"/>
                    <w:textAlignment w:val="auto"/>
                    <w:rPr>
                      <w:rFonts w:hint="default" w:ascii="Times New Roman" w:hAnsi="Times New Roman" w:cs="Times New Roman"/>
                      <w:color w:val="auto"/>
                      <w:szCs w:val="21"/>
                    </w:rPr>
                  </w:pPr>
                </w:p>
              </w:tc>
              <w:tc>
                <w:tcPr>
                  <w:tcW w:w="622" w:type="pct"/>
                  <w:vMerge w:val="continue"/>
                  <w:tcBorders>
                    <w:tl2br w:val="nil"/>
                    <w:tr2bl w:val="nil"/>
                  </w:tcBorders>
                  <w:noWrap w:val="0"/>
                  <w:vAlign w:val="center"/>
                </w:tcPr>
                <w:p w14:paraId="2B6412C3">
                  <w:pPr>
                    <w:snapToGrid w:val="0"/>
                    <w:spacing w:line="240" w:lineRule="auto"/>
                    <w:jc w:val="center"/>
                    <w:textAlignment w:val="auto"/>
                    <w:rPr>
                      <w:rFonts w:hint="default" w:ascii="Times New Roman" w:hAnsi="Times New Roman" w:cs="Times New Roman"/>
                      <w:color w:val="auto"/>
                    </w:rPr>
                  </w:pPr>
                </w:p>
              </w:tc>
              <w:tc>
                <w:tcPr>
                  <w:tcW w:w="543" w:type="pct"/>
                  <w:tcBorders>
                    <w:tl2br w:val="nil"/>
                    <w:tr2bl w:val="nil"/>
                  </w:tcBorders>
                  <w:noWrap w:val="0"/>
                  <w:vAlign w:val="center"/>
                </w:tcPr>
                <w:p w14:paraId="3B429FE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黏着力</w:t>
                  </w:r>
                </w:p>
              </w:tc>
              <w:tc>
                <w:tcPr>
                  <w:tcW w:w="1161" w:type="pct"/>
                  <w:tcBorders>
                    <w:tl2br w:val="nil"/>
                    <w:tr2bl w:val="nil"/>
                  </w:tcBorders>
                  <w:noWrap w:val="0"/>
                  <w:vAlign w:val="center"/>
                </w:tcPr>
                <w:p w14:paraId="51AD54C6">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粘住1号钢球应能停留3秒</w:t>
                  </w:r>
                </w:p>
              </w:tc>
              <w:tc>
                <w:tcPr>
                  <w:tcW w:w="596" w:type="pct"/>
                  <w:vMerge w:val="continue"/>
                  <w:tcBorders>
                    <w:tl2br w:val="nil"/>
                    <w:tr2bl w:val="nil"/>
                  </w:tcBorders>
                  <w:noWrap w:val="0"/>
                  <w:vAlign w:val="center"/>
                </w:tcPr>
                <w:p w14:paraId="159884A5">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204E32E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黏着力</w:t>
                  </w:r>
                </w:p>
              </w:tc>
              <w:tc>
                <w:tcPr>
                  <w:tcW w:w="1261" w:type="pct"/>
                  <w:tcBorders>
                    <w:tl2br w:val="nil"/>
                    <w:tr2bl w:val="nil"/>
                  </w:tcBorders>
                  <w:noWrap w:val="0"/>
                  <w:vAlign w:val="center"/>
                </w:tcPr>
                <w:p w14:paraId="08650D0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粘住1号钢球应能停留3秒</w:t>
                  </w:r>
                </w:p>
              </w:tc>
            </w:tr>
            <w:tr w14:paraId="3F2F9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27A4FD15">
                  <w:pPr>
                    <w:snapToGrid w:val="0"/>
                    <w:spacing w:line="240" w:lineRule="auto"/>
                    <w:jc w:val="center"/>
                    <w:textAlignment w:val="auto"/>
                    <w:rPr>
                      <w:rFonts w:hint="default" w:ascii="Times New Roman" w:hAnsi="Times New Roman" w:cs="Times New Roman"/>
                      <w:color w:val="auto"/>
                      <w:szCs w:val="21"/>
                    </w:rPr>
                  </w:pPr>
                </w:p>
              </w:tc>
              <w:tc>
                <w:tcPr>
                  <w:tcW w:w="622" w:type="pct"/>
                  <w:vMerge w:val="continue"/>
                  <w:tcBorders>
                    <w:tl2br w:val="nil"/>
                    <w:tr2bl w:val="nil"/>
                  </w:tcBorders>
                  <w:noWrap w:val="0"/>
                  <w:vAlign w:val="center"/>
                </w:tcPr>
                <w:p w14:paraId="5DE8BC9C">
                  <w:pPr>
                    <w:snapToGrid w:val="0"/>
                    <w:spacing w:line="240" w:lineRule="auto"/>
                    <w:jc w:val="center"/>
                    <w:textAlignment w:val="auto"/>
                    <w:rPr>
                      <w:rFonts w:hint="default" w:ascii="Times New Roman" w:hAnsi="Times New Roman" w:cs="Times New Roman"/>
                      <w:color w:val="auto"/>
                    </w:rPr>
                  </w:pPr>
                </w:p>
              </w:tc>
              <w:tc>
                <w:tcPr>
                  <w:tcW w:w="543" w:type="pct"/>
                  <w:tcBorders>
                    <w:tl2br w:val="nil"/>
                    <w:tr2bl w:val="nil"/>
                  </w:tcBorders>
                  <w:noWrap w:val="0"/>
                  <w:vAlign w:val="center"/>
                </w:tcPr>
                <w:p w14:paraId="41F3CCE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剥离强度</w:t>
                  </w:r>
                </w:p>
              </w:tc>
              <w:tc>
                <w:tcPr>
                  <w:tcW w:w="1161" w:type="pct"/>
                  <w:tcBorders>
                    <w:tl2br w:val="nil"/>
                    <w:tr2bl w:val="nil"/>
                  </w:tcBorders>
                  <w:noWrap w:val="0"/>
                  <w:vAlign w:val="center"/>
                </w:tcPr>
                <w:p w14:paraId="7E225A1E">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剥离强度应不大于1.47N</w:t>
                  </w:r>
                </w:p>
              </w:tc>
              <w:tc>
                <w:tcPr>
                  <w:tcW w:w="596" w:type="pct"/>
                  <w:vMerge w:val="continue"/>
                  <w:tcBorders>
                    <w:tl2br w:val="nil"/>
                    <w:tr2bl w:val="nil"/>
                  </w:tcBorders>
                  <w:noWrap w:val="0"/>
                  <w:vAlign w:val="center"/>
                </w:tcPr>
                <w:p w14:paraId="4CB89233">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21BB6BD2">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剥离强度</w:t>
                  </w:r>
                </w:p>
              </w:tc>
              <w:tc>
                <w:tcPr>
                  <w:tcW w:w="1261" w:type="pct"/>
                  <w:tcBorders>
                    <w:tl2br w:val="nil"/>
                    <w:tr2bl w:val="nil"/>
                  </w:tcBorders>
                  <w:noWrap w:val="0"/>
                  <w:vAlign w:val="center"/>
                </w:tcPr>
                <w:p w14:paraId="5083BF2A">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剥离强度应不大于1.47N</w:t>
                  </w:r>
                </w:p>
              </w:tc>
            </w:tr>
            <w:tr w14:paraId="5A7E6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09792CE1">
                  <w:pPr>
                    <w:snapToGrid w:val="0"/>
                    <w:spacing w:line="240" w:lineRule="auto"/>
                    <w:jc w:val="center"/>
                    <w:textAlignment w:val="auto"/>
                    <w:rPr>
                      <w:rFonts w:hint="default" w:ascii="Times New Roman" w:hAnsi="Times New Roman" w:cs="Times New Roman"/>
                      <w:color w:val="auto"/>
                      <w:szCs w:val="21"/>
                    </w:rPr>
                  </w:pPr>
                </w:p>
              </w:tc>
              <w:tc>
                <w:tcPr>
                  <w:tcW w:w="622" w:type="pct"/>
                  <w:vMerge w:val="continue"/>
                  <w:tcBorders>
                    <w:tl2br w:val="nil"/>
                    <w:tr2bl w:val="nil"/>
                  </w:tcBorders>
                  <w:noWrap w:val="0"/>
                  <w:vAlign w:val="center"/>
                </w:tcPr>
                <w:p w14:paraId="357D954C">
                  <w:pPr>
                    <w:snapToGrid w:val="0"/>
                    <w:spacing w:line="240" w:lineRule="auto"/>
                    <w:jc w:val="center"/>
                    <w:textAlignment w:val="auto"/>
                    <w:rPr>
                      <w:rFonts w:hint="default" w:ascii="Times New Roman" w:hAnsi="Times New Roman" w:cs="Times New Roman"/>
                      <w:color w:val="auto"/>
                    </w:rPr>
                  </w:pPr>
                </w:p>
              </w:tc>
              <w:tc>
                <w:tcPr>
                  <w:tcW w:w="543" w:type="pct"/>
                  <w:tcBorders>
                    <w:tl2br w:val="nil"/>
                    <w:tr2bl w:val="nil"/>
                  </w:tcBorders>
                  <w:noWrap w:val="0"/>
                  <w:vAlign w:val="center"/>
                </w:tcPr>
                <w:p w14:paraId="1B84604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耐热性</w:t>
                  </w:r>
                </w:p>
              </w:tc>
              <w:tc>
                <w:tcPr>
                  <w:tcW w:w="1161" w:type="pct"/>
                  <w:tcBorders>
                    <w:tl2br w:val="nil"/>
                    <w:tr2bl w:val="nil"/>
                  </w:tcBorders>
                  <w:noWrap w:val="0"/>
                  <w:vAlign w:val="center"/>
                </w:tcPr>
                <w:p w14:paraId="03A2A386">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在40℃±2℃时，凝胶不流淌</w:t>
                  </w:r>
                </w:p>
              </w:tc>
              <w:tc>
                <w:tcPr>
                  <w:tcW w:w="596" w:type="pct"/>
                  <w:vMerge w:val="continue"/>
                  <w:tcBorders>
                    <w:tl2br w:val="nil"/>
                    <w:tr2bl w:val="nil"/>
                  </w:tcBorders>
                  <w:noWrap w:val="0"/>
                  <w:vAlign w:val="center"/>
                </w:tcPr>
                <w:p w14:paraId="0FB5A0BC">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0B0D1EC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耐热性</w:t>
                  </w:r>
                </w:p>
              </w:tc>
              <w:tc>
                <w:tcPr>
                  <w:tcW w:w="1261" w:type="pct"/>
                  <w:tcBorders>
                    <w:tl2br w:val="nil"/>
                    <w:tr2bl w:val="nil"/>
                  </w:tcBorders>
                  <w:noWrap w:val="0"/>
                  <w:vAlign w:val="center"/>
                </w:tcPr>
                <w:p w14:paraId="5B0C12A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在40℃±2℃时，凝胶不流淌</w:t>
                  </w:r>
                </w:p>
              </w:tc>
            </w:tr>
            <w:tr w14:paraId="2D0A7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21C4495E">
                  <w:pPr>
                    <w:snapToGrid w:val="0"/>
                    <w:spacing w:line="240" w:lineRule="auto"/>
                    <w:jc w:val="center"/>
                    <w:textAlignment w:val="auto"/>
                    <w:rPr>
                      <w:rFonts w:hint="default" w:ascii="Times New Roman" w:hAnsi="Times New Roman" w:cs="Times New Roman"/>
                      <w:color w:val="auto"/>
                      <w:szCs w:val="21"/>
                    </w:rPr>
                  </w:pPr>
                </w:p>
              </w:tc>
              <w:tc>
                <w:tcPr>
                  <w:tcW w:w="622" w:type="pct"/>
                  <w:vMerge w:val="continue"/>
                  <w:tcBorders>
                    <w:tl2br w:val="nil"/>
                    <w:tr2bl w:val="nil"/>
                  </w:tcBorders>
                  <w:noWrap w:val="0"/>
                  <w:vAlign w:val="center"/>
                </w:tcPr>
                <w:p w14:paraId="49CE61AC">
                  <w:pPr>
                    <w:snapToGrid w:val="0"/>
                    <w:spacing w:line="240" w:lineRule="auto"/>
                    <w:jc w:val="center"/>
                    <w:textAlignment w:val="auto"/>
                    <w:rPr>
                      <w:rFonts w:hint="default" w:ascii="Times New Roman" w:hAnsi="Times New Roman" w:cs="Times New Roman"/>
                      <w:color w:val="auto"/>
                    </w:rPr>
                  </w:pPr>
                </w:p>
              </w:tc>
              <w:tc>
                <w:tcPr>
                  <w:tcW w:w="543" w:type="pct"/>
                  <w:tcBorders>
                    <w:tl2br w:val="nil"/>
                    <w:tr2bl w:val="nil"/>
                  </w:tcBorders>
                  <w:noWrap w:val="0"/>
                  <w:vAlign w:val="center"/>
                </w:tcPr>
                <w:p w14:paraId="4F2276F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耐寒性</w:t>
                  </w:r>
                </w:p>
              </w:tc>
              <w:tc>
                <w:tcPr>
                  <w:tcW w:w="1161" w:type="pct"/>
                  <w:tcBorders>
                    <w:tl2br w:val="nil"/>
                    <w:tr2bl w:val="nil"/>
                  </w:tcBorders>
                  <w:noWrap w:val="0"/>
                  <w:vAlign w:val="center"/>
                </w:tcPr>
                <w:p w14:paraId="0B9ACB0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在0℃±1℃时，凝胶不结冰</w:t>
                  </w:r>
                </w:p>
              </w:tc>
              <w:tc>
                <w:tcPr>
                  <w:tcW w:w="596" w:type="pct"/>
                  <w:vMerge w:val="continue"/>
                  <w:tcBorders>
                    <w:tl2br w:val="nil"/>
                    <w:tr2bl w:val="nil"/>
                  </w:tcBorders>
                  <w:noWrap w:val="0"/>
                  <w:vAlign w:val="center"/>
                </w:tcPr>
                <w:p w14:paraId="449C997F">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6C3AADF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耐寒性</w:t>
                  </w:r>
                </w:p>
              </w:tc>
              <w:tc>
                <w:tcPr>
                  <w:tcW w:w="1261" w:type="pct"/>
                  <w:tcBorders>
                    <w:tl2br w:val="nil"/>
                    <w:tr2bl w:val="nil"/>
                  </w:tcBorders>
                  <w:noWrap w:val="0"/>
                  <w:vAlign w:val="center"/>
                </w:tcPr>
                <w:p w14:paraId="4F25288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在0℃±1℃时，凝胶不结冰</w:t>
                  </w:r>
                </w:p>
              </w:tc>
            </w:tr>
            <w:tr w14:paraId="137C4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restart"/>
                  <w:tcBorders>
                    <w:tl2br w:val="nil"/>
                    <w:tr2bl w:val="nil"/>
                  </w:tcBorders>
                  <w:noWrap w:val="0"/>
                  <w:vAlign w:val="center"/>
                </w:tcPr>
                <w:p w14:paraId="54B87AE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622" w:type="pct"/>
                  <w:vMerge w:val="restart"/>
                  <w:tcBorders>
                    <w:tl2br w:val="nil"/>
                    <w:tr2bl w:val="nil"/>
                  </w:tcBorders>
                  <w:noWrap w:val="0"/>
                  <w:vAlign w:val="center"/>
                </w:tcPr>
                <w:p w14:paraId="3872268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生理性海水鼻腔喷雾剂</w:t>
                  </w:r>
                </w:p>
              </w:tc>
              <w:tc>
                <w:tcPr>
                  <w:tcW w:w="543" w:type="pct"/>
                  <w:tcBorders>
                    <w:tl2br w:val="nil"/>
                    <w:tr2bl w:val="nil"/>
                  </w:tcBorders>
                  <w:noWrap w:val="0"/>
                  <w:vAlign w:val="center"/>
                </w:tcPr>
                <w:p w14:paraId="6F2BE98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161" w:type="pct"/>
                  <w:tcBorders>
                    <w:tl2br w:val="nil"/>
                    <w:tr2bl w:val="nil"/>
                  </w:tcBorders>
                  <w:noWrap w:val="0"/>
                  <w:vAlign w:val="center"/>
                </w:tcPr>
                <w:p w14:paraId="60E55A5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4.5~7</w:t>
                  </w:r>
                </w:p>
              </w:tc>
              <w:tc>
                <w:tcPr>
                  <w:tcW w:w="596" w:type="pct"/>
                  <w:vMerge w:val="restart"/>
                  <w:tcBorders>
                    <w:tl2br w:val="nil"/>
                    <w:tr2bl w:val="nil"/>
                  </w:tcBorders>
                  <w:noWrap w:val="0"/>
                  <w:vAlign w:val="center"/>
                </w:tcPr>
                <w:p w14:paraId="45E8AC85">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生理性海水鼻腔喷雾剂</w:t>
                  </w:r>
                </w:p>
              </w:tc>
              <w:tc>
                <w:tcPr>
                  <w:tcW w:w="549" w:type="pct"/>
                  <w:tcBorders>
                    <w:tl2br w:val="nil"/>
                    <w:tr2bl w:val="nil"/>
                  </w:tcBorders>
                  <w:noWrap w:val="0"/>
                  <w:vAlign w:val="center"/>
                </w:tcPr>
                <w:p w14:paraId="0AE1CB8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261" w:type="pct"/>
                  <w:tcBorders>
                    <w:tl2br w:val="nil"/>
                    <w:tr2bl w:val="nil"/>
                  </w:tcBorders>
                  <w:noWrap w:val="0"/>
                  <w:vAlign w:val="center"/>
                </w:tcPr>
                <w:p w14:paraId="0BBC7619">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4.5~7</w:t>
                  </w:r>
                </w:p>
              </w:tc>
            </w:tr>
            <w:tr w14:paraId="72BE5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1A2270FB">
                  <w:pPr>
                    <w:snapToGrid w:val="0"/>
                    <w:spacing w:line="240" w:lineRule="auto"/>
                    <w:jc w:val="center"/>
                    <w:textAlignment w:val="auto"/>
                    <w:rPr>
                      <w:rFonts w:hint="default" w:ascii="Times New Roman" w:hAnsi="Times New Roman" w:cs="Times New Roman"/>
                      <w:color w:val="auto"/>
                      <w:szCs w:val="21"/>
                    </w:rPr>
                  </w:pPr>
                </w:p>
              </w:tc>
              <w:tc>
                <w:tcPr>
                  <w:tcW w:w="622" w:type="pct"/>
                  <w:vMerge w:val="continue"/>
                  <w:tcBorders>
                    <w:tl2br w:val="nil"/>
                    <w:tr2bl w:val="nil"/>
                  </w:tcBorders>
                  <w:noWrap w:val="0"/>
                  <w:vAlign w:val="center"/>
                </w:tcPr>
                <w:p w14:paraId="547ED25D">
                  <w:pPr>
                    <w:snapToGrid w:val="0"/>
                    <w:spacing w:line="240" w:lineRule="auto"/>
                    <w:jc w:val="center"/>
                    <w:textAlignment w:val="auto"/>
                    <w:rPr>
                      <w:rFonts w:hint="default" w:ascii="Times New Roman" w:hAnsi="Times New Roman" w:cs="Times New Roman"/>
                      <w:color w:val="auto"/>
                      <w:szCs w:val="21"/>
                    </w:rPr>
                  </w:pPr>
                </w:p>
              </w:tc>
              <w:tc>
                <w:tcPr>
                  <w:tcW w:w="543" w:type="pct"/>
                  <w:tcBorders>
                    <w:tl2br w:val="nil"/>
                    <w:tr2bl w:val="nil"/>
                  </w:tcBorders>
                  <w:noWrap w:val="0"/>
                  <w:vAlign w:val="center"/>
                </w:tcPr>
                <w:p w14:paraId="5735D27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重金属含量</w:t>
                  </w:r>
                </w:p>
              </w:tc>
              <w:tc>
                <w:tcPr>
                  <w:tcW w:w="1161" w:type="pct"/>
                  <w:tcBorders>
                    <w:tl2br w:val="nil"/>
                    <w:tr2bl w:val="nil"/>
                  </w:tcBorders>
                  <w:noWrap w:val="0"/>
                  <w:vAlign w:val="center"/>
                </w:tcPr>
                <w:p w14:paraId="2481DF1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不超过百万分之十</w:t>
                  </w:r>
                </w:p>
              </w:tc>
              <w:tc>
                <w:tcPr>
                  <w:tcW w:w="596" w:type="pct"/>
                  <w:vMerge w:val="continue"/>
                  <w:tcBorders>
                    <w:tl2br w:val="nil"/>
                    <w:tr2bl w:val="nil"/>
                  </w:tcBorders>
                  <w:noWrap w:val="0"/>
                  <w:vAlign w:val="center"/>
                </w:tcPr>
                <w:p w14:paraId="6C79F13D">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181A8FE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重金属含量</w:t>
                  </w:r>
                </w:p>
              </w:tc>
              <w:tc>
                <w:tcPr>
                  <w:tcW w:w="1261" w:type="pct"/>
                  <w:tcBorders>
                    <w:tl2br w:val="nil"/>
                    <w:tr2bl w:val="nil"/>
                  </w:tcBorders>
                  <w:noWrap w:val="0"/>
                  <w:vAlign w:val="center"/>
                </w:tcPr>
                <w:p w14:paraId="312FF815">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不超过百万分之十</w:t>
                  </w:r>
                </w:p>
              </w:tc>
            </w:tr>
            <w:tr w14:paraId="7F80B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64551D1C">
                  <w:pPr>
                    <w:snapToGrid w:val="0"/>
                    <w:spacing w:line="240" w:lineRule="auto"/>
                    <w:jc w:val="center"/>
                    <w:textAlignment w:val="auto"/>
                    <w:rPr>
                      <w:rFonts w:hint="default" w:ascii="Times New Roman" w:hAnsi="Times New Roman" w:cs="Times New Roman"/>
                      <w:color w:val="auto"/>
                      <w:szCs w:val="21"/>
                    </w:rPr>
                  </w:pPr>
                </w:p>
              </w:tc>
              <w:tc>
                <w:tcPr>
                  <w:tcW w:w="622" w:type="pct"/>
                  <w:vMerge w:val="continue"/>
                  <w:tcBorders>
                    <w:tl2br w:val="nil"/>
                    <w:tr2bl w:val="nil"/>
                  </w:tcBorders>
                  <w:noWrap w:val="0"/>
                  <w:vAlign w:val="center"/>
                </w:tcPr>
                <w:p w14:paraId="4F82D342">
                  <w:pPr>
                    <w:snapToGrid w:val="0"/>
                    <w:spacing w:line="240" w:lineRule="auto"/>
                    <w:jc w:val="center"/>
                    <w:textAlignment w:val="auto"/>
                    <w:rPr>
                      <w:rFonts w:hint="default" w:ascii="Times New Roman" w:hAnsi="Times New Roman" w:cs="Times New Roman"/>
                      <w:color w:val="auto"/>
                      <w:szCs w:val="21"/>
                    </w:rPr>
                  </w:pPr>
                </w:p>
              </w:tc>
              <w:tc>
                <w:tcPr>
                  <w:tcW w:w="543" w:type="pct"/>
                  <w:tcBorders>
                    <w:tl2br w:val="nil"/>
                    <w:tr2bl w:val="nil"/>
                  </w:tcBorders>
                  <w:noWrap w:val="0"/>
                  <w:vAlign w:val="center"/>
                </w:tcPr>
                <w:p w14:paraId="5848F296">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氯化钠含量</w:t>
                  </w:r>
                </w:p>
              </w:tc>
              <w:tc>
                <w:tcPr>
                  <w:tcW w:w="1161" w:type="pct"/>
                  <w:tcBorders>
                    <w:tl2br w:val="nil"/>
                    <w:tr2bl w:val="nil"/>
                  </w:tcBorders>
                  <w:noWrap w:val="0"/>
                  <w:vAlign w:val="center"/>
                </w:tcPr>
                <w:p w14:paraId="715D6A0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0.85g~0.95g/mL</w:t>
                  </w:r>
                </w:p>
              </w:tc>
              <w:tc>
                <w:tcPr>
                  <w:tcW w:w="596" w:type="pct"/>
                  <w:vMerge w:val="continue"/>
                  <w:tcBorders>
                    <w:tl2br w:val="nil"/>
                    <w:tr2bl w:val="nil"/>
                  </w:tcBorders>
                  <w:noWrap w:val="0"/>
                  <w:vAlign w:val="center"/>
                </w:tcPr>
                <w:p w14:paraId="3BE2D52C">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317AE69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氯化钠含量</w:t>
                  </w:r>
                </w:p>
              </w:tc>
              <w:tc>
                <w:tcPr>
                  <w:tcW w:w="1261" w:type="pct"/>
                  <w:tcBorders>
                    <w:tl2br w:val="nil"/>
                    <w:tr2bl w:val="nil"/>
                  </w:tcBorders>
                  <w:noWrap w:val="0"/>
                  <w:vAlign w:val="center"/>
                </w:tcPr>
                <w:p w14:paraId="118B3892">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0.85g~0.95g/mL</w:t>
                  </w:r>
                </w:p>
              </w:tc>
            </w:tr>
            <w:tr w14:paraId="69935C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60EAD3BE">
                  <w:pPr>
                    <w:snapToGrid w:val="0"/>
                    <w:spacing w:line="240" w:lineRule="auto"/>
                    <w:jc w:val="center"/>
                    <w:textAlignment w:val="auto"/>
                    <w:rPr>
                      <w:rFonts w:hint="default" w:ascii="Times New Roman" w:hAnsi="Times New Roman" w:cs="Times New Roman"/>
                      <w:color w:val="auto"/>
                      <w:szCs w:val="21"/>
                    </w:rPr>
                  </w:pPr>
                </w:p>
              </w:tc>
              <w:tc>
                <w:tcPr>
                  <w:tcW w:w="622" w:type="pct"/>
                  <w:vMerge w:val="continue"/>
                  <w:tcBorders>
                    <w:tl2br w:val="nil"/>
                    <w:tr2bl w:val="nil"/>
                  </w:tcBorders>
                  <w:noWrap w:val="0"/>
                  <w:vAlign w:val="center"/>
                </w:tcPr>
                <w:p w14:paraId="0165EB78">
                  <w:pPr>
                    <w:snapToGrid w:val="0"/>
                    <w:spacing w:line="240" w:lineRule="auto"/>
                    <w:jc w:val="center"/>
                    <w:textAlignment w:val="auto"/>
                    <w:rPr>
                      <w:rFonts w:hint="default" w:ascii="Times New Roman" w:hAnsi="Times New Roman" w:cs="Times New Roman"/>
                      <w:color w:val="auto"/>
                      <w:szCs w:val="21"/>
                    </w:rPr>
                  </w:pPr>
                </w:p>
              </w:tc>
              <w:tc>
                <w:tcPr>
                  <w:tcW w:w="543" w:type="pct"/>
                  <w:tcBorders>
                    <w:tl2br w:val="nil"/>
                    <w:tr2bl w:val="nil"/>
                  </w:tcBorders>
                  <w:noWrap w:val="0"/>
                  <w:vAlign w:val="center"/>
                </w:tcPr>
                <w:p w14:paraId="4BEA2CB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微生物含量</w:t>
                  </w:r>
                </w:p>
              </w:tc>
              <w:tc>
                <w:tcPr>
                  <w:tcW w:w="1161" w:type="pct"/>
                  <w:tcBorders>
                    <w:tl2br w:val="nil"/>
                    <w:tr2bl w:val="nil"/>
                  </w:tcBorders>
                  <w:noWrap w:val="0"/>
                  <w:vAlign w:val="center"/>
                </w:tcPr>
                <w:p w14:paraId="3C4C0AB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需氧菌≤200cfu/mL，霉菌≤20cfu/mL，控制菌不得检出</w:t>
                  </w:r>
                </w:p>
              </w:tc>
              <w:tc>
                <w:tcPr>
                  <w:tcW w:w="596" w:type="pct"/>
                  <w:vMerge w:val="continue"/>
                  <w:tcBorders>
                    <w:tl2br w:val="nil"/>
                    <w:tr2bl w:val="nil"/>
                  </w:tcBorders>
                  <w:noWrap w:val="0"/>
                  <w:vAlign w:val="center"/>
                </w:tcPr>
                <w:p w14:paraId="0B28154D">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6CC1F63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微生物含量</w:t>
                  </w:r>
                </w:p>
              </w:tc>
              <w:tc>
                <w:tcPr>
                  <w:tcW w:w="1261" w:type="pct"/>
                  <w:tcBorders>
                    <w:tl2br w:val="nil"/>
                    <w:tr2bl w:val="nil"/>
                  </w:tcBorders>
                  <w:noWrap w:val="0"/>
                  <w:vAlign w:val="center"/>
                </w:tcPr>
                <w:p w14:paraId="261608E9">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需氧菌≤200cfu/mL，霉菌≤20cfu/mL，控制菌不得检出</w:t>
                  </w:r>
                </w:p>
              </w:tc>
            </w:tr>
            <w:tr w14:paraId="23ABB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7901C4AA">
                  <w:pPr>
                    <w:snapToGrid w:val="0"/>
                    <w:spacing w:line="240" w:lineRule="auto"/>
                    <w:jc w:val="center"/>
                    <w:textAlignment w:val="auto"/>
                    <w:rPr>
                      <w:rFonts w:hint="default" w:ascii="Times New Roman" w:hAnsi="Times New Roman" w:cs="Times New Roman"/>
                      <w:color w:val="auto"/>
                      <w:szCs w:val="21"/>
                    </w:rPr>
                  </w:pPr>
                </w:p>
              </w:tc>
              <w:tc>
                <w:tcPr>
                  <w:tcW w:w="622" w:type="pct"/>
                  <w:vMerge w:val="continue"/>
                  <w:tcBorders>
                    <w:tl2br w:val="nil"/>
                    <w:tr2bl w:val="nil"/>
                  </w:tcBorders>
                  <w:noWrap w:val="0"/>
                  <w:vAlign w:val="center"/>
                </w:tcPr>
                <w:p w14:paraId="4E3095FB">
                  <w:pPr>
                    <w:snapToGrid w:val="0"/>
                    <w:spacing w:line="240" w:lineRule="auto"/>
                    <w:jc w:val="center"/>
                    <w:textAlignment w:val="auto"/>
                    <w:rPr>
                      <w:rFonts w:hint="default" w:ascii="Times New Roman" w:hAnsi="Times New Roman" w:cs="Times New Roman"/>
                      <w:color w:val="auto"/>
                      <w:szCs w:val="21"/>
                    </w:rPr>
                  </w:pPr>
                </w:p>
              </w:tc>
              <w:tc>
                <w:tcPr>
                  <w:tcW w:w="543" w:type="pct"/>
                  <w:tcBorders>
                    <w:tl2br w:val="nil"/>
                    <w:tr2bl w:val="nil"/>
                  </w:tcBorders>
                  <w:noWrap w:val="0"/>
                  <w:vAlign w:val="center"/>
                </w:tcPr>
                <w:p w14:paraId="057E509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砷含量</w:t>
                  </w:r>
                </w:p>
              </w:tc>
              <w:tc>
                <w:tcPr>
                  <w:tcW w:w="1161" w:type="pct"/>
                  <w:tcBorders>
                    <w:tl2br w:val="nil"/>
                    <w:tr2bl w:val="nil"/>
                  </w:tcBorders>
                  <w:noWrap w:val="0"/>
                  <w:vAlign w:val="center"/>
                </w:tcPr>
                <w:p w14:paraId="16B5402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不超过0.0004%</w:t>
                  </w:r>
                </w:p>
              </w:tc>
              <w:tc>
                <w:tcPr>
                  <w:tcW w:w="596" w:type="pct"/>
                  <w:vMerge w:val="continue"/>
                  <w:tcBorders>
                    <w:tl2br w:val="nil"/>
                    <w:tr2bl w:val="nil"/>
                  </w:tcBorders>
                  <w:noWrap w:val="0"/>
                  <w:vAlign w:val="center"/>
                </w:tcPr>
                <w:p w14:paraId="001C2693">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0278F80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砷含量</w:t>
                  </w:r>
                </w:p>
              </w:tc>
              <w:tc>
                <w:tcPr>
                  <w:tcW w:w="1261" w:type="pct"/>
                  <w:tcBorders>
                    <w:tl2br w:val="nil"/>
                    <w:tr2bl w:val="nil"/>
                  </w:tcBorders>
                  <w:noWrap w:val="0"/>
                  <w:vAlign w:val="center"/>
                </w:tcPr>
                <w:p w14:paraId="7DB5EF1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不超过0.0004%</w:t>
                  </w:r>
                </w:p>
              </w:tc>
            </w:tr>
            <w:tr w14:paraId="0B110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restart"/>
                  <w:tcBorders>
                    <w:tl2br w:val="nil"/>
                    <w:tr2bl w:val="nil"/>
                  </w:tcBorders>
                  <w:noWrap w:val="0"/>
                  <w:vAlign w:val="center"/>
                </w:tcPr>
                <w:p w14:paraId="4FB54EA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622" w:type="pct"/>
                  <w:vMerge w:val="restart"/>
                  <w:tcBorders>
                    <w:tl2br w:val="nil"/>
                    <w:tr2bl w:val="nil"/>
                  </w:tcBorders>
                  <w:noWrap w:val="0"/>
                  <w:vAlign w:val="center"/>
                </w:tcPr>
                <w:p w14:paraId="183E0F3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19"/>
                      <w:lang w:bidi="ar"/>
                    </w:rPr>
                    <w:t>医用硅酮疤痕凝胶</w:t>
                  </w:r>
                </w:p>
              </w:tc>
              <w:tc>
                <w:tcPr>
                  <w:tcW w:w="543" w:type="pct"/>
                  <w:tcBorders>
                    <w:tl2br w:val="nil"/>
                    <w:tr2bl w:val="nil"/>
                  </w:tcBorders>
                  <w:noWrap w:val="0"/>
                  <w:vAlign w:val="center"/>
                </w:tcPr>
                <w:p w14:paraId="223BE7C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161" w:type="pct"/>
                  <w:tcBorders>
                    <w:tl2br w:val="nil"/>
                    <w:tr2bl w:val="nil"/>
                  </w:tcBorders>
                  <w:noWrap w:val="0"/>
                  <w:vAlign w:val="center"/>
                </w:tcPr>
                <w:p w14:paraId="2FBC2819">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5.5~7.5</w:t>
                  </w:r>
                </w:p>
              </w:tc>
              <w:tc>
                <w:tcPr>
                  <w:tcW w:w="596" w:type="pct"/>
                  <w:vMerge w:val="restart"/>
                  <w:tcBorders>
                    <w:tl2br w:val="nil"/>
                    <w:tr2bl w:val="nil"/>
                  </w:tcBorders>
                  <w:noWrap w:val="0"/>
                  <w:vAlign w:val="center"/>
                </w:tcPr>
                <w:p w14:paraId="3DA3151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19"/>
                      <w:lang w:bidi="ar"/>
                    </w:rPr>
                    <w:t>医用硅酮疤痕凝胶</w:t>
                  </w:r>
                </w:p>
              </w:tc>
              <w:tc>
                <w:tcPr>
                  <w:tcW w:w="549" w:type="pct"/>
                  <w:tcBorders>
                    <w:tl2br w:val="nil"/>
                    <w:tr2bl w:val="nil"/>
                  </w:tcBorders>
                  <w:noWrap w:val="0"/>
                  <w:vAlign w:val="center"/>
                </w:tcPr>
                <w:p w14:paraId="2A4C7B4E">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261" w:type="pct"/>
                  <w:tcBorders>
                    <w:tl2br w:val="nil"/>
                    <w:tr2bl w:val="nil"/>
                  </w:tcBorders>
                  <w:noWrap w:val="0"/>
                  <w:vAlign w:val="center"/>
                </w:tcPr>
                <w:p w14:paraId="4CDE17B0">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5.5~7.5</w:t>
                  </w:r>
                </w:p>
              </w:tc>
            </w:tr>
            <w:tr w14:paraId="54A2C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27493D06">
                  <w:pPr>
                    <w:snapToGrid w:val="0"/>
                    <w:spacing w:line="240" w:lineRule="auto"/>
                    <w:jc w:val="center"/>
                    <w:textAlignment w:val="auto"/>
                    <w:rPr>
                      <w:rFonts w:hint="default" w:ascii="Times New Roman" w:hAnsi="Times New Roman" w:cs="Times New Roman"/>
                      <w:color w:val="auto"/>
                      <w:szCs w:val="21"/>
                    </w:rPr>
                  </w:pPr>
                </w:p>
              </w:tc>
              <w:tc>
                <w:tcPr>
                  <w:tcW w:w="622" w:type="pct"/>
                  <w:vMerge w:val="continue"/>
                  <w:tcBorders>
                    <w:tl2br w:val="nil"/>
                    <w:tr2bl w:val="nil"/>
                  </w:tcBorders>
                  <w:noWrap w:val="0"/>
                  <w:vAlign w:val="center"/>
                </w:tcPr>
                <w:p w14:paraId="1A229F2A">
                  <w:pPr>
                    <w:snapToGrid w:val="0"/>
                    <w:spacing w:line="240" w:lineRule="auto"/>
                    <w:jc w:val="center"/>
                    <w:textAlignment w:val="auto"/>
                    <w:rPr>
                      <w:rFonts w:hint="default" w:ascii="Times New Roman" w:hAnsi="Times New Roman" w:cs="Times New Roman"/>
                      <w:color w:val="auto"/>
                      <w:szCs w:val="19"/>
                      <w:lang w:bidi="ar"/>
                    </w:rPr>
                  </w:pPr>
                </w:p>
              </w:tc>
              <w:tc>
                <w:tcPr>
                  <w:tcW w:w="543" w:type="pct"/>
                  <w:tcBorders>
                    <w:tl2br w:val="nil"/>
                    <w:tr2bl w:val="nil"/>
                  </w:tcBorders>
                  <w:noWrap w:val="0"/>
                  <w:vAlign w:val="center"/>
                </w:tcPr>
                <w:p w14:paraId="2031A20A">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粘度</w:t>
                  </w:r>
                </w:p>
              </w:tc>
              <w:tc>
                <w:tcPr>
                  <w:tcW w:w="1161" w:type="pct"/>
                  <w:tcBorders>
                    <w:tl2br w:val="nil"/>
                    <w:tr2bl w:val="nil"/>
                  </w:tcBorders>
                  <w:noWrap w:val="0"/>
                  <w:vAlign w:val="center"/>
                </w:tcPr>
                <w:p w14:paraId="753D0CB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不小于20Pa•s</w:t>
                  </w:r>
                </w:p>
              </w:tc>
              <w:tc>
                <w:tcPr>
                  <w:tcW w:w="596" w:type="pct"/>
                  <w:vMerge w:val="continue"/>
                  <w:tcBorders>
                    <w:tl2br w:val="nil"/>
                    <w:tr2bl w:val="nil"/>
                  </w:tcBorders>
                  <w:noWrap w:val="0"/>
                  <w:vAlign w:val="center"/>
                </w:tcPr>
                <w:p w14:paraId="6AFECC6B">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44AD22E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粘度</w:t>
                  </w:r>
                </w:p>
              </w:tc>
              <w:tc>
                <w:tcPr>
                  <w:tcW w:w="1261" w:type="pct"/>
                  <w:tcBorders>
                    <w:tl2br w:val="nil"/>
                    <w:tr2bl w:val="nil"/>
                  </w:tcBorders>
                  <w:noWrap w:val="0"/>
                  <w:vAlign w:val="center"/>
                </w:tcPr>
                <w:p w14:paraId="60D0FDA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不小于20Pa•s</w:t>
                  </w:r>
                </w:p>
              </w:tc>
            </w:tr>
            <w:tr w14:paraId="71F39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4295C0ED">
                  <w:pPr>
                    <w:snapToGrid w:val="0"/>
                    <w:spacing w:line="240" w:lineRule="auto"/>
                    <w:jc w:val="center"/>
                    <w:textAlignment w:val="auto"/>
                    <w:rPr>
                      <w:rFonts w:hint="default" w:ascii="Times New Roman" w:hAnsi="Times New Roman" w:cs="Times New Roman"/>
                      <w:color w:val="auto"/>
                      <w:szCs w:val="21"/>
                    </w:rPr>
                  </w:pPr>
                </w:p>
              </w:tc>
              <w:tc>
                <w:tcPr>
                  <w:tcW w:w="622" w:type="pct"/>
                  <w:vMerge w:val="continue"/>
                  <w:tcBorders>
                    <w:tl2br w:val="nil"/>
                    <w:tr2bl w:val="nil"/>
                  </w:tcBorders>
                  <w:noWrap w:val="0"/>
                  <w:vAlign w:val="center"/>
                </w:tcPr>
                <w:p w14:paraId="41F9EB99">
                  <w:pPr>
                    <w:snapToGrid w:val="0"/>
                    <w:spacing w:line="240" w:lineRule="auto"/>
                    <w:jc w:val="center"/>
                    <w:textAlignment w:val="auto"/>
                    <w:rPr>
                      <w:rFonts w:hint="default" w:ascii="Times New Roman" w:hAnsi="Times New Roman" w:cs="Times New Roman"/>
                      <w:color w:val="auto"/>
                      <w:szCs w:val="19"/>
                      <w:lang w:bidi="ar"/>
                    </w:rPr>
                  </w:pPr>
                </w:p>
              </w:tc>
              <w:tc>
                <w:tcPr>
                  <w:tcW w:w="543" w:type="pct"/>
                  <w:tcBorders>
                    <w:tl2br w:val="nil"/>
                    <w:tr2bl w:val="nil"/>
                  </w:tcBorders>
                  <w:noWrap w:val="0"/>
                  <w:vAlign w:val="center"/>
                </w:tcPr>
                <w:p w14:paraId="6F5636C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重金属含量</w:t>
                  </w:r>
                </w:p>
              </w:tc>
              <w:tc>
                <w:tcPr>
                  <w:tcW w:w="1161" w:type="pct"/>
                  <w:tcBorders>
                    <w:tl2br w:val="nil"/>
                    <w:tr2bl w:val="nil"/>
                  </w:tcBorders>
                  <w:noWrap w:val="0"/>
                  <w:vAlign w:val="center"/>
                </w:tcPr>
                <w:p w14:paraId="3D3E083A">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不大于10μg/g</w:t>
                  </w:r>
                </w:p>
              </w:tc>
              <w:tc>
                <w:tcPr>
                  <w:tcW w:w="596" w:type="pct"/>
                  <w:vMerge w:val="continue"/>
                  <w:tcBorders>
                    <w:tl2br w:val="nil"/>
                    <w:tr2bl w:val="nil"/>
                  </w:tcBorders>
                  <w:noWrap w:val="0"/>
                  <w:vAlign w:val="center"/>
                </w:tcPr>
                <w:p w14:paraId="4F3DD2C2">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14C71AC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重金属含量</w:t>
                  </w:r>
                </w:p>
              </w:tc>
              <w:tc>
                <w:tcPr>
                  <w:tcW w:w="1261" w:type="pct"/>
                  <w:tcBorders>
                    <w:tl2br w:val="nil"/>
                    <w:tr2bl w:val="nil"/>
                  </w:tcBorders>
                  <w:noWrap w:val="0"/>
                  <w:vAlign w:val="center"/>
                </w:tcPr>
                <w:p w14:paraId="246A2AC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不大于10μg/g</w:t>
                  </w:r>
                </w:p>
              </w:tc>
            </w:tr>
            <w:tr w14:paraId="77B3C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67" w:type="pct"/>
                  <w:vMerge w:val="continue"/>
                  <w:tcBorders>
                    <w:tl2br w:val="nil"/>
                    <w:tr2bl w:val="nil"/>
                  </w:tcBorders>
                  <w:noWrap w:val="0"/>
                  <w:vAlign w:val="center"/>
                </w:tcPr>
                <w:p w14:paraId="5F6E4368">
                  <w:pPr>
                    <w:snapToGrid w:val="0"/>
                    <w:spacing w:line="240" w:lineRule="auto"/>
                    <w:jc w:val="center"/>
                    <w:textAlignment w:val="auto"/>
                    <w:rPr>
                      <w:rFonts w:hint="default" w:ascii="Times New Roman" w:hAnsi="Times New Roman" w:cs="Times New Roman"/>
                      <w:color w:val="auto"/>
                      <w:szCs w:val="21"/>
                    </w:rPr>
                  </w:pPr>
                </w:p>
              </w:tc>
              <w:tc>
                <w:tcPr>
                  <w:tcW w:w="622" w:type="pct"/>
                  <w:vMerge w:val="continue"/>
                  <w:tcBorders>
                    <w:tl2br w:val="nil"/>
                    <w:tr2bl w:val="nil"/>
                  </w:tcBorders>
                  <w:noWrap w:val="0"/>
                  <w:vAlign w:val="center"/>
                </w:tcPr>
                <w:p w14:paraId="5DF16A1C">
                  <w:pPr>
                    <w:snapToGrid w:val="0"/>
                    <w:spacing w:line="240" w:lineRule="auto"/>
                    <w:jc w:val="center"/>
                    <w:textAlignment w:val="auto"/>
                    <w:rPr>
                      <w:rFonts w:hint="default" w:ascii="Times New Roman" w:hAnsi="Times New Roman" w:cs="Times New Roman"/>
                      <w:color w:val="auto"/>
                      <w:szCs w:val="19"/>
                      <w:lang w:bidi="ar"/>
                    </w:rPr>
                  </w:pPr>
                </w:p>
              </w:tc>
              <w:tc>
                <w:tcPr>
                  <w:tcW w:w="543" w:type="pct"/>
                  <w:tcBorders>
                    <w:tl2br w:val="nil"/>
                    <w:tr2bl w:val="nil"/>
                  </w:tcBorders>
                  <w:noWrap w:val="0"/>
                  <w:vAlign w:val="center"/>
                </w:tcPr>
                <w:p w14:paraId="2C72AAD1">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微生物含量</w:t>
                  </w:r>
                </w:p>
              </w:tc>
              <w:tc>
                <w:tcPr>
                  <w:tcW w:w="1161" w:type="pct"/>
                  <w:tcBorders>
                    <w:tl2br w:val="nil"/>
                    <w:tr2bl w:val="nil"/>
                  </w:tcBorders>
                  <w:noWrap w:val="0"/>
                  <w:vAlign w:val="center"/>
                </w:tcPr>
                <w:p w14:paraId="5DAA90A9">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细菌菌落总数应≤100cfu/g，真菌菌落总数应≤100cfu/g，控制菌不得检出</w:t>
                  </w:r>
                </w:p>
              </w:tc>
              <w:tc>
                <w:tcPr>
                  <w:tcW w:w="596" w:type="pct"/>
                  <w:vMerge w:val="continue"/>
                  <w:tcBorders>
                    <w:tl2br w:val="nil"/>
                    <w:tr2bl w:val="nil"/>
                  </w:tcBorders>
                  <w:noWrap w:val="0"/>
                  <w:vAlign w:val="center"/>
                </w:tcPr>
                <w:p w14:paraId="49645BCC">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73A8B42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微生物含量</w:t>
                  </w:r>
                </w:p>
              </w:tc>
              <w:tc>
                <w:tcPr>
                  <w:tcW w:w="1261" w:type="pct"/>
                  <w:tcBorders>
                    <w:tl2br w:val="nil"/>
                    <w:tr2bl w:val="nil"/>
                  </w:tcBorders>
                  <w:noWrap w:val="0"/>
                  <w:vAlign w:val="center"/>
                </w:tcPr>
                <w:p w14:paraId="15D331E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细菌菌落总数应≤100cfu/g，真菌菌落总数应≤100cfu/g，控制菌不得检出</w:t>
                  </w:r>
                </w:p>
              </w:tc>
            </w:tr>
            <w:tr w14:paraId="7C384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restart"/>
                  <w:tcBorders>
                    <w:tl2br w:val="nil"/>
                    <w:tr2bl w:val="nil"/>
                  </w:tcBorders>
                  <w:noWrap w:val="0"/>
                  <w:vAlign w:val="center"/>
                </w:tcPr>
                <w:p w14:paraId="01544227">
                  <w:pPr>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2326" w:type="pct"/>
                  <w:gridSpan w:val="3"/>
                  <w:vMerge w:val="restart"/>
                  <w:tcBorders>
                    <w:tl2br w:val="nil"/>
                    <w:tr2bl w:val="nil"/>
                  </w:tcBorders>
                  <w:noWrap w:val="0"/>
                  <w:vAlign w:val="center"/>
                </w:tcPr>
                <w:p w14:paraId="4101B361">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w:t>
                  </w:r>
                </w:p>
              </w:tc>
              <w:tc>
                <w:tcPr>
                  <w:tcW w:w="596" w:type="pct"/>
                  <w:vMerge w:val="restart"/>
                  <w:tcBorders>
                    <w:tl2br w:val="nil"/>
                    <w:tr2bl w:val="nil"/>
                  </w:tcBorders>
                  <w:noWrap w:val="0"/>
                  <w:vAlign w:val="center"/>
                </w:tcPr>
                <w:p w14:paraId="660CF15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重组胶原蛋白贴</w:t>
                  </w:r>
                </w:p>
              </w:tc>
              <w:tc>
                <w:tcPr>
                  <w:tcW w:w="549" w:type="pct"/>
                  <w:tcBorders>
                    <w:tl2br w:val="nil"/>
                    <w:tr2bl w:val="nil"/>
                  </w:tcBorders>
                  <w:noWrap w:val="0"/>
                  <w:vAlign w:val="center"/>
                </w:tcPr>
                <w:p w14:paraId="27EEED49">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外观/性状</w:t>
                  </w:r>
                </w:p>
              </w:tc>
              <w:tc>
                <w:tcPr>
                  <w:tcW w:w="1261" w:type="pct"/>
                  <w:tcBorders>
                    <w:tl2br w:val="nil"/>
                    <w:tr2bl w:val="nil"/>
                  </w:tcBorders>
                  <w:noWrap w:val="0"/>
                  <w:vAlign w:val="center"/>
                </w:tcPr>
                <w:p w14:paraId="6137A97E">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挤出凝胶应为无色凝胶状，布面平整，无明显肉眼可见异物</w:t>
                  </w:r>
                </w:p>
              </w:tc>
            </w:tr>
            <w:tr w14:paraId="2DE460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1AC27367">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2E62704F">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7AB4E63F">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36ECCDB6">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规格尺寸</w:t>
                  </w:r>
                </w:p>
              </w:tc>
              <w:tc>
                <w:tcPr>
                  <w:tcW w:w="1261" w:type="pct"/>
                  <w:tcBorders>
                    <w:tl2br w:val="nil"/>
                    <w:tr2bl w:val="nil"/>
                  </w:tcBorders>
                  <w:noWrap w:val="0"/>
                  <w:vAlign w:val="center"/>
                </w:tcPr>
                <w:p w14:paraId="1913C58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误差应在±10%范围内</w:t>
                  </w:r>
                </w:p>
              </w:tc>
            </w:tr>
            <w:tr w14:paraId="2E657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1E33D178">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5AABE52F">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22FA4988">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69785A8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261" w:type="pct"/>
                  <w:tcBorders>
                    <w:tl2br w:val="nil"/>
                    <w:tr2bl w:val="nil"/>
                  </w:tcBorders>
                  <w:noWrap w:val="0"/>
                  <w:vAlign w:val="center"/>
                </w:tcPr>
                <w:p w14:paraId="781C42F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4.5～8.0</w:t>
                  </w:r>
                </w:p>
              </w:tc>
            </w:tr>
            <w:tr w14:paraId="691B4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18A22A69">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06F63A8B">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6A2A97A9">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71874BE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重金属</w:t>
                  </w:r>
                </w:p>
              </w:tc>
              <w:tc>
                <w:tcPr>
                  <w:tcW w:w="1261" w:type="pct"/>
                  <w:tcBorders>
                    <w:tl2br w:val="nil"/>
                    <w:tr2bl w:val="nil"/>
                  </w:tcBorders>
                  <w:noWrap w:val="0"/>
                  <w:vAlign w:val="center"/>
                </w:tcPr>
                <w:p w14:paraId="62474B5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不超过百万分之十</w:t>
                  </w:r>
                </w:p>
              </w:tc>
            </w:tr>
            <w:tr w14:paraId="1CF1E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50A9F08C">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7317AF60">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44C56F3E">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52ADE3E9">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黏度</w:t>
                  </w:r>
                </w:p>
              </w:tc>
              <w:tc>
                <w:tcPr>
                  <w:tcW w:w="1261" w:type="pct"/>
                  <w:tcBorders>
                    <w:tl2br w:val="nil"/>
                    <w:tr2bl w:val="nil"/>
                  </w:tcBorders>
                  <w:noWrap w:val="0"/>
                  <w:vAlign w:val="center"/>
                </w:tcPr>
                <w:p w14:paraId="5BE6E782">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在25℃下，挤出凝胶的黏度为不小于100mPa·s</w:t>
                  </w:r>
                </w:p>
              </w:tc>
            </w:tr>
            <w:tr w14:paraId="05404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67" w:type="pct"/>
                  <w:vMerge w:val="continue"/>
                  <w:tcBorders>
                    <w:tl2br w:val="nil"/>
                    <w:tr2bl w:val="nil"/>
                  </w:tcBorders>
                  <w:noWrap w:val="0"/>
                  <w:vAlign w:val="center"/>
                </w:tcPr>
                <w:p w14:paraId="04418C55">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26101FC6">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66C5E6AA">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4BF3460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重组胶原蛋白的含量</w:t>
                  </w:r>
                </w:p>
              </w:tc>
              <w:tc>
                <w:tcPr>
                  <w:tcW w:w="1261" w:type="pct"/>
                  <w:tcBorders>
                    <w:tl2br w:val="nil"/>
                    <w:tr2bl w:val="nil"/>
                  </w:tcBorders>
                  <w:noWrap w:val="0"/>
                  <w:vAlign w:val="center"/>
                </w:tcPr>
                <w:p w14:paraId="3F24258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应不少于0.2%</w:t>
                  </w:r>
                </w:p>
              </w:tc>
            </w:tr>
            <w:tr w14:paraId="7FF60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67" w:type="pct"/>
                  <w:vMerge w:val="continue"/>
                  <w:tcBorders>
                    <w:tl2br w:val="nil"/>
                    <w:tr2bl w:val="nil"/>
                  </w:tcBorders>
                  <w:noWrap w:val="0"/>
                  <w:vAlign w:val="center"/>
                </w:tcPr>
                <w:p w14:paraId="7E98B2F1">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4AA31CBB">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49AF5DF8">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1572426A">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微生物限度</w:t>
                  </w:r>
                </w:p>
              </w:tc>
              <w:tc>
                <w:tcPr>
                  <w:tcW w:w="1261" w:type="pct"/>
                  <w:tcBorders>
                    <w:tl2br w:val="nil"/>
                    <w:tr2bl w:val="nil"/>
                  </w:tcBorders>
                  <w:noWrap w:val="0"/>
                  <w:vAlign w:val="center"/>
                </w:tcPr>
                <w:p w14:paraId="40F12A49">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需氧菌总数≤102cfu/g，霉菌和酵母菌总数≤101cfu/g，控制菌（金黄色葡萄球菌、铜绿假单胞菌、大肠埃希菌）不得检出</w:t>
                  </w:r>
                </w:p>
              </w:tc>
            </w:tr>
            <w:tr w14:paraId="6C1EF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3A540949">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2DFE925E">
                  <w:pPr>
                    <w:snapToGrid w:val="0"/>
                    <w:spacing w:line="240" w:lineRule="auto"/>
                    <w:jc w:val="center"/>
                    <w:textAlignment w:val="auto"/>
                    <w:rPr>
                      <w:rFonts w:hint="default" w:ascii="Times New Roman" w:hAnsi="Times New Roman" w:cs="Times New Roman"/>
                      <w:color w:val="auto"/>
                      <w:szCs w:val="21"/>
                    </w:rPr>
                  </w:pPr>
                </w:p>
              </w:tc>
              <w:tc>
                <w:tcPr>
                  <w:tcW w:w="596" w:type="pct"/>
                  <w:vMerge w:val="restart"/>
                  <w:tcBorders>
                    <w:tl2br w:val="nil"/>
                    <w:tr2bl w:val="nil"/>
                  </w:tcBorders>
                  <w:noWrap w:val="0"/>
                  <w:vAlign w:val="center"/>
                </w:tcPr>
                <w:p w14:paraId="66F264E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19"/>
                      <w:lang w:bidi="ar"/>
                    </w:rPr>
                    <w:t>医用透明质酸钠敷贴</w:t>
                  </w:r>
                </w:p>
              </w:tc>
              <w:tc>
                <w:tcPr>
                  <w:tcW w:w="549" w:type="pct"/>
                  <w:tcBorders>
                    <w:tl2br w:val="nil"/>
                    <w:tr2bl w:val="nil"/>
                  </w:tcBorders>
                  <w:noWrap w:val="0"/>
                  <w:vAlign w:val="center"/>
                </w:tcPr>
                <w:p w14:paraId="7614AC20">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外观/性状</w:t>
                  </w:r>
                </w:p>
              </w:tc>
              <w:tc>
                <w:tcPr>
                  <w:tcW w:w="1261" w:type="pct"/>
                  <w:tcBorders>
                    <w:tl2br w:val="nil"/>
                    <w:tr2bl w:val="nil"/>
                  </w:tcBorders>
                  <w:noWrap w:val="0"/>
                  <w:vAlign w:val="center"/>
                </w:tcPr>
                <w:p w14:paraId="2FC46C1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凝胶层应为无色或微黄色凝胶状，无明显肉眼可见异物</w:t>
                  </w:r>
                </w:p>
              </w:tc>
            </w:tr>
            <w:tr w14:paraId="7C0492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2CA9E900">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660CE8F3">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1B0679B7">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22F7AB71">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规格尺寸</w:t>
                  </w:r>
                </w:p>
              </w:tc>
              <w:tc>
                <w:tcPr>
                  <w:tcW w:w="1261" w:type="pct"/>
                  <w:tcBorders>
                    <w:tl2br w:val="nil"/>
                    <w:tr2bl w:val="nil"/>
                  </w:tcBorders>
                  <w:noWrap w:val="0"/>
                  <w:vAlign w:val="center"/>
                </w:tcPr>
                <w:p w14:paraId="394E832A">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误差应在±10%范围内</w:t>
                  </w:r>
                </w:p>
              </w:tc>
            </w:tr>
            <w:tr w14:paraId="5339E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53E20335">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2C9C0733">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17C29515">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6F0C4379">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261" w:type="pct"/>
                  <w:tcBorders>
                    <w:tl2br w:val="nil"/>
                    <w:tr2bl w:val="nil"/>
                  </w:tcBorders>
                  <w:noWrap w:val="0"/>
                  <w:vAlign w:val="center"/>
                </w:tcPr>
                <w:p w14:paraId="77AAA742">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5.0～8.0</w:t>
                  </w:r>
                </w:p>
              </w:tc>
            </w:tr>
            <w:tr w14:paraId="58DEF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17A96344">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4EA5DA55">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235FE7F9">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411757C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重金属</w:t>
                  </w:r>
                </w:p>
              </w:tc>
              <w:tc>
                <w:tcPr>
                  <w:tcW w:w="1261" w:type="pct"/>
                  <w:tcBorders>
                    <w:tl2br w:val="nil"/>
                    <w:tr2bl w:val="nil"/>
                  </w:tcBorders>
                  <w:noWrap w:val="0"/>
                  <w:vAlign w:val="center"/>
                </w:tcPr>
                <w:p w14:paraId="3CF5A40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重金属含量应不大于10µg/g</w:t>
                  </w:r>
                </w:p>
              </w:tc>
            </w:tr>
            <w:tr w14:paraId="35EDEE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7C3ED0BE">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3A0FF18F">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2E29E693">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1BFEACB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含水量</w:t>
                  </w:r>
                </w:p>
              </w:tc>
              <w:tc>
                <w:tcPr>
                  <w:tcW w:w="1261" w:type="pct"/>
                  <w:tcBorders>
                    <w:tl2br w:val="nil"/>
                    <w:tr2bl w:val="nil"/>
                  </w:tcBorders>
                  <w:noWrap w:val="0"/>
                  <w:vAlign w:val="center"/>
                </w:tcPr>
                <w:p w14:paraId="2554D9B5">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含水量应不少于40%</w:t>
                  </w:r>
                </w:p>
              </w:tc>
            </w:tr>
            <w:tr w14:paraId="5CD6B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67" w:type="pct"/>
                  <w:vMerge w:val="continue"/>
                  <w:tcBorders>
                    <w:tl2br w:val="nil"/>
                    <w:tr2bl w:val="nil"/>
                  </w:tcBorders>
                  <w:noWrap w:val="0"/>
                  <w:vAlign w:val="center"/>
                </w:tcPr>
                <w:p w14:paraId="203A2B70">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0E35BCF2">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02F039AA">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0ACF606E">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微生物限度</w:t>
                  </w:r>
                </w:p>
              </w:tc>
              <w:tc>
                <w:tcPr>
                  <w:tcW w:w="1261" w:type="pct"/>
                  <w:tcBorders>
                    <w:tl2br w:val="nil"/>
                    <w:tr2bl w:val="nil"/>
                  </w:tcBorders>
                  <w:noWrap w:val="0"/>
                  <w:vAlign w:val="center"/>
                </w:tcPr>
                <w:p w14:paraId="753C2D5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需氧菌总数≤102cfu/g，霉菌和酵母菌总数≤101cfu/g，控制菌（金黄色葡萄球菌、铜绿假单胞菌、大肠埃希菌）不得检出</w:t>
                  </w:r>
                </w:p>
              </w:tc>
            </w:tr>
            <w:tr w14:paraId="4F33F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0540774B">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61B573F0">
                  <w:pPr>
                    <w:snapToGrid w:val="0"/>
                    <w:spacing w:line="240" w:lineRule="auto"/>
                    <w:jc w:val="center"/>
                    <w:textAlignment w:val="auto"/>
                    <w:rPr>
                      <w:rFonts w:hint="default" w:ascii="Times New Roman" w:hAnsi="Times New Roman" w:cs="Times New Roman"/>
                      <w:color w:val="auto"/>
                      <w:szCs w:val="21"/>
                    </w:rPr>
                  </w:pPr>
                </w:p>
              </w:tc>
              <w:tc>
                <w:tcPr>
                  <w:tcW w:w="596" w:type="pct"/>
                  <w:vMerge w:val="restart"/>
                  <w:tcBorders>
                    <w:tl2br w:val="nil"/>
                    <w:tr2bl w:val="nil"/>
                  </w:tcBorders>
                  <w:noWrap w:val="0"/>
                  <w:vAlign w:val="center"/>
                </w:tcPr>
                <w:p w14:paraId="39774A4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19"/>
                      <w:lang w:bidi="ar"/>
                    </w:rPr>
                    <w:t>壳聚糖止血粉</w:t>
                  </w:r>
                </w:p>
              </w:tc>
              <w:tc>
                <w:tcPr>
                  <w:tcW w:w="549" w:type="pct"/>
                  <w:tcBorders>
                    <w:tl2br w:val="nil"/>
                    <w:tr2bl w:val="nil"/>
                  </w:tcBorders>
                  <w:noWrap w:val="0"/>
                  <w:vAlign w:val="center"/>
                </w:tcPr>
                <w:p w14:paraId="16E6438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外观/性状</w:t>
                  </w:r>
                </w:p>
              </w:tc>
              <w:tc>
                <w:tcPr>
                  <w:tcW w:w="1261" w:type="pct"/>
                  <w:tcBorders>
                    <w:tl2br w:val="nil"/>
                    <w:tr2bl w:val="nil"/>
                  </w:tcBorders>
                  <w:noWrap w:val="0"/>
                  <w:vAlign w:val="center"/>
                </w:tcPr>
                <w:p w14:paraId="42C88376">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类白色或浅黄色粉末固体，无肉眼可见的异物</w:t>
                  </w:r>
                </w:p>
              </w:tc>
            </w:tr>
            <w:tr w14:paraId="107E2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3E926082">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2C90B4B7">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36C0B300">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0F38E5E1">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装量</w:t>
                  </w:r>
                </w:p>
              </w:tc>
              <w:tc>
                <w:tcPr>
                  <w:tcW w:w="1261" w:type="pct"/>
                  <w:tcBorders>
                    <w:tl2br w:val="nil"/>
                    <w:tr2bl w:val="nil"/>
                  </w:tcBorders>
                  <w:noWrap w:val="0"/>
                  <w:vAlign w:val="center"/>
                </w:tcPr>
                <w:p w14:paraId="5BEA9E5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应不低于标识装量的93%，平均装量应不小于标示量</w:t>
                  </w:r>
                </w:p>
              </w:tc>
            </w:tr>
            <w:tr w14:paraId="13A826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7380F4DF">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1EDBA6A5">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6249BD4D">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274BAC9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粒度</w:t>
                  </w:r>
                </w:p>
              </w:tc>
              <w:tc>
                <w:tcPr>
                  <w:tcW w:w="1261" w:type="pct"/>
                  <w:tcBorders>
                    <w:tl2br w:val="nil"/>
                    <w:tr2bl w:val="nil"/>
                  </w:tcBorders>
                  <w:noWrap w:val="0"/>
                  <w:vAlign w:val="center"/>
                </w:tcPr>
                <w:p w14:paraId="186A38A0">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通过六号标准筛的粉末重量，不得少于95%</w:t>
                  </w:r>
                </w:p>
              </w:tc>
            </w:tr>
            <w:tr w14:paraId="4DC08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3EB3218E">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796B3024">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2EF175CF">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600BCE5E">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水分</w:t>
                  </w:r>
                </w:p>
              </w:tc>
              <w:tc>
                <w:tcPr>
                  <w:tcW w:w="1261" w:type="pct"/>
                  <w:tcBorders>
                    <w:tl2br w:val="nil"/>
                    <w:tr2bl w:val="nil"/>
                  </w:tcBorders>
                  <w:noWrap w:val="0"/>
                  <w:vAlign w:val="center"/>
                </w:tcPr>
                <w:p w14:paraId="3441CB8E">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水分不得超过15%</w:t>
                  </w:r>
                </w:p>
              </w:tc>
            </w:tr>
            <w:tr w14:paraId="3BE768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0D7ED637">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4BA71967">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24E4C21D">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1FFE2F81">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261" w:type="pct"/>
                  <w:tcBorders>
                    <w:tl2br w:val="nil"/>
                    <w:tr2bl w:val="nil"/>
                  </w:tcBorders>
                  <w:noWrap w:val="0"/>
                  <w:vAlign w:val="center"/>
                </w:tcPr>
                <w:p w14:paraId="742196A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6.5-11.5</w:t>
                  </w:r>
                </w:p>
              </w:tc>
            </w:tr>
            <w:tr w14:paraId="11F8C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56DC66D9">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53E90B91">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5CAD1955">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398EC44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酸不溶物</w:t>
                  </w:r>
                </w:p>
              </w:tc>
              <w:tc>
                <w:tcPr>
                  <w:tcW w:w="1261" w:type="pct"/>
                  <w:tcBorders>
                    <w:tl2br w:val="nil"/>
                    <w:tr2bl w:val="nil"/>
                  </w:tcBorders>
                  <w:noWrap w:val="0"/>
                  <w:vAlign w:val="center"/>
                </w:tcPr>
                <w:p w14:paraId="551E0DF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酸不溶物小于1.0%</w:t>
                  </w:r>
                </w:p>
              </w:tc>
            </w:tr>
            <w:tr w14:paraId="1774A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4DBE676F">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64011C17">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28F6D424">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626144B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重金属含量</w:t>
                  </w:r>
                </w:p>
              </w:tc>
              <w:tc>
                <w:tcPr>
                  <w:tcW w:w="1261" w:type="pct"/>
                  <w:tcBorders>
                    <w:tl2br w:val="nil"/>
                    <w:tr2bl w:val="nil"/>
                  </w:tcBorders>
                  <w:noWrap w:val="0"/>
                  <w:vAlign w:val="center"/>
                </w:tcPr>
                <w:p w14:paraId="62373C3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应不得超过百万分之十</w:t>
                  </w:r>
                </w:p>
              </w:tc>
            </w:tr>
            <w:tr w14:paraId="5C0B0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tcBorders>
                    <w:tl2br w:val="nil"/>
                    <w:tr2bl w:val="nil"/>
                  </w:tcBorders>
                  <w:noWrap w:val="0"/>
                  <w:vAlign w:val="center"/>
                </w:tcPr>
                <w:p w14:paraId="1BE919BB">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252518AB">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5C7E1471">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7B649936">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无菌</w:t>
                  </w:r>
                </w:p>
              </w:tc>
              <w:tc>
                <w:tcPr>
                  <w:tcW w:w="1261" w:type="pct"/>
                  <w:tcBorders>
                    <w:tl2br w:val="nil"/>
                    <w:tr2bl w:val="nil"/>
                  </w:tcBorders>
                  <w:noWrap w:val="0"/>
                  <w:vAlign w:val="center"/>
                </w:tcPr>
                <w:p w14:paraId="6223823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本产品应无菌</w:t>
                  </w:r>
                </w:p>
              </w:tc>
            </w:tr>
            <w:tr w14:paraId="1EBF0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170CB1C5">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3922001C">
                  <w:pPr>
                    <w:snapToGrid w:val="0"/>
                    <w:spacing w:line="240" w:lineRule="auto"/>
                    <w:jc w:val="center"/>
                    <w:textAlignment w:val="auto"/>
                    <w:rPr>
                      <w:rFonts w:hint="default" w:ascii="Times New Roman" w:hAnsi="Times New Roman" w:cs="Times New Roman"/>
                      <w:color w:val="auto"/>
                      <w:szCs w:val="21"/>
                    </w:rPr>
                  </w:pPr>
                </w:p>
              </w:tc>
              <w:tc>
                <w:tcPr>
                  <w:tcW w:w="596" w:type="pct"/>
                  <w:vMerge w:val="restart"/>
                  <w:tcBorders>
                    <w:tl2br w:val="nil"/>
                    <w:tr2bl w:val="nil"/>
                  </w:tcBorders>
                  <w:noWrap w:val="0"/>
                  <w:vAlign w:val="center"/>
                </w:tcPr>
                <w:p w14:paraId="522CB959">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19"/>
                      <w:lang w:bidi="ar"/>
                    </w:rPr>
                    <w:t>穴位压力刺激贴</w:t>
                  </w:r>
                </w:p>
              </w:tc>
              <w:tc>
                <w:tcPr>
                  <w:tcW w:w="549" w:type="pct"/>
                  <w:tcBorders>
                    <w:tl2br w:val="nil"/>
                    <w:tr2bl w:val="nil"/>
                  </w:tcBorders>
                  <w:noWrap w:val="0"/>
                  <w:vAlign w:val="center"/>
                </w:tcPr>
                <w:p w14:paraId="6E2D277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外观及性状</w:t>
                  </w:r>
                </w:p>
              </w:tc>
              <w:tc>
                <w:tcPr>
                  <w:tcW w:w="1261" w:type="pct"/>
                  <w:tcBorders>
                    <w:tl2br w:val="nil"/>
                    <w:tr2bl w:val="nil"/>
                  </w:tcBorders>
                  <w:noWrap w:val="0"/>
                  <w:vAlign w:val="center"/>
                </w:tcPr>
                <w:p w14:paraId="59EEA6A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产品外观应平整、无异物，医用胶布应涂布均匀，无脱胶、失黏现象</w:t>
                  </w:r>
                </w:p>
              </w:tc>
            </w:tr>
            <w:tr w14:paraId="5042B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59C03695">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27B57CD1">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62B95757">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675F45A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规格尺寸</w:t>
                  </w:r>
                </w:p>
              </w:tc>
              <w:tc>
                <w:tcPr>
                  <w:tcW w:w="1261" w:type="pct"/>
                  <w:tcBorders>
                    <w:tl2br w:val="nil"/>
                    <w:tr2bl w:val="nil"/>
                  </w:tcBorders>
                  <w:noWrap w:val="0"/>
                  <w:vAlign w:val="center"/>
                </w:tcPr>
                <w:p w14:paraId="67A11FD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允许偏差为±10%</w:t>
                  </w:r>
                </w:p>
              </w:tc>
            </w:tr>
            <w:tr w14:paraId="3A7FA1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7F998737">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59ED9BFF">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6A74EBA6">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73BD78A0">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剥离强度</w:t>
                  </w:r>
                </w:p>
              </w:tc>
              <w:tc>
                <w:tcPr>
                  <w:tcW w:w="1261" w:type="pct"/>
                  <w:tcBorders>
                    <w:tl2br w:val="nil"/>
                    <w:tr2bl w:val="nil"/>
                  </w:tcBorders>
                  <w:noWrap w:val="0"/>
                  <w:vAlign w:val="center"/>
                </w:tcPr>
                <w:p w14:paraId="491DD91A">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医用胶布每1cm宽度所需的平均力应不小于1.0N</w:t>
                  </w:r>
                </w:p>
              </w:tc>
            </w:tr>
            <w:tr w14:paraId="42552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45D8B6A5">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6E48F35E">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6B4CC3C9">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40A597E9">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持粘性</w:t>
                  </w:r>
                </w:p>
              </w:tc>
              <w:tc>
                <w:tcPr>
                  <w:tcW w:w="1261" w:type="pct"/>
                  <w:tcBorders>
                    <w:tl2br w:val="nil"/>
                    <w:tr2bl w:val="nil"/>
                  </w:tcBorders>
                  <w:noWrap w:val="0"/>
                  <w:vAlign w:val="center"/>
                </w:tcPr>
                <w:p w14:paraId="5A0F679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在烘箱内试验期间，贴于不锈钢板上粘贴胶布的顶端下滑应不大于2.5mm</w:t>
                  </w:r>
                </w:p>
              </w:tc>
            </w:tr>
            <w:tr w14:paraId="07722D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0E78CFC2">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624DF811">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3D9749A3">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3A148031">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耐热性</w:t>
                  </w:r>
                </w:p>
              </w:tc>
              <w:tc>
                <w:tcPr>
                  <w:tcW w:w="1261" w:type="pct"/>
                  <w:tcBorders>
                    <w:tl2br w:val="nil"/>
                    <w:tr2bl w:val="nil"/>
                  </w:tcBorders>
                  <w:noWrap w:val="0"/>
                  <w:vAlign w:val="center"/>
                </w:tcPr>
                <w:p w14:paraId="2FA9CCAA">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在42℃±2℃下保持30分钟后取出，胶面应无流淌现象</w:t>
                  </w:r>
                </w:p>
              </w:tc>
            </w:tr>
            <w:tr w14:paraId="392A0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33F074F4">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305F058A">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2464D8E0">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38A3767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耐寒性</w:t>
                  </w:r>
                </w:p>
              </w:tc>
              <w:tc>
                <w:tcPr>
                  <w:tcW w:w="1261" w:type="pct"/>
                  <w:tcBorders>
                    <w:tl2br w:val="nil"/>
                    <w:tr2bl w:val="nil"/>
                  </w:tcBorders>
                  <w:noWrap w:val="0"/>
                  <w:vAlign w:val="center"/>
                </w:tcPr>
                <w:p w14:paraId="163D692A">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在﹣1℃±1℃下保持30分钟后取出，胶面应无结冰现象</w:t>
                  </w:r>
                </w:p>
              </w:tc>
            </w:tr>
            <w:tr w14:paraId="42AF3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37E37162">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6FD1ACDF">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10ED73A1">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33DB5D6A">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残留物</w:t>
                  </w:r>
                </w:p>
              </w:tc>
              <w:tc>
                <w:tcPr>
                  <w:tcW w:w="1261" w:type="pct"/>
                  <w:tcBorders>
                    <w:tl2br w:val="nil"/>
                    <w:tr2bl w:val="nil"/>
                  </w:tcBorders>
                  <w:noWrap w:val="0"/>
                  <w:vAlign w:val="center"/>
                </w:tcPr>
                <w:p w14:paraId="282121D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产品从钢板上揭下时，不应有明显胶体物质残留</w:t>
                  </w:r>
                </w:p>
              </w:tc>
            </w:tr>
            <w:tr w14:paraId="5E28B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33CC7E64">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2FA5753E">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0C1E4165">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6FC9350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包装密封性</w:t>
                  </w:r>
                </w:p>
              </w:tc>
              <w:tc>
                <w:tcPr>
                  <w:tcW w:w="1261" w:type="pct"/>
                  <w:tcBorders>
                    <w:tl2br w:val="nil"/>
                    <w:tr2bl w:val="nil"/>
                  </w:tcBorders>
                  <w:noWrap w:val="0"/>
                  <w:vAlign w:val="center"/>
                </w:tcPr>
                <w:p w14:paraId="6732AB89">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包装应密封完好，无气泡溢出</w:t>
                  </w:r>
                </w:p>
              </w:tc>
            </w:tr>
            <w:tr w14:paraId="622DE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349F0F76">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3D19842A">
                  <w:pPr>
                    <w:snapToGrid w:val="0"/>
                    <w:spacing w:line="240" w:lineRule="auto"/>
                    <w:jc w:val="center"/>
                    <w:textAlignment w:val="auto"/>
                    <w:rPr>
                      <w:rFonts w:hint="default" w:ascii="Times New Roman" w:hAnsi="Times New Roman" w:cs="Times New Roman"/>
                      <w:color w:val="auto"/>
                      <w:szCs w:val="21"/>
                    </w:rPr>
                  </w:pPr>
                </w:p>
              </w:tc>
              <w:tc>
                <w:tcPr>
                  <w:tcW w:w="596" w:type="pct"/>
                  <w:vMerge w:val="restart"/>
                  <w:tcBorders>
                    <w:tl2br w:val="nil"/>
                    <w:tr2bl w:val="nil"/>
                  </w:tcBorders>
                  <w:noWrap w:val="0"/>
                  <w:vAlign w:val="center"/>
                </w:tcPr>
                <w:p w14:paraId="2EAFD6A7">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19"/>
                      <w:lang w:bidi="ar"/>
                    </w:rPr>
                    <w:t>创口贴</w:t>
                  </w:r>
                </w:p>
              </w:tc>
              <w:tc>
                <w:tcPr>
                  <w:tcW w:w="549" w:type="pct"/>
                  <w:tcBorders>
                    <w:tl2br w:val="nil"/>
                    <w:tr2bl w:val="nil"/>
                  </w:tcBorders>
                  <w:noWrap w:val="0"/>
                  <w:vAlign w:val="center"/>
                </w:tcPr>
                <w:p w14:paraId="53C2A2E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规格尺寸</w:t>
                  </w:r>
                </w:p>
              </w:tc>
              <w:tc>
                <w:tcPr>
                  <w:tcW w:w="1261" w:type="pct"/>
                  <w:tcBorders>
                    <w:tl2br w:val="nil"/>
                    <w:tr2bl w:val="nil"/>
                  </w:tcBorders>
                  <w:noWrap w:val="0"/>
                  <w:vAlign w:val="center"/>
                </w:tcPr>
                <w:p w14:paraId="0721EC1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允许误差为±3mm</w:t>
                  </w:r>
                </w:p>
              </w:tc>
            </w:tr>
            <w:tr w14:paraId="407643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465395F8">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496FF553">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7989EC96">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20DBBCC1">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外观</w:t>
                  </w:r>
                </w:p>
              </w:tc>
              <w:tc>
                <w:tcPr>
                  <w:tcW w:w="1261" w:type="pct"/>
                  <w:tcBorders>
                    <w:tl2br w:val="nil"/>
                    <w:tr2bl w:val="nil"/>
                  </w:tcBorders>
                  <w:noWrap w:val="0"/>
                  <w:vAlign w:val="center"/>
                </w:tcPr>
                <w:p w14:paraId="012ADA1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表面整洁，不能有褶皱存在，涂胶基材和防粘连层不得有脱离现象</w:t>
                  </w:r>
                </w:p>
              </w:tc>
            </w:tr>
            <w:tr w14:paraId="58591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4DD8271F">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1CC2F30D">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0D3C5C60">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7948C59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剥离强度</w:t>
                  </w:r>
                </w:p>
              </w:tc>
              <w:tc>
                <w:tcPr>
                  <w:tcW w:w="1261" w:type="pct"/>
                  <w:tcBorders>
                    <w:tl2br w:val="nil"/>
                    <w:tr2bl w:val="nil"/>
                  </w:tcBorders>
                  <w:noWrap w:val="0"/>
                  <w:vAlign w:val="center"/>
                </w:tcPr>
                <w:p w14:paraId="076C22E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涂胶基材的剥离强度不低于0.5N/㎝</w:t>
                  </w:r>
                </w:p>
              </w:tc>
            </w:tr>
            <w:tr w14:paraId="52E0A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676DF11B">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1EE9535E">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2E1FBD3F">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79E15A3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持粘性</w:t>
                  </w:r>
                </w:p>
              </w:tc>
              <w:tc>
                <w:tcPr>
                  <w:tcW w:w="1261" w:type="pct"/>
                  <w:tcBorders>
                    <w:tl2br w:val="nil"/>
                    <w:tr2bl w:val="nil"/>
                  </w:tcBorders>
                  <w:noWrap w:val="0"/>
                  <w:vAlign w:val="center"/>
                </w:tcPr>
                <w:p w14:paraId="627F59A5">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涂胶基材的持粘性下滑应不超过2.5mm</w:t>
                  </w:r>
                </w:p>
              </w:tc>
            </w:tr>
            <w:tr w14:paraId="66B38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7" w:type="pct"/>
                  <w:vMerge w:val="continue"/>
                  <w:tcBorders>
                    <w:tl2br w:val="nil"/>
                    <w:tr2bl w:val="nil"/>
                  </w:tcBorders>
                  <w:noWrap w:val="0"/>
                  <w:vAlign w:val="center"/>
                </w:tcPr>
                <w:p w14:paraId="0AC1EAB2">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15A6EE9E">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6710A530">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0D1FA60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敷垫的吸水量</w:t>
                  </w:r>
                </w:p>
              </w:tc>
              <w:tc>
                <w:tcPr>
                  <w:tcW w:w="1261" w:type="pct"/>
                  <w:tcBorders>
                    <w:tl2br w:val="nil"/>
                    <w:tr2bl w:val="nil"/>
                  </w:tcBorders>
                  <w:noWrap w:val="0"/>
                  <w:vAlign w:val="center"/>
                </w:tcPr>
                <w:p w14:paraId="42012E7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应不小于150%</w:t>
                  </w:r>
                </w:p>
              </w:tc>
            </w:tr>
            <w:tr w14:paraId="3CCAC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5FB90F9D">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2D97A5A4">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0E8BBFDA">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7F33189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防粘连层重量</w:t>
                  </w:r>
                </w:p>
              </w:tc>
              <w:tc>
                <w:tcPr>
                  <w:tcW w:w="1261" w:type="pct"/>
                  <w:tcBorders>
                    <w:tl2br w:val="nil"/>
                    <w:tr2bl w:val="nil"/>
                  </w:tcBorders>
                  <w:noWrap w:val="0"/>
                  <w:vAlign w:val="center"/>
                </w:tcPr>
                <w:p w14:paraId="571C74D2">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应在50g/㎡～80/㎡之间</w:t>
                  </w:r>
                </w:p>
              </w:tc>
            </w:tr>
            <w:tr w14:paraId="0B0A48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155F7932">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60B3ACE9">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68779126">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00AEA625">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微生物指标</w:t>
                  </w:r>
                </w:p>
              </w:tc>
              <w:tc>
                <w:tcPr>
                  <w:tcW w:w="1261" w:type="pct"/>
                  <w:tcBorders>
                    <w:tl2br w:val="nil"/>
                    <w:tr2bl w:val="nil"/>
                  </w:tcBorders>
                  <w:noWrap w:val="0"/>
                  <w:vAlign w:val="center"/>
                </w:tcPr>
                <w:p w14:paraId="1B94F5E0">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创口贴细菌菌落总数≤20cfu/g，不得检出真菌，不得检出绿脓杆菌、金黄色葡萄球菌、溶血性链球菌和大肠菌群</w:t>
                  </w:r>
                </w:p>
              </w:tc>
            </w:tr>
            <w:tr w14:paraId="2D954B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12E478D0">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232E9ED3">
                  <w:pPr>
                    <w:snapToGrid w:val="0"/>
                    <w:spacing w:line="240" w:lineRule="auto"/>
                    <w:jc w:val="center"/>
                    <w:textAlignment w:val="auto"/>
                    <w:rPr>
                      <w:rFonts w:hint="default" w:ascii="Times New Roman" w:hAnsi="Times New Roman" w:cs="Times New Roman"/>
                      <w:color w:val="auto"/>
                      <w:szCs w:val="21"/>
                    </w:rPr>
                  </w:pPr>
                </w:p>
              </w:tc>
              <w:tc>
                <w:tcPr>
                  <w:tcW w:w="596" w:type="pct"/>
                  <w:vMerge w:val="restart"/>
                  <w:tcBorders>
                    <w:tl2br w:val="nil"/>
                    <w:tr2bl w:val="nil"/>
                  </w:tcBorders>
                  <w:noWrap w:val="0"/>
                  <w:vAlign w:val="center"/>
                </w:tcPr>
                <w:p w14:paraId="047B82EF">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19"/>
                      <w:lang w:bidi="ar"/>
                    </w:rPr>
                    <w:t>晕车贴</w:t>
                  </w:r>
                </w:p>
              </w:tc>
              <w:tc>
                <w:tcPr>
                  <w:tcW w:w="549" w:type="pct"/>
                  <w:tcBorders>
                    <w:tl2br w:val="nil"/>
                    <w:tr2bl w:val="nil"/>
                  </w:tcBorders>
                  <w:noWrap w:val="0"/>
                  <w:vAlign w:val="center"/>
                </w:tcPr>
                <w:p w14:paraId="4FE5042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外观</w:t>
                  </w:r>
                </w:p>
              </w:tc>
              <w:tc>
                <w:tcPr>
                  <w:tcW w:w="1261" w:type="pct"/>
                  <w:tcBorders>
                    <w:tl2br w:val="nil"/>
                    <w:tr2bl w:val="nil"/>
                  </w:tcBorders>
                  <w:noWrap w:val="0"/>
                  <w:vAlign w:val="center"/>
                </w:tcPr>
                <w:p w14:paraId="0E2CF88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产品外观胶面应涂布均匀，无缺胶现象</w:t>
                  </w:r>
                </w:p>
              </w:tc>
            </w:tr>
            <w:tr w14:paraId="35D13E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65BA1238">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53BA200C">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4CC8FEA9">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08C4268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261" w:type="pct"/>
                  <w:tcBorders>
                    <w:tl2br w:val="nil"/>
                    <w:tr2bl w:val="nil"/>
                  </w:tcBorders>
                  <w:noWrap w:val="0"/>
                  <w:vAlign w:val="center"/>
                </w:tcPr>
                <w:p w14:paraId="56E425C2">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4.0～8.5</w:t>
                  </w:r>
                </w:p>
              </w:tc>
            </w:tr>
            <w:tr w14:paraId="1E93A5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5BB7BF4C">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00E51AE9">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2766CC55">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58005AE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粘着力</w:t>
                  </w:r>
                </w:p>
              </w:tc>
              <w:tc>
                <w:tcPr>
                  <w:tcW w:w="1261" w:type="pct"/>
                  <w:tcBorders>
                    <w:tl2br w:val="nil"/>
                    <w:tr2bl w:val="nil"/>
                  </w:tcBorders>
                  <w:noWrap w:val="0"/>
                  <w:vAlign w:val="center"/>
                </w:tcPr>
                <w:p w14:paraId="2535DA1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粘住1号钢球应能停留5秒</w:t>
                  </w:r>
                </w:p>
              </w:tc>
            </w:tr>
            <w:tr w14:paraId="543D2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40DDC1DF">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112EC910">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1BC49C64">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24BC54D6">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剥离强度</w:t>
                  </w:r>
                </w:p>
              </w:tc>
              <w:tc>
                <w:tcPr>
                  <w:tcW w:w="1261" w:type="pct"/>
                  <w:tcBorders>
                    <w:tl2br w:val="nil"/>
                    <w:tr2bl w:val="nil"/>
                  </w:tcBorders>
                  <w:noWrap w:val="0"/>
                  <w:vAlign w:val="center"/>
                </w:tcPr>
                <w:p w14:paraId="07BF15E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应不大于1.47N</w:t>
                  </w:r>
                </w:p>
              </w:tc>
            </w:tr>
            <w:tr w14:paraId="0D7EC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503F742A">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0606519C">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61C75B46">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5746236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耐热性</w:t>
                  </w:r>
                </w:p>
              </w:tc>
              <w:tc>
                <w:tcPr>
                  <w:tcW w:w="1261" w:type="pct"/>
                  <w:tcBorders>
                    <w:tl2br w:val="nil"/>
                    <w:tr2bl w:val="nil"/>
                  </w:tcBorders>
                  <w:noWrap w:val="0"/>
                  <w:vAlign w:val="center"/>
                </w:tcPr>
                <w:p w14:paraId="4995368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在40℃±2℃条件下保持30min，凝胶不流失</w:t>
                  </w:r>
                </w:p>
              </w:tc>
            </w:tr>
            <w:tr w14:paraId="1DBF5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62759715">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5B01476D">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74CD00DB">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546D427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耐寒性</w:t>
                  </w:r>
                </w:p>
              </w:tc>
              <w:tc>
                <w:tcPr>
                  <w:tcW w:w="1261" w:type="pct"/>
                  <w:tcBorders>
                    <w:tl2br w:val="nil"/>
                    <w:tr2bl w:val="nil"/>
                  </w:tcBorders>
                  <w:noWrap w:val="0"/>
                  <w:vAlign w:val="center"/>
                </w:tcPr>
                <w:p w14:paraId="73F567D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在0℃±1℃条件下保持30min，凝胶不冻结</w:t>
                  </w:r>
                </w:p>
              </w:tc>
            </w:tr>
            <w:tr w14:paraId="43550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03BB3FB4">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051BF516">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0CA818F7">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729DEE8E">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残留物</w:t>
                  </w:r>
                </w:p>
              </w:tc>
              <w:tc>
                <w:tcPr>
                  <w:tcW w:w="1261" w:type="pct"/>
                  <w:tcBorders>
                    <w:tl2br w:val="nil"/>
                    <w:tr2bl w:val="nil"/>
                  </w:tcBorders>
                  <w:noWrap w:val="0"/>
                  <w:vAlign w:val="center"/>
                </w:tcPr>
                <w:p w14:paraId="0054AE0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产品从塑料板上揭下时，不应有明显残留胶体物质</w:t>
                  </w:r>
                </w:p>
              </w:tc>
            </w:tr>
            <w:tr w14:paraId="44D22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2CBF0A0A">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65D41BDE">
                  <w:pPr>
                    <w:snapToGrid w:val="0"/>
                    <w:spacing w:line="240" w:lineRule="auto"/>
                    <w:jc w:val="center"/>
                    <w:textAlignment w:val="auto"/>
                    <w:rPr>
                      <w:rFonts w:hint="default" w:ascii="Times New Roman" w:hAnsi="Times New Roman" w:cs="Times New Roman"/>
                      <w:color w:val="auto"/>
                      <w:szCs w:val="21"/>
                    </w:rPr>
                  </w:pPr>
                </w:p>
              </w:tc>
              <w:tc>
                <w:tcPr>
                  <w:tcW w:w="596" w:type="pct"/>
                  <w:vMerge w:val="restart"/>
                  <w:tcBorders>
                    <w:tl2br w:val="nil"/>
                    <w:tr2bl w:val="nil"/>
                  </w:tcBorders>
                  <w:noWrap w:val="0"/>
                  <w:vAlign w:val="center"/>
                </w:tcPr>
                <w:p w14:paraId="27EA2B76">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19"/>
                      <w:lang w:bidi="ar"/>
                    </w:rPr>
                    <w:t>三伏贴</w:t>
                  </w:r>
                </w:p>
              </w:tc>
              <w:tc>
                <w:tcPr>
                  <w:tcW w:w="549" w:type="pct"/>
                  <w:tcBorders>
                    <w:tl2br w:val="nil"/>
                    <w:tr2bl w:val="nil"/>
                  </w:tcBorders>
                  <w:noWrap w:val="0"/>
                  <w:vAlign w:val="center"/>
                </w:tcPr>
                <w:p w14:paraId="187E572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感官</w:t>
                  </w:r>
                </w:p>
              </w:tc>
              <w:tc>
                <w:tcPr>
                  <w:tcW w:w="1261" w:type="pct"/>
                  <w:tcBorders>
                    <w:tl2br w:val="nil"/>
                    <w:tr2bl w:val="nil"/>
                  </w:tcBorders>
                  <w:noWrap w:val="0"/>
                  <w:vAlign w:val="center"/>
                </w:tcPr>
                <w:p w14:paraId="27D1343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形态、色泽、气味、杂质应满足规定要求</w:t>
                  </w:r>
                </w:p>
              </w:tc>
            </w:tr>
            <w:tr w14:paraId="08B0BA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0C53935E">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7F9C4DBF">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34178EE9">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0B93CB0A">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规格型号</w:t>
                  </w:r>
                </w:p>
              </w:tc>
              <w:tc>
                <w:tcPr>
                  <w:tcW w:w="1261" w:type="pct"/>
                  <w:tcBorders>
                    <w:tl2br w:val="nil"/>
                    <w:tr2bl w:val="nil"/>
                  </w:tcBorders>
                  <w:noWrap w:val="0"/>
                  <w:vAlign w:val="center"/>
                </w:tcPr>
                <w:p w14:paraId="5014AD82">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腰椎型，颈椎型，膝盖型，其他规格型号可根据产品结构要求定制</w:t>
                  </w:r>
                </w:p>
              </w:tc>
            </w:tr>
            <w:tr w14:paraId="1B3B3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79733F49">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62A52566">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5B5AA4B3">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5EE36DA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净含量及允许短缺量</w:t>
                  </w:r>
                </w:p>
              </w:tc>
              <w:tc>
                <w:tcPr>
                  <w:tcW w:w="1261" w:type="pct"/>
                  <w:tcBorders>
                    <w:tl2br w:val="nil"/>
                    <w:tr2bl w:val="nil"/>
                  </w:tcBorders>
                  <w:noWrap w:val="0"/>
                  <w:vAlign w:val="center"/>
                </w:tcPr>
                <w:p w14:paraId="0AC43270">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应符合《定量包装商品计量监督管理办法》的相关规定</w:t>
                  </w:r>
                </w:p>
              </w:tc>
            </w:tr>
            <w:tr w14:paraId="24E02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71FF0DA2">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61ADB1D7">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42CA2B87">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23E6120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理化指标</w:t>
                  </w:r>
                </w:p>
              </w:tc>
              <w:tc>
                <w:tcPr>
                  <w:tcW w:w="1261" w:type="pct"/>
                  <w:tcBorders>
                    <w:tl2br w:val="nil"/>
                    <w:tr2bl w:val="nil"/>
                  </w:tcBorders>
                  <w:noWrap w:val="0"/>
                  <w:vAlign w:val="center"/>
                </w:tcPr>
                <w:p w14:paraId="6FF58684">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应符合企标表2的要求</w:t>
                  </w:r>
                </w:p>
              </w:tc>
            </w:tr>
            <w:tr w14:paraId="650C6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2EC0B083">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7A66D114">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456325C6">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46F80C4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微生物指标</w:t>
                  </w:r>
                </w:p>
              </w:tc>
              <w:tc>
                <w:tcPr>
                  <w:tcW w:w="1261" w:type="pct"/>
                  <w:tcBorders>
                    <w:tl2br w:val="nil"/>
                    <w:tr2bl w:val="nil"/>
                  </w:tcBorders>
                  <w:noWrap w:val="0"/>
                  <w:vAlign w:val="center"/>
                </w:tcPr>
                <w:p w14:paraId="062E9F1D">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应符合企标表3的规定</w:t>
                  </w:r>
                </w:p>
              </w:tc>
            </w:tr>
            <w:tr w14:paraId="2DAAC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08E3D241">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788307BB">
                  <w:pPr>
                    <w:snapToGrid w:val="0"/>
                    <w:spacing w:line="240" w:lineRule="auto"/>
                    <w:jc w:val="center"/>
                    <w:textAlignment w:val="auto"/>
                    <w:rPr>
                      <w:rFonts w:hint="default" w:ascii="Times New Roman" w:hAnsi="Times New Roman" w:cs="Times New Roman"/>
                      <w:color w:val="auto"/>
                      <w:szCs w:val="21"/>
                    </w:rPr>
                  </w:pPr>
                </w:p>
              </w:tc>
              <w:tc>
                <w:tcPr>
                  <w:tcW w:w="1529" w:type="dxa"/>
                  <w:vMerge w:val="restart"/>
                  <w:tcBorders>
                    <w:tl2br w:val="nil"/>
                    <w:tr2bl w:val="nil"/>
                  </w:tcBorders>
                  <w:noWrap w:val="0"/>
                  <w:vAlign w:val="center"/>
                </w:tcPr>
                <w:p w14:paraId="60EBE7D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lang w:val="en-US" w:eastAsia="zh-CN"/>
                    </w:rPr>
                    <w:t>冰凉</w:t>
                  </w:r>
                  <w:r>
                    <w:rPr>
                      <w:rFonts w:hint="default" w:ascii="Times New Roman" w:hAnsi="Times New Roman" w:cs="Times New Roman"/>
                      <w:color w:val="auto"/>
                    </w:rPr>
                    <w:t>贴</w:t>
                  </w:r>
                </w:p>
              </w:tc>
              <w:tc>
                <w:tcPr>
                  <w:tcW w:w="1409" w:type="dxa"/>
                  <w:tcBorders>
                    <w:tl2br w:val="nil"/>
                    <w:tr2bl w:val="nil"/>
                  </w:tcBorders>
                  <w:noWrap w:val="0"/>
                  <w:vAlign w:val="center"/>
                </w:tcPr>
                <w:p w14:paraId="33A64BB0">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规格尺寸</w:t>
                  </w:r>
                </w:p>
              </w:tc>
              <w:tc>
                <w:tcPr>
                  <w:tcW w:w="3235" w:type="dxa"/>
                  <w:tcBorders>
                    <w:tl2br w:val="nil"/>
                    <w:tr2bl w:val="nil"/>
                  </w:tcBorders>
                  <w:noWrap w:val="0"/>
                  <w:vAlign w:val="center"/>
                </w:tcPr>
                <w:p w14:paraId="5103E5D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误差不超过5%</w:t>
                  </w:r>
                </w:p>
              </w:tc>
            </w:tr>
            <w:tr w14:paraId="22250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51514290">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041B9D95">
                  <w:pPr>
                    <w:snapToGrid w:val="0"/>
                    <w:spacing w:line="240" w:lineRule="auto"/>
                    <w:jc w:val="center"/>
                    <w:textAlignment w:val="auto"/>
                    <w:rPr>
                      <w:rFonts w:hint="default" w:ascii="Times New Roman" w:hAnsi="Times New Roman" w:cs="Times New Roman"/>
                      <w:color w:val="auto"/>
                      <w:szCs w:val="21"/>
                    </w:rPr>
                  </w:pPr>
                </w:p>
              </w:tc>
              <w:tc>
                <w:tcPr>
                  <w:tcW w:w="1529" w:type="dxa"/>
                  <w:vMerge w:val="continue"/>
                  <w:tcBorders>
                    <w:tl2br w:val="nil"/>
                    <w:tr2bl w:val="nil"/>
                  </w:tcBorders>
                  <w:noWrap w:val="0"/>
                  <w:vAlign w:val="center"/>
                </w:tcPr>
                <w:p w14:paraId="134B15B7">
                  <w:pPr>
                    <w:snapToGrid w:val="0"/>
                    <w:spacing w:line="240" w:lineRule="auto"/>
                    <w:jc w:val="center"/>
                    <w:textAlignment w:val="auto"/>
                    <w:rPr>
                      <w:rFonts w:hint="default" w:ascii="Times New Roman" w:hAnsi="Times New Roman" w:cs="Times New Roman"/>
                      <w:color w:val="auto"/>
                      <w:szCs w:val="21"/>
                    </w:rPr>
                  </w:pPr>
                </w:p>
              </w:tc>
              <w:tc>
                <w:tcPr>
                  <w:tcW w:w="1409" w:type="dxa"/>
                  <w:tcBorders>
                    <w:tl2br w:val="nil"/>
                    <w:tr2bl w:val="nil"/>
                  </w:tcBorders>
                  <w:noWrap w:val="0"/>
                  <w:vAlign w:val="center"/>
                </w:tcPr>
                <w:p w14:paraId="3D08AFC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3235" w:type="dxa"/>
                  <w:tcBorders>
                    <w:tl2br w:val="nil"/>
                    <w:tr2bl w:val="nil"/>
                  </w:tcBorders>
                  <w:noWrap w:val="0"/>
                  <w:vAlign w:val="center"/>
                </w:tcPr>
                <w:p w14:paraId="0A67FF62">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4-8.5</w:t>
                  </w:r>
                </w:p>
              </w:tc>
            </w:tr>
            <w:tr w14:paraId="55BC4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7567C02E">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03CA2884">
                  <w:pPr>
                    <w:snapToGrid w:val="0"/>
                    <w:spacing w:line="240" w:lineRule="auto"/>
                    <w:jc w:val="center"/>
                    <w:textAlignment w:val="auto"/>
                    <w:rPr>
                      <w:rFonts w:hint="default" w:ascii="Times New Roman" w:hAnsi="Times New Roman" w:cs="Times New Roman"/>
                      <w:color w:val="auto"/>
                      <w:szCs w:val="21"/>
                    </w:rPr>
                  </w:pPr>
                </w:p>
              </w:tc>
              <w:tc>
                <w:tcPr>
                  <w:tcW w:w="1529" w:type="dxa"/>
                  <w:vMerge w:val="continue"/>
                  <w:tcBorders>
                    <w:tl2br w:val="nil"/>
                    <w:tr2bl w:val="nil"/>
                  </w:tcBorders>
                  <w:noWrap w:val="0"/>
                  <w:vAlign w:val="center"/>
                </w:tcPr>
                <w:p w14:paraId="164F163E">
                  <w:pPr>
                    <w:snapToGrid w:val="0"/>
                    <w:spacing w:line="240" w:lineRule="auto"/>
                    <w:jc w:val="center"/>
                    <w:textAlignment w:val="auto"/>
                    <w:rPr>
                      <w:rFonts w:hint="default" w:ascii="Times New Roman" w:hAnsi="Times New Roman" w:cs="Times New Roman"/>
                      <w:color w:val="auto"/>
                      <w:szCs w:val="21"/>
                    </w:rPr>
                  </w:pPr>
                </w:p>
              </w:tc>
              <w:tc>
                <w:tcPr>
                  <w:tcW w:w="1409" w:type="dxa"/>
                  <w:tcBorders>
                    <w:tl2br w:val="nil"/>
                    <w:tr2bl w:val="nil"/>
                  </w:tcBorders>
                  <w:noWrap w:val="0"/>
                  <w:vAlign w:val="center"/>
                </w:tcPr>
                <w:p w14:paraId="235827F7">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黏着力</w:t>
                  </w:r>
                </w:p>
              </w:tc>
              <w:tc>
                <w:tcPr>
                  <w:tcW w:w="3235" w:type="dxa"/>
                  <w:tcBorders>
                    <w:tl2br w:val="nil"/>
                    <w:tr2bl w:val="nil"/>
                  </w:tcBorders>
                  <w:noWrap w:val="0"/>
                  <w:vAlign w:val="center"/>
                </w:tcPr>
                <w:p w14:paraId="0F64057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粘住1号钢球应能停留3秒</w:t>
                  </w:r>
                </w:p>
              </w:tc>
            </w:tr>
            <w:tr w14:paraId="3AB71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5F78AA86">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328EC203">
                  <w:pPr>
                    <w:snapToGrid w:val="0"/>
                    <w:spacing w:line="240" w:lineRule="auto"/>
                    <w:jc w:val="center"/>
                    <w:textAlignment w:val="auto"/>
                    <w:rPr>
                      <w:rFonts w:hint="default" w:ascii="Times New Roman" w:hAnsi="Times New Roman" w:cs="Times New Roman"/>
                      <w:color w:val="auto"/>
                      <w:szCs w:val="21"/>
                    </w:rPr>
                  </w:pPr>
                </w:p>
              </w:tc>
              <w:tc>
                <w:tcPr>
                  <w:tcW w:w="1529" w:type="dxa"/>
                  <w:vMerge w:val="continue"/>
                  <w:tcBorders>
                    <w:tl2br w:val="nil"/>
                    <w:tr2bl w:val="nil"/>
                  </w:tcBorders>
                  <w:noWrap w:val="0"/>
                  <w:vAlign w:val="center"/>
                </w:tcPr>
                <w:p w14:paraId="52F690FD">
                  <w:pPr>
                    <w:snapToGrid w:val="0"/>
                    <w:spacing w:line="240" w:lineRule="auto"/>
                    <w:jc w:val="center"/>
                    <w:textAlignment w:val="auto"/>
                    <w:rPr>
                      <w:rFonts w:hint="default" w:ascii="Times New Roman" w:hAnsi="Times New Roman" w:cs="Times New Roman"/>
                      <w:color w:val="auto"/>
                      <w:szCs w:val="21"/>
                    </w:rPr>
                  </w:pPr>
                </w:p>
              </w:tc>
              <w:tc>
                <w:tcPr>
                  <w:tcW w:w="1409" w:type="dxa"/>
                  <w:tcBorders>
                    <w:tl2br w:val="nil"/>
                    <w:tr2bl w:val="nil"/>
                  </w:tcBorders>
                  <w:noWrap w:val="0"/>
                  <w:vAlign w:val="center"/>
                </w:tcPr>
                <w:p w14:paraId="0A3F9781">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剥离强度</w:t>
                  </w:r>
                </w:p>
              </w:tc>
              <w:tc>
                <w:tcPr>
                  <w:tcW w:w="3235" w:type="dxa"/>
                  <w:tcBorders>
                    <w:tl2br w:val="nil"/>
                    <w:tr2bl w:val="nil"/>
                  </w:tcBorders>
                  <w:noWrap w:val="0"/>
                  <w:vAlign w:val="center"/>
                </w:tcPr>
                <w:p w14:paraId="44A9D202">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剥离强度应不大于1.47N</w:t>
                  </w:r>
                </w:p>
              </w:tc>
            </w:tr>
            <w:tr w14:paraId="36343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020C8573">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22EEDC34">
                  <w:pPr>
                    <w:snapToGrid w:val="0"/>
                    <w:spacing w:line="240" w:lineRule="auto"/>
                    <w:jc w:val="center"/>
                    <w:textAlignment w:val="auto"/>
                    <w:rPr>
                      <w:rFonts w:hint="default" w:ascii="Times New Roman" w:hAnsi="Times New Roman" w:cs="Times New Roman"/>
                      <w:color w:val="auto"/>
                      <w:szCs w:val="21"/>
                    </w:rPr>
                  </w:pPr>
                </w:p>
              </w:tc>
              <w:tc>
                <w:tcPr>
                  <w:tcW w:w="1529" w:type="dxa"/>
                  <w:vMerge w:val="continue"/>
                  <w:tcBorders>
                    <w:tl2br w:val="nil"/>
                    <w:tr2bl w:val="nil"/>
                  </w:tcBorders>
                  <w:noWrap w:val="0"/>
                  <w:vAlign w:val="center"/>
                </w:tcPr>
                <w:p w14:paraId="1A67FDAE">
                  <w:pPr>
                    <w:snapToGrid w:val="0"/>
                    <w:spacing w:line="240" w:lineRule="auto"/>
                    <w:jc w:val="center"/>
                    <w:textAlignment w:val="auto"/>
                    <w:rPr>
                      <w:rFonts w:hint="default" w:ascii="Times New Roman" w:hAnsi="Times New Roman" w:cs="Times New Roman"/>
                      <w:color w:val="auto"/>
                      <w:szCs w:val="21"/>
                    </w:rPr>
                  </w:pPr>
                </w:p>
              </w:tc>
              <w:tc>
                <w:tcPr>
                  <w:tcW w:w="1409" w:type="dxa"/>
                  <w:tcBorders>
                    <w:tl2br w:val="nil"/>
                    <w:tr2bl w:val="nil"/>
                  </w:tcBorders>
                  <w:noWrap w:val="0"/>
                  <w:vAlign w:val="center"/>
                </w:tcPr>
                <w:p w14:paraId="5A7468B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耐热性</w:t>
                  </w:r>
                </w:p>
              </w:tc>
              <w:tc>
                <w:tcPr>
                  <w:tcW w:w="3235" w:type="dxa"/>
                  <w:tcBorders>
                    <w:tl2br w:val="nil"/>
                    <w:tr2bl w:val="nil"/>
                  </w:tcBorders>
                  <w:noWrap w:val="0"/>
                  <w:vAlign w:val="center"/>
                </w:tcPr>
                <w:p w14:paraId="55C07ACE">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在40℃±2℃时，凝胶不流淌</w:t>
                  </w:r>
                </w:p>
              </w:tc>
            </w:tr>
            <w:tr w14:paraId="544DF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1542F4D8">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4EAECAA9">
                  <w:pPr>
                    <w:snapToGrid w:val="0"/>
                    <w:spacing w:line="240" w:lineRule="auto"/>
                    <w:jc w:val="center"/>
                    <w:textAlignment w:val="auto"/>
                    <w:rPr>
                      <w:rFonts w:hint="default" w:ascii="Times New Roman" w:hAnsi="Times New Roman" w:cs="Times New Roman"/>
                      <w:color w:val="auto"/>
                      <w:szCs w:val="21"/>
                    </w:rPr>
                  </w:pPr>
                </w:p>
              </w:tc>
              <w:tc>
                <w:tcPr>
                  <w:tcW w:w="1529" w:type="dxa"/>
                  <w:vMerge w:val="continue"/>
                  <w:tcBorders>
                    <w:tl2br w:val="nil"/>
                    <w:tr2bl w:val="nil"/>
                  </w:tcBorders>
                  <w:noWrap w:val="0"/>
                  <w:vAlign w:val="center"/>
                </w:tcPr>
                <w:p w14:paraId="3143D91D">
                  <w:pPr>
                    <w:snapToGrid w:val="0"/>
                    <w:spacing w:line="240" w:lineRule="auto"/>
                    <w:jc w:val="center"/>
                    <w:textAlignment w:val="auto"/>
                    <w:rPr>
                      <w:rFonts w:hint="default" w:ascii="Times New Roman" w:hAnsi="Times New Roman" w:cs="Times New Roman"/>
                      <w:color w:val="auto"/>
                      <w:szCs w:val="21"/>
                    </w:rPr>
                  </w:pPr>
                </w:p>
              </w:tc>
              <w:tc>
                <w:tcPr>
                  <w:tcW w:w="1409" w:type="dxa"/>
                  <w:tcBorders>
                    <w:tl2br w:val="nil"/>
                    <w:tr2bl w:val="nil"/>
                  </w:tcBorders>
                  <w:noWrap w:val="0"/>
                  <w:vAlign w:val="center"/>
                </w:tcPr>
                <w:p w14:paraId="0519A49F">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耐寒性</w:t>
                  </w:r>
                </w:p>
              </w:tc>
              <w:tc>
                <w:tcPr>
                  <w:tcW w:w="3235" w:type="dxa"/>
                  <w:tcBorders>
                    <w:tl2br w:val="nil"/>
                    <w:tr2bl w:val="nil"/>
                  </w:tcBorders>
                  <w:noWrap w:val="0"/>
                  <w:vAlign w:val="center"/>
                </w:tcPr>
                <w:p w14:paraId="0EE77F6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在0℃±1℃时，凝胶不结冰</w:t>
                  </w:r>
                </w:p>
              </w:tc>
            </w:tr>
            <w:tr w14:paraId="2F122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2F244483">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3F45B929">
                  <w:pPr>
                    <w:snapToGrid w:val="0"/>
                    <w:spacing w:line="240" w:lineRule="auto"/>
                    <w:jc w:val="center"/>
                    <w:textAlignment w:val="auto"/>
                    <w:rPr>
                      <w:rFonts w:hint="default" w:ascii="Times New Roman" w:hAnsi="Times New Roman" w:cs="Times New Roman"/>
                      <w:color w:val="auto"/>
                      <w:szCs w:val="21"/>
                    </w:rPr>
                  </w:pPr>
                </w:p>
              </w:tc>
              <w:tc>
                <w:tcPr>
                  <w:tcW w:w="596" w:type="pct"/>
                  <w:vMerge w:val="restart"/>
                  <w:tcBorders>
                    <w:tl2br w:val="nil"/>
                    <w:tr2bl w:val="nil"/>
                  </w:tcBorders>
                  <w:noWrap w:val="0"/>
                  <w:vAlign w:val="center"/>
                </w:tcPr>
                <w:p w14:paraId="542B74A4">
                  <w:pPr>
                    <w:widowControl/>
                    <w:jc w:val="center"/>
                    <w:rPr>
                      <w:rFonts w:hint="default" w:ascii="Times New Roman" w:hAnsi="Times New Roman" w:cs="Times New Roman"/>
                      <w:color w:val="auto"/>
                      <w:szCs w:val="21"/>
                    </w:rPr>
                  </w:pPr>
                  <w:r>
                    <w:rPr>
                      <w:rFonts w:hint="default" w:ascii="Times New Roman" w:hAnsi="Times New Roman" w:cs="Times New Roman"/>
                      <w:color w:val="auto"/>
                      <w:szCs w:val="19"/>
                      <w:lang w:bidi="ar"/>
                    </w:rPr>
                    <w:t>通气鼻贴</w:t>
                  </w:r>
                </w:p>
              </w:tc>
              <w:tc>
                <w:tcPr>
                  <w:tcW w:w="549" w:type="pct"/>
                  <w:tcBorders>
                    <w:tl2br w:val="nil"/>
                    <w:tr2bl w:val="nil"/>
                  </w:tcBorders>
                  <w:noWrap w:val="0"/>
                  <w:vAlign w:val="center"/>
                </w:tcPr>
                <w:p w14:paraId="0265DD50">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尺寸</w:t>
                  </w:r>
                </w:p>
              </w:tc>
              <w:tc>
                <w:tcPr>
                  <w:tcW w:w="1261" w:type="pct"/>
                  <w:tcBorders>
                    <w:tl2br w:val="nil"/>
                    <w:tr2bl w:val="nil"/>
                  </w:tcBorders>
                  <w:noWrap w:val="0"/>
                  <w:vAlign w:val="center"/>
                </w:tcPr>
                <w:p w14:paraId="1F788C1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允许偏差为±10%</w:t>
                  </w:r>
                </w:p>
              </w:tc>
            </w:tr>
            <w:tr w14:paraId="38366C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308BB094">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4CC17699">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3F6F3B94">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22535903">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持粘性</w:t>
                  </w:r>
                </w:p>
              </w:tc>
              <w:tc>
                <w:tcPr>
                  <w:tcW w:w="1261" w:type="pct"/>
                  <w:tcBorders>
                    <w:tl2br w:val="nil"/>
                    <w:tr2bl w:val="nil"/>
                  </w:tcBorders>
                  <w:noWrap w:val="0"/>
                  <w:vAlign w:val="center"/>
                </w:tcPr>
                <w:p w14:paraId="2DB9C1D9">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在烘箱内试验期间，贴于不锈钢板上粘贴胶布的顶端下滑应不大于2.5mm</w:t>
                  </w:r>
                </w:p>
              </w:tc>
            </w:tr>
            <w:tr w14:paraId="2592C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0329DC75">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5AF9F854">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4A3DB638">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5E76BBA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剥离强度</w:t>
                  </w:r>
                </w:p>
              </w:tc>
              <w:tc>
                <w:tcPr>
                  <w:tcW w:w="1261" w:type="pct"/>
                  <w:tcBorders>
                    <w:tl2br w:val="nil"/>
                    <w:tr2bl w:val="nil"/>
                  </w:tcBorders>
                  <w:noWrap w:val="0"/>
                  <w:vAlign w:val="center"/>
                </w:tcPr>
                <w:p w14:paraId="6D7386BA">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胶带每1cm宽度所需的平均力应不小于1.0N</w:t>
                  </w:r>
                </w:p>
              </w:tc>
            </w:tr>
            <w:tr w14:paraId="5247D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5BF4F72C">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736FB692">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7D052BAF">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5D0BC53C">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剥离残留物</w:t>
                  </w:r>
                </w:p>
              </w:tc>
              <w:tc>
                <w:tcPr>
                  <w:tcW w:w="1261" w:type="pct"/>
                  <w:tcBorders>
                    <w:tl2br w:val="nil"/>
                    <w:tr2bl w:val="nil"/>
                  </w:tcBorders>
                  <w:noWrap w:val="0"/>
                  <w:vAlign w:val="center"/>
                </w:tcPr>
                <w:p w14:paraId="0FE983A0">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鼻贴的背贴纸剥离后，其背贴纸上不应有可见残余胶体</w:t>
                  </w:r>
                </w:p>
              </w:tc>
            </w:tr>
            <w:tr w14:paraId="6880B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67" w:type="pct"/>
                  <w:vMerge w:val="continue"/>
                  <w:tcBorders>
                    <w:tl2br w:val="nil"/>
                    <w:tr2bl w:val="nil"/>
                  </w:tcBorders>
                  <w:noWrap w:val="0"/>
                  <w:vAlign w:val="center"/>
                </w:tcPr>
                <w:p w14:paraId="134D8315">
                  <w:pPr>
                    <w:snapToGrid w:val="0"/>
                    <w:spacing w:line="240" w:lineRule="auto"/>
                    <w:jc w:val="center"/>
                    <w:textAlignment w:val="auto"/>
                    <w:rPr>
                      <w:rFonts w:hint="default" w:ascii="Times New Roman" w:hAnsi="Times New Roman" w:cs="Times New Roman"/>
                      <w:color w:val="auto"/>
                      <w:szCs w:val="21"/>
                    </w:rPr>
                  </w:pPr>
                </w:p>
              </w:tc>
              <w:tc>
                <w:tcPr>
                  <w:tcW w:w="2326" w:type="pct"/>
                  <w:gridSpan w:val="3"/>
                  <w:vMerge w:val="continue"/>
                  <w:tcBorders>
                    <w:tl2br w:val="nil"/>
                    <w:tr2bl w:val="nil"/>
                  </w:tcBorders>
                  <w:noWrap w:val="0"/>
                  <w:vAlign w:val="center"/>
                </w:tcPr>
                <w:p w14:paraId="76581558">
                  <w:pPr>
                    <w:snapToGrid w:val="0"/>
                    <w:spacing w:line="240" w:lineRule="auto"/>
                    <w:jc w:val="center"/>
                    <w:textAlignment w:val="auto"/>
                    <w:rPr>
                      <w:rFonts w:hint="default" w:ascii="Times New Roman" w:hAnsi="Times New Roman" w:cs="Times New Roman"/>
                      <w:color w:val="auto"/>
                      <w:szCs w:val="21"/>
                    </w:rPr>
                  </w:pPr>
                </w:p>
              </w:tc>
              <w:tc>
                <w:tcPr>
                  <w:tcW w:w="596" w:type="pct"/>
                  <w:vMerge w:val="continue"/>
                  <w:tcBorders>
                    <w:tl2br w:val="nil"/>
                    <w:tr2bl w:val="nil"/>
                  </w:tcBorders>
                  <w:noWrap w:val="0"/>
                  <w:vAlign w:val="center"/>
                </w:tcPr>
                <w:p w14:paraId="41171E1B">
                  <w:pPr>
                    <w:snapToGrid w:val="0"/>
                    <w:spacing w:line="240" w:lineRule="auto"/>
                    <w:jc w:val="center"/>
                    <w:textAlignment w:val="auto"/>
                    <w:rPr>
                      <w:rFonts w:hint="default" w:ascii="Times New Roman" w:hAnsi="Times New Roman" w:cs="Times New Roman"/>
                      <w:color w:val="auto"/>
                      <w:szCs w:val="21"/>
                    </w:rPr>
                  </w:pPr>
                </w:p>
              </w:tc>
              <w:tc>
                <w:tcPr>
                  <w:tcW w:w="549" w:type="pct"/>
                  <w:tcBorders>
                    <w:tl2br w:val="nil"/>
                    <w:tr2bl w:val="nil"/>
                  </w:tcBorders>
                  <w:noWrap w:val="0"/>
                  <w:vAlign w:val="center"/>
                </w:tcPr>
                <w:p w14:paraId="6B1CDEB8">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外观</w:t>
                  </w:r>
                </w:p>
              </w:tc>
              <w:tc>
                <w:tcPr>
                  <w:tcW w:w="1261" w:type="pct"/>
                  <w:tcBorders>
                    <w:tl2br w:val="nil"/>
                    <w:tr2bl w:val="nil"/>
                  </w:tcBorders>
                  <w:noWrap w:val="0"/>
                  <w:vAlign w:val="center"/>
                </w:tcPr>
                <w:p w14:paraId="7610BFFB">
                  <w:pPr>
                    <w:snapToGrid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表面应平整、洁净、无破损，表面材料、压力敏感胶粘剂、弹性物、基本材料、背贴纸不得有脱离现象</w:t>
                  </w:r>
                </w:p>
              </w:tc>
            </w:tr>
          </w:tbl>
          <w:p w14:paraId="680A3B88">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五</w:t>
            </w:r>
            <w:r>
              <w:rPr>
                <w:rFonts w:hint="eastAsia" w:ascii="Times New Roman" w:hAnsi="Times New Roman" w:cs="Times New Roman"/>
                <w:b/>
                <w:bCs/>
                <w:color w:val="auto"/>
                <w:sz w:val="24"/>
                <w:szCs w:val="24"/>
                <w:lang w:val="en-US" w:eastAsia="zh-CN"/>
              </w:rPr>
              <w:t>、</w:t>
            </w:r>
            <w:r>
              <w:rPr>
                <w:rFonts w:hint="default" w:ascii="Times New Roman" w:hAnsi="Times New Roman" w:cs="Times New Roman"/>
                <w:b/>
                <w:bCs/>
                <w:color w:val="auto"/>
                <w:sz w:val="24"/>
                <w:szCs w:val="24"/>
              </w:rPr>
              <w:t>原辅材料</w:t>
            </w:r>
            <w:r>
              <w:rPr>
                <w:rFonts w:hint="eastAsia" w:cs="Times New Roman"/>
                <w:b/>
                <w:bCs/>
                <w:color w:val="auto"/>
                <w:sz w:val="24"/>
                <w:szCs w:val="24"/>
                <w:lang w:eastAsia="zh-CN"/>
              </w:rPr>
              <w:t>、</w:t>
            </w:r>
            <w:r>
              <w:rPr>
                <w:rFonts w:hint="eastAsia" w:cs="Times New Roman"/>
                <w:b/>
                <w:bCs/>
                <w:color w:val="auto"/>
                <w:sz w:val="24"/>
                <w:szCs w:val="24"/>
                <w:lang w:val="en-US" w:eastAsia="zh-CN"/>
              </w:rPr>
              <w:t>能源消耗</w:t>
            </w:r>
            <w:r>
              <w:rPr>
                <w:rFonts w:hint="default" w:ascii="Times New Roman" w:hAnsi="Times New Roman" w:cs="Times New Roman"/>
                <w:b/>
                <w:bCs/>
                <w:color w:val="auto"/>
                <w:sz w:val="24"/>
                <w:szCs w:val="24"/>
              </w:rPr>
              <w:t>及理化性质</w:t>
            </w:r>
          </w:p>
          <w:p w14:paraId="6E55DFFD">
            <w:pPr>
              <w:keepNext w:val="0"/>
              <w:keepLines w:val="0"/>
              <w:pageBreakBefore w:val="0"/>
              <w:widowControl w:val="0"/>
              <w:kinsoku/>
              <w:wordWrap/>
              <w:overflowPunct/>
              <w:topLinePunct w:val="0"/>
              <w:autoSpaceDE/>
              <w:autoSpaceDN/>
              <w:bidi w:val="0"/>
              <w:adjustRightInd/>
              <w:snapToGrid/>
              <w:spacing w:before="157" w:beforeLines="50" w:line="240" w:lineRule="auto"/>
              <w:ind w:firstLine="480" w:firstLineChars="200"/>
              <w:jc w:val="both"/>
              <w:textAlignment w:val="auto"/>
              <w:rPr>
                <w:rFonts w:hint="default" w:ascii="Times New Roman" w:hAnsi="Times New Roman" w:cs="Times New Roman"/>
                <w:b/>
                <w:bCs/>
                <w:color w:val="auto"/>
                <w:sz w:val="21"/>
                <w:szCs w:val="21"/>
              </w:rPr>
            </w:pPr>
            <w:r>
              <w:rPr>
                <w:rFonts w:hint="eastAsia"/>
                <w:b w:val="0"/>
                <w:bCs w:val="0"/>
                <w:color w:val="auto"/>
                <w:sz w:val="24"/>
                <w:szCs w:val="24"/>
                <w:lang w:val="en-US" w:eastAsia="zh-CN"/>
              </w:rPr>
              <w:t>本项目变动前后</w:t>
            </w:r>
            <w:r>
              <w:rPr>
                <w:rFonts w:hint="default" w:ascii="Times New Roman" w:hAnsi="Times New Roman" w:cs="Times New Roman"/>
                <w:b w:val="0"/>
                <w:bCs w:val="0"/>
                <w:color w:val="auto"/>
                <w:sz w:val="24"/>
                <w:szCs w:val="24"/>
              </w:rPr>
              <w:t>原辅材料</w:t>
            </w:r>
            <w:r>
              <w:rPr>
                <w:rFonts w:hint="eastAsia" w:ascii="Times New Roman" w:hAnsi="Times New Roman" w:cs="Times New Roman"/>
                <w:b w:val="0"/>
                <w:bCs w:val="0"/>
                <w:color w:val="auto"/>
                <w:sz w:val="24"/>
                <w:szCs w:val="24"/>
                <w:lang w:val="en-US" w:eastAsia="zh-CN"/>
              </w:rPr>
              <w:t>及能源消耗</w:t>
            </w:r>
            <w:r>
              <w:rPr>
                <w:rFonts w:hint="eastAsia"/>
                <w:b w:val="0"/>
                <w:bCs w:val="0"/>
                <w:color w:val="auto"/>
                <w:sz w:val="24"/>
                <w:szCs w:val="24"/>
                <w:lang w:val="en-US" w:eastAsia="zh-CN"/>
              </w:rPr>
              <w:t>见下表。</w:t>
            </w:r>
          </w:p>
          <w:p w14:paraId="50B7D545">
            <w:pPr>
              <w:keepNext w:val="0"/>
              <w:keepLines w:val="0"/>
              <w:pageBreakBefore w:val="0"/>
              <w:widowControl w:val="0"/>
              <w:kinsoku/>
              <w:wordWrap/>
              <w:overflowPunct/>
              <w:topLinePunct w:val="0"/>
              <w:autoSpaceDE/>
              <w:autoSpaceDN/>
              <w:bidi w:val="0"/>
              <w:adjustRightInd/>
              <w:snapToGrid/>
              <w:spacing w:before="157" w:beforeLines="50" w:line="240" w:lineRule="auto"/>
              <w:ind w:firstLine="422" w:firstLineChars="200"/>
              <w:jc w:val="center"/>
              <w:textAlignment w:val="auto"/>
              <w:rPr>
                <w:rFonts w:hint="eastAsia"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表2-</w:t>
            </w:r>
            <w:r>
              <w:rPr>
                <w:rFonts w:hint="eastAsia" w:cs="Times New Roman"/>
                <w:b/>
                <w:bCs/>
                <w:color w:val="auto"/>
                <w:sz w:val="21"/>
                <w:szCs w:val="21"/>
                <w:lang w:val="en-US" w:eastAsia="zh-CN"/>
              </w:rPr>
              <w:t>7</w:t>
            </w:r>
            <w:r>
              <w:rPr>
                <w:rFonts w:hint="default" w:ascii="Times New Roman" w:hAnsi="Times New Roman" w:cs="Times New Roman"/>
                <w:b/>
                <w:bCs/>
                <w:color w:val="auto"/>
                <w:sz w:val="21"/>
                <w:szCs w:val="21"/>
              </w:rPr>
              <w:t xml:space="preserve">  </w:t>
            </w:r>
            <w:r>
              <w:rPr>
                <w:rFonts w:hint="eastAsia" w:cs="Times New Roman"/>
                <w:b/>
                <w:bCs/>
                <w:color w:val="auto"/>
                <w:sz w:val="21"/>
                <w:szCs w:val="21"/>
                <w:lang w:val="en-US" w:eastAsia="zh-CN"/>
              </w:rPr>
              <w:t>变动前后</w:t>
            </w:r>
            <w:r>
              <w:rPr>
                <w:rFonts w:hint="default" w:ascii="Times New Roman" w:hAnsi="Times New Roman" w:cs="Times New Roman"/>
                <w:b/>
                <w:bCs/>
                <w:color w:val="auto"/>
                <w:sz w:val="21"/>
                <w:szCs w:val="21"/>
              </w:rPr>
              <w:t>主要原辅材料</w:t>
            </w:r>
            <w:r>
              <w:rPr>
                <w:rFonts w:hint="eastAsia" w:ascii="Times New Roman" w:hAnsi="Times New Roman" w:cs="Times New Roman"/>
                <w:b/>
                <w:bCs/>
                <w:color w:val="auto"/>
                <w:sz w:val="21"/>
                <w:szCs w:val="21"/>
                <w:lang w:val="en-US" w:eastAsia="zh-CN"/>
              </w:rPr>
              <w:t>及能源消耗</w:t>
            </w:r>
            <w:r>
              <w:rPr>
                <w:rFonts w:hint="default" w:ascii="Times New Roman" w:hAnsi="Times New Roman" w:cs="Times New Roman"/>
                <w:b/>
                <w:bCs/>
                <w:color w:val="auto"/>
                <w:sz w:val="21"/>
                <w:szCs w:val="21"/>
              </w:rPr>
              <w:t>一览表</w:t>
            </w:r>
          </w:p>
          <w:tbl>
            <w:tblPr>
              <w:tblStyle w:val="79"/>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85" w:type="dxa"/>
                <w:bottom w:w="0" w:type="dxa"/>
                <w:right w:w="0" w:type="dxa"/>
              </w:tblCellMar>
            </w:tblPr>
            <w:tblGrid>
              <w:gridCol w:w="534"/>
              <w:gridCol w:w="1418"/>
              <w:gridCol w:w="1158"/>
              <w:gridCol w:w="945"/>
              <w:gridCol w:w="842"/>
              <w:gridCol w:w="1112"/>
              <w:gridCol w:w="1251"/>
              <w:gridCol w:w="1050"/>
              <w:gridCol w:w="1050"/>
              <w:gridCol w:w="1050"/>
              <w:gridCol w:w="1054"/>
              <w:gridCol w:w="1372"/>
            </w:tblGrid>
            <w:tr w14:paraId="252B14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61" w:hRule="atLeast"/>
              </w:trPr>
              <w:tc>
                <w:tcPr>
                  <w:tcW w:w="208" w:type="pct"/>
                  <w:vMerge w:val="restart"/>
                  <w:tcBorders>
                    <w:top w:val="single" w:color="auto" w:sz="12" w:space="0"/>
                  </w:tcBorders>
                  <w:noWrap w:val="0"/>
                  <w:vAlign w:val="center"/>
                </w:tcPr>
                <w:p w14:paraId="445B10AF">
                  <w:pPr>
                    <w:pStyle w:val="67"/>
                    <w:keepNext w:val="0"/>
                    <w:keepLines w:val="0"/>
                    <w:pageBreakBefore w:val="0"/>
                    <w:widowControl w:val="0"/>
                    <w:kinsoku/>
                    <w:wordWrap w:val="0"/>
                    <w:overflowPunct/>
                    <w:topLinePunct w:val="0"/>
                    <w:autoSpaceDE/>
                    <w:autoSpaceDN/>
                    <w:bidi w:val="0"/>
                    <w:adjustRightInd/>
                    <w:snapToGrid/>
                    <w:spacing w:line="240" w:lineRule="auto"/>
                    <w:jc w:val="both"/>
                    <w:textAlignment w:val="center"/>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eastAsia="zh-CN"/>
                    </w:rPr>
                    <w:t>序号</w:t>
                  </w:r>
                </w:p>
              </w:tc>
              <w:tc>
                <w:tcPr>
                  <w:tcW w:w="552" w:type="pct"/>
                  <w:vMerge w:val="restart"/>
                  <w:tcBorders>
                    <w:top w:val="single" w:color="auto" w:sz="12" w:space="0"/>
                  </w:tcBorders>
                  <w:noWrap w:val="0"/>
                  <w:vAlign w:val="center"/>
                </w:tcPr>
                <w:p w14:paraId="7285C4EF">
                  <w:pPr>
                    <w:pStyle w:val="67"/>
                    <w:keepNext w:val="0"/>
                    <w:keepLines w:val="0"/>
                    <w:pageBreakBefore w:val="0"/>
                    <w:widowControl w:val="0"/>
                    <w:kinsoku/>
                    <w:wordWrap w:val="0"/>
                    <w:overflowPunct/>
                    <w:topLinePunct w:val="0"/>
                    <w:autoSpaceDE/>
                    <w:autoSpaceDN/>
                    <w:bidi w:val="0"/>
                    <w:adjustRightInd/>
                    <w:snapToGrid/>
                    <w:spacing w:line="240" w:lineRule="auto"/>
                    <w:textAlignment w:val="center"/>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val="en-US" w:eastAsia="zh-CN"/>
                    </w:rPr>
                    <w:t>原辅料名称</w:t>
                  </w:r>
                </w:p>
              </w:tc>
              <w:tc>
                <w:tcPr>
                  <w:tcW w:w="451" w:type="pct"/>
                  <w:vMerge w:val="restart"/>
                  <w:tcBorders>
                    <w:top w:val="single" w:color="auto" w:sz="12" w:space="0"/>
                  </w:tcBorders>
                  <w:noWrap w:val="0"/>
                  <w:vAlign w:val="center"/>
                </w:tcPr>
                <w:p w14:paraId="3436005E">
                  <w:pPr>
                    <w:pStyle w:val="67"/>
                    <w:keepNext w:val="0"/>
                    <w:keepLines w:val="0"/>
                    <w:pageBreakBefore w:val="0"/>
                    <w:widowControl w:val="0"/>
                    <w:kinsoku/>
                    <w:wordWrap w:val="0"/>
                    <w:overflowPunct/>
                    <w:topLinePunct w:val="0"/>
                    <w:autoSpaceDE/>
                    <w:autoSpaceDN/>
                    <w:bidi w:val="0"/>
                    <w:adjustRightInd/>
                    <w:snapToGrid/>
                    <w:spacing w:line="240" w:lineRule="auto"/>
                    <w:textAlignment w:val="center"/>
                    <w:rPr>
                      <w:rFonts w:hint="default" w:ascii="Times New Roman" w:hAnsi="Times New Roman" w:cs="Times New Roman"/>
                      <w:b/>
                      <w:bCs/>
                      <w:color w:val="auto"/>
                      <w:lang w:val="en-US" w:eastAsia="zh-CN"/>
                    </w:rPr>
                  </w:pPr>
                  <w:r>
                    <w:rPr>
                      <w:rFonts w:hint="eastAsia" w:cs="Times New Roman"/>
                      <w:b/>
                      <w:bCs/>
                      <w:color w:val="auto"/>
                      <w:lang w:val="en-US" w:eastAsia="zh-CN"/>
                    </w:rPr>
                    <w:t>产品</w:t>
                  </w:r>
                </w:p>
              </w:tc>
              <w:tc>
                <w:tcPr>
                  <w:tcW w:w="696" w:type="pct"/>
                  <w:gridSpan w:val="2"/>
                  <w:tcBorders>
                    <w:top w:val="single" w:color="auto" w:sz="12" w:space="0"/>
                  </w:tcBorders>
                  <w:noWrap w:val="0"/>
                  <w:vAlign w:val="center"/>
                </w:tcPr>
                <w:p w14:paraId="5008EAFF">
                  <w:pPr>
                    <w:pStyle w:val="67"/>
                    <w:keepNext w:val="0"/>
                    <w:keepLines w:val="0"/>
                    <w:pageBreakBefore w:val="0"/>
                    <w:widowControl w:val="0"/>
                    <w:kinsoku/>
                    <w:wordWrap w:val="0"/>
                    <w:overflowPunct/>
                    <w:topLinePunct w:val="0"/>
                    <w:autoSpaceDE/>
                    <w:autoSpaceDN/>
                    <w:bidi w:val="0"/>
                    <w:adjustRightInd/>
                    <w:snapToGrid/>
                    <w:spacing w:line="240" w:lineRule="auto"/>
                    <w:textAlignment w:val="center"/>
                    <w:rPr>
                      <w:rFonts w:hint="eastAsia" w:cs="Times New Roman"/>
                      <w:b/>
                      <w:bCs/>
                      <w:color w:val="auto"/>
                      <w:lang w:val="en-US" w:eastAsia="zh-CN"/>
                    </w:rPr>
                  </w:pPr>
                  <w:r>
                    <w:rPr>
                      <w:rFonts w:hint="eastAsia" w:cs="Times New Roman"/>
                      <w:b/>
                      <w:bCs/>
                      <w:color w:val="auto"/>
                      <w:lang w:val="en-US" w:eastAsia="zh-CN"/>
                    </w:rPr>
                    <w:t>变动前</w:t>
                  </w:r>
                </w:p>
              </w:tc>
              <w:tc>
                <w:tcPr>
                  <w:tcW w:w="920" w:type="pct"/>
                  <w:gridSpan w:val="2"/>
                  <w:tcBorders>
                    <w:top w:val="single" w:color="auto" w:sz="12" w:space="0"/>
                  </w:tcBorders>
                  <w:noWrap w:val="0"/>
                  <w:vAlign w:val="center"/>
                </w:tcPr>
                <w:p w14:paraId="4AC6AA13">
                  <w:pPr>
                    <w:pStyle w:val="67"/>
                    <w:keepNext w:val="0"/>
                    <w:keepLines w:val="0"/>
                    <w:pageBreakBefore w:val="0"/>
                    <w:widowControl w:val="0"/>
                    <w:kinsoku/>
                    <w:wordWrap w:val="0"/>
                    <w:overflowPunct/>
                    <w:topLinePunct w:val="0"/>
                    <w:autoSpaceDE/>
                    <w:autoSpaceDN/>
                    <w:bidi w:val="0"/>
                    <w:adjustRightInd/>
                    <w:snapToGrid/>
                    <w:spacing w:line="240" w:lineRule="auto"/>
                    <w:textAlignment w:val="center"/>
                    <w:rPr>
                      <w:rFonts w:hint="eastAsia" w:cs="Times New Roman"/>
                      <w:b/>
                      <w:bCs/>
                      <w:color w:val="auto"/>
                      <w:lang w:val="en-US" w:eastAsia="zh-CN"/>
                    </w:rPr>
                  </w:pPr>
                  <w:r>
                    <w:rPr>
                      <w:rFonts w:hint="eastAsia" w:cs="Times New Roman"/>
                      <w:b/>
                      <w:bCs/>
                      <w:color w:val="auto"/>
                      <w:lang w:val="en-US" w:eastAsia="zh-CN"/>
                    </w:rPr>
                    <w:t>变动后</w:t>
                  </w:r>
                </w:p>
              </w:tc>
              <w:tc>
                <w:tcPr>
                  <w:tcW w:w="409" w:type="pct"/>
                  <w:vMerge w:val="restart"/>
                  <w:tcBorders>
                    <w:top w:val="single" w:color="auto" w:sz="12" w:space="0"/>
                  </w:tcBorders>
                  <w:noWrap w:val="0"/>
                  <w:vAlign w:val="center"/>
                </w:tcPr>
                <w:p w14:paraId="51FB09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lang w:val="en-US" w:eastAsia="zh-CN"/>
                    </w:rPr>
                  </w:pPr>
                  <w:r>
                    <w:rPr>
                      <w:rFonts w:hint="eastAsia" w:ascii="Times New Roman" w:hAnsi="Times New Roman" w:eastAsia="宋体" w:cs="Times New Roman"/>
                      <w:b/>
                      <w:bCs/>
                      <w:color w:val="auto"/>
                      <w:sz w:val="21"/>
                      <w:szCs w:val="21"/>
                      <w:vertAlign w:val="baseline"/>
                      <w:lang w:val="en-US" w:eastAsia="zh-CN"/>
                    </w:rPr>
                    <w:t>最大储存量（t</w:t>
                  </w:r>
                  <w:r>
                    <w:rPr>
                      <w:rFonts w:hint="eastAsia" w:cs="Times New Roman"/>
                      <w:b/>
                      <w:bCs/>
                      <w:color w:val="auto"/>
                      <w:sz w:val="21"/>
                      <w:szCs w:val="21"/>
                      <w:vertAlign w:val="baseline"/>
                      <w:lang w:val="en-US" w:eastAsia="zh-CN"/>
                    </w:rPr>
                    <w:t>）</w:t>
                  </w:r>
                </w:p>
              </w:tc>
              <w:tc>
                <w:tcPr>
                  <w:tcW w:w="409" w:type="pct"/>
                  <w:vMerge w:val="restart"/>
                  <w:tcBorders>
                    <w:top w:val="single" w:color="auto" w:sz="12" w:space="0"/>
                  </w:tcBorders>
                  <w:noWrap w:val="0"/>
                  <w:vAlign w:val="center"/>
                </w:tcPr>
                <w:p w14:paraId="0AEEBF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lang w:val="en-US" w:eastAsia="zh-CN"/>
                    </w:rPr>
                  </w:pPr>
                  <w:r>
                    <w:rPr>
                      <w:rFonts w:hint="eastAsia" w:ascii="Times New Roman" w:hAnsi="Times New Roman" w:eastAsia="宋体" w:cs="Times New Roman"/>
                      <w:b/>
                      <w:bCs/>
                      <w:color w:val="auto"/>
                      <w:sz w:val="21"/>
                      <w:szCs w:val="21"/>
                      <w:vertAlign w:val="baseline"/>
                      <w:lang w:val="en-US" w:eastAsia="zh-CN"/>
                    </w:rPr>
                    <w:t>状态</w:t>
                  </w:r>
                </w:p>
              </w:tc>
              <w:tc>
                <w:tcPr>
                  <w:tcW w:w="409" w:type="pct"/>
                  <w:vMerge w:val="restart"/>
                  <w:tcBorders>
                    <w:top w:val="single" w:color="auto" w:sz="12" w:space="0"/>
                  </w:tcBorders>
                  <w:noWrap w:val="0"/>
                  <w:vAlign w:val="center"/>
                </w:tcPr>
                <w:p w14:paraId="13C9E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lang w:val="en-US" w:eastAsia="zh-CN"/>
                    </w:rPr>
                  </w:pPr>
                  <w:r>
                    <w:rPr>
                      <w:rFonts w:hint="eastAsia" w:ascii="Times New Roman" w:hAnsi="Times New Roman" w:eastAsia="宋体" w:cs="Times New Roman"/>
                      <w:b/>
                      <w:bCs/>
                      <w:color w:val="auto"/>
                      <w:sz w:val="21"/>
                      <w:szCs w:val="21"/>
                      <w:vertAlign w:val="baseline"/>
                      <w:lang w:val="en-US" w:eastAsia="zh-CN"/>
                    </w:rPr>
                    <w:t>来源</w:t>
                  </w:r>
                </w:p>
              </w:tc>
              <w:tc>
                <w:tcPr>
                  <w:tcW w:w="410" w:type="pct"/>
                  <w:vMerge w:val="restart"/>
                  <w:tcBorders>
                    <w:top w:val="single" w:color="auto" w:sz="12" w:space="0"/>
                  </w:tcBorders>
                  <w:noWrap w:val="0"/>
                  <w:vAlign w:val="center"/>
                </w:tcPr>
                <w:p w14:paraId="30A677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FF0000"/>
                      <w:lang w:val="en-US" w:eastAsia="zh-CN"/>
                    </w:rPr>
                  </w:pPr>
                  <w:commentRangeStart w:id="7"/>
                  <w:r>
                    <w:rPr>
                      <w:rFonts w:hint="eastAsia" w:cs="Times New Roman"/>
                      <w:b/>
                      <w:bCs/>
                      <w:color w:val="FF0000"/>
                      <w:sz w:val="21"/>
                      <w:szCs w:val="21"/>
                      <w:vertAlign w:val="baseline"/>
                      <w:lang w:val="en-US" w:eastAsia="zh-CN"/>
                    </w:rPr>
                    <w:t>包装及</w:t>
                  </w:r>
                  <w:r>
                    <w:rPr>
                      <w:rFonts w:hint="eastAsia" w:ascii="Times New Roman" w:hAnsi="Times New Roman" w:eastAsia="宋体" w:cs="Times New Roman"/>
                      <w:b/>
                      <w:bCs/>
                      <w:color w:val="FF0000"/>
                      <w:sz w:val="21"/>
                      <w:szCs w:val="21"/>
                      <w:vertAlign w:val="baseline"/>
                      <w:lang w:val="en-US" w:eastAsia="zh-CN"/>
                    </w:rPr>
                    <w:t>储存方式</w:t>
                  </w:r>
                  <w:commentRangeEnd w:id="7"/>
                  <w:r>
                    <w:commentReference w:id="7"/>
                  </w:r>
                </w:p>
              </w:tc>
              <w:tc>
                <w:tcPr>
                  <w:tcW w:w="534" w:type="pct"/>
                  <w:vMerge w:val="restart"/>
                  <w:tcBorders>
                    <w:top w:val="single" w:color="auto" w:sz="12" w:space="0"/>
                  </w:tcBorders>
                  <w:noWrap w:val="0"/>
                  <w:vAlign w:val="center"/>
                </w:tcPr>
                <w:p w14:paraId="0CFF5D60">
                  <w:pPr>
                    <w:pStyle w:val="67"/>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center"/>
                    <w:rPr>
                      <w:rFonts w:hint="eastAsia" w:cs="Times New Roman"/>
                      <w:b/>
                      <w:bCs/>
                      <w:color w:val="auto"/>
                      <w:lang w:val="en-US" w:eastAsia="zh-CN"/>
                    </w:rPr>
                  </w:pPr>
                  <w:r>
                    <w:rPr>
                      <w:rFonts w:hint="eastAsia" w:cs="Times New Roman"/>
                      <w:b/>
                      <w:bCs/>
                      <w:color w:val="auto"/>
                      <w:lang w:val="en-US" w:eastAsia="zh-CN"/>
                    </w:rPr>
                    <w:t>变动情况</w:t>
                  </w:r>
                </w:p>
              </w:tc>
            </w:tr>
            <w:tr w14:paraId="35756D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vMerge w:val="continue"/>
                  <w:tcBorders>
                    <w:bottom w:val="single" w:color="auto" w:sz="12" w:space="0"/>
                  </w:tcBorders>
                  <w:noWrap w:val="0"/>
                  <w:vAlign w:val="center"/>
                </w:tcPr>
                <w:p w14:paraId="7A8E28D6">
                  <w:pPr>
                    <w:pStyle w:val="67"/>
                    <w:keepNext w:val="0"/>
                    <w:keepLines w:val="0"/>
                    <w:pageBreakBefore w:val="0"/>
                    <w:widowControl w:val="0"/>
                    <w:kinsoku/>
                    <w:wordWrap w:val="0"/>
                    <w:overflowPunct/>
                    <w:topLinePunct w:val="0"/>
                    <w:autoSpaceDE/>
                    <w:autoSpaceDN/>
                    <w:bidi w:val="0"/>
                    <w:adjustRightInd/>
                    <w:snapToGrid/>
                    <w:spacing w:line="240" w:lineRule="auto"/>
                    <w:textAlignment w:val="center"/>
                    <w:rPr>
                      <w:b/>
                      <w:bCs/>
                      <w:color w:val="auto"/>
                    </w:rPr>
                  </w:pPr>
                </w:p>
              </w:tc>
              <w:tc>
                <w:tcPr>
                  <w:tcW w:w="552" w:type="pct"/>
                  <w:vMerge w:val="continue"/>
                  <w:tcBorders>
                    <w:bottom w:val="single" w:color="auto" w:sz="12" w:space="0"/>
                  </w:tcBorders>
                  <w:noWrap w:val="0"/>
                  <w:vAlign w:val="center"/>
                </w:tcPr>
                <w:p w14:paraId="5CAE661F">
                  <w:pPr>
                    <w:pStyle w:val="67"/>
                    <w:keepNext w:val="0"/>
                    <w:keepLines w:val="0"/>
                    <w:pageBreakBefore w:val="0"/>
                    <w:widowControl w:val="0"/>
                    <w:kinsoku/>
                    <w:wordWrap w:val="0"/>
                    <w:overflowPunct/>
                    <w:topLinePunct w:val="0"/>
                    <w:autoSpaceDE/>
                    <w:autoSpaceDN/>
                    <w:bidi w:val="0"/>
                    <w:adjustRightInd/>
                    <w:snapToGrid/>
                    <w:spacing w:line="240" w:lineRule="auto"/>
                    <w:textAlignment w:val="center"/>
                    <w:rPr>
                      <w:b/>
                      <w:bCs/>
                      <w:color w:val="auto"/>
                    </w:rPr>
                  </w:pPr>
                </w:p>
              </w:tc>
              <w:tc>
                <w:tcPr>
                  <w:tcW w:w="451" w:type="pct"/>
                  <w:vMerge w:val="continue"/>
                  <w:tcBorders>
                    <w:bottom w:val="single" w:color="auto" w:sz="12" w:space="0"/>
                  </w:tcBorders>
                  <w:noWrap w:val="0"/>
                  <w:vAlign w:val="center"/>
                </w:tcPr>
                <w:p w14:paraId="4F7BFE3D">
                  <w:pPr>
                    <w:pStyle w:val="67"/>
                    <w:keepNext w:val="0"/>
                    <w:keepLines w:val="0"/>
                    <w:pageBreakBefore w:val="0"/>
                    <w:widowControl w:val="0"/>
                    <w:kinsoku/>
                    <w:wordWrap w:val="0"/>
                    <w:overflowPunct/>
                    <w:topLinePunct w:val="0"/>
                    <w:autoSpaceDE/>
                    <w:autoSpaceDN/>
                    <w:bidi w:val="0"/>
                    <w:adjustRightInd/>
                    <w:snapToGrid/>
                    <w:spacing w:line="240" w:lineRule="auto"/>
                    <w:textAlignment w:val="center"/>
                    <w:rPr>
                      <w:b/>
                      <w:bCs/>
                      <w:color w:val="auto"/>
                    </w:rPr>
                  </w:pPr>
                </w:p>
              </w:tc>
              <w:tc>
                <w:tcPr>
                  <w:tcW w:w="368" w:type="pct"/>
                  <w:tcBorders>
                    <w:bottom w:val="single" w:color="auto" w:sz="12" w:space="0"/>
                  </w:tcBorders>
                  <w:noWrap w:val="0"/>
                  <w:vAlign w:val="center"/>
                </w:tcPr>
                <w:p w14:paraId="39ED12D4">
                  <w:pPr>
                    <w:pStyle w:val="67"/>
                    <w:keepNext w:val="0"/>
                    <w:keepLines w:val="0"/>
                    <w:pageBreakBefore w:val="0"/>
                    <w:widowControl w:val="0"/>
                    <w:kinsoku/>
                    <w:wordWrap w:val="0"/>
                    <w:overflowPunct/>
                    <w:topLinePunct w:val="0"/>
                    <w:autoSpaceDE/>
                    <w:autoSpaceDN/>
                    <w:bidi w:val="0"/>
                    <w:adjustRightInd/>
                    <w:snapToGrid/>
                    <w:spacing w:line="240" w:lineRule="auto"/>
                    <w:textAlignment w:val="center"/>
                    <w:rPr>
                      <w:rFonts w:hint="eastAsia" w:eastAsia="宋体"/>
                      <w:b/>
                      <w:bCs/>
                      <w:color w:val="auto"/>
                      <w:lang w:eastAsia="zh-CN"/>
                    </w:rPr>
                  </w:pPr>
                  <w:r>
                    <w:rPr>
                      <w:rFonts w:hint="eastAsia" w:cs="Times New Roman"/>
                      <w:b/>
                      <w:bCs/>
                      <w:color w:val="auto"/>
                      <w:kern w:val="0"/>
                      <w:sz w:val="21"/>
                      <w:szCs w:val="20"/>
                      <w:lang w:val="en-US" w:eastAsia="zh-CN" w:bidi="ar-SA"/>
                    </w:rPr>
                    <w:t>年用量</w:t>
                  </w:r>
                </w:p>
              </w:tc>
              <w:tc>
                <w:tcPr>
                  <w:tcW w:w="327" w:type="pct"/>
                  <w:tcBorders>
                    <w:bottom w:val="single" w:color="auto" w:sz="12" w:space="0"/>
                  </w:tcBorders>
                  <w:noWrap w:val="0"/>
                  <w:vAlign w:val="center"/>
                </w:tcPr>
                <w:p w14:paraId="721C9248">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center"/>
                    <w:rPr>
                      <w:b/>
                      <w:bCs/>
                      <w:color w:val="auto"/>
                    </w:rPr>
                  </w:pPr>
                  <w:r>
                    <w:rPr>
                      <w:rFonts w:hint="eastAsia"/>
                      <w:b/>
                      <w:bCs/>
                      <w:color w:val="auto"/>
                      <w:lang w:eastAsia="zh-CN"/>
                    </w:rPr>
                    <w:t>单位</w:t>
                  </w:r>
                </w:p>
              </w:tc>
              <w:tc>
                <w:tcPr>
                  <w:tcW w:w="433" w:type="pct"/>
                  <w:tcBorders>
                    <w:bottom w:val="single" w:color="auto" w:sz="12" w:space="0"/>
                  </w:tcBorders>
                  <w:noWrap w:val="0"/>
                  <w:vAlign w:val="center"/>
                </w:tcPr>
                <w:p w14:paraId="0ECC3C10">
                  <w:pPr>
                    <w:pStyle w:val="67"/>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center"/>
                    <w:rPr>
                      <w:b/>
                      <w:bCs/>
                      <w:color w:val="auto"/>
                    </w:rPr>
                  </w:pPr>
                  <w:r>
                    <w:rPr>
                      <w:rFonts w:hint="eastAsia" w:cs="Times New Roman"/>
                      <w:b/>
                      <w:bCs/>
                      <w:color w:val="auto"/>
                      <w:kern w:val="0"/>
                      <w:sz w:val="21"/>
                      <w:szCs w:val="20"/>
                      <w:lang w:val="en-US" w:eastAsia="zh-CN" w:bidi="ar-SA"/>
                    </w:rPr>
                    <w:t>年用量</w:t>
                  </w:r>
                </w:p>
              </w:tc>
              <w:tc>
                <w:tcPr>
                  <w:tcW w:w="487" w:type="pct"/>
                  <w:tcBorders>
                    <w:bottom w:val="single" w:color="auto" w:sz="12" w:space="0"/>
                  </w:tcBorders>
                  <w:noWrap w:val="0"/>
                  <w:vAlign w:val="center"/>
                </w:tcPr>
                <w:p w14:paraId="50817A79">
                  <w:pPr>
                    <w:keepNext w:val="0"/>
                    <w:keepLines w:val="0"/>
                    <w:pageBreakBefore w:val="0"/>
                    <w:widowControl w:val="0"/>
                    <w:kinsoku/>
                    <w:wordWrap w:val="0"/>
                    <w:overflowPunct/>
                    <w:topLinePunct w:val="0"/>
                    <w:autoSpaceDE/>
                    <w:autoSpaceDN/>
                    <w:bidi w:val="0"/>
                    <w:spacing w:line="240" w:lineRule="auto"/>
                    <w:ind w:firstLine="0" w:firstLineChars="0"/>
                    <w:jc w:val="center"/>
                    <w:textAlignment w:val="center"/>
                    <w:rPr>
                      <w:b/>
                      <w:bCs/>
                      <w:color w:val="auto"/>
                    </w:rPr>
                  </w:pPr>
                  <w:r>
                    <w:rPr>
                      <w:rFonts w:hint="eastAsia"/>
                      <w:b/>
                      <w:bCs/>
                      <w:color w:val="auto"/>
                      <w:lang w:eastAsia="zh-CN"/>
                    </w:rPr>
                    <w:t>单位</w:t>
                  </w:r>
                </w:p>
              </w:tc>
              <w:tc>
                <w:tcPr>
                  <w:tcW w:w="409" w:type="pct"/>
                  <w:vMerge w:val="continue"/>
                  <w:tcBorders>
                    <w:bottom w:val="single" w:color="auto" w:sz="12" w:space="0"/>
                  </w:tcBorders>
                  <w:noWrap w:val="0"/>
                  <w:vAlign w:val="center"/>
                </w:tcPr>
                <w:p w14:paraId="3858AC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lang w:val="en-US" w:eastAsia="zh-CN"/>
                    </w:rPr>
                  </w:pPr>
                </w:p>
              </w:tc>
              <w:tc>
                <w:tcPr>
                  <w:tcW w:w="409" w:type="pct"/>
                  <w:vMerge w:val="continue"/>
                  <w:tcBorders>
                    <w:bottom w:val="single" w:color="auto" w:sz="12" w:space="0"/>
                  </w:tcBorders>
                  <w:noWrap w:val="0"/>
                  <w:vAlign w:val="center"/>
                </w:tcPr>
                <w:p w14:paraId="29A23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lang w:val="en-US" w:eastAsia="zh-CN"/>
                    </w:rPr>
                  </w:pPr>
                </w:p>
              </w:tc>
              <w:tc>
                <w:tcPr>
                  <w:tcW w:w="409" w:type="pct"/>
                  <w:vMerge w:val="continue"/>
                  <w:tcBorders>
                    <w:bottom w:val="single" w:color="auto" w:sz="12" w:space="0"/>
                  </w:tcBorders>
                  <w:noWrap w:val="0"/>
                  <w:vAlign w:val="center"/>
                </w:tcPr>
                <w:p w14:paraId="7610D5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lang w:val="en-US" w:eastAsia="zh-CN"/>
                    </w:rPr>
                  </w:pPr>
                </w:p>
              </w:tc>
              <w:tc>
                <w:tcPr>
                  <w:tcW w:w="410" w:type="pct"/>
                  <w:vMerge w:val="continue"/>
                  <w:tcBorders>
                    <w:bottom w:val="single" w:color="auto" w:sz="12" w:space="0"/>
                  </w:tcBorders>
                  <w:noWrap w:val="0"/>
                  <w:vAlign w:val="center"/>
                </w:tcPr>
                <w:p w14:paraId="3AEDD2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FF0000"/>
                      <w:lang w:val="en-US" w:eastAsia="zh-CN"/>
                    </w:rPr>
                  </w:pPr>
                </w:p>
              </w:tc>
              <w:tc>
                <w:tcPr>
                  <w:tcW w:w="534" w:type="pct"/>
                  <w:vMerge w:val="continue"/>
                  <w:tcBorders>
                    <w:bottom w:val="single" w:color="auto" w:sz="12" w:space="0"/>
                  </w:tcBorders>
                  <w:noWrap w:val="0"/>
                  <w:vAlign w:val="center"/>
                </w:tcPr>
                <w:p w14:paraId="70C1270C">
                  <w:pPr>
                    <w:pStyle w:val="67"/>
                    <w:keepNext w:val="0"/>
                    <w:keepLines w:val="0"/>
                    <w:pageBreakBefore w:val="0"/>
                    <w:widowControl w:val="0"/>
                    <w:kinsoku/>
                    <w:wordWrap w:val="0"/>
                    <w:overflowPunct/>
                    <w:topLinePunct w:val="0"/>
                    <w:autoSpaceDE/>
                    <w:autoSpaceDN/>
                    <w:bidi w:val="0"/>
                    <w:adjustRightInd/>
                    <w:snapToGrid/>
                    <w:spacing w:line="240" w:lineRule="auto"/>
                    <w:textAlignment w:val="center"/>
                    <w:rPr>
                      <w:b/>
                      <w:bCs/>
                      <w:color w:val="auto"/>
                    </w:rPr>
                  </w:pPr>
                </w:p>
              </w:tc>
            </w:tr>
            <w:tr w14:paraId="697B45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433" w:hRule="atLeast"/>
              </w:trPr>
              <w:tc>
                <w:tcPr>
                  <w:tcW w:w="208" w:type="pct"/>
                  <w:tcBorders>
                    <w:top w:val="single" w:color="auto" w:sz="12" w:space="0"/>
                  </w:tcBorders>
                  <w:noWrap w:val="0"/>
                  <w:vAlign w:val="center"/>
                </w:tcPr>
                <w:p w14:paraId="69569DC7">
                  <w:pPr>
                    <w:snapToGrid w:val="0"/>
                    <w:jc w:val="center"/>
                    <w:rPr>
                      <w:rFonts w:hint="eastAsia" w:ascii="Times New Roman" w:hAnsi="Times New Roman" w:eastAsia="宋体" w:cs="Times New Roman"/>
                      <w:color w:val="auto"/>
                      <w:lang w:val="en-US" w:eastAsia="zh-CN"/>
                    </w:rPr>
                  </w:pPr>
                  <w:r>
                    <w:rPr>
                      <w:rFonts w:hint="eastAsia" w:cs="宋体"/>
                      <w:color w:val="auto"/>
                      <w:kern w:val="0"/>
                      <w:szCs w:val="21"/>
                      <w:lang w:val="en-US" w:eastAsia="zh-CN"/>
                    </w:rPr>
                    <w:t>1</w:t>
                  </w:r>
                </w:p>
              </w:tc>
              <w:tc>
                <w:tcPr>
                  <w:tcW w:w="552" w:type="pct"/>
                  <w:tcBorders>
                    <w:top w:val="single" w:color="auto" w:sz="12" w:space="0"/>
                    <w:bottom w:val="single" w:color="auto" w:sz="4" w:space="0"/>
                  </w:tcBorders>
                  <w:noWrap w:val="0"/>
                  <w:vAlign w:val="center"/>
                </w:tcPr>
                <w:p w14:paraId="3B69D150">
                  <w:pPr>
                    <w:snapToGrid w:val="0"/>
                    <w:spacing w:line="240" w:lineRule="auto"/>
                    <w:jc w:val="center"/>
                    <w:textAlignment w:val="auto"/>
                    <w:rPr>
                      <w:rFonts w:hint="eastAsia" w:cs="宋体"/>
                      <w:color w:val="auto"/>
                      <w:kern w:val="0"/>
                      <w:szCs w:val="21"/>
                    </w:rPr>
                  </w:pPr>
                  <w:r>
                    <w:rPr>
                      <w:rFonts w:hint="eastAsia"/>
                      <w:color w:val="auto"/>
                      <w:szCs w:val="21"/>
                    </w:rPr>
                    <w:t>海盐</w:t>
                  </w:r>
                </w:p>
              </w:tc>
              <w:tc>
                <w:tcPr>
                  <w:tcW w:w="451" w:type="pct"/>
                  <w:vMerge w:val="restart"/>
                  <w:tcBorders>
                    <w:top w:val="single" w:color="auto" w:sz="12" w:space="0"/>
                  </w:tcBorders>
                  <w:noWrap w:val="0"/>
                  <w:vAlign w:val="center"/>
                </w:tcPr>
                <w:p w14:paraId="39A387DE">
                  <w:pPr>
                    <w:snapToGrid w:val="0"/>
                    <w:spacing w:line="240" w:lineRule="auto"/>
                    <w:jc w:val="center"/>
                    <w:textAlignment w:val="auto"/>
                    <w:rPr>
                      <w:color w:val="auto"/>
                    </w:rPr>
                  </w:pPr>
                  <w:r>
                    <w:rPr>
                      <w:rFonts w:hint="eastAsia"/>
                      <w:color w:val="auto"/>
                      <w:szCs w:val="21"/>
                    </w:rPr>
                    <w:t>生理性海水鼻腔喷雾剂</w:t>
                  </w:r>
                </w:p>
              </w:tc>
              <w:tc>
                <w:tcPr>
                  <w:tcW w:w="368" w:type="pct"/>
                  <w:tcBorders>
                    <w:top w:val="single" w:color="auto" w:sz="12" w:space="0"/>
                    <w:bottom w:val="single" w:color="auto" w:sz="4" w:space="0"/>
                  </w:tcBorders>
                  <w:noWrap w:val="0"/>
                  <w:vAlign w:val="center"/>
                </w:tcPr>
                <w:p w14:paraId="3A10071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0.3</w:t>
                  </w:r>
                </w:p>
              </w:tc>
              <w:tc>
                <w:tcPr>
                  <w:tcW w:w="327" w:type="pct"/>
                  <w:tcBorders>
                    <w:top w:val="single" w:color="auto" w:sz="12" w:space="0"/>
                    <w:bottom w:val="single" w:color="auto" w:sz="4" w:space="0"/>
                  </w:tcBorders>
                  <w:noWrap w:val="0"/>
                  <w:vAlign w:val="center"/>
                </w:tcPr>
                <w:p w14:paraId="091FED85">
                  <w:pPr>
                    <w:spacing w:line="240" w:lineRule="exact"/>
                    <w:jc w:val="center"/>
                    <w:rPr>
                      <w:rFonts w:hint="default" w:eastAsia="宋体"/>
                      <w:color w:val="auto"/>
                      <w:szCs w:val="21"/>
                      <w:lang w:val="en-US" w:eastAsia="zh-CN"/>
                    </w:rPr>
                  </w:pPr>
                  <w:r>
                    <w:rPr>
                      <w:rFonts w:hint="default" w:ascii="Times New Roman" w:hAnsi="Times New Roman" w:cs="Times New Roman"/>
                      <w:color w:val="auto"/>
                      <w:szCs w:val="21"/>
                    </w:rPr>
                    <w:t>t/a</w:t>
                  </w:r>
                </w:p>
              </w:tc>
              <w:tc>
                <w:tcPr>
                  <w:tcW w:w="433" w:type="pct"/>
                  <w:tcBorders>
                    <w:top w:val="single" w:color="auto" w:sz="12" w:space="0"/>
                    <w:bottom w:val="single" w:color="auto" w:sz="4" w:space="0"/>
                  </w:tcBorders>
                  <w:noWrap w:val="0"/>
                  <w:vAlign w:val="center"/>
                </w:tcPr>
                <w:p w14:paraId="729CFB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0.3</w:t>
                  </w:r>
                </w:p>
              </w:tc>
              <w:tc>
                <w:tcPr>
                  <w:tcW w:w="487" w:type="pct"/>
                  <w:tcBorders>
                    <w:top w:val="single" w:color="auto" w:sz="12" w:space="0"/>
                    <w:bottom w:val="single" w:color="auto" w:sz="4" w:space="0"/>
                  </w:tcBorders>
                  <w:noWrap w:val="0"/>
                  <w:vAlign w:val="center"/>
                </w:tcPr>
                <w:p w14:paraId="3FC7CB75">
                  <w:pPr>
                    <w:spacing w:line="240" w:lineRule="exact"/>
                    <w:jc w:val="center"/>
                    <w:rPr>
                      <w:rFonts w:hint="eastAsia" w:cs="Times New Roman"/>
                      <w:color w:val="auto"/>
                      <w:lang w:val="en-US" w:eastAsia="zh-CN"/>
                    </w:rPr>
                  </w:pPr>
                  <w:r>
                    <w:rPr>
                      <w:rFonts w:hint="default" w:ascii="Times New Roman" w:hAnsi="Times New Roman" w:cs="Times New Roman"/>
                      <w:color w:val="auto"/>
                      <w:szCs w:val="21"/>
                    </w:rPr>
                    <w:t>t/a</w:t>
                  </w:r>
                </w:p>
              </w:tc>
              <w:tc>
                <w:tcPr>
                  <w:tcW w:w="409" w:type="pct"/>
                  <w:tcBorders>
                    <w:top w:val="single" w:color="auto" w:sz="12" w:space="0"/>
                  </w:tcBorders>
                  <w:noWrap w:val="0"/>
                  <w:vAlign w:val="center"/>
                </w:tcPr>
                <w:p w14:paraId="31F87C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0.3</w:t>
                  </w:r>
                </w:p>
              </w:tc>
              <w:tc>
                <w:tcPr>
                  <w:tcW w:w="409" w:type="pct"/>
                  <w:tcBorders>
                    <w:top w:val="single" w:color="auto" w:sz="12" w:space="0"/>
                  </w:tcBorders>
                  <w:noWrap w:val="0"/>
                  <w:vAlign w:val="center"/>
                </w:tcPr>
                <w:p w14:paraId="2C096D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tcBorders>
                    <w:top w:val="single" w:color="auto" w:sz="12" w:space="0"/>
                  </w:tcBorders>
                  <w:noWrap w:val="0"/>
                  <w:vAlign w:val="center"/>
                </w:tcPr>
                <w:p w14:paraId="170189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tcBorders>
                    <w:top w:val="single" w:color="auto" w:sz="12" w:space="0"/>
                  </w:tcBorders>
                  <w:noWrap w:val="0"/>
                  <w:vAlign w:val="center"/>
                </w:tcPr>
                <w:p w14:paraId="20CFEB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袋装</w:t>
                  </w:r>
                </w:p>
              </w:tc>
              <w:tc>
                <w:tcPr>
                  <w:tcW w:w="534" w:type="pct"/>
                  <w:tcBorders>
                    <w:top w:val="single" w:color="auto" w:sz="12" w:space="0"/>
                    <w:bottom w:val="single" w:color="auto" w:sz="4" w:space="0"/>
                  </w:tcBorders>
                  <w:noWrap w:val="0"/>
                  <w:vAlign w:val="center"/>
                </w:tcPr>
                <w:p w14:paraId="15D0DF5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无变动</w:t>
                  </w:r>
                </w:p>
              </w:tc>
            </w:tr>
            <w:tr w14:paraId="2F33EB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0B401DED">
                  <w:pPr>
                    <w:snapToGrid w:val="0"/>
                    <w:jc w:val="center"/>
                    <w:rPr>
                      <w:rFonts w:hint="default" w:cs="宋体"/>
                      <w:color w:val="auto"/>
                      <w:kern w:val="0"/>
                      <w:szCs w:val="21"/>
                      <w:lang w:val="en-US" w:eastAsia="zh-CN"/>
                    </w:rPr>
                  </w:pPr>
                  <w:r>
                    <w:rPr>
                      <w:rFonts w:hint="eastAsia" w:cs="宋体"/>
                      <w:color w:val="auto"/>
                      <w:kern w:val="0"/>
                      <w:szCs w:val="21"/>
                      <w:lang w:val="en-US" w:eastAsia="zh-CN"/>
                    </w:rPr>
                    <w:t>2</w:t>
                  </w:r>
                </w:p>
              </w:tc>
              <w:tc>
                <w:tcPr>
                  <w:tcW w:w="552" w:type="pct"/>
                  <w:tcBorders>
                    <w:top w:val="single" w:color="auto" w:sz="4" w:space="0"/>
                    <w:bottom w:val="single" w:color="auto" w:sz="4" w:space="0"/>
                  </w:tcBorders>
                  <w:noWrap w:val="0"/>
                  <w:vAlign w:val="center"/>
                </w:tcPr>
                <w:p w14:paraId="635F61AF">
                  <w:pPr>
                    <w:snapToGrid w:val="0"/>
                    <w:spacing w:line="240" w:lineRule="auto"/>
                    <w:jc w:val="center"/>
                    <w:textAlignment w:val="auto"/>
                    <w:rPr>
                      <w:rFonts w:hint="eastAsia" w:cs="宋体"/>
                      <w:color w:val="auto"/>
                      <w:kern w:val="0"/>
                      <w:szCs w:val="21"/>
                    </w:rPr>
                  </w:pPr>
                  <w:r>
                    <w:rPr>
                      <w:rFonts w:hint="eastAsia"/>
                      <w:color w:val="auto"/>
                      <w:szCs w:val="21"/>
                    </w:rPr>
                    <w:t>纯</w:t>
                  </w:r>
                  <w:r>
                    <w:rPr>
                      <w:rFonts w:hint="eastAsia"/>
                      <w:color w:val="auto"/>
                      <w:szCs w:val="21"/>
                      <w:lang w:val="en-US" w:eastAsia="zh-CN"/>
                    </w:rPr>
                    <w:t>化</w:t>
                  </w:r>
                  <w:r>
                    <w:rPr>
                      <w:rFonts w:hint="eastAsia"/>
                      <w:color w:val="auto"/>
                      <w:szCs w:val="21"/>
                    </w:rPr>
                    <w:t>水</w:t>
                  </w:r>
                </w:p>
              </w:tc>
              <w:tc>
                <w:tcPr>
                  <w:tcW w:w="451" w:type="pct"/>
                  <w:vMerge w:val="continue"/>
                  <w:tcBorders>
                    <w:bottom w:val="single" w:color="auto" w:sz="4" w:space="0"/>
                  </w:tcBorders>
                  <w:noWrap w:val="0"/>
                  <w:vAlign w:val="center"/>
                </w:tcPr>
                <w:p w14:paraId="04E49B4E">
                  <w:pPr>
                    <w:bidi w:val="0"/>
                    <w:jc w:val="center"/>
                    <w:rPr>
                      <w:color w:val="auto"/>
                    </w:rPr>
                  </w:pPr>
                </w:p>
              </w:tc>
              <w:tc>
                <w:tcPr>
                  <w:tcW w:w="368" w:type="pct"/>
                  <w:tcBorders>
                    <w:top w:val="single" w:color="auto" w:sz="4" w:space="0"/>
                    <w:bottom w:val="single" w:color="auto" w:sz="4" w:space="0"/>
                  </w:tcBorders>
                  <w:noWrap w:val="0"/>
                  <w:vAlign w:val="center"/>
                </w:tcPr>
                <w:p w14:paraId="6ABE4D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300</w:t>
                  </w:r>
                </w:p>
              </w:tc>
              <w:tc>
                <w:tcPr>
                  <w:tcW w:w="327" w:type="pct"/>
                  <w:tcBorders>
                    <w:top w:val="single" w:color="auto" w:sz="4" w:space="0"/>
                    <w:bottom w:val="single" w:color="auto" w:sz="4" w:space="0"/>
                  </w:tcBorders>
                  <w:noWrap w:val="0"/>
                  <w:vAlign w:val="center"/>
                </w:tcPr>
                <w:p w14:paraId="56A2F366">
                  <w:pPr>
                    <w:adjustRightInd w:val="0"/>
                    <w:snapToGrid w:val="0"/>
                    <w:spacing w:line="240" w:lineRule="exact"/>
                    <w:jc w:val="center"/>
                    <w:rPr>
                      <w:rFonts w:hint="default" w:eastAsia="宋体"/>
                      <w:color w:val="auto"/>
                      <w:szCs w:val="21"/>
                      <w:lang w:val="en-US" w:eastAsia="zh-CN"/>
                    </w:rPr>
                  </w:pPr>
                  <w:r>
                    <w:rPr>
                      <w:rFonts w:hint="default" w:ascii="Times New Roman" w:hAnsi="Times New Roman" w:cs="Times New Roman"/>
                      <w:color w:val="auto"/>
                      <w:szCs w:val="21"/>
                    </w:rPr>
                    <w:t>t/a</w:t>
                  </w:r>
                </w:p>
              </w:tc>
              <w:tc>
                <w:tcPr>
                  <w:tcW w:w="433" w:type="pct"/>
                  <w:tcBorders>
                    <w:top w:val="single" w:color="auto" w:sz="4" w:space="0"/>
                    <w:bottom w:val="single" w:color="auto" w:sz="4" w:space="0"/>
                  </w:tcBorders>
                  <w:noWrap w:val="0"/>
                  <w:vAlign w:val="center"/>
                </w:tcPr>
                <w:p w14:paraId="7ADEAE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300</w:t>
                  </w:r>
                </w:p>
              </w:tc>
              <w:tc>
                <w:tcPr>
                  <w:tcW w:w="487" w:type="pct"/>
                  <w:tcBorders>
                    <w:top w:val="single" w:color="auto" w:sz="4" w:space="0"/>
                    <w:bottom w:val="single" w:color="auto" w:sz="4" w:space="0"/>
                  </w:tcBorders>
                  <w:noWrap w:val="0"/>
                  <w:vAlign w:val="center"/>
                </w:tcPr>
                <w:p w14:paraId="0F440437">
                  <w:pPr>
                    <w:adjustRightInd w:val="0"/>
                    <w:snapToGrid w:val="0"/>
                    <w:spacing w:line="240" w:lineRule="exact"/>
                    <w:jc w:val="center"/>
                    <w:rPr>
                      <w:rFonts w:hint="eastAsia" w:cs="Times New Roman"/>
                      <w:color w:val="auto"/>
                      <w:lang w:val="en-US" w:eastAsia="zh-CN"/>
                    </w:rPr>
                  </w:pPr>
                  <w:r>
                    <w:rPr>
                      <w:rFonts w:hint="default" w:ascii="Times New Roman" w:hAnsi="Times New Roman" w:cs="Times New Roman"/>
                      <w:color w:val="auto"/>
                      <w:szCs w:val="21"/>
                    </w:rPr>
                    <w:t>t/a</w:t>
                  </w:r>
                </w:p>
              </w:tc>
              <w:tc>
                <w:tcPr>
                  <w:tcW w:w="409" w:type="pct"/>
                  <w:noWrap w:val="0"/>
                  <w:vAlign w:val="center"/>
                </w:tcPr>
                <w:p w14:paraId="58B7D4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409" w:type="pct"/>
                  <w:noWrap w:val="0"/>
                  <w:vAlign w:val="center"/>
                </w:tcPr>
                <w:p w14:paraId="18EF39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7E005F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自制</w:t>
                  </w:r>
                </w:p>
              </w:tc>
              <w:tc>
                <w:tcPr>
                  <w:tcW w:w="410" w:type="pct"/>
                  <w:noWrap w:val="0"/>
                  <w:vAlign w:val="center"/>
                </w:tcPr>
                <w:p w14:paraId="3C01CF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534" w:type="pct"/>
                  <w:tcBorders>
                    <w:top w:val="single" w:color="auto" w:sz="4" w:space="0"/>
                    <w:bottom w:val="single" w:color="auto" w:sz="4" w:space="0"/>
                  </w:tcBorders>
                  <w:noWrap w:val="0"/>
                  <w:vAlign w:val="center"/>
                </w:tcPr>
                <w:p w14:paraId="36818B9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无变动</w:t>
                  </w:r>
                </w:p>
              </w:tc>
            </w:tr>
            <w:tr w14:paraId="54A31A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5EF9FD80">
                  <w:pPr>
                    <w:snapToGrid w:val="0"/>
                    <w:jc w:val="center"/>
                    <w:rPr>
                      <w:rFonts w:hint="default" w:cs="宋体"/>
                      <w:color w:val="auto"/>
                      <w:kern w:val="0"/>
                      <w:szCs w:val="21"/>
                      <w:lang w:val="en-US" w:eastAsia="zh-CN"/>
                    </w:rPr>
                  </w:pPr>
                  <w:r>
                    <w:rPr>
                      <w:rFonts w:hint="eastAsia" w:cs="宋体"/>
                      <w:color w:val="auto"/>
                      <w:kern w:val="0"/>
                      <w:szCs w:val="21"/>
                      <w:lang w:val="en-US" w:eastAsia="zh-CN"/>
                    </w:rPr>
                    <w:t>3</w:t>
                  </w:r>
                </w:p>
              </w:tc>
              <w:tc>
                <w:tcPr>
                  <w:tcW w:w="552" w:type="pct"/>
                  <w:tcBorders>
                    <w:top w:val="single" w:color="auto" w:sz="4" w:space="0"/>
                    <w:bottom w:val="single" w:color="auto" w:sz="4" w:space="0"/>
                  </w:tcBorders>
                  <w:noWrap w:val="0"/>
                  <w:vAlign w:val="center"/>
                </w:tcPr>
                <w:p w14:paraId="08AB6571">
                  <w:pPr>
                    <w:snapToGrid w:val="0"/>
                    <w:spacing w:line="240" w:lineRule="auto"/>
                    <w:jc w:val="center"/>
                    <w:textAlignment w:val="auto"/>
                    <w:rPr>
                      <w:rFonts w:hint="eastAsia" w:cs="Times New Roman"/>
                      <w:color w:val="auto"/>
                      <w:lang w:eastAsia="zh-CN"/>
                    </w:rPr>
                  </w:pPr>
                  <w:r>
                    <w:rPr>
                      <w:rFonts w:hint="eastAsia"/>
                      <w:bCs/>
                      <w:color w:val="auto"/>
                      <w:szCs w:val="21"/>
                    </w:rPr>
                    <w:t>聚丙烯酸钠</w:t>
                  </w:r>
                </w:p>
              </w:tc>
              <w:tc>
                <w:tcPr>
                  <w:tcW w:w="451" w:type="pct"/>
                  <w:vMerge w:val="restart"/>
                  <w:tcBorders>
                    <w:top w:val="single" w:color="auto" w:sz="4" w:space="0"/>
                  </w:tcBorders>
                  <w:noWrap w:val="0"/>
                  <w:vAlign w:val="center"/>
                </w:tcPr>
                <w:p w14:paraId="4A9D4D7C">
                  <w:pPr>
                    <w:snapToGrid w:val="0"/>
                    <w:spacing w:line="240" w:lineRule="auto"/>
                    <w:jc w:val="center"/>
                    <w:textAlignment w:val="auto"/>
                    <w:rPr>
                      <w:rFonts w:hint="eastAsia"/>
                      <w:color w:val="auto"/>
                    </w:rPr>
                  </w:pPr>
                  <w:r>
                    <w:rPr>
                      <w:rFonts w:hint="eastAsia"/>
                      <w:color w:val="auto"/>
                      <w:szCs w:val="21"/>
                    </w:rPr>
                    <w:t>医用退热贴</w:t>
                  </w:r>
                </w:p>
              </w:tc>
              <w:tc>
                <w:tcPr>
                  <w:tcW w:w="368" w:type="pct"/>
                  <w:tcBorders>
                    <w:top w:val="single" w:color="auto" w:sz="4" w:space="0"/>
                    <w:bottom w:val="single" w:color="auto" w:sz="4" w:space="0"/>
                  </w:tcBorders>
                  <w:noWrap w:val="0"/>
                  <w:vAlign w:val="center"/>
                </w:tcPr>
                <w:p w14:paraId="6AE6D9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200</w:t>
                  </w:r>
                </w:p>
              </w:tc>
              <w:tc>
                <w:tcPr>
                  <w:tcW w:w="327" w:type="pct"/>
                  <w:tcBorders>
                    <w:top w:val="single" w:color="auto" w:sz="4" w:space="0"/>
                    <w:bottom w:val="single" w:color="auto" w:sz="4" w:space="0"/>
                  </w:tcBorders>
                  <w:noWrap w:val="0"/>
                  <w:vAlign w:val="center"/>
                </w:tcPr>
                <w:p w14:paraId="7D783D80">
                  <w:pPr>
                    <w:adjustRightInd w:val="0"/>
                    <w:snapToGrid w:val="0"/>
                    <w:spacing w:line="240" w:lineRule="exact"/>
                    <w:jc w:val="center"/>
                    <w:rPr>
                      <w:rFonts w:hint="default"/>
                      <w:color w:val="auto"/>
                      <w:szCs w:val="21"/>
                      <w:lang w:val="en-US"/>
                    </w:rPr>
                  </w:pPr>
                  <w:r>
                    <w:rPr>
                      <w:rFonts w:hint="default" w:ascii="Times New Roman" w:hAnsi="Times New Roman" w:cs="Times New Roman"/>
                      <w:color w:val="auto"/>
                      <w:szCs w:val="21"/>
                    </w:rPr>
                    <w:t>t/a</w:t>
                  </w:r>
                </w:p>
              </w:tc>
              <w:tc>
                <w:tcPr>
                  <w:tcW w:w="433" w:type="pct"/>
                  <w:tcBorders>
                    <w:top w:val="single" w:color="auto" w:sz="4" w:space="0"/>
                    <w:bottom w:val="single" w:color="auto" w:sz="4" w:space="0"/>
                  </w:tcBorders>
                  <w:noWrap w:val="0"/>
                  <w:vAlign w:val="center"/>
                </w:tcPr>
                <w:p w14:paraId="66623E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200</w:t>
                  </w:r>
                </w:p>
              </w:tc>
              <w:tc>
                <w:tcPr>
                  <w:tcW w:w="487" w:type="pct"/>
                  <w:tcBorders>
                    <w:top w:val="single" w:color="auto" w:sz="4" w:space="0"/>
                    <w:bottom w:val="single" w:color="auto" w:sz="4" w:space="0"/>
                  </w:tcBorders>
                  <w:noWrap w:val="0"/>
                  <w:vAlign w:val="center"/>
                </w:tcPr>
                <w:p w14:paraId="0F7B888C">
                  <w:pPr>
                    <w:adjustRightInd w:val="0"/>
                    <w:snapToGrid w:val="0"/>
                    <w:spacing w:line="240" w:lineRule="exact"/>
                    <w:jc w:val="center"/>
                    <w:rPr>
                      <w:rFonts w:hint="eastAsia" w:cs="Times New Roman"/>
                      <w:color w:val="auto"/>
                      <w:lang w:val="en-US" w:eastAsia="zh-CN"/>
                    </w:rPr>
                  </w:pPr>
                  <w:r>
                    <w:rPr>
                      <w:rFonts w:hint="default" w:ascii="Times New Roman" w:hAnsi="Times New Roman" w:cs="Times New Roman"/>
                      <w:color w:val="auto"/>
                      <w:szCs w:val="21"/>
                    </w:rPr>
                    <w:t>t/a</w:t>
                  </w:r>
                </w:p>
              </w:tc>
              <w:tc>
                <w:tcPr>
                  <w:tcW w:w="409" w:type="pct"/>
                  <w:noWrap w:val="0"/>
                  <w:vAlign w:val="center"/>
                </w:tcPr>
                <w:p w14:paraId="77CBB2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20</w:t>
                  </w:r>
                </w:p>
              </w:tc>
              <w:tc>
                <w:tcPr>
                  <w:tcW w:w="409" w:type="pct"/>
                  <w:noWrap w:val="0"/>
                  <w:vAlign w:val="center"/>
                </w:tcPr>
                <w:p w14:paraId="5615E5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1B841E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0F2D5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tcBorders>
                    <w:top w:val="single" w:color="auto" w:sz="4" w:space="0"/>
                    <w:bottom w:val="single" w:color="auto" w:sz="4" w:space="0"/>
                  </w:tcBorders>
                  <w:noWrap w:val="0"/>
                  <w:vAlign w:val="center"/>
                </w:tcPr>
                <w:p w14:paraId="3B004C7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无变动</w:t>
                  </w:r>
                </w:p>
              </w:tc>
            </w:tr>
            <w:tr w14:paraId="22458E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501" w:hRule="atLeast"/>
              </w:trPr>
              <w:tc>
                <w:tcPr>
                  <w:tcW w:w="208" w:type="pct"/>
                  <w:tcBorders>
                    <w:tl2br w:val="nil"/>
                    <w:tr2bl w:val="nil"/>
                  </w:tcBorders>
                  <w:noWrap w:val="0"/>
                  <w:vAlign w:val="center"/>
                </w:tcPr>
                <w:p w14:paraId="6721108E">
                  <w:pPr>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552" w:type="pct"/>
                  <w:tcBorders>
                    <w:tl2br w:val="nil"/>
                    <w:tr2bl w:val="nil"/>
                  </w:tcBorders>
                  <w:noWrap w:val="0"/>
                  <w:vAlign w:val="center"/>
                </w:tcPr>
                <w:p w14:paraId="5D86B2C3">
                  <w:pPr>
                    <w:snapToGrid w:val="0"/>
                    <w:spacing w:line="240" w:lineRule="auto"/>
                    <w:jc w:val="center"/>
                    <w:textAlignment w:val="auto"/>
                    <w:rPr>
                      <w:rFonts w:hint="default" w:ascii="Times New Roman" w:hAnsi="Times New Roman" w:cs="Times New Roman"/>
                      <w:color w:val="auto"/>
                    </w:rPr>
                  </w:pPr>
                  <w:r>
                    <w:rPr>
                      <w:rFonts w:hint="eastAsia"/>
                      <w:bCs/>
                      <w:color w:val="auto"/>
                      <w:szCs w:val="21"/>
                    </w:rPr>
                    <w:t>二羟基氨基乙酸铝</w:t>
                  </w:r>
                </w:p>
              </w:tc>
              <w:tc>
                <w:tcPr>
                  <w:tcW w:w="451" w:type="pct"/>
                  <w:vMerge w:val="continue"/>
                  <w:tcBorders>
                    <w:tl2br w:val="nil"/>
                    <w:tr2bl w:val="nil"/>
                  </w:tcBorders>
                  <w:noWrap w:val="0"/>
                  <w:vAlign w:val="center"/>
                </w:tcPr>
                <w:p w14:paraId="4F8E2510">
                  <w:pPr>
                    <w:keepNext w:val="0"/>
                    <w:keepLines w:val="0"/>
                    <w:pageBreakBefore w:val="0"/>
                    <w:widowControl w:val="0"/>
                    <w:kinsoku/>
                    <w:wordWrap/>
                    <w:overflowPunct/>
                    <w:topLinePunct w:val="0"/>
                    <w:autoSpaceDE/>
                    <w:autoSpaceDN/>
                    <w:bidi w:val="0"/>
                    <w:spacing w:line="240" w:lineRule="auto"/>
                    <w:jc w:val="center"/>
                    <w:textAlignment w:val="auto"/>
                    <w:rPr>
                      <w:color w:val="auto"/>
                      <w:szCs w:val="21"/>
                    </w:rPr>
                  </w:pPr>
                </w:p>
              </w:tc>
              <w:tc>
                <w:tcPr>
                  <w:tcW w:w="368" w:type="pct"/>
                  <w:tcBorders>
                    <w:tl2br w:val="nil"/>
                    <w:tr2bl w:val="nil"/>
                  </w:tcBorders>
                  <w:noWrap w:val="0"/>
                  <w:vAlign w:val="center"/>
                </w:tcPr>
                <w:p w14:paraId="65ACC0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110</w:t>
                  </w:r>
                </w:p>
              </w:tc>
              <w:tc>
                <w:tcPr>
                  <w:tcW w:w="327" w:type="pct"/>
                  <w:tcBorders>
                    <w:tl2br w:val="nil"/>
                    <w:tr2bl w:val="nil"/>
                  </w:tcBorders>
                  <w:noWrap w:val="0"/>
                  <w:vAlign w:val="center"/>
                </w:tcPr>
                <w:p w14:paraId="6D9919D3">
                  <w:pPr>
                    <w:adjustRightInd w:val="0"/>
                    <w:snapToGrid w:val="0"/>
                    <w:spacing w:line="240" w:lineRule="exact"/>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1"/>
                    </w:rPr>
                    <w:t>t/a</w:t>
                  </w:r>
                </w:p>
              </w:tc>
              <w:tc>
                <w:tcPr>
                  <w:tcW w:w="433" w:type="pct"/>
                  <w:tcBorders>
                    <w:tl2br w:val="nil"/>
                    <w:tr2bl w:val="nil"/>
                  </w:tcBorders>
                  <w:noWrap w:val="0"/>
                  <w:vAlign w:val="center"/>
                </w:tcPr>
                <w:p w14:paraId="2DA31CD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110</w:t>
                  </w:r>
                </w:p>
              </w:tc>
              <w:tc>
                <w:tcPr>
                  <w:tcW w:w="487" w:type="pct"/>
                  <w:tcBorders>
                    <w:tl2br w:val="nil"/>
                    <w:tr2bl w:val="nil"/>
                  </w:tcBorders>
                  <w:noWrap w:val="0"/>
                  <w:vAlign w:val="center"/>
                </w:tcPr>
                <w:p w14:paraId="645500E7">
                  <w:pPr>
                    <w:adjustRightInd w:val="0"/>
                    <w:snapToGrid w:val="0"/>
                    <w:spacing w:line="240" w:lineRule="exact"/>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1"/>
                    </w:rPr>
                    <w:t>t/a</w:t>
                  </w:r>
                </w:p>
              </w:tc>
              <w:tc>
                <w:tcPr>
                  <w:tcW w:w="409" w:type="pct"/>
                  <w:tcBorders>
                    <w:tl2br w:val="nil"/>
                    <w:tr2bl w:val="nil"/>
                  </w:tcBorders>
                  <w:noWrap w:val="0"/>
                  <w:vAlign w:val="center"/>
                </w:tcPr>
                <w:p w14:paraId="5467BB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10</w:t>
                  </w:r>
                </w:p>
              </w:tc>
              <w:tc>
                <w:tcPr>
                  <w:tcW w:w="409" w:type="pct"/>
                  <w:tcBorders>
                    <w:tl2br w:val="nil"/>
                    <w:tr2bl w:val="nil"/>
                  </w:tcBorders>
                  <w:noWrap w:val="0"/>
                  <w:vAlign w:val="center"/>
                </w:tcPr>
                <w:p w14:paraId="33E350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tcBorders>
                    <w:tl2br w:val="nil"/>
                    <w:tr2bl w:val="nil"/>
                  </w:tcBorders>
                  <w:noWrap w:val="0"/>
                  <w:vAlign w:val="center"/>
                </w:tcPr>
                <w:p w14:paraId="3C5988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tcBorders>
                    <w:tl2br w:val="nil"/>
                    <w:tr2bl w:val="nil"/>
                  </w:tcBorders>
                  <w:noWrap w:val="0"/>
                  <w:vAlign w:val="center"/>
                </w:tcPr>
                <w:p w14:paraId="6DA34C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tcBorders>
                    <w:tl2br w:val="nil"/>
                    <w:tr2bl w:val="nil"/>
                  </w:tcBorders>
                  <w:noWrap w:val="0"/>
                  <w:vAlign w:val="center"/>
                </w:tcPr>
                <w:p w14:paraId="5A2D025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无变动</w:t>
                  </w:r>
                </w:p>
              </w:tc>
            </w:tr>
            <w:tr w14:paraId="47C607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tcBorders>
                    <w:tl2br w:val="nil"/>
                    <w:tr2bl w:val="nil"/>
                  </w:tcBorders>
                  <w:noWrap w:val="0"/>
                  <w:vAlign w:val="center"/>
                </w:tcPr>
                <w:p w14:paraId="2992526D">
                  <w:pPr>
                    <w:snapToGrid w:val="0"/>
                    <w:jc w:val="center"/>
                    <w:rPr>
                      <w:rFonts w:hint="default" w:cs="宋体"/>
                      <w:color w:val="auto"/>
                      <w:kern w:val="0"/>
                      <w:szCs w:val="21"/>
                      <w:lang w:val="en-US" w:eastAsia="zh-CN"/>
                    </w:rPr>
                  </w:pPr>
                  <w:r>
                    <w:rPr>
                      <w:rFonts w:hint="eastAsia" w:cs="宋体"/>
                      <w:color w:val="auto"/>
                      <w:kern w:val="0"/>
                      <w:szCs w:val="21"/>
                      <w:lang w:val="en-US" w:eastAsia="zh-CN"/>
                    </w:rPr>
                    <w:t>5</w:t>
                  </w:r>
                </w:p>
              </w:tc>
              <w:tc>
                <w:tcPr>
                  <w:tcW w:w="552" w:type="pct"/>
                  <w:tcBorders>
                    <w:tl2br w:val="nil"/>
                    <w:tr2bl w:val="nil"/>
                  </w:tcBorders>
                  <w:noWrap w:val="0"/>
                  <w:vAlign w:val="center"/>
                </w:tcPr>
                <w:p w14:paraId="65577C73">
                  <w:pPr>
                    <w:snapToGrid w:val="0"/>
                    <w:spacing w:line="240" w:lineRule="auto"/>
                    <w:jc w:val="center"/>
                    <w:textAlignment w:val="auto"/>
                    <w:rPr>
                      <w:rFonts w:hint="eastAsia" w:cs="宋体"/>
                      <w:color w:val="auto"/>
                      <w:kern w:val="0"/>
                      <w:szCs w:val="21"/>
                    </w:rPr>
                  </w:pPr>
                  <w:r>
                    <w:rPr>
                      <w:rFonts w:hint="eastAsia"/>
                      <w:color w:val="auto"/>
                      <w:szCs w:val="21"/>
                    </w:rPr>
                    <w:t>纯</w:t>
                  </w:r>
                  <w:r>
                    <w:rPr>
                      <w:rFonts w:hint="eastAsia"/>
                      <w:color w:val="auto"/>
                      <w:szCs w:val="21"/>
                      <w:lang w:val="en-US" w:eastAsia="zh-CN"/>
                    </w:rPr>
                    <w:t>化</w:t>
                  </w:r>
                  <w:r>
                    <w:rPr>
                      <w:rFonts w:hint="eastAsia"/>
                      <w:color w:val="auto"/>
                      <w:szCs w:val="21"/>
                    </w:rPr>
                    <w:t>水</w:t>
                  </w:r>
                </w:p>
              </w:tc>
              <w:tc>
                <w:tcPr>
                  <w:tcW w:w="451" w:type="pct"/>
                  <w:vMerge w:val="continue"/>
                  <w:tcBorders>
                    <w:tl2br w:val="nil"/>
                    <w:tr2bl w:val="nil"/>
                  </w:tcBorders>
                  <w:noWrap w:val="0"/>
                  <w:vAlign w:val="center"/>
                </w:tcPr>
                <w:p w14:paraId="5FEFB8FE">
                  <w:pPr>
                    <w:keepNext w:val="0"/>
                    <w:keepLines w:val="0"/>
                    <w:pageBreakBefore w:val="0"/>
                    <w:widowControl w:val="0"/>
                    <w:kinsoku/>
                    <w:wordWrap/>
                    <w:overflowPunct/>
                    <w:topLinePunct w:val="0"/>
                    <w:autoSpaceDE/>
                    <w:autoSpaceDN/>
                    <w:bidi w:val="0"/>
                    <w:spacing w:line="240" w:lineRule="auto"/>
                    <w:jc w:val="center"/>
                    <w:textAlignment w:val="auto"/>
                    <w:rPr>
                      <w:color w:val="auto"/>
                      <w:szCs w:val="21"/>
                    </w:rPr>
                  </w:pPr>
                </w:p>
              </w:tc>
              <w:tc>
                <w:tcPr>
                  <w:tcW w:w="368" w:type="pct"/>
                  <w:tcBorders>
                    <w:tl2br w:val="nil"/>
                    <w:tr2bl w:val="nil"/>
                  </w:tcBorders>
                  <w:noWrap w:val="0"/>
                  <w:vAlign w:val="center"/>
                </w:tcPr>
                <w:p w14:paraId="06EEB2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250</w:t>
                  </w:r>
                </w:p>
              </w:tc>
              <w:tc>
                <w:tcPr>
                  <w:tcW w:w="327" w:type="pct"/>
                  <w:tcBorders>
                    <w:tl2br w:val="nil"/>
                    <w:tr2bl w:val="nil"/>
                  </w:tcBorders>
                  <w:noWrap w:val="0"/>
                  <w:vAlign w:val="center"/>
                </w:tcPr>
                <w:p w14:paraId="29D9CEA3">
                  <w:pPr>
                    <w:adjustRightInd w:val="0"/>
                    <w:snapToGrid w:val="0"/>
                    <w:spacing w:line="240" w:lineRule="exact"/>
                    <w:jc w:val="center"/>
                    <w:rPr>
                      <w:rFonts w:hint="default" w:eastAsia="宋体"/>
                      <w:color w:val="auto"/>
                      <w:szCs w:val="21"/>
                      <w:lang w:val="en-US" w:eastAsia="zh-CN"/>
                    </w:rPr>
                  </w:pPr>
                  <w:r>
                    <w:rPr>
                      <w:rFonts w:hint="default" w:ascii="Times New Roman" w:hAnsi="Times New Roman" w:cs="Times New Roman"/>
                      <w:color w:val="auto"/>
                      <w:szCs w:val="21"/>
                    </w:rPr>
                    <w:t>t/a</w:t>
                  </w:r>
                </w:p>
              </w:tc>
              <w:tc>
                <w:tcPr>
                  <w:tcW w:w="433" w:type="pct"/>
                  <w:tcBorders>
                    <w:tl2br w:val="nil"/>
                    <w:tr2bl w:val="nil"/>
                  </w:tcBorders>
                  <w:noWrap w:val="0"/>
                  <w:vAlign w:val="center"/>
                </w:tcPr>
                <w:p w14:paraId="2E37EF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250</w:t>
                  </w:r>
                </w:p>
              </w:tc>
              <w:tc>
                <w:tcPr>
                  <w:tcW w:w="487" w:type="pct"/>
                  <w:tcBorders>
                    <w:tl2br w:val="nil"/>
                    <w:tr2bl w:val="nil"/>
                  </w:tcBorders>
                  <w:noWrap w:val="0"/>
                  <w:vAlign w:val="center"/>
                </w:tcPr>
                <w:p w14:paraId="11C61C7E">
                  <w:pPr>
                    <w:adjustRightInd w:val="0"/>
                    <w:snapToGrid w:val="0"/>
                    <w:spacing w:line="240" w:lineRule="exact"/>
                    <w:jc w:val="center"/>
                    <w:rPr>
                      <w:rFonts w:hint="default" w:eastAsia="宋体" w:cs="Times New Roman"/>
                      <w:color w:val="auto"/>
                      <w:lang w:val="en-US" w:eastAsia="zh-CN"/>
                    </w:rPr>
                  </w:pPr>
                  <w:r>
                    <w:rPr>
                      <w:rFonts w:hint="default" w:ascii="Times New Roman" w:hAnsi="Times New Roman" w:cs="Times New Roman"/>
                      <w:color w:val="auto"/>
                      <w:szCs w:val="21"/>
                    </w:rPr>
                    <w:t>t/a</w:t>
                  </w:r>
                </w:p>
              </w:tc>
              <w:tc>
                <w:tcPr>
                  <w:tcW w:w="409" w:type="pct"/>
                  <w:tcBorders>
                    <w:tl2br w:val="nil"/>
                    <w:tr2bl w:val="nil"/>
                  </w:tcBorders>
                  <w:noWrap w:val="0"/>
                  <w:vAlign w:val="center"/>
                </w:tcPr>
                <w:p w14:paraId="7F0530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409" w:type="pct"/>
                  <w:tcBorders>
                    <w:tl2br w:val="nil"/>
                    <w:tr2bl w:val="nil"/>
                  </w:tcBorders>
                  <w:noWrap w:val="0"/>
                  <w:vAlign w:val="center"/>
                </w:tcPr>
                <w:p w14:paraId="3DA116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tcBorders>
                    <w:tl2br w:val="nil"/>
                    <w:tr2bl w:val="nil"/>
                  </w:tcBorders>
                  <w:noWrap w:val="0"/>
                  <w:vAlign w:val="center"/>
                </w:tcPr>
                <w:p w14:paraId="4DDB55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自制</w:t>
                  </w:r>
                </w:p>
              </w:tc>
              <w:tc>
                <w:tcPr>
                  <w:tcW w:w="410" w:type="pct"/>
                  <w:tcBorders>
                    <w:tl2br w:val="nil"/>
                    <w:tr2bl w:val="nil"/>
                  </w:tcBorders>
                  <w:noWrap w:val="0"/>
                  <w:vAlign w:val="center"/>
                </w:tcPr>
                <w:p w14:paraId="29EB24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534" w:type="pct"/>
                  <w:tcBorders>
                    <w:tl2br w:val="nil"/>
                    <w:tr2bl w:val="nil"/>
                  </w:tcBorders>
                  <w:noWrap w:val="0"/>
                  <w:vAlign w:val="center"/>
                </w:tcPr>
                <w:p w14:paraId="15CD0B8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lang w:val="en-US" w:eastAsia="zh-CN"/>
                    </w:rPr>
                  </w:pPr>
                  <w:r>
                    <w:rPr>
                      <w:rFonts w:hint="eastAsia" w:cs="Times New Roman"/>
                      <w:color w:val="auto"/>
                      <w:lang w:val="en-US" w:eastAsia="zh-CN"/>
                    </w:rPr>
                    <w:t>无变动</w:t>
                  </w:r>
                </w:p>
              </w:tc>
            </w:tr>
            <w:tr w14:paraId="30E752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501" w:hRule="atLeast"/>
              </w:trPr>
              <w:tc>
                <w:tcPr>
                  <w:tcW w:w="208" w:type="pct"/>
                  <w:noWrap w:val="0"/>
                  <w:vAlign w:val="center"/>
                </w:tcPr>
                <w:p w14:paraId="652D1DFD">
                  <w:pPr>
                    <w:snapToGrid w:val="0"/>
                    <w:jc w:val="center"/>
                    <w:rPr>
                      <w:rFonts w:hint="default" w:cs="宋体"/>
                      <w:color w:val="auto"/>
                      <w:kern w:val="0"/>
                      <w:szCs w:val="21"/>
                      <w:lang w:val="en-US" w:eastAsia="zh-CN"/>
                    </w:rPr>
                  </w:pPr>
                  <w:r>
                    <w:rPr>
                      <w:rFonts w:hint="eastAsia" w:cs="宋体"/>
                      <w:color w:val="auto"/>
                      <w:kern w:val="0"/>
                      <w:szCs w:val="21"/>
                      <w:lang w:val="en-US" w:eastAsia="zh-CN"/>
                    </w:rPr>
                    <w:t>6</w:t>
                  </w:r>
                </w:p>
              </w:tc>
              <w:tc>
                <w:tcPr>
                  <w:tcW w:w="552" w:type="pct"/>
                  <w:noWrap w:val="0"/>
                  <w:vAlign w:val="center"/>
                </w:tcPr>
                <w:p w14:paraId="10B76232">
                  <w:pPr>
                    <w:snapToGrid w:val="0"/>
                    <w:spacing w:line="240" w:lineRule="auto"/>
                    <w:jc w:val="center"/>
                    <w:textAlignment w:val="auto"/>
                    <w:rPr>
                      <w:rFonts w:hint="eastAsia" w:eastAsia="宋体"/>
                      <w:color w:val="auto"/>
                      <w:szCs w:val="21"/>
                      <w:lang w:eastAsia="zh-CN"/>
                    </w:rPr>
                  </w:pPr>
                  <w:r>
                    <w:rPr>
                      <w:rFonts w:hint="eastAsia"/>
                      <w:bCs/>
                      <w:color w:val="auto"/>
                      <w:szCs w:val="21"/>
                    </w:rPr>
                    <w:t>EDTA二钠盐</w:t>
                  </w:r>
                </w:p>
              </w:tc>
              <w:tc>
                <w:tcPr>
                  <w:tcW w:w="451" w:type="pct"/>
                  <w:vMerge w:val="continue"/>
                  <w:noWrap w:val="0"/>
                  <w:vAlign w:val="center"/>
                </w:tcPr>
                <w:p w14:paraId="43AE2D45">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Cs w:val="21"/>
                      <w:lang w:eastAsia="zh-CN"/>
                    </w:rPr>
                  </w:pPr>
                </w:p>
              </w:tc>
              <w:tc>
                <w:tcPr>
                  <w:tcW w:w="368" w:type="pct"/>
                  <w:noWrap w:val="0"/>
                  <w:vAlign w:val="center"/>
                </w:tcPr>
                <w:p w14:paraId="2D6322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8</w:t>
                  </w:r>
                </w:p>
              </w:tc>
              <w:tc>
                <w:tcPr>
                  <w:tcW w:w="327" w:type="pct"/>
                  <w:noWrap w:val="0"/>
                  <w:vAlign w:val="center"/>
                </w:tcPr>
                <w:p w14:paraId="04BB9AF5">
                  <w:pPr>
                    <w:adjustRightInd w:val="0"/>
                    <w:snapToGrid w:val="0"/>
                    <w:jc w:val="center"/>
                    <w:rPr>
                      <w:rFonts w:hint="default" w:cs="Times New Roman"/>
                      <w:color w:val="auto"/>
                      <w:szCs w:val="21"/>
                      <w:lang w:val="en-US" w:eastAsia="zh-CN"/>
                    </w:rPr>
                  </w:pPr>
                  <w:r>
                    <w:rPr>
                      <w:rFonts w:hint="default" w:ascii="Times New Roman" w:hAnsi="Times New Roman" w:cs="Times New Roman"/>
                      <w:color w:val="auto"/>
                      <w:szCs w:val="21"/>
                    </w:rPr>
                    <w:t>t/a</w:t>
                  </w:r>
                </w:p>
              </w:tc>
              <w:tc>
                <w:tcPr>
                  <w:tcW w:w="433" w:type="pct"/>
                  <w:noWrap w:val="0"/>
                  <w:vAlign w:val="center"/>
                </w:tcPr>
                <w:p w14:paraId="5013D9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kern w:val="0"/>
                      <w:sz w:val="21"/>
                      <w:szCs w:val="21"/>
                      <w:vertAlign w:val="baseline"/>
                      <w:lang w:val="en-US" w:eastAsia="zh-CN" w:bidi="ar-SA"/>
                    </w:rPr>
                  </w:pPr>
                  <w:r>
                    <w:rPr>
                      <w:rFonts w:hint="eastAsia" w:ascii="Times New Roman" w:hAnsi="Times New Roman" w:eastAsia="宋体" w:cs="Times New Roman"/>
                      <w:b w:val="0"/>
                      <w:bCs w:val="0"/>
                      <w:color w:val="FF0000"/>
                      <w:sz w:val="21"/>
                      <w:szCs w:val="21"/>
                      <w:vertAlign w:val="baseline"/>
                      <w:lang w:val="en-US" w:eastAsia="zh-CN"/>
                    </w:rPr>
                    <w:t>8</w:t>
                  </w:r>
                </w:p>
              </w:tc>
              <w:tc>
                <w:tcPr>
                  <w:tcW w:w="487" w:type="pct"/>
                  <w:noWrap w:val="0"/>
                  <w:vAlign w:val="center"/>
                </w:tcPr>
                <w:p w14:paraId="3CFEEF73">
                  <w:pPr>
                    <w:adjustRightInd w:val="0"/>
                    <w:snapToGrid w:val="0"/>
                    <w:jc w:val="center"/>
                    <w:rPr>
                      <w:rFonts w:hint="default" w:cs="Times New Roman"/>
                      <w:color w:val="auto"/>
                      <w:szCs w:val="21"/>
                      <w:lang w:val="en-US" w:eastAsia="zh-CN"/>
                    </w:rPr>
                  </w:pPr>
                  <w:r>
                    <w:rPr>
                      <w:rFonts w:hint="default" w:ascii="Times New Roman" w:hAnsi="Times New Roman" w:cs="Times New Roman"/>
                      <w:color w:val="auto"/>
                      <w:szCs w:val="21"/>
                    </w:rPr>
                    <w:t>t/a</w:t>
                  </w:r>
                </w:p>
              </w:tc>
              <w:tc>
                <w:tcPr>
                  <w:tcW w:w="409" w:type="pct"/>
                  <w:noWrap w:val="0"/>
                  <w:vAlign w:val="center"/>
                </w:tcPr>
                <w:p w14:paraId="6EA6EF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409" w:type="pct"/>
                  <w:noWrap w:val="0"/>
                  <w:vAlign w:val="center"/>
                </w:tcPr>
                <w:p w14:paraId="6253DC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1A112B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5DC807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袋装</w:t>
                  </w:r>
                </w:p>
              </w:tc>
              <w:tc>
                <w:tcPr>
                  <w:tcW w:w="534" w:type="pct"/>
                  <w:noWrap w:val="0"/>
                  <w:vAlign w:val="center"/>
                </w:tcPr>
                <w:p w14:paraId="5449E11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无变动</w:t>
                  </w:r>
                </w:p>
              </w:tc>
            </w:tr>
            <w:tr w14:paraId="52E30E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49443050">
                  <w:pPr>
                    <w:snapToGrid w:val="0"/>
                    <w:jc w:val="center"/>
                    <w:rPr>
                      <w:rFonts w:hint="default" w:cs="宋体"/>
                      <w:color w:val="auto"/>
                      <w:kern w:val="0"/>
                      <w:szCs w:val="21"/>
                      <w:lang w:val="en-US" w:eastAsia="zh-CN"/>
                    </w:rPr>
                  </w:pPr>
                  <w:r>
                    <w:rPr>
                      <w:rFonts w:hint="eastAsia" w:cs="宋体"/>
                      <w:color w:val="auto"/>
                      <w:kern w:val="0"/>
                      <w:szCs w:val="21"/>
                      <w:lang w:val="en-US" w:eastAsia="zh-CN"/>
                    </w:rPr>
                    <w:t>7</w:t>
                  </w:r>
                </w:p>
              </w:tc>
              <w:tc>
                <w:tcPr>
                  <w:tcW w:w="552" w:type="pct"/>
                  <w:noWrap w:val="0"/>
                  <w:vAlign w:val="center"/>
                </w:tcPr>
                <w:p w14:paraId="0108F6AD">
                  <w:pPr>
                    <w:snapToGrid w:val="0"/>
                    <w:spacing w:line="240" w:lineRule="auto"/>
                    <w:jc w:val="center"/>
                    <w:textAlignment w:val="auto"/>
                    <w:rPr>
                      <w:rFonts w:hint="eastAsia"/>
                      <w:color w:val="auto"/>
                      <w:szCs w:val="21"/>
                      <w:lang w:eastAsia="zh-CN"/>
                    </w:rPr>
                  </w:pPr>
                  <w:r>
                    <w:rPr>
                      <w:rFonts w:hint="eastAsia"/>
                      <w:bCs/>
                      <w:color w:val="auto"/>
                      <w:szCs w:val="21"/>
                    </w:rPr>
                    <w:t>酒石酸</w:t>
                  </w:r>
                </w:p>
              </w:tc>
              <w:tc>
                <w:tcPr>
                  <w:tcW w:w="451" w:type="pct"/>
                  <w:vMerge w:val="continue"/>
                  <w:noWrap w:val="0"/>
                  <w:vAlign w:val="center"/>
                </w:tcPr>
                <w:p w14:paraId="085F6970">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Cs w:val="21"/>
                      <w:lang w:eastAsia="zh-CN"/>
                    </w:rPr>
                  </w:pPr>
                </w:p>
              </w:tc>
              <w:tc>
                <w:tcPr>
                  <w:tcW w:w="368" w:type="pct"/>
                  <w:noWrap w:val="0"/>
                  <w:vAlign w:val="center"/>
                </w:tcPr>
                <w:p w14:paraId="290E54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eastAsia="宋体" w:cs="Times New Roman"/>
                      <w:b w:val="0"/>
                      <w:bCs w:val="0"/>
                      <w:color w:val="auto"/>
                      <w:sz w:val="21"/>
                      <w:szCs w:val="21"/>
                      <w:vertAlign w:val="baseline"/>
                      <w:lang w:val="en-US" w:eastAsia="zh-CN"/>
                    </w:rPr>
                    <w:t>5</w:t>
                  </w:r>
                </w:p>
              </w:tc>
              <w:tc>
                <w:tcPr>
                  <w:tcW w:w="327" w:type="pct"/>
                  <w:noWrap w:val="0"/>
                  <w:vAlign w:val="center"/>
                </w:tcPr>
                <w:p w14:paraId="35F25741">
                  <w:pPr>
                    <w:adjustRightInd w:val="0"/>
                    <w:snapToGrid w:val="0"/>
                    <w:jc w:val="center"/>
                    <w:rPr>
                      <w:rFonts w:hint="eastAsia" w:cs="Times New Roman"/>
                      <w:color w:val="auto"/>
                      <w:szCs w:val="21"/>
                      <w:lang w:val="en-US" w:eastAsia="zh-CN"/>
                    </w:rPr>
                  </w:pPr>
                  <w:r>
                    <w:rPr>
                      <w:rFonts w:hint="default" w:ascii="Times New Roman" w:hAnsi="Times New Roman" w:cs="Times New Roman"/>
                      <w:color w:val="auto"/>
                      <w:szCs w:val="21"/>
                    </w:rPr>
                    <w:t>t/a</w:t>
                  </w:r>
                </w:p>
              </w:tc>
              <w:tc>
                <w:tcPr>
                  <w:tcW w:w="433" w:type="pct"/>
                  <w:noWrap w:val="0"/>
                  <w:vAlign w:val="center"/>
                </w:tcPr>
                <w:p w14:paraId="5D094E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rPr>
                  </w:pPr>
                  <w:r>
                    <w:rPr>
                      <w:rFonts w:hint="eastAsia" w:ascii="Times New Roman" w:hAnsi="Times New Roman" w:eastAsia="宋体" w:cs="Times New Roman"/>
                      <w:b w:val="0"/>
                      <w:bCs w:val="0"/>
                      <w:color w:val="FF0000"/>
                      <w:sz w:val="21"/>
                      <w:szCs w:val="21"/>
                      <w:vertAlign w:val="baseline"/>
                      <w:lang w:val="en-US" w:eastAsia="zh-CN"/>
                    </w:rPr>
                    <w:t>5</w:t>
                  </w:r>
                </w:p>
              </w:tc>
              <w:tc>
                <w:tcPr>
                  <w:tcW w:w="487" w:type="pct"/>
                  <w:noWrap w:val="0"/>
                  <w:vAlign w:val="center"/>
                </w:tcPr>
                <w:p w14:paraId="2B35F1CD">
                  <w:pPr>
                    <w:adjustRightInd w:val="0"/>
                    <w:snapToGrid w:val="0"/>
                    <w:jc w:val="center"/>
                    <w:rPr>
                      <w:rFonts w:hint="default" w:cs="Times New Roman"/>
                      <w:color w:val="auto"/>
                      <w:szCs w:val="21"/>
                      <w:lang w:val="en-US" w:eastAsia="zh-CN"/>
                    </w:rPr>
                  </w:pPr>
                  <w:r>
                    <w:rPr>
                      <w:rFonts w:hint="default" w:ascii="Times New Roman" w:hAnsi="Times New Roman" w:cs="Times New Roman"/>
                      <w:color w:val="auto"/>
                      <w:szCs w:val="21"/>
                    </w:rPr>
                    <w:t>t/a</w:t>
                  </w:r>
                </w:p>
              </w:tc>
              <w:tc>
                <w:tcPr>
                  <w:tcW w:w="409" w:type="pct"/>
                  <w:noWrap w:val="0"/>
                  <w:vAlign w:val="center"/>
                </w:tcPr>
                <w:p w14:paraId="446737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409" w:type="pct"/>
                  <w:noWrap w:val="0"/>
                  <w:vAlign w:val="center"/>
                </w:tcPr>
                <w:p w14:paraId="54BFAE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388DCE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4446A2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袋装</w:t>
                  </w:r>
                </w:p>
              </w:tc>
              <w:tc>
                <w:tcPr>
                  <w:tcW w:w="534" w:type="pct"/>
                  <w:noWrap w:val="0"/>
                  <w:vAlign w:val="center"/>
                </w:tcPr>
                <w:p w14:paraId="235B644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无变动</w:t>
                  </w:r>
                </w:p>
              </w:tc>
            </w:tr>
            <w:tr w14:paraId="2699FB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501" w:hRule="atLeast"/>
              </w:trPr>
              <w:tc>
                <w:tcPr>
                  <w:tcW w:w="208" w:type="pct"/>
                  <w:noWrap w:val="0"/>
                  <w:vAlign w:val="center"/>
                </w:tcPr>
                <w:p w14:paraId="51BBFAE2">
                  <w:pPr>
                    <w:snapToGrid w:val="0"/>
                    <w:jc w:val="center"/>
                    <w:rPr>
                      <w:rFonts w:hint="default" w:cs="宋体"/>
                      <w:color w:val="auto"/>
                      <w:kern w:val="0"/>
                      <w:szCs w:val="21"/>
                      <w:lang w:val="en-US" w:eastAsia="zh-CN"/>
                    </w:rPr>
                  </w:pPr>
                  <w:r>
                    <w:rPr>
                      <w:rFonts w:hint="eastAsia" w:cs="宋体"/>
                      <w:color w:val="auto"/>
                      <w:kern w:val="0"/>
                      <w:szCs w:val="21"/>
                      <w:lang w:val="en-US" w:eastAsia="zh-CN"/>
                    </w:rPr>
                    <w:t>8</w:t>
                  </w:r>
                </w:p>
              </w:tc>
              <w:tc>
                <w:tcPr>
                  <w:tcW w:w="552" w:type="pct"/>
                  <w:noWrap w:val="0"/>
                  <w:vAlign w:val="center"/>
                </w:tcPr>
                <w:p w14:paraId="788A6B47">
                  <w:pPr>
                    <w:snapToGrid w:val="0"/>
                    <w:spacing w:line="240" w:lineRule="auto"/>
                    <w:jc w:val="center"/>
                    <w:textAlignment w:val="auto"/>
                    <w:rPr>
                      <w:rFonts w:hint="eastAsia"/>
                      <w:color w:val="auto"/>
                      <w:szCs w:val="21"/>
                      <w:lang w:eastAsia="zh-CN"/>
                    </w:rPr>
                  </w:pPr>
                  <w:r>
                    <w:rPr>
                      <w:rFonts w:hint="eastAsia"/>
                      <w:bCs/>
                      <w:color w:val="auto"/>
                      <w:szCs w:val="21"/>
                    </w:rPr>
                    <w:t>聚乙烯吡咯烷酮</w:t>
                  </w:r>
                </w:p>
              </w:tc>
              <w:tc>
                <w:tcPr>
                  <w:tcW w:w="451" w:type="pct"/>
                  <w:vMerge w:val="continue"/>
                  <w:noWrap w:val="0"/>
                  <w:vAlign w:val="center"/>
                </w:tcPr>
                <w:p w14:paraId="4937D7EB">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Cs w:val="21"/>
                      <w:lang w:eastAsia="zh-CN"/>
                    </w:rPr>
                  </w:pPr>
                </w:p>
              </w:tc>
              <w:tc>
                <w:tcPr>
                  <w:tcW w:w="368" w:type="pct"/>
                  <w:noWrap w:val="0"/>
                  <w:vAlign w:val="center"/>
                </w:tcPr>
                <w:p w14:paraId="234338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eastAsia="宋体" w:cs="Times New Roman"/>
                      <w:b w:val="0"/>
                      <w:bCs w:val="0"/>
                      <w:color w:val="auto"/>
                      <w:sz w:val="21"/>
                      <w:szCs w:val="21"/>
                      <w:vertAlign w:val="baseline"/>
                      <w:lang w:val="en-US" w:eastAsia="zh-CN"/>
                    </w:rPr>
                    <w:t>130</w:t>
                  </w:r>
                </w:p>
              </w:tc>
              <w:tc>
                <w:tcPr>
                  <w:tcW w:w="327" w:type="pct"/>
                  <w:noWrap w:val="0"/>
                  <w:vAlign w:val="center"/>
                </w:tcPr>
                <w:p w14:paraId="27838F7D">
                  <w:pPr>
                    <w:adjustRightInd w:val="0"/>
                    <w:snapToGrid w:val="0"/>
                    <w:jc w:val="center"/>
                    <w:rPr>
                      <w:rFonts w:hint="eastAsia" w:cs="Times New Roman"/>
                      <w:color w:val="auto"/>
                      <w:szCs w:val="21"/>
                      <w:lang w:val="en-US" w:eastAsia="zh-CN"/>
                    </w:rPr>
                  </w:pPr>
                  <w:r>
                    <w:rPr>
                      <w:rFonts w:hint="default" w:ascii="Times New Roman" w:hAnsi="Times New Roman" w:cs="Times New Roman"/>
                      <w:color w:val="auto"/>
                      <w:szCs w:val="21"/>
                    </w:rPr>
                    <w:t>t/a</w:t>
                  </w:r>
                </w:p>
              </w:tc>
              <w:tc>
                <w:tcPr>
                  <w:tcW w:w="433" w:type="pct"/>
                  <w:noWrap w:val="0"/>
                  <w:vAlign w:val="center"/>
                </w:tcPr>
                <w:p w14:paraId="765E71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rPr>
                  </w:pPr>
                  <w:r>
                    <w:rPr>
                      <w:rFonts w:hint="eastAsia" w:ascii="Times New Roman" w:hAnsi="Times New Roman" w:eastAsia="宋体" w:cs="Times New Roman"/>
                      <w:b w:val="0"/>
                      <w:bCs w:val="0"/>
                      <w:color w:val="FF0000"/>
                      <w:sz w:val="21"/>
                      <w:szCs w:val="21"/>
                      <w:vertAlign w:val="baseline"/>
                      <w:lang w:val="en-US" w:eastAsia="zh-CN"/>
                    </w:rPr>
                    <w:t>130</w:t>
                  </w:r>
                </w:p>
              </w:tc>
              <w:tc>
                <w:tcPr>
                  <w:tcW w:w="487" w:type="pct"/>
                  <w:noWrap w:val="0"/>
                  <w:vAlign w:val="center"/>
                </w:tcPr>
                <w:p w14:paraId="65AF5CBB">
                  <w:pPr>
                    <w:adjustRightInd w:val="0"/>
                    <w:snapToGrid w:val="0"/>
                    <w:jc w:val="center"/>
                    <w:rPr>
                      <w:rFonts w:hint="default" w:cs="Times New Roman"/>
                      <w:color w:val="auto"/>
                      <w:szCs w:val="21"/>
                      <w:lang w:val="en-US" w:eastAsia="zh-CN"/>
                    </w:rPr>
                  </w:pPr>
                  <w:r>
                    <w:rPr>
                      <w:rFonts w:hint="default" w:ascii="Times New Roman" w:hAnsi="Times New Roman" w:cs="Times New Roman"/>
                      <w:color w:val="auto"/>
                      <w:szCs w:val="21"/>
                    </w:rPr>
                    <w:t>t/a</w:t>
                  </w:r>
                </w:p>
              </w:tc>
              <w:tc>
                <w:tcPr>
                  <w:tcW w:w="409" w:type="pct"/>
                  <w:noWrap w:val="0"/>
                  <w:vAlign w:val="center"/>
                </w:tcPr>
                <w:p w14:paraId="706FD2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15</w:t>
                  </w:r>
                </w:p>
              </w:tc>
              <w:tc>
                <w:tcPr>
                  <w:tcW w:w="409" w:type="pct"/>
                  <w:noWrap w:val="0"/>
                  <w:vAlign w:val="center"/>
                </w:tcPr>
                <w:p w14:paraId="74D2DC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粉状</w:t>
                  </w:r>
                </w:p>
              </w:tc>
              <w:tc>
                <w:tcPr>
                  <w:tcW w:w="409" w:type="pct"/>
                  <w:noWrap w:val="0"/>
                  <w:vAlign w:val="center"/>
                </w:tcPr>
                <w:p w14:paraId="723F2A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7CBC7D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noWrap w:val="0"/>
                  <w:vAlign w:val="center"/>
                </w:tcPr>
                <w:p w14:paraId="61FF65C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无变动</w:t>
                  </w:r>
                </w:p>
              </w:tc>
            </w:tr>
            <w:tr w14:paraId="378B95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1F265870">
                  <w:pPr>
                    <w:snapToGrid w:val="0"/>
                    <w:jc w:val="center"/>
                    <w:rPr>
                      <w:rFonts w:hint="default" w:cs="宋体"/>
                      <w:color w:val="auto"/>
                      <w:kern w:val="0"/>
                      <w:szCs w:val="21"/>
                      <w:lang w:val="en-US" w:eastAsia="zh-CN"/>
                    </w:rPr>
                  </w:pPr>
                  <w:r>
                    <w:rPr>
                      <w:rFonts w:hint="eastAsia" w:cs="宋体"/>
                      <w:color w:val="auto"/>
                      <w:kern w:val="0"/>
                      <w:szCs w:val="21"/>
                      <w:lang w:val="en-US" w:eastAsia="zh-CN"/>
                    </w:rPr>
                    <w:t>9</w:t>
                  </w:r>
                </w:p>
              </w:tc>
              <w:tc>
                <w:tcPr>
                  <w:tcW w:w="552" w:type="pct"/>
                  <w:noWrap w:val="0"/>
                  <w:vAlign w:val="center"/>
                </w:tcPr>
                <w:p w14:paraId="1F9B6D07">
                  <w:pPr>
                    <w:snapToGrid w:val="0"/>
                    <w:spacing w:line="240" w:lineRule="auto"/>
                    <w:jc w:val="center"/>
                    <w:textAlignment w:val="auto"/>
                    <w:rPr>
                      <w:rFonts w:hint="eastAsia"/>
                      <w:color w:val="auto"/>
                      <w:szCs w:val="21"/>
                      <w:lang w:eastAsia="zh-CN"/>
                    </w:rPr>
                  </w:pPr>
                  <w:r>
                    <w:rPr>
                      <w:rFonts w:hint="eastAsia"/>
                      <w:bCs/>
                      <w:color w:val="auto"/>
                      <w:szCs w:val="21"/>
                    </w:rPr>
                    <w:t>甘油</w:t>
                  </w:r>
                </w:p>
              </w:tc>
              <w:tc>
                <w:tcPr>
                  <w:tcW w:w="451" w:type="pct"/>
                  <w:vMerge w:val="continue"/>
                  <w:noWrap w:val="0"/>
                  <w:vAlign w:val="center"/>
                </w:tcPr>
                <w:p w14:paraId="231994A9">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auto"/>
                      <w:szCs w:val="21"/>
                      <w:lang w:eastAsia="zh-CN"/>
                    </w:rPr>
                  </w:pPr>
                </w:p>
              </w:tc>
              <w:tc>
                <w:tcPr>
                  <w:tcW w:w="368" w:type="pct"/>
                  <w:noWrap w:val="0"/>
                  <w:vAlign w:val="center"/>
                </w:tcPr>
                <w:p w14:paraId="16D273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eastAsia="宋体" w:cs="Times New Roman"/>
                      <w:b w:val="0"/>
                      <w:bCs w:val="0"/>
                      <w:color w:val="auto"/>
                      <w:sz w:val="21"/>
                      <w:szCs w:val="21"/>
                      <w:vertAlign w:val="baseline"/>
                      <w:lang w:val="en-US" w:eastAsia="zh-CN"/>
                    </w:rPr>
                    <w:t>10</w:t>
                  </w:r>
                </w:p>
              </w:tc>
              <w:tc>
                <w:tcPr>
                  <w:tcW w:w="327" w:type="pct"/>
                  <w:noWrap w:val="0"/>
                  <w:vAlign w:val="center"/>
                </w:tcPr>
                <w:p w14:paraId="131BCBB6">
                  <w:pPr>
                    <w:adjustRightInd w:val="0"/>
                    <w:snapToGrid w:val="0"/>
                    <w:jc w:val="center"/>
                    <w:rPr>
                      <w:rFonts w:hint="eastAsia" w:cs="Times New Roman"/>
                      <w:color w:val="auto"/>
                      <w:szCs w:val="21"/>
                      <w:lang w:val="en-US" w:eastAsia="zh-CN"/>
                    </w:rPr>
                  </w:pPr>
                  <w:r>
                    <w:rPr>
                      <w:rFonts w:hint="default" w:ascii="Times New Roman" w:hAnsi="Times New Roman" w:cs="Times New Roman"/>
                      <w:color w:val="auto"/>
                      <w:szCs w:val="21"/>
                    </w:rPr>
                    <w:t>t/a</w:t>
                  </w:r>
                </w:p>
              </w:tc>
              <w:tc>
                <w:tcPr>
                  <w:tcW w:w="433" w:type="pct"/>
                  <w:noWrap w:val="0"/>
                  <w:vAlign w:val="center"/>
                </w:tcPr>
                <w:p w14:paraId="247AFC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rPr>
                  </w:pPr>
                  <w:r>
                    <w:rPr>
                      <w:rFonts w:hint="eastAsia" w:ascii="Times New Roman" w:hAnsi="Times New Roman" w:eastAsia="宋体" w:cs="Times New Roman"/>
                      <w:b w:val="0"/>
                      <w:bCs w:val="0"/>
                      <w:color w:val="FF0000"/>
                      <w:sz w:val="21"/>
                      <w:szCs w:val="21"/>
                      <w:vertAlign w:val="baseline"/>
                      <w:lang w:val="en-US" w:eastAsia="zh-CN"/>
                    </w:rPr>
                    <w:t>10</w:t>
                  </w:r>
                </w:p>
              </w:tc>
              <w:tc>
                <w:tcPr>
                  <w:tcW w:w="487" w:type="pct"/>
                  <w:noWrap w:val="0"/>
                  <w:vAlign w:val="center"/>
                </w:tcPr>
                <w:p w14:paraId="17435610">
                  <w:pPr>
                    <w:adjustRightInd w:val="0"/>
                    <w:snapToGrid w:val="0"/>
                    <w:jc w:val="center"/>
                    <w:rPr>
                      <w:rFonts w:hint="default" w:cs="Times New Roman"/>
                      <w:color w:val="auto"/>
                      <w:szCs w:val="21"/>
                      <w:lang w:val="en-US" w:eastAsia="zh-CN"/>
                    </w:rPr>
                  </w:pPr>
                  <w:r>
                    <w:rPr>
                      <w:rFonts w:hint="default" w:ascii="Times New Roman" w:hAnsi="Times New Roman" w:cs="Times New Roman"/>
                      <w:color w:val="auto"/>
                      <w:szCs w:val="21"/>
                    </w:rPr>
                    <w:t>t/a</w:t>
                  </w:r>
                </w:p>
              </w:tc>
              <w:tc>
                <w:tcPr>
                  <w:tcW w:w="409" w:type="pct"/>
                  <w:noWrap w:val="0"/>
                  <w:vAlign w:val="center"/>
                </w:tcPr>
                <w:p w14:paraId="327841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409" w:type="pct"/>
                  <w:noWrap w:val="0"/>
                  <w:vAlign w:val="center"/>
                </w:tcPr>
                <w:p w14:paraId="7D0A4F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5E361B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0E1D5D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noWrap w:val="0"/>
                  <w:vAlign w:val="center"/>
                </w:tcPr>
                <w:p w14:paraId="2473CA1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无变动</w:t>
                  </w:r>
                </w:p>
              </w:tc>
            </w:tr>
            <w:tr w14:paraId="20F977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4BFCFC5C">
                  <w:pPr>
                    <w:snapToGrid w:val="0"/>
                    <w:jc w:val="center"/>
                    <w:rPr>
                      <w:rFonts w:hint="default" w:cs="宋体"/>
                      <w:color w:val="auto"/>
                      <w:kern w:val="0"/>
                      <w:szCs w:val="21"/>
                      <w:lang w:val="en-US" w:eastAsia="zh-CN"/>
                    </w:rPr>
                  </w:pPr>
                  <w:r>
                    <w:rPr>
                      <w:rFonts w:hint="eastAsia" w:cs="宋体"/>
                      <w:color w:val="auto"/>
                      <w:kern w:val="0"/>
                      <w:szCs w:val="21"/>
                      <w:lang w:val="en-US" w:eastAsia="zh-CN"/>
                    </w:rPr>
                    <w:t>10</w:t>
                  </w:r>
                </w:p>
              </w:tc>
              <w:tc>
                <w:tcPr>
                  <w:tcW w:w="552" w:type="pct"/>
                  <w:noWrap w:val="0"/>
                  <w:vAlign w:val="center"/>
                </w:tcPr>
                <w:p w14:paraId="0F56E956">
                  <w:pPr>
                    <w:snapToGrid w:val="0"/>
                    <w:spacing w:line="240" w:lineRule="auto"/>
                    <w:jc w:val="center"/>
                    <w:textAlignment w:val="auto"/>
                    <w:rPr>
                      <w:rFonts w:hint="eastAsia"/>
                      <w:color w:val="auto"/>
                      <w:szCs w:val="21"/>
                      <w:lang w:eastAsia="zh-CN"/>
                    </w:rPr>
                  </w:pPr>
                  <w:r>
                    <w:rPr>
                      <w:rFonts w:hint="eastAsia"/>
                      <w:bCs/>
                      <w:color w:val="auto"/>
                      <w:szCs w:val="21"/>
                    </w:rPr>
                    <w:t>无纺布</w:t>
                  </w:r>
                </w:p>
              </w:tc>
              <w:tc>
                <w:tcPr>
                  <w:tcW w:w="451" w:type="pct"/>
                  <w:vMerge w:val="continue"/>
                  <w:noWrap w:val="0"/>
                  <w:vAlign w:val="center"/>
                </w:tcPr>
                <w:p w14:paraId="63A57CDF">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lang w:val="en-US" w:eastAsia="zh-CN"/>
                    </w:rPr>
                  </w:pPr>
                </w:p>
              </w:tc>
              <w:tc>
                <w:tcPr>
                  <w:tcW w:w="368" w:type="pct"/>
                  <w:noWrap w:val="0"/>
                  <w:vAlign w:val="center"/>
                </w:tcPr>
                <w:p w14:paraId="33B87E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lang w:val="en-US"/>
                    </w:rPr>
                  </w:pPr>
                  <w:r>
                    <w:rPr>
                      <w:rFonts w:hint="eastAsia" w:cs="Times New Roman"/>
                      <w:b w:val="0"/>
                      <w:bCs w:val="0"/>
                      <w:color w:val="auto"/>
                      <w:sz w:val="21"/>
                      <w:szCs w:val="21"/>
                      <w:vertAlign w:val="baseline"/>
                      <w:lang w:val="en-US" w:eastAsia="zh-CN"/>
                    </w:rPr>
                    <w:t>20</w:t>
                  </w:r>
                </w:p>
              </w:tc>
              <w:tc>
                <w:tcPr>
                  <w:tcW w:w="327" w:type="pct"/>
                  <w:noWrap w:val="0"/>
                  <w:vAlign w:val="center"/>
                </w:tcPr>
                <w:p w14:paraId="4FCC28DC">
                  <w:pPr>
                    <w:adjustRightInd w:val="0"/>
                    <w:snapToGrid w:val="0"/>
                    <w:jc w:val="center"/>
                    <w:rPr>
                      <w:rFonts w:hint="eastAsia" w:cs="Times New Roman"/>
                      <w:color w:val="auto"/>
                      <w:szCs w:val="21"/>
                      <w:lang w:val="en-US" w:eastAsia="zh-CN"/>
                    </w:rPr>
                  </w:pPr>
                  <w:r>
                    <w:rPr>
                      <w:rFonts w:hint="default" w:ascii="Times New Roman" w:hAnsi="Times New Roman" w:cs="Times New Roman"/>
                      <w:color w:val="auto"/>
                      <w:szCs w:val="21"/>
                    </w:rPr>
                    <w:t>t/a</w:t>
                  </w:r>
                </w:p>
              </w:tc>
              <w:tc>
                <w:tcPr>
                  <w:tcW w:w="433" w:type="pct"/>
                  <w:noWrap w:val="0"/>
                  <w:vAlign w:val="center"/>
                </w:tcPr>
                <w:p w14:paraId="3D2C39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lang w:val="en-US"/>
                    </w:rPr>
                  </w:pPr>
                  <w:r>
                    <w:rPr>
                      <w:rFonts w:hint="eastAsia" w:cs="Times New Roman"/>
                      <w:b w:val="0"/>
                      <w:bCs w:val="0"/>
                      <w:color w:val="FF0000"/>
                      <w:sz w:val="21"/>
                      <w:szCs w:val="21"/>
                      <w:vertAlign w:val="baseline"/>
                      <w:lang w:val="en-US" w:eastAsia="zh-CN"/>
                    </w:rPr>
                    <w:t>20</w:t>
                  </w:r>
                </w:p>
              </w:tc>
              <w:tc>
                <w:tcPr>
                  <w:tcW w:w="487" w:type="pct"/>
                  <w:noWrap w:val="0"/>
                  <w:vAlign w:val="center"/>
                </w:tcPr>
                <w:p w14:paraId="092D3D12">
                  <w:pPr>
                    <w:adjustRightInd w:val="0"/>
                    <w:snapToGrid w:val="0"/>
                    <w:jc w:val="center"/>
                    <w:rPr>
                      <w:rFonts w:hint="default" w:cs="Times New Roman"/>
                      <w:color w:val="auto"/>
                      <w:szCs w:val="21"/>
                      <w:lang w:val="en-US" w:eastAsia="zh-CN"/>
                    </w:rPr>
                  </w:pPr>
                  <w:r>
                    <w:rPr>
                      <w:rFonts w:hint="default" w:ascii="Times New Roman" w:hAnsi="Times New Roman" w:cs="Times New Roman"/>
                      <w:color w:val="auto"/>
                      <w:szCs w:val="21"/>
                    </w:rPr>
                    <w:t>t/a</w:t>
                  </w:r>
                </w:p>
              </w:tc>
              <w:tc>
                <w:tcPr>
                  <w:tcW w:w="409" w:type="pct"/>
                  <w:noWrap w:val="0"/>
                  <w:vAlign w:val="center"/>
                </w:tcPr>
                <w:p w14:paraId="3F9370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auto"/>
                      <w:lang w:val="en-US" w:eastAsia="zh-CN"/>
                    </w:rPr>
                  </w:pPr>
                  <w:r>
                    <w:rPr>
                      <w:rFonts w:hint="eastAsia" w:cs="Times New Roman"/>
                      <w:b w:val="0"/>
                      <w:bCs w:val="0"/>
                      <w:color w:val="auto"/>
                      <w:sz w:val="21"/>
                      <w:szCs w:val="21"/>
                      <w:vertAlign w:val="baseline"/>
                      <w:lang w:val="en-US" w:eastAsia="zh-CN"/>
                    </w:rPr>
                    <w:t>0.2</w:t>
                  </w:r>
                </w:p>
              </w:tc>
              <w:tc>
                <w:tcPr>
                  <w:tcW w:w="409" w:type="pct"/>
                  <w:noWrap w:val="0"/>
                  <w:vAlign w:val="center"/>
                </w:tcPr>
                <w:p w14:paraId="7D5A5A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4D7E30C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2EB718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lang w:val="en-US" w:eastAsia="zh-CN"/>
                    </w:rPr>
                  </w:pPr>
                  <w:r>
                    <w:rPr>
                      <w:rFonts w:hint="eastAsia" w:ascii="Times New Roman" w:hAnsi="Times New Roman" w:eastAsia="宋体" w:cs="Times New Roman"/>
                      <w:b w:val="0"/>
                      <w:bCs w:val="0"/>
                      <w:color w:val="FF0000"/>
                      <w:sz w:val="21"/>
                      <w:szCs w:val="21"/>
                      <w:vertAlign w:val="baseline"/>
                      <w:lang w:val="en-US" w:eastAsia="zh-CN"/>
                    </w:rPr>
                    <w:t>袋装</w:t>
                  </w:r>
                </w:p>
              </w:tc>
              <w:tc>
                <w:tcPr>
                  <w:tcW w:w="534" w:type="pct"/>
                  <w:noWrap w:val="0"/>
                  <w:vAlign w:val="center"/>
                </w:tcPr>
                <w:p w14:paraId="42EF7E8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无变动</w:t>
                  </w:r>
                </w:p>
              </w:tc>
            </w:tr>
            <w:tr w14:paraId="59EDF9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501" w:hRule="atLeast"/>
              </w:trPr>
              <w:tc>
                <w:tcPr>
                  <w:tcW w:w="208" w:type="pct"/>
                  <w:noWrap w:val="0"/>
                  <w:vAlign w:val="center"/>
                </w:tcPr>
                <w:p w14:paraId="0056BC00">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11</w:t>
                  </w:r>
                </w:p>
              </w:tc>
              <w:tc>
                <w:tcPr>
                  <w:tcW w:w="552" w:type="pct"/>
                  <w:noWrap w:val="0"/>
                  <w:vAlign w:val="center"/>
                </w:tcPr>
                <w:p w14:paraId="4834F78C">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高粘度聚二甲基硅氧烷</w:t>
                  </w:r>
                </w:p>
              </w:tc>
              <w:tc>
                <w:tcPr>
                  <w:tcW w:w="451" w:type="pct"/>
                  <w:vMerge w:val="restart"/>
                  <w:noWrap w:val="0"/>
                  <w:vAlign w:val="center"/>
                </w:tcPr>
                <w:p w14:paraId="7EF92B2E">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医用硅酮疤痕凝胶</w:t>
                  </w:r>
                </w:p>
              </w:tc>
              <w:tc>
                <w:tcPr>
                  <w:tcW w:w="368" w:type="pct"/>
                  <w:noWrap w:val="0"/>
                  <w:vAlign w:val="center"/>
                </w:tcPr>
                <w:p w14:paraId="703974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 w:val="0"/>
                      <w:bCs w:val="0"/>
                      <w:color w:val="auto"/>
                      <w:sz w:val="21"/>
                      <w:szCs w:val="21"/>
                      <w:vertAlign w:val="baseline"/>
                      <w:lang w:val="en-US" w:eastAsia="zh-CN"/>
                    </w:rPr>
                    <w:t>4</w:t>
                  </w:r>
                </w:p>
              </w:tc>
              <w:tc>
                <w:tcPr>
                  <w:tcW w:w="327" w:type="pct"/>
                  <w:noWrap w:val="0"/>
                  <w:vAlign w:val="center"/>
                </w:tcPr>
                <w:p w14:paraId="7AB036ED">
                  <w:pPr>
                    <w:adjustRightInd w:val="0"/>
                    <w:snapToGrid w:val="0"/>
                    <w:jc w:val="center"/>
                    <w:rPr>
                      <w:rFonts w:hint="default" w:cs="Times New Roman"/>
                      <w:color w:val="auto"/>
                      <w:szCs w:val="21"/>
                      <w:highlight w:val="none"/>
                      <w:lang w:val="en-US" w:eastAsia="zh-CN"/>
                    </w:rPr>
                  </w:pPr>
                  <w:r>
                    <w:rPr>
                      <w:rFonts w:hint="default" w:ascii="Times New Roman" w:hAnsi="Times New Roman" w:cs="Times New Roman"/>
                      <w:color w:val="auto"/>
                      <w:szCs w:val="21"/>
                    </w:rPr>
                    <w:t>t/a</w:t>
                  </w:r>
                </w:p>
              </w:tc>
              <w:tc>
                <w:tcPr>
                  <w:tcW w:w="433" w:type="pct"/>
                  <w:noWrap w:val="0"/>
                  <w:vAlign w:val="center"/>
                </w:tcPr>
                <w:p w14:paraId="1984AE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highlight w:val="none"/>
                    </w:rPr>
                  </w:pPr>
                  <w:r>
                    <w:rPr>
                      <w:rFonts w:hint="eastAsia" w:ascii="Times New Roman" w:hAnsi="Times New Roman" w:eastAsia="宋体" w:cs="Times New Roman"/>
                      <w:b w:val="0"/>
                      <w:bCs w:val="0"/>
                      <w:color w:val="FF0000"/>
                      <w:sz w:val="21"/>
                      <w:szCs w:val="21"/>
                      <w:vertAlign w:val="baseline"/>
                      <w:lang w:val="en-US" w:eastAsia="zh-CN"/>
                    </w:rPr>
                    <w:t>4</w:t>
                  </w:r>
                </w:p>
              </w:tc>
              <w:tc>
                <w:tcPr>
                  <w:tcW w:w="487" w:type="pct"/>
                  <w:noWrap w:val="0"/>
                  <w:vAlign w:val="center"/>
                </w:tcPr>
                <w:p w14:paraId="7364BB89">
                  <w:pPr>
                    <w:adjustRightInd w:val="0"/>
                    <w:snapToGrid w:val="0"/>
                    <w:jc w:val="center"/>
                    <w:rPr>
                      <w:rFonts w:hint="default"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5F6115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409" w:type="pct"/>
                  <w:noWrap w:val="0"/>
                  <w:vAlign w:val="center"/>
                </w:tcPr>
                <w:p w14:paraId="0A6309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558EED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436C0C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noWrap w:val="0"/>
                  <w:vAlign w:val="center"/>
                </w:tcPr>
                <w:p w14:paraId="676AE3B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无变动</w:t>
                  </w:r>
                </w:p>
              </w:tc>
            </w:tr>
            <w:tr w14:paraId="48805B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501" w:hRule="atLeast"/>
              </w:trPr>
              <w:tc>
                <w:tcPr>
                  <w:tcW w:w="208" w:type="pct"/>
                  <w:noWrap w:val="0"/>
                  <w:vAlign w:val="center"/>
                </w:tcPr>
                <w:p w14:paraId="1F5ED3BB">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12</w:t>
                  </w:r>
                </w:p>
              </w:tc>
              <w:tc>
                <w:tcPr>
                  <w:tcW w:w="552" w:type="pct"/>
                  <w:noWrap w:val="0"/>
                  <w:vAlign w:val="center"/>
                </w:tcPr>
                <w:p w14:paraId="2501D063">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低粘度聚二甲硅氧烷</w:t>
                  </w:r>
                </w:p>
              </w:tc>
              <w:tc>
                <w:tcPr>
                  <w:tcW w:w="451" w:type="pct"/>
                  <w:vMerge w:val="continue"/>
                  <w:noWrap w:val="0"/>
                  <w:vAlign w:val="center"/>
                </w:tcPr>
                <w:p w14:paraId="35F650AB">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0AB913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 w:val="0"/>
                      <w:bCs w:val="0"/>
                      <w:color w:val="auto"/>
                      <w:sz w:val="21"/>
                      <w:szCs w:val="21"/>
                      <w:vertAlign w:val="baseline"/>
                      <w:lang w:val="en-US" w:eastAsia="zh-CN"/>
                    </w:rPr>
                    <w:t>4</w:t>
                  </w:r>
                </w:p>
              </w:tc>
              <w:tc>
                <w:tcPr>
                  <w:tcW w:w="327" w:type="pct"/>
                  <w:noWrap w:val="0"/>
                  <w:vAlign w:val="center"/>
                </w:tcPr>
                <w:p w14:paraId="341D5F5B">
                  <w:pPr>
                    <w:adjustRightInd w:val="0"/>
                    <w:snapToGrid w:val="0"/>
                    <w:jc w:val="center"/>
                    <w:rPr>
                      <w:rFonts w:hint="default" w:cs="Times New Roman"/>
                      <w:color w:val="auto"/>
                      <w:szCs w:val="21"/>
                      <w:highlight w:val="none"/>
                      <w:lang w:val="en-US" w:eastAsia="zh-CN"/>
                    </w:rPr>
                  </w:pPr>
                  <w:r>
                    <w:rPr>
                      <w:rFonts w:hint="default" w:ascii="Times New Roman" w:hAnsi="Times New Roman" w:cs="Times New Roman"/>
                      <w:color w:val="auto"/>
                      <w:szCs w:val="21"/>
                    </w:rPr>
                    <w:t>t/a</w:t>
                  </w:r>
                </w:p>
              </w:tc>
              <w:tc>
                <w:tcPr>
                  <w:tcW w:w="433" w:type="pct"/>
                  <w:noWrap w:val="0"/>
                  <w:vAlign w:val="center"/>
                </w:tcPr>
                <w:p w14:paraId="70BF9C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highlight w:val="none"/>
                    </w:rPr>
                  </w:pPr>
                  <w:r>
                    <w:rPr>
                      <w:rFonts w:hint="eastAsia" w:ascii="Times New Roman" w:hAnsi="Times New Roman" w:eastAsia="宋体" w:cs="Times New Roman"/>
                      <w:b w:val="0"/>
                      <w:bCs w:val="0"/>
                      <w:color w:val="FF0000"/>
                      <w:sz w:val="21"/>
                      <w:szCs w:val="21"/>
                      <w:vertAlign w:val="baseline"/>
                      <w:lang w:val="en-US" w:eastAsia="zh-CN"/>
                    </w:rPr>
                    <w:t>4</w:t>
                  </w:r>
                </w:p>
              </w:tc>
              <w:tc>
                <w:tcPr>
                  <w:tcW w:w="487" w:type="pct"/>
                  <w:noWrap w:val="0"/>
                  <w:vAlign w:val="center"/>
                </w:tcPr>
                <w:p w14:paraId="4ABF6F62">
                  <w:pPr>
                    <w:adjustRightInd w:val="0"/>
                    <w:snapToGrid w:val="0"/>
                    <w:jc w:val="center"/>
                    <w:rPr>
                      <w:rFonts w:hint="default"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0F58C9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0.5</w:t>
                  </w:r>
                </w:p>
              </w:tc>
              <w:tc>
                <w:tcPr>
                  <w:tcW w:w="409" w:type="pct"/>
                  <w:noWrap w:val="0"/>
                  <w:vAlign w:val="center"/>
                </w:tcPr>
                <w:p w14:paraId="445138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25C728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0F641D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noWrap w:val="0"/>
                  <w:vAlign w:val="center"/>
                </w:tcPr>
                <w:p w14:paraId="63766B7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无变动</w:t>
                  </w:r>
                </w:p>
              </w:tc>
            </w:tr>
            <w:tr w14:paraId="7712C2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501" w:hRule="atLeast"/>
              </w:trPr>
              <w:tc>
                <w:tcPr>
                  <w:tcW w:w="208" w:type="pct"/>
                  <w:noWrap w:val="0"/>
                  <w:vAlign w:val="center"/>
                </w:tcPr>
                <w:p w14:paraId="5F57B584">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13</w:t>
                  </w:r>
                </w:p>
              </w:tc>
              <w:tc>
                <w:tcPr>
                  <w:tcW w:w="552" w:type="pct"/>
                  <w:noWrap w:val="0"/>
                  <w:vAlign w:val="center"/>
                </w:tcPr>
                <w:p w14:paraId="636E5AE8">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六甲基二硅氧烷</w:t>
                  </w:r>
                </w:p>
              </w:tc>
              <w:tc>
                <w:tcPr>
                  <w:tcW w:w="451" w:type="pct"/>
                  <w:vMerge w:val="continue"/>
                  <w:noWrap w:val="0"/>
                  <w:vAlign w:val="center"/>
                </w:tcPr>
                <w:p w14:paraId="47AFE370">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523BC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 w:val="0"/>
                      <w:bCs w:val="0"/>
                      <w:color w:val="auto"/>
                      <w:sz w:val="21"/>
                      <w:szCs w:val="21"/>
                      <w:vertAlign w:val="baseline"/>
                      <w:lang w:val="en-US" w:eastAsia="zh-CN"/>
                    </w:rPr>
                    <w:t>2</w:t>
                  </w:r>
                </w:p>
              </w:tc>
              <w:tc>
                <w:tcPr>
                  <w:tcW w:w="327" w:type="pct"/>
                  <w:noWrap w:val="0"/>
                  <w:vAlign w:val="center"/>
                </w:tcPr>
                <w:p w14:paraId="2083367D">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33" w:type="pct"/>
                  <w:noWrap w:val="0"/>
                  <w:vAlign w:val="center"/>
                </w:tcPr>
                <w:p w14:paraId="08CBE8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highlight w:val="none"/>
                    </w:rPr>
                  </w:pPr>
                  <w:r>
                    <w:rPr>
                      <w:rFonts w:hint="eastAsia" w:ascii="Times New Roman" w:hAnsi="Times New Roman" w:eastAsia="宋体" w:cs="Times New Roman"/>
                      <w:b w:val="0"/>
                      <w:bCs w:val="0"/>
                      <w:color w:val="FF0000"/>
                      <w:sz w:val="21"/>
                      <w:szCs w:val="21"/>
                      <w:vertAlign w:val="baseline"/>
                      <w:lang w:val="en-US" w:eastAsia="zh-CN"/>
                    </w:rPr>
                    <w:t>2</w:t>
                  </w:r>
                </w:p>
              </w:tc>
              <w:tc>
                <w:tcPr>
                  <w:tcW w:w="487" w:type="pct"/>
                  <w:noWrap w:val="0"/>
                  <w:vAlign w:val="center"/>
                </w:tcPr>
                <w:p w14:paraId="78A7C915">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25C6ED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0.5</w:t>
                  </w:r>
                </w:p>
              </w:tc>
              <w:tc>
                <w:tcPr>
                  <w:tcW w:w="409" w:type="pct"/>
                  <w:noWrap w:val="0"/>
                  <w:vAlign w:val="center"/>
                </w:tcPr>
                <w:p w14:paraId="484808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76A7E61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1422E9E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noWrap w:val="0"/>
                  <w:vAlign w:val="center"/>
                </w:tcPr>
                <w:p w14:paraId="0DB20ADE">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无变动</w:t>
                  </w:r>
                </w:p>
              </w:tc>
            </w:tr>
            <w:tr w14:paraId="0F4DB7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149B8E83">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14</w:t>
                  </w:r>
                </w:p>
              </w:tc>
              <w:tc>
                <w:tcPr>
                  <w:tcW w:w="552" w:type="pct"/>
                  <w:noWrap w:val="0"/>
                  <w:vAlign w:val="center"/>
                </w:tcPr>
                <w:p w14:paraId="5CBB99B5">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硝酸铅</w:t>
                  </w:r>
                </w:p>
              </w:tc>
              <w:tc>
                <w:tcPr>
                  <w:tcW w:w="451" w:type="pct"/>
                  <w:vMerge w:val="restart"/>
                  <w:noWrap w:val="0"/>
                  <w:vAlign w:val="center"/>
                </w:tcPr>
                <w:p w14:paraId="1AB6A22B">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实验</w:t>
                  </w:r>
                </w:p>
              </w:tc>
              <w:tc>
                <w:tcPr>
                  <w:tcW w:w="368" w:type="pct"/>
                  <w:noWrap w:val="0"/>
                  <w:vAlign w:val="center"/>
                </w:tcPr>
                <w:p w14:paraId="55FC69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 w:val="0"/>
                      <w:bCs w:val="0"/>
                      <w:color w:val="auto"/>
                      <w:sz w:val="21"/>
                      <w:szCs w:val="21"/>
                      <w:vertAlign w:val="baseline"/>
                      <w:lang w:val="en-US" w:eastAsia="zh-CN"/>
                    </w:rPr>
                    <w:t>0.0001</w:t>
                  </w:r>
                </w:p>
              </w:tc>
              <w:tc>
                <w:tcPr>
                  <w:tcW w:w="327" w:type="pct"/>
                  <w:noWrap w:val="0"/>
                  <w:vAlign w:val="center"/>
                </w:tcPr>
                <w:p w14:paraId="49237A87">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33" w:type="pct"/>
                  <w:noWrap w:val="0"/>
                  <w:vAlign w:val="center"/>
                </w:tcPr>
                <w:p w14:paraId="0C1E8C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highlight w:val="none"/>
                    </w:rPr>
                  </w:pPr>
                  <w:r>
                    <w:rPr>
                      <w:rFonts w:hint="eastAsia" w:ascii="Times New Roman" w:hAnsi="Times New Roman" w:eastAsia="宋体" w:cs="Times New Roman"/>
                      <w:b w:val="0"/>
                      <w:bCs w:val="0"/>
                      <w:color w:val="FF0000"/>
                      <w:sz w:val="21"/>
                      <w:szCs w:val="21"/>
                      <w:vertAlign w:val="baseline"/>
                      <w:lang w:val="en-US" w:eastAsia="zh-CN"/>
                    </w:rPr>
                    <w:t>0.0001</w:t>
                  </w:r>
                </w:p>
              </w:tc>
              <w:tc>
                <w:tcPr>
                  <w:tcW w:w="487" w:type="pct"/>
                  <w:noWrap w:val="0"/>
                  <w:vAlign w:val="center"/>
                </w:tcPr>
                <w:p w14:paraId="44ADC74A">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3089DB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0.0000</w:t>
                  </w:r>
                  <w:r>
                    <w:rPr>
                      <w:rFonts w:hint="eastAsia" w:cs="Times New Roman"/>
                      <w:b w:val="0"/>
                      <w:bCs w:val="0"/>
                      <w:color w:val="auto"/>
                      <w:sz w:val="21"/>
                      <w:szCs w:val="21"/>
                      <w:vertAlign w:val="baseline"/>
                      <w:lang w:val="en-US" w:eastAsia="zh-CN"/>
                    </w:rPr>
                    <w:t>2</w:t>
                  </w:r>
                </w:p>
              </w:tc>
              <w:tc>
                <w:tcPr>
                  <w:tcW w:w="409" w:type="pct"/>
                  <w:noWrap w:val="0"/>
                  <w:vAlign w:val="center"/>
                </w:tcPr>
                <w:p w14:paraId="636E90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0147D1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1ACAAD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瓶装</w:t>
                  </w:r>
                </w:p>
              </w:tc>
              <w:tc>
                <w:tcPr>
                  <w:tcW w:w="534" w:type="pct"/>
                  <w:noWrap w:val="0"/>
                  <w:vAlign w:val="center"/>
                </w:tcPr>
                <w:p w14:paraId="7B27848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无变动</w:t>
                  </w:r>
                </w:p>
              </w:tc>
            </w:tr>
            <w:tr w14:paraId="1BF4EE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042CB257">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15</w:t>
                  </w:r>
                </w:p>
              </w:tc>
              <w:tc>
                <w:tcPr>
                  <w:tcW w:w="552" w:type="pct"/>
                  <w:noWrap w:val="0"/>
                  <w:vAlign w:val="center"/>
                </w:tcPr>
                <w:p w14:paraId="17CFA66B">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醋酸盐</w:t>
                  </w:r>
                </w:p>
              </w:tc>
              <w:tc>
                <w:tcPr>
                  <w:tcW w:w="451" w:type="pct"/>
                  <w:vMerge w:val="continue"/>
                  <w:noWrap w:val="0"/>
                  <w:vAlign w:val="center"/>
                </w:tcPr>
                <w:p w14:paraId="48423A55">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362C1A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 w:val="0"/>
                      <w:bCs w:val="0"/>
                      <w:color w:val="auto"/>
                      <w:sz w:val="21"/>
                      <w:szCs w:val="21"/>
                      <w:vertAlign w:val="baseline"/>
                      <w:lang w:val="en-US" w:eastAsia="zh-CN"/>
                    </w:rPr>
                    <w:t>0.0001</w:t>
                  </w:r>
                </w:p>
              </w:tc>
              <w:tc>
                <w:tcPr>
                  <w:tcW w:w="327" w:type="pct"/>
                  <w:noWrap w:val="0"/>
                  <w:vAlign w:val="center"/>
                </w:tcPr>
                <w:p w14:paraId="7600CC9B">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33" w:type="pct"/>
                  <w:noWrap w:val="0"/>
                  <w:vAlign w:val="center"/>
                </w:tcPr>
                <w:p w14:paraId="11BCF2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highlight w:val="none"/>
                    </w:rPr>
                  </w:pPr>
                  <w:r>
                    <w:rPr>
                      <w:rFonts w:hint="eastAsia" w:ascii="Times New Roman" w:hAnsi="Times New Roman" w:eastAsia="宋体" w:cs="Times New Roman"/>
                      <w:b w:val="0"/>
                      <w:bCs w:val="0"/>
                      <w:color w:val="FF0000"/>
                      <w:sz w:val="21"/>
                      <w:szCs w:val="21"/>
                      <w:vertAlign w:val="baseline"/>
                      <w:lang w:val="en-US" w:eastAsia="zh-CN"/>
                    </w:rPr>
                    <w:t>0.0001</w:t>
                  </w:r>
                </w:p>
              </w:tc>
              <w:tc>
                <w:tcPr>
                  <w:tcW w:w="487" w:type="pct"/>
                  <w:noWrap w:val="0"/>
                  <w:vAlign w:val="center"/>
                </w:tcPr>
                <w:p w14:paraId="7C953C96">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730F8E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0.00002</w:t>
                  </w:r>
                </w:p>
              </w:tc>
              <w:tc>
                <w:tcPr>
                  <w:tcW w:w="409" w:type="pct"/>
                  <w:noWrap w:val="0"/>
                  <w:vAlign w:val="center"/>
                </w:tcPr>
                <w:p w14:paraId="00FC09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54852B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57F1DC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瓶装</w:t>
                  </w:r>
                </w:p>
              </w:tc>
              <w:tc>
                <w:tcPr>
                  <w:tcW w:w="534" w:type="pct"/>
                  <w:noWrap w:val="0"/>
                  <w:vAlign w:val="center"/>
                </w:tcPr>
                <w:p w14:paraId="1B06778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无变动</w:t>
                  </w:r>
                </w:p>
              </w:tc>
            </w:tr>
            <w:tr w14:paraId="4A4BFF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7FF61A9A">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16</w:t>
                  </w:r>
                </w:p>
              </w:tc>
              <w:tc>
                <w:tcPr>
                  <w:tcW w:w="552" w:type="pct"/>
                  <w:noWrap w:val="0"/>
                  <w:vAlign w:val="center"/>
                </w:tcPr>
                <w:p w14:paraId="0D43FBED">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硫代乙酰胺</w:t>
                  </w:r>
                </w:p>
              </w:tc>
              <w:tc>
                <w:tcPr>
                  <w:tcW w:w="451" w:type="pct"/>
                  <w:vMerge w:val="continue"/>
                  <w:noWrap w:val="0"/>
                  <w:vAlign w:val="center"/>
                </w:tcPr>
                <w:p w14:paraId="1203C183">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759F0E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 w:val="0"/>
                      <w:bCs w:val="0"/>
                      <w:color w:val="auto"/>
                      <w:sz w:val="21"/>
                      <w:szCs w:val="21"/>
                      <w:vertAlign w:val="baseline"/>
                      <w:lang w:val="en-US" w:eastAsia="zh-CN"/>
                    </w:rPr>
                    <w:t>0.0001</w:t>
                  </w:r>
                </w:p>
              </w:tc>
              <w:tc>
                <w:tcPr>
                  <w:tcW w:w="327" w:type="pct"/>
                  <w:noWrap w:val="0"/>
                  <w:vAlign w:val="center"/>
                </w:tcPr>
                <w:p w14:paraId="696323DC">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33" w:type="pct"/>
                  <w:noWrap w:val="0"/>
                  <w:vAlign w:val="center"/>
                </w:tcPr>
                <w:p w14:paraId="5FAAAB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highlight w:val="none"/>
                    </w:rPr>
                  </w:pPr>
                  <w:r>
                    <w:rPr>
                      <w:rFonts w:hint="eastAsia" w:ascii="Times New Roman" w:hAnsi="Times New Roman" w:eastAsia="宋体" w:cs="Times New Roman"/>
                      <w:b w:val="0"/>
                      <w:bCs w:val="0"/>
                      <w:color w:val="FF0000"/>
                      <w:sz w:val="21"/>
                      <w:szCs w:val="21"/>
                      <w:vertAlign w:val="baseline"/>
                      <w:lang w:val="en-US" w:eastAsia="zh-CN"/>
                    </w:rPr>
                    <w:t>0.0001</w:t>
                  </w:r>
                </w:p>
              </w:tc>
              <w:tc>
                <w:tcPr>
                  <w:tcW w:w="487" w:type="pct"/>
                  <w:noWrap w:val="0"/>
                  <w:vAlign w:val="center"/>
                </w:tcPr>
                <w:p w14:paraId="0D1A6AA0">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7193BF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0.00002</w:t>
                  </w:r>
                </w:p>
              </w:tc>
              <w:tc>
                <w:tcPr>
                  <w:tcW w:w="409" w:type="pct"/>
                  <w:noWrap w:val="0"/>
                  <w:vAlign w:val="center"/>
                </w:tcPr>
                <w:p w14:paraId="7018AF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05815C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30CA27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瓶装</w:t>
                  </w:r>
                </w:p>
              </w:tc>
              <w:tc>
                <w:tcPr>
                  <w:tcW w:w="534" w:type="pct"/>
                  <w:noWrap w:val="0"/>
                  <w:vAlign w:val="center"/>
                </w:tcPr>
                <w:p w14:paraId="1A3549B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无变动</w:t>
                  </w:r>
                </w:p>
              </w:tc>
            </w:tr>
            <w:tr w14:paraId="2F9A94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1A101F35">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17</w:t>
                  </w:r>
                </w:p>
              </w:tc>
              <w:tc>
                <w:tcPr>
                  <w:tcW w:w="552" w:type="pct"/>
                  <w:noWrap w:val="0"/>
                  <w:vAlign w:val="center"/>
                </w:tcPr>
                <w:p w14:paraId="4EC7F1B8">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碘化钾</w:t>
                  </w:r>
                </w:p>
              </w:tc>
              <w:tc>
                <w:tcPr>
                  <w:tcW w:w="451" w:type="pct"/>
                  <w:vMerge w:val="continue"/>
                  <w:noWrap w:val="0"/>
                  <w:vAlign w:val="center"/>
                </w:tcPr>
                <w:p w14:paraId="6F4A0D85">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4C2C83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ascii="Times New Roman" w:hAnsi="Times New Roman" w:eastAsia="宋体" w:cs="Times New Roman"/>
                      <w:b w:val="0"/>
                      <w:bCs w:val="0"/>
                      <w:color w:val="auto"/>
                      <w:sz w:val="21"/>
                      <w:szCs w:val="21"/>
                      <w:vertAlign w:val="baseline"/>
                      <w:lang w:val="en-US" w:eastAsia="zh-CN"/>
                    </w:rPr>
                    <w:t>0.0015</w:t>
                  </w:r>
                </w:p>
              </w:tc>
              <w:tc>
                <w:tcPr>
                  <w:tcW w:w="327" w:type="pct"/>
                  <w:noWrap w:val="0"/>
                  <w:vAlign w:val="center"/>
                </w:tcPr>
                <w:p w14:paraId="6ACEBFD9">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33" w:type="pct"/>
                  <w:noWrap w:val="0"/>
                  <w:vAlign w:val="center"/>
                </w:tcPr>
                <w:p w14:paraId="24236F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highlight w:val="none"/>
                    </w:rPr>
                  </w:pPr>
                  <w:r>
                    <w:rPr>
                      <w:rFonts w:hint="eastAsia" w:ascii="Times New Roman" w:hAnsi="Times New Roman" w:eastAsia="宋体" w:cs="Times New Roman"/>
                      <w:b w:val="0"/>
                      <w:bCs w:val="0"/>
                      <w:color w:val="FF0000"/>
                      <w:sz w:val="21"/>
                      <w:szCs w:val="21"/>
                      <w:vertAlign w:val="baseline"/>
                      <w:lang w:val="en-US" w:eastAsia="zh-CN"/>
                    </w:rPr>
                    <w:t>0.0015</w:t>
                  </w:r>
                </w:p>
              </w:tc>
              <w:tc>
                <w:tcPr>
                  <w:tcW w:w="487" w:type="pct"/>
                  <w:noWrap w:val="0"/>
                  <w:vAlign w:val="center"/>
                </w:tcPr>
                <w:p w14:paraId="2BC5F946">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06E56B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0.0002</w:t>
                  </w:r>
                </w:p>
              </w:tc>
              <w:tc>
                <w:tcPr>
                  <w:tcW w:w="409" w:type="pct"/>
                  <w:noWrap w:val="0"/>
                  <w:vAlign w:val="center"/>
                </w:tcPr>
                <w:p w14:paraId="4A9624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5513B8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6D435D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瓶装</w:t>
                  </w:r>
                </w:p>
              </w:tc>
              <w:tc>
                <w:tcPr>
                  <w:tcW w:w="534" w:type="pct"/>
                  <w:noWrap w:val="0"/>
                  <w:vAlign w:val="center"/>
                </w:tcPr>
                <w:p w14:paraId="0787537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无变动</w:t>
                  </w:r>
                </w:p>
              </w:tc>
            </w:tr>
            <w:tr w14:paraId="1D74BF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415C2273">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18</w:t>
                  </w:r>
                </w:p>
              </w:tc>
              <w:tc>
                <w:tcPr>
                  <w:tcW w:w="552" w:type="pct"/>
                  <w:noWrap w:val="0"/>
                  <w:vAlign w:val="center"/>
                </w:tcPr>
                <w:p w14:paraId="3E215977">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硫酸</w:t>
                  </w:r>
                </w:p>
              </w:tc>
              <w:tc>
                <w:tcPr>
                  <w:tcW w:w="451" w:type="pct"/>
                  <w:vMerge w:val="continue"/>
                  <w:noWrap w:val="0"/>
                  <w:vAlign w:val="center"/>
                </w:tcPr>
                <w:p w14:paraId="3F67E92C">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7839BD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b w:val="0"/>
                      <w:bCs w:val="0"/>
                      <w:color w:val="auto"/>
                      <w:sz w:val="21"/>
                      <w:szCs w:val="21"/>
                      <w:vertAlign w:val="baseline"/>
                      <w:lang w:val="en-US" w:eastAsia="zh-CN"/>
                    </w:rPr>
                    <w:t>0.0001</w:t>
                  </w:r>
                </w:p>
              </w:tc>
              <w:tc>
                <w:tcPr>
                  <w:tcW w:w="327" w:type="pct"/>
                  <w:noWrap w:val="0"/>
                  <w:vAlign w:val="center"/>
                </w:tcPr>
                <w:p w14:paraId="13645A1E">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33" w:type="pct"/>
                  <w:noWrap w:val="0"/>
                  <w:vAlign w:val="center"/>
                </w:tcPr>
                <w:p w14:paraId="2062C5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highlight w:val="none"/>
                    </w:rPr>
                  </w:pPr>
                  <w:r>
                    <w:rPr>
                      <w:rFonts w:hint="eastAsia" w:cs="Times New Roman"/>
                      <w:b w:val="0"/>
                      <w:bCs w:val="0"/>
                      <w:color w:val="FF0000"/>
                      <w:sz w:val="21"/>
                      <w:szCs w:val="21"/>
                      <w:vertAlign w:val="baseline"/>
                      <w:lang w:val="en-US" w:eastAsia="zh-CN"/>
                    </w:rPr>
                    <w:t>0.0001</w:t>
                  </w:r>
                </w:p>
              </w:tc>
              <w:tc>
                <w:tcPr>
                  <w:tcW w:w="487" w:type="pct"/>
                  <w:noWrap w:val="0"/>
                  <w:vAlign w:val="center"/>
                </w:tcPr>
                <w:p w14:paraId="4D39C168">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7F2EB5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cs="Times New Roman"/>
                      <w:b w:val="0"/>
                      <w:bCs w:val="0"/>
                      <w:color w:val="auto"/>
                      <w:sz w:val="21"/>
                      <w:szCs w:val="21"/>
                      <w:vertAlign w:val="baseline"/>
                      <w:lang w:val="en-US" w:eastAsia="zh-CN"/>
                    </w:rPr>
                    <w:t>0.00002</w:t>
                  </w:r>
                </w:p>
              </w:tc>
              <w:tc>
                <w:tcPr>
                  <w:tcW w:w="409" w:type="pct"/>
                  <w:noWrap w:val="0"/>
                  <w:vAlign w:val="center"/>
                </w:tcPr>
                <w:p w14:paraId="7FA892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5F3B45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5F0417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瓶装</w:t>
                  </w:r>
                </w:p>
              </w:tc>
              <w:tc>
                <w:tcPr>
                  <w:tcW w:w="534" w:type="pct"/>
                  <w:noWrap w:val="0"/>
                  <w:vAlign w:val="center"/>
                </w:tcPr>
                <w:p w14:paraId="397AC9C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无变动</w:t>
                  </w:r>
                </w:p>
              </w:tc>
            </w:tr>
            <w:tr w14:paraId="526848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45DC2637">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19</w:t>
                  </w:r>
                </w:p>
              </w:tc>
              <w:tc>
                <w:tcPr>
                  <w:tcW w:w="552" w:type="pct"/>
                  <w:noWrap w:val="0"/>
                  <w:vAlign w:val="center"/>
                </w:tcPr>
                <w:p w14:paraId="1CD5F486">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硝酸</w:t>
                  </w:r>
                </w:p>
              </w:tc>
              <w:tc>
                <w:tcPr>
                  <w:tcW w:w="451" w:type="pct"/>
                  <w:vMerge w:val="continue"/>
                  <w:noWrap w:val="0"/>
                  <w:vAlign w:val="center"/>
                </w:tcPr>
                <w:p w14:paraId="6B2C4F90">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7AAF78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b w:val="0"/>
                      <w:bCs w:val="0"/>
                      <w:color w:val="auto"/>
                      <w:sz w:val="21"/>
                      <w:szCs w:val="21"/>
                      <w:vertAlign w:val="baseline"/>
                      <w:lang w:val="en-US" w:eastAsia="zh-CN"/>
                    </w:rPr>
                    <w:t>0.0001</w:t>
                  </w:r>
                </w:p>
              </w:tc>
              <w:tc>
                <w:tcPr>
                  <w:tcW w:w="327" w:type="pct"/>
                  <w:noWrap w:val="0"/>
                  <w:vAlign w:val="center"/>
                </w:tcPr>
                <w:p w14:paraId="1B3AE665">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33" w:type="pct"/>
                  <w:noWrap w:val="0"/>
                  <w:vAlign w:val="center"/>
                </w:tcPr>
                <w:p w14:paraId="3AB43D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Cs w:val="21"/>
                      <w:highlight w:val="none"/>
                    </w:rPr>
                  </w:pPr>
                  <w:r>
                    <w:rPr>
                      <w:rFonts w:hint="eastAsia" w:cs="Times New Roman"/>
                      <w:b w:val="0"/>
                      <w:bCs w:val="0"/>
                      <w:color w:val="FF0000"/>
                      <w:sz w:val="21"/>
                      <w:szCs w:val="21"/>
                      <w:vertAlign w:val="baseline"/>
                      <w:lang w:val="en-US" w:eastAsia="zh-CN"/>
                    </w:rPr>
                    <w:t>0.0001</w:t>
                  </w:r>
                </w:p>
              </w:tc>
              <w:tc>
                <w:tcPr>
                  <w:tcW w:w="487" w:type="pct"/>
                  <w:noWrap w:val="0"/>
                  <w:vAlign w:val="center"/>
                </w:tcPr>
                <w:p w14:paraId="3207A52F">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28A338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cs="Times New Roman"/>
                      <w:b w:val="0"/>
                      <w:bCs w:val="0"/>
                      <w:color w:val="auto"/>
                      <w:sz w:val="21"/>
                      <w:szCs w:val="21"/>
                      <w:vertAlign w:val="baseline"/>
                      <w:lang w:val="en-US" w:eastAsia="zh-CN"/>
                    </w:rPr>
                    <w:t>0.00002</w:t>
                  </w:r>
                </w:p>
              </w:tc>
              <w:tc>
                <w:tcPr>
                  <w:tcW w:w="409" w:type="pct"/>
                  <w:noWrap w:val="0"/>
                  <w:vAlign w:val="center"/>
                </w:tcPr>
                <w:p w14:paraId="43843A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3A3F1DF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4A2DB7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瓶装</w:t>
                  </w:r>
                </w:p>
              </w:tc>
              <w:tc>
                <w:tcPr>
                  <w:tcW w:w="534" w:type="pct"/>
                  <w:noWrap w:val="0"/>
                  <w:vAlign w:val="center"/>
                </w:tcPr>
                <w:p w14:paraId="524BB27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无变动</w:t>
                  </w:r>
                </w:p>
              </w:tc>
            </w:tr>
            <w:tr w14:paraId="69ED0C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474" w:hRule="atLeast"/>
              </w:trPr>
              <w:tc>
                <w:tcPr>
                  <w:tcW w:w="208" w:type="pct"/>
                  <w:noWrap w:val="0"/>
                  <w:vAlign w:val="center"/>
                </w:tcPr>
                <w:p w14:paraId="48010C31">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20</w:t>
                  </w:r>
                </w:p>
              </w:tc>
              <w:tc>
                <w:tcPr>
                  <w:tcW w:w="552" w:type="pct"/>
                  <w:noWrap w:val="0"/>
                  <w:vAlign w:val="center"/>
                </w:tcPr>
                <w:p w14:paraId="1CA16924">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Ⅲ</w:t>
                  </w:r>
                  <w:r>
                    <w:rPr>
                      <w:rFonts w:hint="eastAsia"/>
                      <w:color w:val="auto"/>
                      <w:szCs w:val="21"/>
                      <w:lang w:val="en-US" w:eastAsia="zh-CN"/>
                    </w:rPr>
                    <w:t>型</w:t>
                  </w:r>
                  <w:r>
                    <w:rPr>
                      <w:rFonts w:hint="eastAsia"/>
                      <w:color w:val="auto"/>
                      <w:szCs w:val="21"/>
                    </w:rPr>
                    <w:t>重组胶原蛋白</w:t>
                  </w:r>
                </w:p>
              </w:tc>
              <w:tc>
                <w:tcPr>
                  <w:tcW w:w="451" w:type="pct"/>
                  <w:vMerge w:val="restart"/>
                  <w:noWrap w:val="0"/>
                  <w:vAlign w:val="center"/>
                </w:tcPr>
                <w:p w14:paraId="23F192F0">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重组胶原蛋白贴</w:t>
                  </w:r>
                </w:p>
              </w:tc>
              <w:tc>
                <w:tcPr>
                  <w:tcW w:w="368" w:type="pct"/>
                  <w:noWrap w:val="0"/>
                  <w:vAlign w:val="center"/>
                </w:tcPr>
                <w:p w14:paraId="34B8C12D">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51F76BC6">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511E2840">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0.25</w:t>
                  </w:r>
                </w:p>
              </w:tc>
              <w:tc>
                <w:tcPr>
                  <w:tcW w:w="487" w:type="pct"/>
                  <w:noWrap w:val="0"/>
                  <w:vAlign w:val="center"/>
                </w:tcPr>
                <w:p w14:paraId="644820E6">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1EBC4EC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0.03</w:t>
                  </w:r>
                </w:p>
              </w:tc>
              <w:tc>
                <w:tcPr>
                  <w:tcW w:w="409" w:type="pct"/>
                  <w:noWrap w:val="0"/>
                  <w:vAlign w:val="center"/>
                </w:tcPr>
                <w:p w14:paraId="59D036C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4D84EA0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3B16148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noWrap w:val="0"/>
                  <w:vAlign w:val="center"/>
                </w:tcPr>
                <w:p w14:paraId="0F3CA59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6DFB94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3BE0B339">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21</w:t>
                  </w:r>
                </w:p>
              </w:tc>
              <w:tc>
                <w:tcPr>
                  <w:tcW w:w="552" w:type="pct"/>
                  <w:noWrap w:val="0"/>
                  <w:vAlign w:val="center"/>
                </w:tcPr>
                <w:p w14:paraId="38AFC1FB">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卡波姆</w:t>
                  </w:r>
                </w:p>
              </w:tc>
              <w:tc>
                <w:tcPr>
                  <w:tcW w:w="451" w:type="pct"/>
                  <w:vMerge w:val="continue"/>
                  <w:noWrap w:val="0"/>
                  <w:vAlign w:val="center"/>
                </w:tcPr>
                <w:p w14:paraId="0841386E">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0AAA572B">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3B9790BC">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60A5A2CF">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0.25</w:t>
                  </w:r>
                </w:p>
              </w:tc>
              <w:tc>
                <w:tcPr>
                  <w:tcW w:w="487" w:type="pct"/>
                  <w:noWrap w:val="0"/>
                  <w:vAlign w:val="center"/>
                </w:tcPr>
                <w:p w14:paraId="61DEF911">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0293C57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0.03</w:t>
                  </w:r>
                </w:p>
              </w:tc>
              <w:tc>
                <w:tcPr>
                  <w:tcW w:w="409" w:type="pct"/>
                  <w:noWrap w:val="0"/>
                  <w:vAlign w:val="center"/>
                </w:tcPr>
                <w:p w14:paraId="42E7264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粉状</w:t>
                  </w:r>
                </w:p>
              </w:tc>
              <w:tc>
                <w:tcPr>
                  <w:tcW w:w="409" w:type="pct"/>
                  <w:noWrap w:val="0"/>
                  <w:vAlign w:val="center"/>
                </w:tcPr>
                <w:p w14:paraId="1E3DA64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5464C07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袋</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1BB77FD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765009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56EBAB32">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22</w:t>
                  </w:r>
                </w:p>
              </w:tc>
              <w:tc>
                <w:tcPr>
                  <w:tcW w:w="552" w:type="pct"/>
                  <w:noWrap w:val="0"/>
                  <w:vAlign w:val="center"/>
                </w:tcPr>
                <w:p w14:paraId="747533F4">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甘油</w:t>
                  </w:r>
                </w:p>
              </w:tc>
              <w:tc>
                <w:tcPr>
                  <w:tcW w:w="451" w:type="pct"/>
                  <w:vMerge w:val="continue"/>
                  <w:noWrap w:val="0"/>
                  <w:vAlign w:val="center"/>
                </w:tcPr>
                <w:p w14:paraId="1016CEF3">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162A2421">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3D5CABAF">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1C56EE9B">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1.5</w:t>
                  </w:r>
                </w:p>
              </w:tc>
              <w:tc>
                <w:tcPr>
                  <w:tcW w:w="487" w:type="pct"/>
                  <w:noWrap w:val="0"/>
                  <w:vAlign w:val="center"/>
                </w:tcPr>
                <w:p w14:paraId="596995DB">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2900EAF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0.15</w:t>
                  </w:r>
                </w:p>
              </w:tc>
              <w:tc>
                <w:tcPr>
                  <w:tcW w:w="409" w:type="pct"/>
                  <w:noWrap w:val="0"/>
                  <w:vAlign w:val="center"/>
                </w:tcPr>
                <w:p w14:paraId="79BAEB7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41AE7F0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46E6F17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桶</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6C298F1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02E4BF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0A01468E">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23</w:t>
                  </w:r>
                </w:p>
              </w:tc>
              <w:tc>
                <w:tcPr>
                  <w:tcW w:w="552" w:type="pct"/>
                  <w:noWrap w:val="0"/>
                  <w:vAlign w:val="center"/>
                </w:tcPr>
                <w:p w14:paraId="5F5DCB4F">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丙二醇</w:t>
                  </w:r>
                </w:p>
              </w:tc>
              <w:tc>
                <w:tcPr>
                  <w:tcW w:w="451" w:type="pct"/>
                  <w:vMerge w:val="continue"/>
                  <w:noWrap w:val="0"/>
                  <w:vAlign w:val="center"/>
                </w:tcPr>
                <w:p w14:paraId="47C1E05E">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6CEB7D08">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068CEC00">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316E3F00">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6.25</w:t>
                  </w:r>
                </w:p>
              </w:tc>
              <w:tc>
                <w:tcPr>
                  <w:tcW w:w="487" w:type="pct"/>
                  <w:noWrap w:val="0"/>
                  <w:vAlign w:val="center"/>
                </w:tcPr>
                <w:p w14:paraId="6065A0E4">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4EF33B2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0.6</w:t>
                  </w:r>
                </w:p>
              </w:tc>
              <w:tc>
                <w:tcPr>
                  <w:tcW w:w="409" w:type="pct"/>
                  <w:noWrap w:val="0"/>
                  <w:vAlign w:val="center"/>
                </w:tcPr>
                <w:p w14:paraId="3DFD6E9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02408C9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254AE92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noWrap w:val="0"/>
                  <w:vAlign w:val="center"/>
                </w:tcPr>
                <w:p w14:paraId="05C317F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74FE48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3030016E">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24</w:t>
                  </w:r>
                </w:p>
              </w:tc>
              <w:tc>
                <w:tcPr>
                  <w:tcW w:w="552" w:type="pct"/>
                  <w:noWrap w:val="0"/>
                  <w:vAlign w:val="center"/>
                </w:tcPr>
                <w:p w14:paraId="73AC641D">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羟苯甲酯</w:t>
                  </w:r>
                </w:p>
              </w:tc>
              <w:tc>
                <w:tcPr>
                  <w:tcW w:w="451" w:type="pct"/>
                  <w:vMerge w:val="continue"/>
                  <w:noWrap w:val="0"/>
                  <w:vAlign w:val="center"/>
                </w:tcPr>
                <w:p w14:paraId="54670C63">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51AFDD61">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38E92614">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4A1E999B">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0.19</w:t>
                  </w:r>
                </w:p>
              </w:tc>
              <w:tc>
                <w:tcPr>
                  <w:tcW w:w="487" w:type="pct"/>
                  <w:noWrap w:val="0"/>
                  <w:vAlign w:val="center"/>
                </w:tcPr>
                <w:p w14:paraId="772D50B8">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0DBC9AB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0.03</w:t>
                  </w:r>
                </w:p>
              </w:tc>
              <w:tc>
                <w:tcPr>
                  <w:tcW w:w="409" w:type="pct"/>
                  <w:noWrap w:val="0"/>
                  <w:vAlign w:val="center"/>
                </w:tcPr>
                <w:p w14:paraId="35943B9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粉状</w:t>
                  </w:r>
                </w:p>
              </w:tc>
              <w:tc>
                <w:tcPr>
                  <w:tcW w:w="409" w:type="pct"/>
                  <w:noWrap w:val="0"/>
                  <w:vAlign w:val="center"/>
                </w:tcPr>
                <w:p w14:paraId="027A457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5725984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瓶</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506BBD3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5FA2A5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2E3A8AD8">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25</w:t>
                  </w:r>
                </w:p>
              </w:tc>
              <w:tc>
                <w:tcPr>
                  <w:tcW w:w="552" w:type="pct"/>
                  <w:noWrap w:val="0"/>
                  <w:vAlign w:val="center"/>
                </w:tcPr>
                <w:p w14:paraId="39511403">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羟苯丙酯</w:t>
                  </w:r>
                </w:p>
              </w:tc>
              <w:tc>
                <w:tcPr>
                  <w:tcW w:w="451" w:type="pct"/>
                  <w:vMerge w:val="continue"/>
                  <w:noWrap w:val="0"/>
                  <w:vAlign w:val="center"/>
                </w:tcPr>
                <w:p w14:paraId="53FAA9A3">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7DD37698">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6B663168">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62A4ACFD">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0.63</w:t>
                  </w:r>
                </w:p>
              </w:tc>
              <w:tc>
                <w:tcPr>
                  <w:tcW w:w="487" w:type="pct"/>
                  <w:noWrap w:val="0"/>
                  <w:vAlign w:val="center"/>
                </w:tcPr>
                <w:p w14:paraId="49E3B560">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075C147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0.05</w:t>
                  </w:r>
                </w:p>
              </w:tc>
              <w:tc>
                <w:tcPr>
                  <w:tcW w:w="409" w:type="pct"/>
                  <w:noWrap w:val="0"/>
                  <w:vAlign w:val="center"/>
                </w:tcPr>
                <w:p w14:paraId="5DDE66F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粉状</w:t>
                  </w:r>
                </w:p>
              </w:tc>
              <w:tc>
                <w:tcPr>
                  <w:tcW w:w="409" w:type="pct"/>
                  <w:noWrap w:val="0"/>
                  <w:vAlign w:val="center"/>
                </w:tcPr>
                <w:p w14:paraId="13B0C8D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7FAAFAB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瓶</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63FB375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0BD8E9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7BFD51D1">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26</w:t>
                  </w:r>
                </w:p>
              </w:tc>
              <w:tc>
                <w:tcPr>
                  <w:tcW w:w="552" w:type="pct"/>
                  <w:noWrap w:val="0"/>
                  <w:vAlign w:val="center"/>
                </w:tcPr>
                <w:p w14:paraId="39DCB94F">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纯化水</w:t>
                  </w:r>
                </w:p>
              </w:tc>
              <w:tc>
                <w:tcPr>
                  <w:tcW w:w="451" w:type="pct"/>
                  <w:vMerge w:val="continue"/>
                  <w:noWrap w:val="0"/>
                  <w:vAlign w:val="center"/>
                </w:tcPr>
                <w:p w14:paraId="507CF627">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42E095C0">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319B9E19">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5409B85A">
                  <w:pPr>
                    <w:snapToGrid w:val="0"/>
                    <w:spacing w:line="240" w:lineRule="auto"/>
                    <w:jc w:val="center"/>
                    <w:textAlignment w:val="auto"/>
                    <w:rPr>
                      <w:rFonts w:hint="default" w:ascii="Times New Roman" w:hAnsi="Times New Roman" w:cs="Times New Roman"/>
                      <w:color w:val="FF0000"/>
                      <w:szCs w:val="21"/>
                      <w:highlight w:val="none"/>
                      <w:lang w:val="en-US"/>
                    </w:rPr>
                  </w:pPr>
                  <w:r>
                    <w:rPr>
                      <w:rFonts w:hint="eastAsia"/>
                      <w:color w:val="FF0000"/>
                      <w:szCs w:val="21"/>
                      <w:lang w:val="en-US" w:eastAsia="zh-CN"/>
                    </w:rPr>
                    <w:t>120</w:t>
                  </w:r>
                </w:p>
              </w:tc>
              <w:tc>
                <w:tcPr>
                  <w:tcW w:w="487" w:type="pct"/>
                  <w:noWrap w:val="0"/>
                  <w:vAlign w:val="center"/>
                </w:tcPr>
                <w:p w14:paraId="0DCB5B5D">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040050E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w:t>
                  </w:r>
                </w:p>
              </w:tc>
              <w:tc>
                <w:tcPr>
                  <w:tcW w:w="409" w:type="pct"/>
                  <w:noWrap w:val="0"/>
                  <w:vAlign w:val="center"/>
                </w:tcPr>
                <w:p w14:paraId="1EEC633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436982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自制</w:t>
                  </w:r>
                </w:p>
              </w:tc>
              <w:tc>
                <w:tcPr>
                  <w:tcW w:w="410" w:type="pct"/>
                  <w:noWrap w:val="0"/>
                  <w:vAlign w:val="center"/>
                </w:tcPr>
                <w:p w14:paraId="25010E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534" w:type="pct"/>
                  <w:noWrap w:val="0"/>
                  <w:vAlign w:val="center"/>
                </w:tcPr>
                <w:p w14:paraId="55E71D1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13530A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7D81E643">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27</w:t>
                  </w:r>
                </w:p>
              </w:tc>
              <w:tc>
                <w:tcPr>
                  <w:tcW w:w="552" w:type="pct"/>
                  <w:noWrap w:val="0"/>
                  <w:vAlign w:val="center"/>
                </w:tcPr>
                <w:p w14:paraId="316690D1">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无纺布基材</w:t>
                  </w:r>
                </w:p>
              </w:tc>
              <w:tc>
                <w:tcPr>
                  <w:tcW w:w="451" w:type="pct"/>
                  <w:vMerge w:val="continue"/>
                  <w:noWrap w:val="0"/>
                  <w:vAlign w:val="center"/>
                </w:tcPr>
                <w:p w14:paraId="2C29BC3E">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3163C9CB">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4655C032">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05E02E8C">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4</w:t>
                  </w:r>
                </w:p>
              </w:tc>
              <w:tc>
                <w:tcPr>
                  <w:tcW w:w="487" w:type="pct"/>
                  <w:noWrap w:val="0"/>
                  <w:vAlign w:val="center"/>
                </w:tcPr>
                <w:p w14:paraId="34B52B5A">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5FF6B20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0.4</w:t>
                  </w:r>
                </w:p>
              </w:tc>
              <w:tc>
                <w:tcPr>
                  <w:tcW w:w="409" w:type="pct"/>
                  <w:noWrap w:val="0"/>
                  <w:vAlign w:val="center"/>
                </w:tcPr>
                <w:p w14:paraId="32037D1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5973405E">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36C41DF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袋</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3DED789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49F2B3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4A5529E4">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28</w:t>
                  </w:r>
                </w:p>
              </w:tc>
              <w:tc>
                <w:tcPr>
                  <w:tcW w:w="552" w:type="pct"/>
                  <w:noWrap w:val="0"/>
                  <w:vAlign w:val="center"/>
                </w:tcPr>
                <w:p w14:paraId="1092E668">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铝膜袋</w:t>
                  </w:r>
                </w:p>
              </w:tc>
              <w:tc>
                <w:tcPr>
                  <w:tcW w:w="451" w:type="pct"/>
                  <w:vMerge w:val="continue"/>
                  <w:noWrap w:val="0"/>
                  <w:vAlign w:val="center"/>
                </w:tcPr>
                <w:p w14:paraId="0C92985D">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147F3D45">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58B39E56">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757AD913">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3.5</w:t>
                  </w:r>
                </w:p>
              </w:tc>
              <w:tc>
                <w:tcPr>
                  <w:tcW w:w="487" w:type="pct"/>
                  <w:noWrap w:val="0"/>
                  <w:vAlign w:val="center"/>
                </w:tcPr>
                <w:p w14:paraId="3307113E">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582736E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0.4</w:t>
                  </w:r>
                </w:p>
              </w:tc>
              <w:tc>
                <w:tcPr>
                  <w:tcW w:w="409" w:type="pct"/>
                  <w:noWrap w:val="0"/>
                  <w:vAlign w:val="center"/>
                </w:tcPr>
                <w:p w14:paraId="1D342C5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0CB8916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691F2D4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袋</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2A846C4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22DAE8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501" w:hRule="atLeast"/>
              </w:trPr>
              <w:tc>
                <w:tcPr>
                  <w:tcW w:w="208" w:type="pct"/>
                  <w:noWrap w:val="0"/>
                  <w:vAlign w:val="center"/>
                </w:tcPr>
                <w:p w14:paraId="4297F7A8">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29</w:t>
                  </w:r>
                </w:p>
              </w:tc>
              <w:tc>
                <w:tcPr>
                  <w:tcW w:w="552" w:type="pct"/>
                  <w:noWrap w:val="0"/>
                  <w:vAlign w:val="center"/>
                </w:tcPr>
                <w:p w14:paraId="6915175C">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医用透明质酸钠</w:t>
                  </w:r>
                </w:p>
              </w:tc>
              <w:tc>
                <w:tcPr>
                  <w:tcW w:w="451" w:type="pct"/>
                  <w:vMerge w:val="restart"/>
                  <w:noWrap w:val="0"/>
                  <w:vAlign w:val="center"/>
                </w:tcPr>
                <w:p w14:paraId="543142F7">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医用透明质酸钠敷贴</w:t>
                  </w:r>
                </w:p>
              </w:tc>
              <w:tc>
                <w:tcPr>
                  <w:tcW w:w="368" w:type="pct"/>
                  <w:noWrap w:val="0"/>
                  <w:vAlign w:val="center"/>
                </w:tcPr>
                <w:p w14:paraId="427F7D17">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62AB6B77">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1E2227BA">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0.25</w:t>
                  </w:r>
                </w:p>
              </w:tc>
              <w:tc>
                <w:tcPr>
                  <w:tcW w:w="487" w:type="pct"/>
                  <w:noWrap w:val="0"/>
                  <w:vAlign w:val="center"/>
                </w:tcPr>
                <w:p w14:paraId="301B8C61">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39A56EC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0.03</w:t>
                  </w:r>
                </w:p>
              </w:tc>
              <w:tc>
                <w:tcPr>
                  <w:tcW w:w="409" w:type="pct"/>
                  <w:noWrap w:val="0"/>
                  <w:vAlign w:val="center"/>
                </w:tcPr>
                <w:p w14:paraId="0CD4B7F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31E0E28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09D9639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桶</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16F43A9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31E959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501" w:hRule="atLeast"/>
              </w:trPr>
              <w:tc>
                <w:tcPr>
                  <w:tcW w:w="208" w:type="pct"/>
                  <w:noWrap w:val="0"/>
                  <w:vAlign w:val="center"/>
                </w:tcPr>
                <w:p w14:paraId="42BF0763">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30</w:t>
                  </w:r>
                </w:p>
              </w:tc>
              <w:tc>
                <w:tcPr>
                  <w:tcW w:w="552" w:type="pct"/>
                  <w:noWrap w:val="0"/>
                  <w:vAlign w:val="center"/>
                </w:tcPr>
                <w:p w14:paraId="66A961DA">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D-(+)-海藻糖二水合物</w:t>
                  </w:r>
                </w:p>
              </w:tc>
              <w:tc>
                <w:tcPr>
                  <w:tcW w:w="451" w:type="pct"/>
                  <w:vMerge w:val="continue"/>
                  <w:noWrap w:val="0"/>
                  <w:vAlign w:val="center"/>
                </w:tcPr>
                <w:p w14:paraId="0C2968B5">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1E36411C">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21879975">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4A6E5A6B">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0.25</w:t>
                  </w:r>
                </w:p>
              </w:tc>
              <w:tc>
                <w:tcPr>
                  <w:tcW w:w="487" w:type="pct"/>
                  <w:noWrap w:val="0"/>
                  <w:vAlign w:val="center"/>
                </w:tcPr>
                <w:p w14:paraId="12649664">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627A271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0.03</w:t>
                  </w:r>
                </w:p>
              </w:tc>
              <w:tc>
                <w:tcPr>
                  <w:tcW w:w="409" w:type="pct"/>
                  <w:noWrap w:val="0"/>
                  <w:vAlign w:val="center"/>
                </w:tcPr>
                <w:p w14:paraId="2DCC28F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74696C8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67C67FF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桶</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187FF43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42C931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5541DBDC">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31</w:t>
                  </w:r>
                </w:p>
              </w:tc>
              <w:tc>
                <w:tcPr>
                  <w:tcW w:w="552" w:type="pct"/>
                  <w:noWrap w:val="0"/>
                  <w:vAlign w:val="center"/>
                </w:tcPr>
                <w:p w14:paraId="2FB41B47">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甘油</w:t>
                  </w:r>
                </w:p>
              </w:tc>
              <w:tc>
                <w:tcPr>
                  <w:tcW w:w="451" w:type="pct"/>
                  <w:vMerge w:val="continue"/>
                  <w:noWrap w:val="0"/>
                  <w:vAlign w:val="center"/>
                </w:tcPr>
                <w:p w14:paraId="0FEDC4B4">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5A11304E">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7F417C94">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2D5502C8">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1.5</w:t>
                  </w:r>
                </w:p>
              </w:tc>
              <w:tc>
                <w:tcPr>
                  <w:tcW w:w="487" w:type="pct"/>
                  <w:noWrap w:val="0"/>
                  <w:vAlign w:val="center"/>
                </w:tcPr>
                <w:p w14:paraId="3F81C248">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1D3E702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0.2</w:t>
                  </w:r>
                </w:p>
              </w:tc>
              <w:tc>
                <w:tcPr>
                  <w:tcW w:w="409" w:type="pct"/>
                  <w:noWrap w:val="0"/>
                  <w:vAlign w:val="center"/>
                </w:tcPr>
                <w:p w14:paraId="72AF1F7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24CB24A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043D762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瓶</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6A0A6F3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62C32B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36DDDF97">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32</w:t>
                  </w:r>
                </w:p>
              </w:tc>
              <w:tc>
                <w:tcPr>
                  <w:tcW w:w="552" w:type="pct"/>
                  <w:noWrap w:val="0"/>
                  <w:vAlign w:val="center"/>
                </w:tcPr>
                <w:p w14:paraId="0BEF49F8">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卡波姆</w:t>
                  </w:r>
                </w:p>
              </w:tc>
              <w:tc>
                <w:tcPr>
                  <w:tcW w:w="451" w:type="pct"/>
                  <w:vMerge w:val="continue"/>
                  <w:noWrap w:val="0"/>
                  <w:vAlign w:val="center"/>
                </w:tcPr>
                <w:p w14:paraId="262D864E">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48833EF0">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0D3877F8">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74D6C41B">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0.25</w:t>
                  </w:r>
                </w:p>
              </w:tc>
              <w:tc>
                <w:tcPr>
                  <w:tcW w:w="487" w:type="pct"/>
                  <w:noWrap w:val="0"/>
                  <w:vAlign w:val="center"/>
                </w:tcPr>
                <w:p w14:paraId="40704D2E">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5862BFB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0.03</w:t>
                  </w:r>
                </w:p>
              </w:tc>
              <w:tc>
                <w:tcPr>
                  <w:tcW w:w="409" w:type="pct"/>
                  <w:noWrap w:val="0"/>
                  <w:vAlign w:val="center"/>
                </w:tcPr>
                <w:p w14:paraId="0D63C58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粉状</w:t>
                  </w:r>
                </w:p>
              </w:tc>
              <w:tc>
                <w:tcPr>
                  <w:tcW w:w="409" w:type="pct"/>
                  <w:noWrap w:val="0"/>
                  <w:vAlign w:val="center"/>
                </w:tcPr>
                <w:p w14:paraId="4305B6C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6A872BC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袋</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0712449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3A51FF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6DC965F7">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33</w:t>
                  </w:r>
                </w:p>
              </w:tc>
              <w:tc>
                <w:tcPr>
                  <w:tcW w:w="552" w:type="pct"/>
                  <w:noWrap w:val="0"/>
                  <w:vAlign w:val="center"/>
                </w:tcPr>
                <w:p w14:paraId="485C39E0">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黄原胶</w:t>
                  </w:r>
                </w:p>
              </w:tc>
              <w:tc>
                <w:tcPr>
                  <w:tcW w:w="451" w:type="pct"/>
                  <w:vMerge w:val="continue"/>
                  <w:noWrap w:val="0"/>
                  <w:vAlign w:val="center"/>
                </w:tcPr>
                <w:p w14:paraId="705E7FB8">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757DB657">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6EF372CE">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64DFF792">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0.25</w:t>
                  </w:r>
                </w:p>
              </w:tc>
              <w:tc>
                <w:tcPr>
                  <w:tcW w:w="487" w:type="pct"/>
                  <w:noWrap w:val="0"/>
                  <w:vAlign w:val="center"/>
                </w:tcPr>
                <w:p w14:paraId="1B82FC98">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6728998E">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0.03</w:t>
                  </w:r>
                </w:p>
              </w:tc>
              <w:tc>
                <w:tcPr>
                  <w:tcW w:w="409" w:type="pct"/>
                  <w:noWrap w:val="0"/>
                  <w:vAlign w:val="center"/>
                </w:tcPr>
                <w:p w14:paraId="2D7FAFD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粉状</w:t>
                  </w:r>
                </w:p>
              </w:tc>
              <w:tc>
                <w:tcPr>
                  <w:tcW w:w="409" w:type="pct"/>
                  <w:noWrap w:val="0"/>
                  <w:vAlign w:val="center"/>
                </w:tcPr>
                <w:p w14:paraId="753639F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0C971E7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袋</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183F1AB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4D5464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20B6F910">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34</w:t>
                  </w:r>
                </w:p>
              </w:tc>
              <w:tc>
                <w:tcPr>
                  <w:tcW w:w="552" w:type="pct"/>
                  <w:noWrap w:val="0"/>
                  <w:vAlign w:val="center"/>
                </w:tcPr>
                <w:p w14:paraId="7D50E535">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丁二醇</w:t>
                  </w:r>
                </w:p>
              </w:tc>
              <w:tc>
                <w:tcPr>
                  <w:tcW w:w="451" w:type="pct"/>
                  <w:vMerge w:val="continue"/>
                  <w:noWrap w:val="0"/>
                  <w:vAlign w:val="center"/>
                </w:tcPr>
                <w:p w14:paraId="4E30E5CA">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0C8E4C91">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70A8DD2D">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0E8B1AB6">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0.25</w:t>
                  </w:r>
                </w:p>
              </w:tc>
              <w:tc>
                <w:tcPr>
                  <w:tcW w:w="487" w:type="pct"/>
                  <w:noWrap w:val="0"/>
                  <w:vAlign w:val="center"/>
                </w:tcPr>
                <w:p w14:paraId="42A580E6">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0DB3105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0.03</w:t>
                  </w:r>
                </w:p>
              </w:tc>
              <w:tc>
                <w:tcPr>
                  <w:tcW w:w="409" w:type="pct"/>
                  <w:noWrap w:val="0"/>
                  <w:vAlign w:val="center"/>
                </w:tcPr>
                <w:p w14:paraId="3C25541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13D90FA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23A1E9E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瓶</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68DF060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62BC3C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7F835D61">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35</w:t>
                  </w:r>
                </w:p>
              </w:tc>
              <w:tc>
                <w:tcPr>
                  <w:tcW w:w="552" w:type="pct"/>
                  <w:noWrap w:val="0"/>
                  <w:vAlign w:val="center"/>
                </w:tcPr>
                <w:p w14:paraId="6FCEC3CB">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三乙醇胺</w:t>
                  </w:r>
                </w:p>
              </w:tc>
              <w:tc>
                <w:tcPr>
                  <w:tcW w:w="451" w:type="pct"/>
                  <w:vMerge w:val="continue"/>
                  <w:noWrap w:val="0"/>
                  <w:vAlign w:val="center"/>
                </w:tcPr>
                <w:p w14:paraId="7049DC43">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589DCA27">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7217F125">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308EAE01">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0.25</w:t>
                  </w:r>
                </w:p>
              </w:tc>
              <w:tc>
                <w:tcPr>
                  <w:tcW w:w="487" w:type="pct"/>
                  <w:noWrap w:val="0"/>
                  <w:vAlign w:val="center"/>
                </w:tcPr>
                <w:p w14:paraId="48EEAF79">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35F38FC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0.03</w:t>
                  </w:r>
                </w:p>
              </w:tc>
              <w:tc>
                <w:tcPr>
                  <w:tcW w:w="409" w:type="pct"/>
                  <w:noWrap w:val="0"/>
                  <w:vAlign w:val="center"/>
                </w:tcPr>
                <w:p w14:paraId="218607F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241235A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43B9ADA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瓶</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2B89C3C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462E46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64FADE09">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36</w:t>
                  </w:r>
                </w:p>
              </w:tc>
              <w:tc>
                <w:tcPr>
                  <w:tcW w:w="552" w:type="pct"/>
                  <w:noWrap w:val="0"/>
                  <w:vAlign w:val="center"/>
                </w:tcPr>
                <w:p w14:paraId="6F9E9549">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纯化水</w:t>
                  </w:r>
                </w:p>
              </w:tc>
              <w:tc>
                <w:tcPr>
                  <w:tcW w:w="451" w:type="pct"/>
                  <w:vMerge w:val="continue"/>
                  <w:noWrap w:val="0"/>
                  <w:vAlign w:val="center"/>
                </w:tcPr>
                <w:p w14:paraId="58C34AB1">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2031A88A">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370D476A">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1C6994E5">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122</w:t>
                  </w:r>
                </w:p>
              </w:tc>
              <w:tc>
                <w:tcPr>
                  <w:tcW w:w="487" w:type="pct"/>
                  <w:noWrap w:val="0"/>
                  <w:vAlign w:val="center"/>
                </w:tcPr>
                <w:p w14:paraId="15AEDFCC">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6101563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w:t>
                  </w:r>
                </w:p>
              </w:tc>
              <w:tc>
                <w:tcPr>
                  <w:tcW w:w="409" w:type="pct"/>
                  <w:noWrap w:val="0"/>
                  <w:vAlign w:val="center"/>
                </w:tcPr>
                <w:p w14:paraId="0CAF698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216209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自制</w:t>
                  </w:r>
                </w:p>
              </w:tc>
              <w:tc>
                <w:tcPr>
                  <w:tcW w:w="410" w:type="pct"/>
                  <w:noWrap w:val="0"/>
                  <w:vAlign w:val="center"/>
                </w:tcPr>
                <w:p w14:paraId="7C182A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534" w:type="pct"/>
                  <w:noWrap w:val="0"/>
                  <w:vAlign w:val="center"/>
                </w:tcPr>
                <w:p w14:paraId="1F43BCBE">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28351C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35945234">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37</w:t>
                  </w:r>
                </w:p>
              </w:tc>
              <w:tc>
                <w:tcPr>
                  <w:tcW w:w="552" w:type="pct"/>
                  <w:noWrap w:val="0"/>
                  <w:vAlign w:val="center"/>
                </w:tcPr>
                <w:p w14:paraId="19B5C218">
                  <w:pPr>
                    <w:snapToGrid w:val="0"/>
                    <w:spacing w:line="240" w:lineRule="auto"/>
                    <w:jc w:val="center"/>
                    <w:textAlignment w:val="auto"/>
                    <w:rPr>
                      <w:rFonts w:hint="eastAsia" w:cs="宋体"/>
                      <w:color w:val="FF0000"/>
                      <w:kern w:val="0"/>
                      <w:szCs w:val="21"/>
                      <w:highlight w:val="none"/>
                      <w:lang w:val="en-US" w:eastAsia="zh-CN"/>
                    </w:rPr>
                  </w:pPr>
                  <w:r>
                    <w:rPr>
                      <w:rFonts w:hint="eastAsia"/>
                      <w:color w:val="auto"/>
                      <w:szCs w:val="19"/>
                      <w:lang w:bidi="ar"/>
                    </w:rPr>
                    <w:t>无纺布</w:t>
                  </w:r>
                </w:p>
              </w:tc>
              <w:tc>
                <w:tcPr>
                  <w:tcW w:w="451" w:type="pct"/>
                  <w:vMerge w:val="continue"/>
                  <w:noWrap w:val="0"/>
                  <w:vAlign w:val="center"/>
                </w:tcPr>
                <w:p w14:paraId="4C97D957">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39836DEA">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16938F20">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17A3241B">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4</w:t>
                  </w:r>
                </w:p>
              </w:tc>
              <w:tc>
                <w:tcPr>
                  <w:tcW w:w="487" w:type="pct"/>
                  <w:noWrap w:val="0"/>
                  <w:vAlign w:val="center"/>
                </w:tcPr>
                <w:p w14:paraId="5CB9EC70">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18E6F8F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0.4</w:t>
                  </w:r>
                </w:p>
              </w:tc>
              <w:tc>
                <w:tcPr>
                  <w:tcW w:w="409" w:type="pct"/>
                  <w:noWrap w:val="0"/>
                  <w:vAlign w:val="center"/>
                </w:tcPr>
                <w:p w14:paraId="3922FCE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25EC2A2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335B759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袋</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7D12D20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264F30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448D0351">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38</w:t>
                  </w:r>
                </w:p>
              </w:tc>
              <w:tc>
                <w:tcPr>
                  <w:tcW w:w="552" w:type="pct"/>
                  <w:noWrap w:val="0"/>
                  <w:vAlign w:val="center"/>
                </w:tcPr>
                <w:p w14:paraId="0068DABB">
                  <w:pPr>
                    <w:snapToGrid w:val="0"/>
                    <w:spacing w:line="240" w:lineRule="auto"/>
                    <w:jc w:val="center"/>
                    <w:textAlignment w:val="auto"/>
                    <w:rPr>
                      <w:rFonts w:hint="eastAsia" w:cs="宋体"/>
                      <w:color w:val="FF0000"/>
                      <w:kern w:val="0"/>
                      <w:szCs w:val="21"/>
                      <w:highlight w:val="none"/>
                      <w:lang w:val="en-US" w:eastAsia="zh-CN"/>
                    </w:rPr>
                  </w:pPr>
                  <w:r>
                    <w:rPr>
                      <w:rFonts w:hint="eastAsia"/>
                      <w:color w:val="FF0000"/>
                      <w:szCs w:val="21"/>
                    </w:rPr>
                    <w:t>铝膜袋</w:t>
                  </w:r>
                </w:p>
              </w:tc>
              <w:tc>
                <w:tcPr>
                  <w:tcW w:w="451" w:type="pct"/>
                  <w:vMerge w:val="continue"/>
                  <w:noWrap w:val="0"/>
                  <w:vAlign w:val="center"/>
                </w:tcPr>
                <w:p w14:paraId="6EC6264C">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4460F4E3">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74E8820D">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524DC72E">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3.5</w:t>
                  </w:r>
                </w:p>
              </w:tc>
              <w:tc>
                <w:tcPr>
                  <w:tcW w:w="487" w:type="pct"/>
                  <w:noWrap w:val="0"/>
                  <w:vAlign w:val="center"/>
                </w:tcPr>
                <w:p w14:paraId="5CBF0042">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7C37E8A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0.3</w:t>
                  </w:r>
                </w:p>
              </w:tc>
              <w:tc>
                <w:tcPr>
                  <w:tcW w:w="409" w:type="pct"/>
                  <w:noWrap w:val="0"/>
                  <w:vAlign w:val="center"/>
                </w:tcPr>
                <w:p w14:paraId="22623CE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287CD9E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30BD283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袋</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032CB8F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07A4AA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7612B432">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39</w:t>
                  </w:r>
                </w:p>
              </w:tc>
              <w:tc>
                <w:tcPr>
                  <w:tcW w:w="552" w:type="pct"/>
                  <w:noWrap w:val="0"/>
                  <w:vAlign w:val="center"/>
                </w:tcPr>
                <w:p w14:paraId="6D52E752">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FF0000"/>
                      <w:kern w:val="0"/>
                      <w:szCs w:val="21"/>
                      <w:highlight w:val="none"/>
                      <w:lang w:val="en-US" w:eastAsia="zh-CN"/>
                    </w:rPr>
                  </w:pPr>
                  <w:commentRangeStart w:id="8"/>
                  <w:r>
                    <w:rPr>
                      <w:rFonts w:hint="eastAsia"/>
                      <w:color w:val="FF0000"/>
                      <w:szCs w:val="19"/>
                      <w:lang w:bidi="ar"/>
                    </w:rPr>
                    <w:t>壳聚糖</w:t>
                  </w:r>
                  <w:commentRangeEnd w:id="8"/>
                  <w:r>
                    <w:commentReference w:id="8"/>
                  </w:r>
                </w:p>
              </w:tc>
              <w:tc>
                <w:tcPr>
                  <w:tcW w:w="451" w:type="pct"/>
                  <w:vMerge w:val="restart"/>
                  <w:noWrap w:val="0"/>
                  <w:vAlign w:val="center"/>
                </w:tcPr>
                <w:p w14:paraId="0134DB27">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FF0000"/>
                      <w:kern w:val="0"/>
                      <w:szCs w:val="21"/>
                      <w:highlight w:val="none"/>
                      <w:lang w:val="en-US" w:eastAsia="zh-CN"/>
                    </w:rPr>
                  </w:pPr>
                  <w:r>
                    <w:rPr>
                      <w:rFonts w:hint="eastAsia"/>
                      <w:color w:val="FF0000"/>
                      <w:szCs w:val="19"/>
                      <w:lang w:bidi="ar"/>
                    </w:rPr>
                    <w:t>壳聚糖止血粉</w:t>
                  </w:r>
                </w:p>
              </w:tc>
              <w:tc>
                <w:tcPr>
                  <w:tcW w:w="368" w:type="pct"/>
                  <w:noWrap w:val="0"/>
                  <w:vAlign w:val="center"/>
                </w:tcPr>
                <w:p w14:paraId="3414BD99">
                  <w:pPr>
                    <w:snapToGrid w:val="0"/>
                    <w:spacing w:line="240" w:lineRule="auto"/>
                    <w:jc w:val="center"/>
                    <w:textAlignment w:val="auto"/>
                    <w:rPr>
                      <w:rFonts w:hint="default" w:ascii="Times New Roman" w:hAnsi="Times New Roman" w:cs="Times New Roman"/>
                      <w:color w:val="FF0000"/>
                      <w:szCs w:val="21"/>
                      <w:highlight w:val="none"/>
                    </w:rPr>
                  </w:pPr>
                  <w:r>
                    <w:rPr>
                      <w:rFonts w:hint="eastAsia" w:cs="Times New Roman"/>
                      <w:color w:val="FF0000"/>
                      <w:szCs w:val="21"/>
                      <w:highlight w:val="none"/>
                      <w:lang w:val="en-US" w:eastAsia="zh-CN"/>
                    </w:rPr>
                    <w:t>0</w:t>
                  </w:r>
                </w:p>
              </w:tc>
              <w:tc>
                <w:tcPr>
                  <w:tcW w:w="327" w:type="pct"/>
                  <w:noWrap w:val="0"/>
                  <w:vAlign w:val="center"/>
                </w:tcPr>
                <w:p w14:paraId="40B8E519">
                  <w:pPr>
                    <w:adjustRightInd w:val="0"/>
                    <w:snapToGrid w:val="0"/>
                    <w:jc w:val="center"/>
                    <w:rPr>
                      <w:rFonts w:hint="eastAsia" w:cs="Times New Roman"/>
                      <w:color w:val="FF0000"/>
                      <w:szCs w:val="21"/>
                      <w:highlight w:val="none"/>
                      <w:lang w:val="en-US" w:eastAsia="zh-CN"/>
                    </w:rPr>
                  </w:pPr>
                  <w:r>
                    <w:rPr>
                      <w:rFonts w:hint="eastAsia" w:cs="Times New Roman"/>
                      <w:color w:val="FF0000"/>
                      <w:szCs w:val="21"/>
                      <w:highlight w:val="none"/>
                      <w:lang w:val="en-US" w:eastAsia="zh-CN"/>
                    </w:rPr>
                    <w:t>0</w:t>
                  </w:r>
                </w:p>
              </w:tc>
              <w:tc>
                <w:tcPr>
                  <w:tcW w:w="433" w:type="pct"/>
                  <w:noWrap w:val="0"/>
                  <w:vAlign w:val="center"/>
                </w:tcPr>
                <w:p w14:paraId="7F0FDCE0">
                  <w:pPr>
                    <w:snapToGrid w:val="0"/>
                    <w:spacing w:line="240" w:lineRule="auto"/>
                    <w:jc w:val="center"/>
                    <w:textAlignment w:val="auto"/>
                    <w:rPr>
                      <w:rFonts w:hint="eastAsia" w:ascii="Times New Roman" w:hAnsi="Times New Roman" w:eastAsia="宋体" w:cs="Times New Roman"/>
                      <w:color w:val="FF0000"/>
                      <w:szCs w:val="21"/>
                      <w:highlight w:val="none"/>
                      <w:lang w:eastAsia="zh-CN"/>
                    </w:rPr>
                  </w:pPr>
                  <w:r>
                    <w:rPr>
                      <w:rFonts w:hint="eastAsia"/>
                      <w:color w:val="FF0000"/>
                      <w:szCs w:val="21"/>
                      <w:lang w:val="en-US" w:eastAsia="zh-CN"/>
                    </w:rPr>
                    <w:t>4</w:t>
                  </w:r>
                </w:p>
              </w:tc>
              <w:tc>
                <w:tcPr>
                  <w:tcW w:w="487" w:type="pct"/>
                  <w:noWrap w:val="0"/>
                  <w:vAlign w:val="center"/>
                </w:tcPr>
                <w:p w14:paraId="131490D2">
                  <w:pPr>
                    <w:adjustRightInd w:val="0"/>
                    <w:snapToGrid w:val="0"/>
                    <w:jc w:val="center"/>
                    <w:rPr>
                      <w:rFonts w:hint="eastAsia" w:cs="Times New Roman"/>
                      <w:color w:val="FF0000"/>
                      <w:szCs w:val="21"/>
                      <w:highlight w:val="none"/>
                      <w:lang w:val="en-US" w:eastAsia="zh-CN"/>
                    </w:rPr>
                  </w:pPr>
                  <w:r>
                    <w:rPr>
                      <w:rFonts w:hint="default" w:ascii="Times New Roman" w:hAnsi="Times New Roman" w:cs="Times New Roman"/>
                      <w:color w:val="FF0000"/>
                      <w:szCs w:val="21"/>
                    </w:rPr>
                    <w:t>t/a</w:t>
                  </w:r>
                </w:p>
              </w:tc>
              <w:tc>
                <w:tcPr>
                  <w:tcW w:w="409" w:type="pct"/>
                  <w:noWrap w:val="0"/>
                  <w:vAlign w:val="center"/>
                </w:tcPr>
                <w:p w14:paraId="0971E5E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0.2</w:t>
                  </w:r>
                </w:p>
              </w:tc>
              <w:tc>
                <w:tcPr>
                  <w:tcW w:w="409" w:type="pct"/>
                  <w:noWrap w:val="0"/>
                  <w:vAlign w:val="center"/>
                </w:tcPr>
                <w:p w14:paraId="4F16BCCE">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highlight w:val="none"/>
                      <w:lang w:val="en-US" w:eastAsia="zh-CN"/>
                    </w:rPr>
                    <w:t>粉状</w:t>
                  </w:r>
                </w:p>
              </w:tc>
              <w:tc>
                <w:tcPr>
                  <w:tcW w:w="409" w:type="pct"/>
                  <w:noWrap w:val="0"/>
                  <w:vAlign w:val="center"/>
                </w:tcPr>
                <w:p w14:paraId="7570A09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77F0FCB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袋</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3C0BF63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7828B0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10A80D6B">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40</w:t>
                  </w:r>
                </w:p>
              </w:tc>
              <w:tc>
                <w:tcPr>
                  <w:tcW w:w="552" w:type="pct"/>
                  <w:noWrap w:val="0"/>
                  <w:vAlign w:val="center"/>
                </w:tcPr>
                <w:p w14:paraId="5CD2DABE">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FF0000"/>
                      <w:szCs w:val="19"/>
                      <w:lang w:bidi="ar"/>
                    </w:rPr>
                  </w:pPr>
                  <w:r>
                    <w:rPr>
                      <w:rFonts w:hint="eastAsia" w:ascii="Times New Roman" w:hAnsi="Times New Roman" w:eastAsia="宋体" w:cs="Times New Roman"/>
                      <w:color w:val="FF0000"/>
                      <w:szCs w:val="19"/>
                      <w:lang w:val="zh-CN" w:bidi="ar"/>
                    </w:rPr>
                    <w:t>铝膜袋</w:t>
                  </w:r>
                </w:p>
              </w:tc>
              <w:tc>
                <w:tcPr>
                  <w:tcW w:w="451" w:type="pct"/>
                  <w:vMerge w:val="continue"/>
                  <w:noWrap w:val="0"/>
                  <w:vAlign w:val="center"/>
                </w:tcPr>
                <w:p w14:paraId="10C06B88">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FF0000"/>
                      <w:szCs w:val="19"/>
                      <w:lang w:bidi="ar"/>
                    </w:rPr>
                  </w:pPr>
                </w:p>
              </w:tc>
              <w:tc>
                <w:tcPr>
                  <w:tcW w:w="368" w:type="pct"/>
                  <w:noWrap w:val="0"/>
                  <w:vAlign w:val="center"/>
                </w:tcPr>
                <w:p w14:paraId="74088A79">
                  <w:pPr>
                    <w:snapToGrid w:val="0"/>
                    <w:spacing w:line="240" w:lineRule="auto"/>
                    <w:jc w:val="center"/>
                    <w:textAlignment w:val="auto"/>
                    <w:rPr>
                      <w:rFonts w:hint="eastAsia" w:cs="Times New Roman"/>
                      <w:color w:val="FF0000"/>
                      <w:szCs w:val="21"/>
                      <w:highlight w:val="none"/>
                      <w:lang w:val="en-US" w:eastAsia="zh-CN"/>
                    </w:rPr>
                  </w:pPr>
                  <w:r>
                    <w:rPr>
                      <w:rFonts w:hint="eastAsia" w:cs="Times New Roman"/>
                      <w:color w:val="FF0000"/>
                      <w:szCs w:val="21"/>
                      <w:highlight w:val="none"/>
                      <w:lang w:val="en-US" w:eastAsia="zh-CN"/>
                    </w:rPr>
                    <w:t>0</w:t>
                  </w:r>
                </w:p>
              </w:tc>
              <w:tc>
                <w:tcPr>
                  <w:tcW w:w="327" w:type="pct"/>
                  <w:noWrap w:val="0"/>
                  <w:vAlign w:val="center"/>
                </w:tcPr>
                <w:p w14:paraId="6F7C46CD">
                  <w:pPr>
                    <w:adjustRightInd w:val="0"/>
                    <w:snapToGrid w:val="0"/>
                    <w:jc w:val="center"/>
                    <w:rPr>
                      <w:rFonts w:hint="eastAsia" w:cs="Times New Roman"/>
                      <w:color w:val="FF0000"/>
                      <w:szCs w:val="21"/>
                      <w:highlight w:val="none"/>
                      <w:lang w:val="en-US" w:eastAsia="zh-CN"/>
                    </w:rPr>
                  </w:pPr>
                  <w:r>
                    <w:rPr>
                      <w:rFonts w:hint="eastAsia" w:cs="Times New Roman"/>
                      <w:color w:val="FF0000"/>
                      <w:szCs w:val="21"/>
                      <w:highlight w:val="none"/>
                      <w:lang w:val="en-US" w:eastAsia="zh-CN"/>
                    </w:rPr>
                    <w:t>0</w:t>
                  </w:r>
                </w:p>
              </w:tc>
              <w:tc>
                <w:tcPr>
                  <w:tcW w:w="433" w:type="pct"/>
                  <w:noWrap w:val="0"/>
                  <w:vAlign w:val="center"/>
                </w:tcPr>
                <w:p w14:paraId="2E998922">
                  <w:pPr>
                    <w:snapToGrid w:val="0"/>
                    <w:spacing w:line="240" w:lineRule="auto"/>
                    <w:jc w:val="center"/>
                    <w:textAlignment w:val="auto"/>
                    <w:rPr>
                      <w:rFonts w:hint="eastAsia" w:eastAsia="宋体"/>
                      <w:color w:val="FF0000"/>
                      <w:szCs w:val="21"/>
                      <w:lang w:val="en-US" w:eastAsia="zh-CN"/>
                    </w:rPr>
                  </w:pPr>
                  <w:r>
                    <w:rPr>
                      <w:rFonts w:hint="eastAsia"/>
                      <w:color w:val="FF0000"/>
                      <w:szCs w:val="21"/>
                      <w:lang w:val="en-US" w:eastAsia="zh-CN"/>
                    </w:rPr>
                    <w:t>1</w:t>
                  </w:r>
                </w:p>
              </w:tc>
              <w:tc>
                <w:tcPr>
                  <w:tcW w:w="487" w:type="pct"/>
                  <w:noWrap w:val="0"/>
                  <w:vAlign w:val="center"/>
                </w:tcPr>
                <w:p w14:paraId="1B237380">
                  <w:pPr>
                    <w:adjustRightInd w:val="0"/>
                    <w:snapToGri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t/a</w:t>
                  </w:r>
                </w:p>
              </w:tc>
              <w:tc>
                <w:tcPr>
                  <w:tcW w:w="409" w:type="pct"/>
                  <w:noWrap w:val="0"/>
                  <w:vAlign w:val="center"/>
                </w:tcPr>
                <w:p w14:paraId="3EF65BF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0.1</w:t>
                  </w:r>
                </w:p>
              </w:tc>
              <w:tc>
                <w:tcPr>
                  <w:tcW w:w="409" w:type="pct"/>
                  <w:noWrap w:val="0"/>
                  <w:vAlign w:val="center"/>
                </w:tcPr>
                <w:p w14:paraId="14B4A90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12B274E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2303308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袋</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5640B24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新增原辅料</w:t>
                  </w:r>
                </w:p>
              </w:tc>
            </w:tr>
            <w:tr w14:paraId="688C4C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5EABE356">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41</w:t>
                  </w:r>
                </w:p>
              </w:tc>
              <w:tc>
                <w:tcPr>
                  <w:tcW w:w="552" w:type="pct"/>
                  <w:noWrap w:val="0"/>
                  <w:vAlign w:val="center"/>
                </w:tcPr>
                <w:p w14:paraId="73C4A2A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FF0000"/>
                      <w:szCs w:val="19"/>
                      <w:lang w:val="en-US" w:eastAsia="zh-CN" w:bidi="ar"/>
                    </w:rPr>
                  </w:pPr>
                  <w:r>
                    <w:rPr>
                      <w:rFonts w:hint="eastAsia" w:ascii="Times New Roman" w:hAnsi="Times New Roman" w:eastAsia="宋体" w:cs="Times New Roman"/>
                      <w:color w:val="FF0000"/>
                      <w:szCs w:val="19"/>
                      <w:lang w:val="en-US" w:eastAsia="zh-CN" w:bidi="ar"/>
                    </w:rPr>
                    <w:t>塑料瓶</w:t>
                  </w:r>
                </w:p>
              </w:tc>
              <w:tc>
                <w:tcPr>
                  <w:tcW w:w="451" w:type="pct"/>
                  <w:vMerge w:val="continue"/>
                  <w:noWrap w:val="0"/>
                  <w:vAlign w:val="center"/>
                </w:tcPr>
                <w:p w14:paraId="27F36750">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FF0000"/>
                      <w:szCs w:val="19"/>
                      <w:lang w:bidi="ar"/>
                    </w:rPr>
                  </w:pPr>
                </w:p>
              </w:tc>
              <w:tc>
                <w:tcPr>
                  <w:tcW w:w="368" w:type="pct"/>
                  <w:noWrap w:val="0"/>
                  <w:vAlign w:val="center"/>
                </w:tcPr>
                <w:p w14:paraId="3AC2221F">
                  <w:pPr>
                    <w:snapToGrid w:val="0"/>
                    <w:spacing w:line="240" w:lineRule="auto"/>
                    <w:jc w:val="center"/>
                    <w:textAlignment w:val="auto"/>
                    <w:rPr>
                      <w:rFonts w:hint="eastAsia" w:cs="Times New Roman"/>
                      <w:color w:val="FF0000"/>
                      <w:szCs w:val="21"/>
                      <w:highlight w:val="none"/>
                      <w:lang w:val="en-US" w:eastAsia="zh-CN"/>
                    </w:rPr>
                  </w:pPr>
                  <w:r>
                    <w:rPr>
                      <w:rFonts w:hint="eastAsia" w:cs="Times New Roman"/>
                      <w:color w:val="FF0000"/>
                      <w:szCs w:val="21"/>
                      <w:highlight w:val="none"/>
                      <w:lang w:val="en-US" w:eastAsia="zh-CN"/>
                    </w:rPr>
                    <w:t>0</w:t>
                  </w:r>
                </w:p>
              </w:tc>
              <w:tc>
                <w:tcPr>
                  <w:tcW w:w="327" w:type="pct"/>
                  <w:noWrap w:val="0"/>
                  <w:vAlign w:val="center"/>
                </w:tcPr>
                <w:p w14:paraId="320CD1F4">
                  <w:pPr>
                    <w:adjustRightInd w:val="0"/>
                    <w:snapToGrid w:val="0"/>
                    <w:jc w:val="center"/>
                    <w:rPr>
                      <w:rFonts w:hint="eastAsia" w:cs="Times New Roman"/>
                      <w:color w:val="FF0000"/>
                      <w:szCs w:val="21"/>
                      <w:highlight w:val="none"/>
                      <w:lang w:val="en-US" w:eastAsia="zh-CN"/>
                    </w:rPr>
                  </w:pPr>
                  <w:r>
                    <w:rPr>
                      <w:rFonts w:hint="eastAsia" w:cs="Times New Roman"/>
                      <w:color w:val="FF0000"/>
                      <w:szCs w:val="21"/>
                      <w:highlight w:val="none"/>
                      <w:lang w:val="en-US" w:eastAsia="zh-CN"/>
                    </w:rPr>
                    <w:t>0</w:t>
                  </w:r>
                </w:p>
              </w:tc>
              <w:tc>
                <w:tcPr>
                  <w:tcW w:w="433" w:type="pct"/>
                  <w:noWrap w:val="0"/>
                  <w:vAlign w:val="center"/>
                </w:tcPr>
                <w:p w14:paraId="1D68011D">
                  <w:pPr>
                    <w:snapToGrid w:val="0"/>
                    <w:spacing w:line="240" w:lineRule="auto"/>
                    <w:jc w:val="center"/>
                    <w:textAlignment w:val="auto"/>
                    <w:rPr>
                      <w:rFonts w:hint="eastAsia" w:eastAsia="宋体"/>
                      <w:color w:val="FF0000"/>
                      <w:szCs w:val="21"/>
                      <w:lang w:val="en-US" w:eastAsia="zh-CN"/>
                    </w:rPr>
                  </w:pPr>
                  <w:r>
                    <w:rPr>
                      <w:rFonts w:hint="eastAsia"/>
                      <w:color w:val="FF0000"/>
                      <w:szCs w:val="21"/>
                      <w:lang w:val="en-US" w:eastAsia="zh-CN"/>
                    </w:rPr>
                    <w:t>1</w:t>
                  </w:r>
                </w:p>
              </w:tc>
              <w:tc>
                <w:tcPr>
                  <w:tcW w:w="487" w:type="pct"/>
                  <w:noWrap w:val="0"/>
                  <w:vAlign w:val="center"/>
                </w:tcPr>
                <w:p w14:paraId="4717B087">
                  <w:pPr>
                    <w:adjustRightInd w:val="0"/>
                    <w:snapToGrid w:val="0"/>
                    <w:jc w:val="center"/>
                    <w:rPr>
                      <w:rFonts w:hint="default" w:ascii="Times New Roman" w:hAnsi="Times New Roman" w:cs="Times New Roman"/>
                      <w:color w:val="FF0000"/>
                      <w:szCs w:val="21"/>
                    </w:rPr>
                  </w:pPr>
                  <w:r>
                    <w:rPr>
                      <w:rFonts w:hint="default" w:ascii="Times New Roman" w:hAnsi="Times New Roman" w:cs="Times New Roman"/>
                      <w:color w:val="FF0000"/>
                      <w:szCs w:val="21"/>
                    </w:rPr>
                    <w:t>t/a</w:t>
                  </w:r>
                </w:p>
              </w:tc>
              <w:tc>
                <w:tcPr>
                  <w:tcW w:w="409" w:type="pct"/>
                  <w:noWrap w:val="0"/>
                  <w:vAlign w:val="center"/>
                </w:tcPr>
                <w:p w14:paraId="39A00B5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0.1</w:t>
                  </w:r>
                </w:p>
              </w:tc>
              <w:tc>
                <w:tcPr>
                  <w:tcW w:w="409" w:type="pct"/>
                  <w:noWrap w:val="0"/>
                  <w:vAlign w:val="center"/>
                </w:tcPr>
                <w:p w14:paraId="120CF60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090A662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30D85E5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7E336EE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新增原辅料</w:t>
                  </w:r>
                </w:p>
              </w:tc>
            </w:tr>
            <w:tr w14:paraId="656CE9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4F23B226">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42</w:t>
                  </w:r>
                </w:p>
              </w:tc>
              <w:tc>
                <w:tcPr>
                  <w:tcW w:w="552" w:type="pct"/>
                  <w:noWrap w:val="0"/>
                  <w:vAlign w:val="center"/>
                </w:tcPr>
                <w:p w14:paraId="3E42DDC8">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不锈钢球</w:t>
                  </w:r>
                </w:p>
              </w:tc>
              <w:tc>
                <w:tcPr>
                  <w:tcW w:w="451" w:type="pct"/>
                  <w:vMerge w:val="restart"/>
                  <w:noWrap w:val="0"/>
                  <w:vAlign w:val="center"/>
                </w:tcPr>
                <w:p w14:paraId="6DFA9C75">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穴位压力刺激贴</w:t>
                  </w:r>
                </w:p>
              </w:tc>
              <w:tc>
                <w:tcPr>
                  <w:tcW w:w="368" w:type="pct"/>
                  <w:noWrap w:val="0"/>
                  <w:vAlign w:val="center"/>
                </w:tcPr>
                <w:p w14:paraId="653FE1FC">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692F3CC2">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7FBB85A0">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0.2</w:t>
                  </w:r>
                </w:p>
              </w:tc>
              <w:tc>
                <w:tcPr>
                  <w:tcW w:w="487" w:type="pct"/>
                  <w:noWrap w:val="0"/>
                  <w:vAlign w:val="center"/>
                </w:tcPr>
                <w:p w14:paraId="5A752B91">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0DD151C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0.01</w:t>
                  </w:r>
                </w:p>
              </w:tc>
              <w:tc>
                <w:tcPr>
                  <w:tcW w:w="409" w:type="pct"/>
                  <w:noWrap w:val="0"/>
                  <w:vAlign w:val="center"/>
                </w:tcPr>
                <w:p w14:paraId="7ED3A3A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229642A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768039A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50E46A1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3F8B3D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255" w:hRule="atLeast"/>
              </w:trPr>
              <w:tc>
                <w:tcPr>
                  <w:tcW w:w="208" w:type="pct"/>
                  <w:noWrap w:val="0"/>
                  <w:vAlign w:val="center"/>
                </w:tcPr>
                <w:p w14:paraId="50299B01">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43</w:t>
                  </w:r>
                </w:p>
              </w:tc>
              <w:tc>
                <w:tcPr>
                  <w:tcW w:w="552" w:type="pct"/>
                  <w:noWrap w:val="0"/>
                  <w:vAlign w:val="center"/>
                </w:tcPr>
                <w:p w14:paraId="539C0D88">
                  <w:pPr>
                    <w:snapToGrid w:val="0"/>
                    <w:spacing w:line="240" w:lineRule="auto"/>
                    <w:jc w:val="center"/>
                    <w:textAlignment w:val="auto"/>
                    <w:rPr>
                      <w:rFonts w:hint="eastAsia" w:eastAsia="宋体" w:cs="宋体"/>
                      <w:color w:val="auto"/>
                      <w:kern w:val="0"/>
                      <w:szCs w:val="21"/>
                      <w:highlight w:val="none"/>
                      <w:lang w:val="en-US" w:eastAsia="zh-CN"/>
                    </w:rPr>
                  </w:pPr>
                  <w:r>
                    <w:rPr>
                      <w:rFonts w:hint="eastAsia"/>
                      <w:color w:val="auto"/>
                      <w:szCs w:val="21"/>
                      <w:lang w:val="en-US" w:eastAsia="zh-CN"/>
                    </w:rPr>
                    <w:t>热熔胶</w:t>
                  </w:r>
                </w:p>
              </w:tc>
              <w:tc>
                <w:tcPr>
                  <w:tcW w:w="451" w:type="pct"/>
                  <w:vMerge w:val="continue"/>
                  <w:noWrap w:val="0"/>
                  <w:vAlign w:val="center"/>
                </w:tcPr>
                <w:p w14:paraId="2CC1B46B">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6DE156CD">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0D7CD12C">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7C483856">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1</w:t>
                  </w:r>
                </w:p>
              </w:tc>
              <w:tc>
                <w:tcPr>
                  <w:tcW w:w="487" w:type="pct"/>
                  <w:noWrap w:val="0"/>
                  <w:vAlign w:val="center"/>
                </w:tcPr>
                <w:p w14:paraId="16E05D14">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29400D5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0.01</w:t>
                  </w:r>
                </w:p>
              </w:tc>
              <w:tc>
                <w:tcPr>
                  <w:tcW w:w="409" w:type="pct"/>
                  <w:noWrap w:val="0"/>
                  <w:vAlign w:val="center"/>
                </w:tcPr>
                <w:p w14:paraId="599BCF9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b w:val="0"/>
                      <w:bCs w:val="0"/>
                      <w:color w:val="auto"/>
                      <w:sz w:val="21"/>
                      <w:szCs w:val="21"/>
                      <w:vertAlign w:val="baseline"/>
                      <w:lang w:val="en-US" w:eastAsia="zh-CN"/>
                    </w:rPr>
                    <w:t>液态</w:t>
                  </w:r>
                </w:p>
              </w:tc>
              <w:tc>
                <w:tcPr>
                  <w:tcW w:w="409" w:type="pct"/>
                  <w:noWrap w:val="0"/>
                  <w:vAlign w:val="center"/>
                </w:tcPr>
                <w:p w14:paraId="2D964B5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48B562A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b w:val="0"/>
                      <w:bCs w:val="0"/>
                      <w:color w:val="FF0000"/>
                      <w:sz w:val="21"/>
                      <w:szCs w:val="21"/>
                      <w:vertAlign w:val="baseline"/>
                      <w:lang w:val="en-US" w:eastAsia="zh-CN"/>
                    </w:rPr>
                    <w:t>桶</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2D871B3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6D15AA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255" w:hRule="atLeast"/>
              </w:trPr>
              <w:tc>
                <w:tcPr>
                  <w:tcW w:w="208" w:type="pct"/>
                  <w:noWrap w:val="0"/>
                  <w:vAlign w:val="center"/>
                </w:tcPr>
                <w:p w14:paraId="4C0C9E00">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44</w:t>
                  </w:r>
                </w:p>
              </w:tc>
              <w:tc>
                <w:tcPr>
                  <w:tcW w:w="552" w:type="pct"/>
                  <w:noWrap w:val="0"/>
                  <w:vAlign w:val="center"/>
                </w:tcPr>
                <w:p w14:paraId="145CB1C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无纺布</w:t>
                  </w:r>
                </w:p>
              </w:tc>
              <w:tc>
                <w:tcPr>
                  <w:tcW w:w="451" w:type="pct"/>
                  <w:vMerge w:val="continue"/>
                  <w:noWrap w:val="0"/>
                  <w:vAlign w:val="center"/>
                </w:tcPr>
                <w:p w14:paraId="4B8BD85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p>
              </w:tc>
              <w:tc>
                <w:tcPr>
                  <w:tcW w:w="368" w:type="pct"/>
                  <w:noWrap w:val="0"/>
                  <w:vAlign w:val="center"/>
                </w:tcPr>
                <w:p w14:paraId="1ADB55A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3CB537F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36D4300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宋体"/>
                      <w:color w:val="FF0000"/>
                      <w:kern w:val="0"/>
                      <w:szCs w:val="21"/>
                      <w:highlight w:val="none"/>
                      <w:lang w:val="en-US" w:eastAsia="zh-CN"/>
                    </w:rPr>
                  </w:pPr>
                  <w:r>
                    <w:rPr>
                      <w:rFonts w:hint="eastAsia" w:cs="宋体"/>
                      <w:color w:val="FF0000"/>
                      <w:kern w:val="0"/>
                      <w:szCs w:val="21"/>
                      <w:highlight w:val="none"/>
                      <w:lang w:val="en-US" w:eastAsia="zh-CN"/>
                    </w:rPr>
                    <w:t>3.5</w:t>
                  </w:r>
                </w:p>
              </w:tc>
              <w:tc>
                <w:tcPr>
                  <w:tcW w:w="487" w:type="pct"/>
                  <w:noWrap w:val="0"/>
                  <w:vAlign w:val="center"/>
                </w:tcPr>
                <w:p w14:paraId="63C0F90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25F53C8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0.4</w:t>
                  </w:r>
                </w:p>
              </w:tc>
              <w:tc>
                <w:tcPr>
                  <w:tcW w:w="409" w:type="pct"/>
                  <w:noWrap w:val="0"/>
                  <w:vAlign w:val="center"/>
                </w:tcPr>
                <w:p w14:paraId="4333259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3F80B82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5F2C4B8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FF0000"/>
                      <w:kern w:val="0"/>
                      <w:szCs w:val="21"/>
                      <w:highlight w:val="none"/>
                      <w:lang w:val="en-US" w:eastAsia="zh-CN"/>
                    </w:rPr>
                  </w:pPr>
                  <w:r>
                    <w:rPr>
                      <w:rFonts w:hint="eastAsia" w:cs="Times New Roman"/>
                      <w:color w:val="FF0000"/>
                      <w:highlight w:val="none"/>
                      <w:lang w:val="en-US" w:eastAsia="zh-CN"/>
                    </w:rPr>
                    <w:t>袋</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75CA8C9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cs="Times New Roman"/>
                      <w:color w:val="auto"/>
                      <w:lang w:val="en-US" w:eastAsia="zh-CN"/>
                    </w:rPr>
                    <w:t>新增原辅料</w:t>
                  </w:r>
                </w:p>
              </w:tc>
            </w:tr>
            <w:tr w14:paraId="0C044B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255" w:hRule="atLeast"/>
              </w:trPr>
              <w:tc>
                <w:tcPr>
                  <w:tcW w:w="208" w:type="pct"/>
                  <w:noWrap w:val="0"/>
                  <w:vAlign w:val="center"/>
                </w:tcPr>
                <w:p w14:paraId="0412E604">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45</w:t>
                  </w:r>
                </w:p>
              </w:tc>
              <w:tc>
                <w:tcPr>
                  <w:tcW w:w="552" w:type="pct"/>
                  <w:noWrap w:val="0"/>
                  <w:vAlign w:val="center"/>
                </w:tcPr>
                <w:p w14:paraId="52031EA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离型纸</w:t>
                  </w:r>
                </w:p>
              </w:tc>
              <w:tc>
                <w:tcPr>
                  <w:tcW w:w="451" w:type="pct"/>
                  <w:vMerge w:val="continue"/>
                  <w:noWrap w:val="0"/>
                  <w:vAlign w:val="center"/>
                </w:tcPr>
                <w:p w14:paraId="5E475C2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p>
              </w:tc>
              <w:tc>
                <w:tcPr>
                  <w:tcW w:w="368" w:type="pct"/>
                  <w:noWrap w:val="0"/>
                  <w:vAlign w:val="center"/>
                </w:tcPr>
                <w:p w14:paraId="49F17A3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27432C3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23DFF7D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宋体"/>
                      <w:color w:val="FF0000"/>
                      <w:kern w:val="0"/>
                      <w:szCs w:val="21"/>
                      <w:highlight w:val="none"/>
                      <w:lang w:val="en-US" w:eastAsia="zh-CN"/>
                    </w:rPr>
                  </w:pPr>
                  <w:r>
                    <w:rPr>
                      <w:rFonts w:hint="eastAsia" w:cs="宋体"/>
                      <w:color w:val="FF0000"/>
                      <w:kern w:val="0"/>
                      <w:szCs w:val="21"/>
                      <w:highlight w:val="none"/>
                      <w:lang w:val="en-US" w:eastAsia="zh-CN"/>
                    </w:rPr>
                    <w:t>0.5</w:t>
                  </w:r>
                </w:p>
              </w:tc>
              <w:tc>
                <w:tcPr>
                  <w:tcW w:w="487" w:type="pct"/>
                  <w:noWrap w:val="0"/>
                  <w:vAlign w:val="center"/>
                </w:tcPr>
                <w:p w14:paraId="4D845EB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64A817C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0.05</w:t>
                  </w:r>
                </w:p>
              </w:tc>
              <w:tc>
                <w:tcPr>
                  <w:tcW w:w="409" w:type="pct"/>
                  <w:noWrap w:val="0"/>
                  <w:vAlign w:val="center"/>
                </w:tcPr>
                <w:p w14:paraId="672D0BF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63E66F2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59E3A0F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FF0000"/>
                      <w:kern w:val="0"/>
                      <w:szCs w:val="21"/>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58AA9BD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cs="Times New Roman"/>
                      <w:color w:val="auto"/>
                      <w:lang w:val="en-US" w:eastAsia="zh-CN"/>
                    </w:rPr>
                    <w:t>新增原辅料</w:t>
                  </w:r>
                </w:p>
              </w:tc>
            </w:tr>
            <w:tr w14:paraId="549334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53FA975F">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46</w:t>
                  </w:r>
                </w:p>
              </w:tc>
              <w:tc>
                <w:tcPr>
                  <w:tcW w:w="552" w:type="pct"/>
                  <w:noWrap w:val="0"/>
                  <w:vAlign w:val="center"/>
                </w:tcPr>
                <w:p w14:paraId="687A14CE">
                  <w:pPr>
                    <w:widowControl/>
                    <w:jc w:val="center"/>
                    <w:rPr>
                      <w:rFonts w:hint="eastAsia" w:cs="宋体"/>
                      <w:color w:val="auto"/>
                      <w:kern w:val="0"/>
                      <w:szCs w:val="21"/>
                      <w:highlight w:val="none"/>
                      <w:lang w:val="en-US" w:eastAsia="zh-CN"/>
                    </w:rPr>
                  </w:pPr>
                  <w:r>
                    <w:rPr>
                      <w:rFonts w:hint="eastAsia"/>
                      <w:color w:val="auto"/>
                      <w:szCs w:val="19"/>
                      <w:lang w:bidi="ar"/>
                    </w:rPr>
                    <w:t>涂胶基材</w:t>
                  </w:r>
                </w:p>
              </w:tc>
              <w:tc>
                <w:tcPr>
                  <w:tcW w:w="451" w:type="pct"/>
                  <w:vMerge w:val="restart"/>
                  <w:noWrap w:val="0"/>
                  <w:vAlign w:val="center"/>
                </w:tcPr>
                <w:p w14:paraId="56E7F9B9">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创</w:t>
                  </w:r>
                  <w:r>
                    <w:rPr>
                      <w:rFonts w:hint="eastAsia"/>
                      <w:color w:val="auto"/>
                      <w:szCs w:val="19"/>
                      <w:lang w:val="en-US" w:eastAsia="zh-CN" w:bidi="ar"/>
                    </w:rPr>
                    <w:t>可</w:t>
                  </w:r>
                  <w:r>
                    <w:rPr>
                      <w:rFonts w:hint="eastAsia"/>
                      <w:color w:val="auto"/>
                      <w:szCs w:val="19"/>
                      <w:lang w:bidi="ar"/>
                    </w:rPr>
                    <w:t>贴</w:t>
                  </w:r>
                </w:p>
              </w:tc>
              <w:tc>
                <w:tcPr>
                  <w:tcW w:w="368" w:type="pct"/>
                  <w:noWrap w:val="0"/>
                  <w:vAlign w:val="center"/>
                </w:tcPr>
                <w:p w14:paraId="4B5B3238">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73D2FCB0">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35BC6AC8">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6.2</w:t>
                  </w:r>
                </w:p>
              </w:tc>
              <w:tc>
                <w:tcPr>
                  <w:tcW w:w="487" w:type="pct"/>
                  <w:noWrap w:val="0"/>
                  <w:vAlign w:val="center"/>
                </w:tcPr>
                <w:p w14:paraId="34A513D2">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63B237E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0.6</w:t>
                  </w:r>
                </w:p>
              </w:tc>
              <w:tc>
                <w:tcPr>
                  <w:tcW w:w="409" w:type="pct"/>
                  <w:noWrap w:val="0"/>
                  <w:vAlign w:val="center"/>
                </w:tcPr>
                <w:p w14:paraId="19961A8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6BFEDBE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627744B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2DC5107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43E015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6DCE86D9">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47</w:t>
                  </w:r>
                </w:p>
              </w:tc>
              <w:tc>
                <w:tcPr>
                  <w:tcW w:w="552" w:type="pct"/>
                  <w:noWrap w:val="0"/>
                  <w:vAlign w:val="center"/>
                </w:tcPr>
                <w:p w14:paraId="3ECAA2A1">
                  <w:pPr>
                    <w:widowControl/>
                    <w:jc w:val="center"/>
                    <w:rPr>
                      <w:rFonts w:hint="eastAsia" w:cs="宋体"/>
                      <w:color w:val="auto"/>
                      <w:kern w:val="0"/>
                      <w:szCs w:val="21"/>
                      <w:highlight w:val="none"/>
                      <w:lang w:val="en-US" w:eastAsia="zh-CN"/>
                    </w:rPr>
                  </w:pPr>
                  <w:r>
                    <w:rPr>
                      <w:rFonts w:hint="eastAsia"/>
                      <w:color w:val="auto"/>
                      <w:szCs w:val="19"/>
                      <w:lang w:bidi="ar"/>
                    </w:rPr>
                    <w:t>吸收性敷垫</w:t>
                  </w:r>
                </w:p>
              </w:tc>
              <w:tc>
                <w:tcPr>
                  <w:tcW w:w="451" w:type="pct"/>
                  <w:vMerge w:val="continue"/>
                  <w:noWrap w:val="0"/>
                  <w:vAlign w:val="center"/>
                </w:tcPr>
                <w:p w14:paraId="7DA3E78A">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5C7F67C5">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7FABAC1A">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52E6ACB3">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1.9</w:t>
                  </w:r>
                </w:p>
              </w:tc>
              <w:tc>
                <w:tcPr>
                  <w:tcW w:w="487" w:type="pct"/>
                  <w:noWrap w:val="0"/>
                  <w:vAlign w:val="center"/>
                </w:tcPr>
                <w:p w14:paraId="0641E267">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01AAE5B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0.2</w:t>
                  </w:r>
                </w:p>
              </w:tc>
              <w:tc>
                <w:tcPr>
                  <w:tcW w:w="409" w:type="pct"/>
                  <w:noWrap w:val="0"/>
                  <w:vAlign w:val="center"/>
                </w:tcPr>
                <w:p w14:paraId="67A62BA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3EA4DEE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5803386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2391DC3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11E19F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5A234F30">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48</w:t>
                  </w:r>
                </w:p>
              </w:tc>
              <w:tc>
                <w:tcPr>
                  <w:tcW w:w="552" w:type="pct"/>
                  <w:noWrap w:val="0"/>
                  <w:vAlign w:val="center"/>
                </w:tcPr>
                <w:p w14:paraId="69D8486C">
                  <w:pPr>
                    <w:widowControl/>
                    <w:jc w:val="center"/>
                    <w:rPr>
                      <w:rFonts w:hint="eastAsia" w:cs="宋体"/>
                      <w:color w:val="auto"/>
                      <w:kern w:val="0"/>
                      <w:szCs w:val="21"/>
                      <w:highlight w:val="none"/>
                      <w:lang w:val="en-US" w:eastAsia="zh-CN"/>
                    </w:rPr>
                  </w:pPr>
                  <w:r>
                    <w:rPr>
                      <w:rFonts w:hint="eastAsia"/>
                      <w:color w:val="auto"/>
                      <w:szCs w:val="19"/>
                      <w:lang w:bidi="ar"/>
                    </w:rPr>
                    <w:t>离型纸</w:t>
                  </w:r>
                </w:p>
              </w:tc>
              <w:tc>
                <w:tcPr>
                  <w:tcW w:w="451" w:type="pct"/>
                  <w:vMerge w:val="continue"/>
                  <w:noWrap w:val="0"/>
                  <w:vAlign w:val="center"/>
                </w:tcPr>
                <w:p w14:paraId="6CC274C3">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3D830739">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5EDE3E47">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0E0BA592">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2.5</w:t>
                  </w:r>
                </w:p>
              </w:tc>
              <w:tc>
                <w:tcPr>
                  <w:tcW w:w="487" w:type="pct"/>
                  <w:noWrap w:val="0"/>
                  <w:vAlign w:val="center"/>
                </w:tcPr>
                <w:p w14:paraId="025C9863">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542F4E9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0.2</w:t>
                  </w:r>
                </w:p>
              </w:tc>
              <w:tc>
                <w:tcPr>
                  <w:tcW w:w="409" w:type="pct"/>
                  <w:noWrap w:val="0"/>
                  <w:vAlign w:val="center"/>
                </w:tcPr>
                <w:p w14:paraId="1F756CE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181C0C1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37D92CBE">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086EA1F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09E6AF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37FB58B9">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49</w:t>
                  </w:r>
                </w:p>
              </w:tc>
              <w:tc>
                <w:tcPr>
                  <w:tcW w:w="552" w:type="pct"/>
                  <w:noWrap w:val="0"/>
                  <w:vAlign w:val="center"/>
                </w:tcPr>
                <w:p w14:paraId="650E56FB">
                  <w:pPr>
                    <w:widowControl/>
                    <w:jc w:val="center"/>
                    <w:rPr>
                      <w:rFonts w:hint="eastAsia" w:cs="宋体"/>
                      <w:color w:val="auto"/>
                      <w:kern w:val="0"/>
                      <w:szCs w:val="21"/>
                      <w:highlight w:val="none"/>
                      <w:lang w:val="en-US" w:eastAsia="zh-CN"/>
                    </w:rPr>
                  </w:pPr>
                  <w:r>
                    <w:rPr>
                      <w:rFonts w:hint="eastAsia"/>
                      <w:color w:val="auto"/>
                      <w:szCs w:val="19"/>
                      <w:lang w:bidi="ar"/>
                    </w:rPr>
                    <w:t>冷封纸</w:t>
                  </w:r>
                </w:p>
              </w:tc>
              <w:tc>
                <w:tcPr>
                  <w:tcW w:w="451" w:type="pct"/>
                  <w:vMerge w:val="continue"/>
                  <w:noWrap w:val="0"/>
                  <w:vAlign w:val="center"/>
                </w:tcPr>
                <w:p w14:paraId="4F2D957E">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1706D435">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62FC2892">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2147193F">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4</w:t>
                  </w:r>
                </w:p>
              </w:tc>
              <w:tc>
                <w:tcPr>
                  <w:tcW w:w="487" w:type="pct"/>
                  <w:noWrap w:val="0"/>
                  <w:vAlign w:val="center"/>
                </w:tcPr>
                <w:p w14:paraId="11A529DB">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7A04DCD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0.4</w:t>
                  </w:r>
                </w:p>
              </w:tc>
              <w:tc>
                <w:tcPr>
                  <w:tcW w:w="409" w:type="pct"/>
                  <w:noWrap w:val="0"/>
                  <w:vAlign w:val="center"/>
                </w:tcPr>
                <w:p w14:paraId="15E2B40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47B2CC1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0A98565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6A4CEEA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536904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025BD283">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50</w:t>
                  </w:r>
                </w:p>
              </w:tc>
              <w:tc>
                <w:tcPr>
                  <w:tcW w:w="552" w:type="pct"/>
                  <w:noWrap w:val="0"/>
                  <w:vAlign w:val="center"/>
                </w:tcPr>
                <w:p w14:paraId="5EC253BD">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rPr>
                    <w:t>不锈钢球</w:t>
                  </w:r>
                </w:p>
              </w:tc>
              <w:tc>
                <w:tcPr>
                  <w:tcW w:w="451" w:type="pct"/>
                  <w:vMerge w:val="restart"/>
                  <w:noWrap w:val="0"/>
                  <w:vAlign w:val="center"/>
                </w:tcPr>
                <w:p w14:paraId="64860B49">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晕车贴</w:t>
                  </w:r>
                </w:p>
              </w:tc>
              <w:tc>
                <w:tcPr>
                  <w:tcW w:w="368" w:type="pct"/>
                  <w:noWrap w:val="0"/>
                  <w:vAlign w:val="center"/>
                </w:tcPr>
                <w:p w14:paraId="1044EFC6">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02A7E955">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36FF0E76">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0.1</w:t>
                  </w:r>
                </w:p>
              </w:tc>
              <w:tc>
                <w:tcPr>
                  <w:tcW w:w="487" w:type="pct"/>
                  <w:noWrap w:val="0"/>
                  <w:vAlign w:val="center"/>
                </w:tcPr>
                <w:p w14:paraId="59E67147">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1162E77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0.03</w:t>
                  </w:r>
                </w:p>
              </w:tc>
              <w:tc>
                <w:tcPr>
                  <w:tcW w:w="409" w:type="pct"/>
                  <w:noWrap w:val="0"/>
                  <w:vAlign w:val="center"/>
                </w:tcPr>
                <w:p w14:paraId="572AEA2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7449F9D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11CC13A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10948D1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5DEB95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255" w:hRule="atLeast"/>
              </w:trPr>
              <w:tc>
                <w:tcPr>
                  <w:tcW w:w="208" w:type="pct"/>
                  <w:noWrap w:val="0"/>
                  <w:vAlign w:val="center"/>
                </w:tcPr>
                <w:p w14:paraId="5B181205">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51</w:t>
                  </w:r>
                </w:p>
              </w:tc>
              <w:tc>
                <w:tcPr>
                  <w:tcW w:w="552" w:type="pct"/>
                  <w:noWrap w:val="0"/>
                  <w:vAlign w:val="center"/>
                </w:tcPr>
                <w:p w14:paraId="459D7270">
                  <w:pPr>
                    <w:snapToGrid w:val="0"/>
                    <w:spacing w:line="240" w:lineRule="auto"/>
                    <w:jc w:val="center"/>
                    <w:textAlignment w:val="auto"/>
                    <w:rPr>
                      <w:rFonts w:hint="eastAsia" w:eastAsia="宋体" w:cs="宋体"/>
                      <w:color w:val="auto"/>
                      <w:kern w:val="0"/>
                      <w:szCs w:val="21"/>
                      <w:highlight w:val="none"/>
                      <w:lang w:val="en-US" w:eastAsia="zh-CN"/>
                    </w:rPr>
                  </w:pPr>
                  <w:r>
                    <w:rPr>
                      <w:rFonts w:hint="eastAsia"/>
                      <w:color w:val="auto"/>
                      <w:szCs w:val="21"/>
                      <w:lang w:val="en-US" w:eastAsia="zh-CN"/>
                    </w:rPr>
                    <w:t>热熔胶</w:t>
                  </w:r>
                </w:p>
              </w:tc>
              <w:tc>
                <w:tcPr>
                  <w:tcW w:w="451" w:type="pct"/>
                  <w:vMerge w:val="continue"/>
                  <w:noWrap w:val="0"/>
                  <w:vAlign w:val="center"/>
                </w:tcPr>
                <w:p w14:paraId="50F51B05">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1EFFE0A0">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01B9119A">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149C2C9D">
                  <w:pPr>
                    <w:snapToGrid w:val="0"/>
                    <w:spacing w:line="240" w:lineRule="auto"/>
                    <w:jc w:val="center"/>
                    <w:textAlignment w:val="auto"/>
                    <w:rPr>
                      <w:rFonts w:hint="default" w:ascii="Times New Roman" w:hAnsi="Times New Roman" w:cs="Times New Roman"/>
                      <w:color w:val="FF0000"/>
                      <w:szCs w:val="21"/>
                      <w:highlight w:val="none"/>
                      <w:lang w:val="en-US"/>
                    </w:rPr>
                  </w:pPr>
                  <w:r>
                    <w:rPr>
                      <w:rFonts w:hint="eastAsia"/>
                      <w:color w:val="FF0000"/>
                      <w:szCs w:val="21"/>
                      <w:lang w:val="en-US" w:eastAsia="zh-CN"/>
                    </w:rPr>
                    <w:t>0.5</w:t>
                  </w:r>
                </w:p>
              </w:tc>
              <w:tc>
                <w:tcPr>
                  <w:tcW w:w="487" w:type="pct"/>
                  <w:noWrap w:val="0"/>
                  <w:vAlign w:val="center"/>
                </w:tcPr>
                <w:p w14:paraId="12288B6C">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51C3FBC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0.01</w:t>
                  </w:r>
                </w:p>
              </w:tc>
              <w:tc>
                <w:tcPr>
                  <w:tcW w:w="409" w:type="pct"/>
                  <w:noWrap w:val="0"/>
                  <w:vAlign w:val="center"/>
                </w:tcPr>
                <w:p w14:paraId="3E2D31C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b w:val="0"/>
                      <w:bCs w:val="0"/>
                      <w:color w:val="auto"/>
                      <w:sz w:val="21"/>
                      <w:szCs w:val="21"/>
                      <w:vertAlign w:val="baseline"/>
                      <w:lang w:val="en-US" w:eastAsia="zh-CN"/>
                    </w:rPr>
                    <w:t>液态</w:t>
                  </w:r>
                </w:p>
              </w:tc>
              <w:tc>
                <w:tcPr>
                  <w:tcW w:w="409" w:type="pct"/>
                  <w:noWrap w:val="0"/>
                  <w:vAlign w:val="center"/>
                </w:tcPr>
                <w:p w14:paraId="277FA81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7202226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b w:val="0"/>
                      <w:bCs w:val="0"/>
                      <w:color w:val="FF0000"/>
                      <w:sz w:val="21"/>
                      <w:szCs w:val="21"/>
                      <w:vertAlign w:val="baseline"/>
                      <w:lang w:val="en-US" w:eastAsia="zh-CN"/>
                    </w:rPr>
                    <w:t>桶</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75F4AD7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6062B3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255" w:hRule="atLeast"/>
              </w:trPr>
              <w:tc>
                <w:tcPr>
                  <w:tcW w:w="208" w:type="pct"/>
                  <w:noWrap w:val="0"/>
                  <w:vAlign w:val="center"/>
                </w:tcPr>
                <w:p w14:paraId="095BEA9F">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52</w:t>
                  </w:r>
                </w:p>
              </w:tc>
              <w:tc>
                <w:tcPr>
                  <w:tcW w:w="552" w:type="pct"/>
                  <w:noWrap w:val="0"/>
                  <w:vAlign w:val="center"/>
                </w:tcPr>
                <w:p w14:paraId="75DBB0C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无纺布</w:t>
                  </w:r>
                </w:p>
              </w:tc>
              <w:tc>
                <w:tcPr>
                  <w:tcW w:w="451" w:type="pct"/>
                  <w:vMerge w:val="continue"/>
                  <w:noWrap w:val="0"/>
                  <w:vAlign w:val="center"/>
                </w:tcPr>
                <w:p w14:paraId="53B85C0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p>
              </w:tc>
              <w:tc>
                <w:tcPr>
                  <w:tcW w:w="368" w:type="pct"/>
                  <w:noWrap w:val="0"/>
                  <w:vAlign w:val="center"/>
                </w:tcPr>
                <w:p w14:paraId="39CED88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174E46B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78DF134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宋体"/>
                      <w:color w:val="FF0000"/>
                      <w:kern w:val="0"/>
                      <w:szCs w:val="21"/>
                      <w:highlight w:val="none"/>
                      <w:lang w:val="en-US" w:eastAsia="zh-CN"/>
                    </w:rPr>
                  </w:pPr>
                  <w:r>
                    <w:rPr>
                      <w:rFonts w:hint="eastAsia" w:cs="宋体"/>
                      <w:color w:val="FF0000"/>
                      <w:kern w:val="0"/>
                      <w:szCs w:val="21"/>
                      <w:highlight w:val="none"/>
                      <w:lang w:val="en-US" w:eastAsia="zh-CN"/>
                    </w:rPr>
                    <w:t>1.75</w:t>
                  </w:r>
                </w:p>
              </w:tc>
              <w:tc>
                <w:tcPr>
                  <w:tcW w:w="487" w:type="pct"/>
                  <w:noWrap w:val="0"/>
                  <w:vAlign w:val="center"/>
                </w:tcPr>
                <w:p w14:paraId="3D39F55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71BAD1D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0.2</w:t>
                  </w:r>
                </w:p>
              </w:tc>
              <w:tc>
                <w:tcPr>
                  <w:tcW w:w="409" w:type="pct"/>
                  <w:noWrap w:val="0"/>
                  <w:vAlign w:val="center"/>
                </w:tcPr>
                <w:p w14:paraId="236DFFA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3BC5DFE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30652AC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FF0000"/>
                      <w:kern w:val="0"/>
                      <w:szCs w:val="21"/>
                      <w:highlight w:val="none"/>
                      <w:lang w:val="en-US" w:eastAsia="zh-CN"/>
                    </w:rPr>
                  </w:pPr>
                  <w:r>
                    <w:rPr>
                      <w:rFonts w:hint="eastAsia" w:cs="Times New Roman"/>
                      <w:color w:val="FF0000"/>
                      <w:highlight w:val="none"/>
                      <w:lang w:val="en-US" w:eastAsia="zh-CN"/>
                    </w:rPr>
                    <w:t>袋</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3323B43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cs="Times New Roman"/>
                      <w:color w:val="auto"/>
                      <w:lang w:val="en-US" w:eastAsia="zh-CN"/>
                    </w:rPr>
                    <w:t>新增原辅料</w:t>
                  </w:r>
                </w:p>
              </w:tc>
            </w:tr>
            <w:tr w14:paraId="03787D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255" w:hRule="atLeast"/>
              </w:trPr>
              <w:tc>
                <w:tcPr>
                  <w:tcW w:w="208" w:type="pct"/>
                  <w:noWrap w:val="0"/>
                  <w:vAlign w:val="center"/>
                </w:tcPr>
                <w:p w14:paraId="487AB920">
                  <w:pPr>
                    <w:snapToGrid w:val="0"/>
                    <w:jc w:val="center"/>
                    <w:rPr>
                      <w:rFonts w:hint="eastAsia" w:cs="宋体"/>
                      <w:color w:val="auto"/>
                      <w:kern w:val="0"/>
                      <w:szCs w:val="21"/>
                      <w:highlight w:val="none"/>
                      <w:lang w:val="en-US" w:eastAsia="zh-CN"/>
                    </w:rPr>
                  </w:pPr>
                  <w:r>
                    <w:rPr>
                      <w:rFonts w:hint="eastAsia" w:cs="宋体"/>
                      <w:color w:val="auto"/>
                      <w:kern w:val="0"/>
                      <w:szCs w:val="21"/>
                      <w:highlight w:val="none"/>
                      <w:lang w:val="en-US" w:eastAsia="zh-CN"/>
                    </w:rPr>
                    <w:t>53</w:t>
                  </w:r>
                </w:p>
              </w:tc>
              <w:tc>
                <w:tcPr>
                  <w:tcW w:w="552" w:type="pct"/>
                  <w:noWrap w:val="0"/>
                  <w:vAlign w:val="center"/>
                </w:tcPr>
                <w:p w14:paraId="5EACA8A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离型纸</w:t>
                  </w:r>
                </w:p>
              </w:tc>
              <w:tc>
                <w:tcPr>
                  <w:tcW w:w="451" w:type="pct"/>
                  <w:vMerge w:val="continue"/>
                  <w:noWrap w:val="0"/>
                  <w:vAlign w:val="center"/>
                </w:tcPr>
                <w:p w14:paraId="389BC66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p>
              </w:tc>
              <w:tc>
                <w:tcPr>
                  <w:tcW w:w="368" w:type="pct"/>
                  <w:noWrap w:val="0"/>
                  <w:vAlign w:val="center"/>
                </w:tcPr>
                <w:p w14:paraId="01982CD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39EA2C7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510F9B1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宋体"/>
                      <w:color w:val="FF0000"/>
                      <w:kern w:val="0"/>
                      <w:szCs w:val="21"/>
                      <w:highlight w:val="none"/>
                      <w:lang w:val="en-US" w:eastAsia="zh-CN"/>
                    </w:rPr>
                  </w:pPr>
                  <w:r>
                    <w:rPr>
                      <w:rFonts w:hint="eastAsia" w:cs="宋体"/>
                      <w:color w:val="FF0000"/>
                      <w:kern w:val="0"/>
                      <w:szCs w:val="21"/>
                      <w:highlight w:val="none"/>
                      <w:lang w:val="en-US" w:eastAsia="zh-CN"/>
                    </w:rPr>
                    <w:t>0.25</w:t>
                  </w:r>
                </w:p>
              </w:tc>
              <w:tc>
                <w:tcPr>
                  <w:tcW w:w="487" w:type="pct"/>
                  <w:noWrap w:val="0"/>
                  <w:vAlign w:val="center"/>
                </w:tcPr>
                <w:p w14:paraId="29B1BE7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7F4052F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0.03</w:t>
                  </w:r>
                </w:p>
              </w:tc>
              <w:tc>
                <w:tcPr>
                  <w:tcW w:w="409" w:type="pct"/>
                  <w:noWrap w:val="0"/>
                  <w:vAlign w:val="center"/>
                </w:tcPr>
                <w:p w14:paraId="4B6795B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6307416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7458B23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FF0000"/>
                      <w:kern w:val="0"/>
                      <w:szCs w:val="21"/>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22C9555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宋体"/>
                      <w:color w:val="auto"/>
                      <w:kern w:val="0"/>
                      <w:szCs w:val="21"/>
                      <w:highlight w:val="none"/>
                      <w:lang w:val="en-US" w:eastAsia="zh-CN"/>
                    </w:rPr>
                  </w:pPr>
                  <w:r>
                    <w:rPr>
                      <w:rFonts w:hint="eastAsia" w:cs="Times New Roman"/>
                      <w:color w:val="auto"/>
                      <w:lang w:val="en-US" w:eastAsia="zh-CN"/>
                    </w:rPr>
                    <w:t>新增原辅料</w:t>
                  </w:r>
                </w:p>
              </w:tc>
            </w:tr>
            <w:tr w14:paraId="016B9A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5D61E9B7">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54</w:t>
                  </w:r>
                </w:p>
              </w:tc>
              <w:tc>
                <w:tcPr>
                  <w:tcW w:w="552" w:type="pct"/>
                  <w:noWrap w:val="0"/>
                  <w:vAlign w:val="center"/>
                </w:tcPr>
                <w:p w14:paraId="1DBA2E2E">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lang w:val="en-US" w:eastAsia="zh-CN"/>
                    </w:rPr>
                    <w:t>无纺布</w:t>
                  </w:r>
                </w:p>
              </w:tc>
              <w:tc>
                <w:tcPr>
                  <w:tcW w:w="451" w:type="pct"/>
                  <w:vMerge w:val="restart"/>
                  <w:noWrap w:val="0"/>
                  <w:vAlign w:val="center"/>
                </w:tcPr>
                <w:p w14:paraId="09500B12">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三伏贴</w:t>
                  </w:r>
                </w:p>
              </w:tc>
              <w:tc>
                <w:tcPr>
                  <w:tcW w:w="368" w:type="pct"/>
                  <w:noWrap w:val="0"/>
                  <w:vAlign w:val="center"/>
                </w:tcPr>
                <w:p w14:paraId="02789D8B">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352AFF39">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192D543E">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8</w:t>
                  </w:r>
                </w:p>
              </w:tc>
              <w:tc>
                <w:tcPr>
                  <w:tcW w:w="487" w:type="pct"/>
                  <w:noWrap w:val="0"/>
                  <w:vAlign w:val="center"/>
                </w:tcPr>
                <w:p w14:paraId="26E076A4">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4D25F91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0.4</w:t>
                  </w:r>
                </w:p>
              </w:tc>
              <w:tc>
                <w:tcPr>
                  <w:tcW w:w="409" w:type="pct"/>
                  <w:noWrap w:val="0"/>
                  <w:vAlign w:val="center"/>
                </w:tcPr>
                <w:p w14:paraId="5372C4F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76C7987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625B615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672670E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01DFCF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4C4B31C5">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55</w:t>
                  </w:r>
                </w:p>
              </w:tc>
              <w:tc>
                <w:tcPr>
                  <w:tcW w:w="552" w:type="pct"/>
                  <w:noWrap w:val="0"/>
                  <w:vAlign w:val="center"/>
                </w:tcPr>
                <w:p w14:paraId="673A11C7">
                  <w:pPr>
                    <w:snapToGrid w:val="0"/>
                    <w:spacing w:line="240" w:lineRule="auto"/>
                    <w:jc w:val="center"/>
                    <w:textAlignment w:val="auto"/>
                    <w:rPr>
                      <w:rFonts w:hint="eastAsia" w:cs="宋体"/>
                      <w:color w:val="FF0000"/>
                      <w:kern w:val="0"/>
                      <w:szCs w:val="21"/>
                      <w:highlight w:val="none"/>
                      <w:lang w:val="en-US" w:eastAsia="zh-CN"/>
                    </w:rPr>
                  </w:pPr>
                  <w:r>
                    <w:rPr>
                      <w:rFonts w:hint="eastAsia"/>
                      <w:color w:val="auto"/>
                      <w:szCs w:val="21"/>
                      <w:lang w:val="en-US" w:eastAsia="zh-CN"/>
                    </w:rPr>
                    <w:t>离型纸</w:t>
                  </w:r>
                </w:p>
              </w:tc>
              <w:tc>
                <w:tcPr>
                  <w:tcW w:w="451" w:type="pct"/>
                  <w:vMerge w:val="continue"/>
                  <w:noWrap w:val="0"/>
                  <w:vAlign w:val="center"/>
                </w:tcPr>
                <w:p w14:paraId="3378E7EE">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4B103AC6">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4642CCA6">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0AA52991">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8</w:t>
                  </w:r>
                </w:p>
              </w:tc>
              <w:tc>
                <w:tcPr>
                  <w:tcW w:w="487" w:type="pct"/>
                  <w:noWrap w:val="0"/>
                  <w:vAlign w:val="center"/>
                </w:tcPr>
                <w:p w14:paraId="0221069C">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327088A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0.4</w:t>
                  </w:r>
                </w:p>
              </w:tc>
              <w:tc>
                <w:tcPr>
                  <w:tcW w:w="409" w:type="pct"/>
                  <w:noWrap w:val="0"/>
                  <w:vAlign w:val="center"/>
                </w:tcPr>
                <w:p w14:paraId="4CDF975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0931116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1E4266F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495C7B2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2A286C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60D9F6E9">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56</w:t>
                  </w:r>
                </w:p>
              </w:tc>
              <w:tc>
                <w:tcPr>
                  <w:tcW w:w="552" w:type="pct"/>
                  <w:noWrap w:val="0"/>
                  <w:vAlign w:val="center"/>
                </w:tcPr>
                <w:p w14:paraId="29CCB39F">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lang w:val="en-US" w:eastAsia="zh-CN"/>
                    </w:rPr>
                    <w:t>凝胶膏</w:t>
                  </w:r>
                </w:p>
              </w:tc>
              <w:tc>
                <w:tcPr>
                  <w:tcW w:w="451" w:type="pct"/>
                  <w:vMerge w:val="continue"/>
                  <w:noWrap w:val="0"/>
                  <w:vAlign w:val="center"/>
                </w:tcPr>
                <w:p w14:paraId="5822F596">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2CCD7DCD">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65C70061">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3E64CEDE">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3</w:t>
                  </w:r>
                </w:p>
              </w:tc>
              <w:tc>
                <w:tcPr>
                  <w:tcW w:w="487" w:type="pct"/>
                  <w:noWrap w:val="0"/>
                  <w:vAlign w:val="center"/>
                </w:tcPr>
                <w:p w14:paraId="349E1CA2">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40511BA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0.3</w:t>
                  </w:r>
                </w:p>
              </w:tc>
              <w:tc>
                <w:tcPr>
                  <w:tcW w:w="409" w:type="pct"/>
                  <w:noWrap w:val="0"/>
                  <w:vAlign w:val="center"/>
                </w:tcPr>
                <w:p w14:paraId="7590DA9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液态</w:t>
                  </w:r>
                </w:p>
              </w:tc>
              <w:tc>
                <w:tcPr>
                  <w:tcW w:w="409" w:type="pct"/>
                  <w:noWrap w:val="0"/>
                  <w:vAlign w:val="center"/>
                </w:tcPr>
                <w:p w14:paraId="6C5FF5A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3BB7566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17A345D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6DA9D9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5A3B6056">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57</w:t>
                  </w:r>
                </w:p>
              </w:tc>
              <w:tc>
                <w:tcPr>
                  <w:tcW w:w="552" w:type="pct"/>
                  <w:noWrap w:val="0"/>
                  <w:vAlign w:val="center"/>
                </w:tcPr>
                <w:p w14:paraId="4E156295">
                  <w:pPr>
                    <w:widowControl/>
                    <w:jc w:val="center"/>
                    <w:rPr>
                      <w:rFonts w:hint="eastAsia" w:cs="宋体"/>
                      <w:color w:val="auto"/>
                      <w:kern w:val="0"/>
                      <w:szCs w:val="21"/>
                      <w:highlight w:val="none"/>
                      <w:lang w:val="en-US" w:eastAsia="zh-CN"/>
                    </w:rPr>
                  </w:pPr>
                  <w:r>
                    <w:rPr>
                      <w:rFonts w:hint="eastAsia"/>
                      <w:color w:val="auto"/>
                      <w:szCs w:val="19"/>
                      <w:lang w:bidi="ar"/>
                    </w:rPr>
                    <w:t>水刺无纺布</w:t>
                  </w:r>
                </w:p>
              </w:tc>
              <w:tc>
                <w:tcPr>
                  <w:tcW w:w="451" w:type="pct"/>
                  <w:vMerge w:val="restart"/>
                  <w:noWrap w:val="0"/>
                  <w:vAlign w:val="center"/>
                </w:tcPr>
                <w:p w14:paraId="3BED3FFC">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r>
                    <w:rPr>
                      <w:rFonts w:hint="eastAsia"/>
                      <w:color w:val="auto"/>
                      <w:szCs w:val="19"/>
                      <w:lang w:bidi="ar"/>
                    </w:rPr>
                    <w:t>通气鼻贴</w:t>
                  </w:r>
                </w:p>
              </w:tc>
              <w:tc>
                <w:tcPr>
                  <w:tcW w:w="368" w:type="pct"/>
                  <w:noWrap w:val="0"/>
                  <w:vAlign w:val="center"/>
                </w:tcPr>
                <w:p w14:paraId="69880B83">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7E79B8AC">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6D4A2614">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10.5</w:t>
                  </w:r>
                </w:p>
              </w:tc>
              <w:tc>
                <w:tcPr>
                  <w:tcW w:w="487" w:type="pct"/>
                  <w:noWrap w:val="0"/>
                  <w:vAlign w:val="center"/>
                </w:tcPr>
                <w:p w14:paraId="59E801BF">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406A438E">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1</w:t>
                  </w:r>
                </w:p>
              </w:tc>
              <w:tc>
                <w:tcPr>
                  <w:tcW w:w="409" w:type="pct"/>
                  <w:noWrap w:val="0"/>
                  <w:vAlign w:val="center"/>
                </w:tcPr>
                <w:p w14:paraId="64B7451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4D45512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5DBAF8B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袋装</w:t>
                  </w:r>
                </w:p>
              </w:tc>
              <w:tc>
                <w:tcPr>
                  <w:tcW w:w="534" w:type="pct"/>
                  <w:noWrap w:val="0"/>
                  <w:vAlign w:val="center"/>
                </w:tcPr>
                <w:p w14:paraId="38FE728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58D76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501" w:hRule="atLeast"/>
              </w:trPr>
              <w:tc>
                <w:tcPr>
                  <w:tcW w:w="208" w:type="pct"/>
                  <w:noWrap w:val="0"/>
                  <w:vAlign w:val="center"/>
                </w:tcPr>
                <w:p w14:paraId="329C22DF">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58</w:t>
                  </w:r>
                </w:p>
              </w:tc>
              <w:tc>
                <w:tcPr>
                  <w:tcW w:w="552" w:type="pct"/>
                  <w:noWrap w:val="0"/>
                  <w:vAlign w:val="center"/>
                </w:tcPr>
                <w:p w14:paraId="4E2808EC">
                  <w:pPr>
                    <w:widowControl/>
                    <w:jc w:val="center"/>
                    <w:rPr>
                      <w:rFonts w:hint="eastAsia" w:cs="宋体"/>
                      <w:color w:val="auto"/>
                      <w:kern w:val="0"/>
                      <w:szCs w:val="21"/>
                      <w:highlight w:val="none"/>
                      <w:lang w:val="en-US" w:eastAsia="zh-CN"/>
                    </w:rPr>
                  </w:pPr>
                  <w:r>
                    <w:rPr>
                      <w:rFonts w:hint="eastAsia"/>
                      <w:color w:val="auto"/>
                      <w:szCs w:val="19"/>
                      <w:lang w:bidi="ar"/>
                    </w:rPr>
                    <w:t>压力敏感胶粘剂</w:t>
                  </w:r>
                </w:p>
              </w:tc>
              <w:tc>
                <w:tcPr>
                  <w:tcW w:w="451" w:type="pct"/>
                  <w:vMerge w:val="continue"/>
                  <w:noWrap w:val="0"/>
                  <w:vAlign w:val="center"/>
                </w:tcPr>
                <w:p w14:paraId="2C2894FF">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56CAE358">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42524DAF">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78B90D57">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10.5</w:t>
                  </w:r>
                </w:p>
              </w:tc>
              <w:tc>
                <w:tcPr>
                  <w:tcW w:w="487" w:type="pct"/>
                  <w:noWrap w:val="0"/>
                  <w:vAlign w:val="center"/>
                </w:tcPr>
                <w:p w14:paraId="6A3EE8A2">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30B6DD1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1</w:t>
                  </w:r>
                </w:p>
              </w:tc>
              <w:tc>
                <w:tcPr>
                  <w:tcW w:w="409" w:type="pct"/>
                  <w:noWrap w:val="0"/>
                  <w:vAlign w:val="center"/>
                </w:tcPr>
                <w:p w14:paraId="0EE663D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0077933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6C140BD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432AF7D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598418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501" w:hRule="atLeast"/>
              </w:trPr>
              <w:tc>
                <w:tcPr>
                  <w:tcW w:w="208" w:type="pct"/>
                  <w:noWrap w:val="0"/>
                  <w:vAlign w:val="center"/>
                </w:tcPr>
                <w:p w14:paraId="1871F33E">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59</w:t>
                  </w:r>
                </w:p>
              </w:tc>
              <w:tc>
                <w:tcPr>
                  <w:tcW w:w="552" w:type="pct"/>
                  <w:noWrap w:val="0"/>
                  <w:vAlign w:val="center"/>
                </w:tcPr>
                <w:p w14:paraId="72BC00A8">
                  <w:pPr>
                    <w:widowControl/>
                    <w:jc w:val="center"/>
                    <w:rPr>
                      <w:rFonts w:hint="eastAsia" w:cs="宋体"/>
                      <w:color w:val="auto"/>
                      <w:kern w:val="0"/>
                      <w:szCs w:val="21"/>
                      <w:highlight w:val="none"/>
                      <w:lang w:val="en-US" w:eastAsia="zh-CN"/>
                    </w:rPr>
                  </w:pPr>
                  <w:r>
                    <w:rPr>
                      <w:rFonts w:hint="eastAsia"/>
                      <w:color w:val="auto"/>
                      <w:szCs w:val="19"/>
                      <w:lang w:bidi="ar"/>
                    </w:rPr>
                    <w:t>弹性物（PET）</w:t>
                  </w:r>
                </w:p>
              </w:tc>
              <w:tc>
                <w:tcPr>
                  <w:tcW w:w="451" w:type="pct"/>
                  <w:vMerge w:val="continue"/>
                  <w:noWrap w:val="0"/>
                  <w:vAlign w:val="center"/>
                </w:tcPr>
                <w:p w14:paraId="066C7773">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50FEF7FA">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4D8558EF">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3801381E">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8.3</w:t>
                  </w:r>
                </w:p>
              </w:tc>
              <w:tc>
                <w:tcPr>
                  <w:tcW w:w="487" w:type="pct"/>
                  <w:noWrap w:val="0"/>
                  <w:vAlign w:val="center"/>
                </w:tcPr>
                <w:p w14:paraId="7A8EAF46">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72E38FC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0.8</w:t>
                  </w:r>
                </w:p>
              </w:tc>
              <w:tc>
                <w:tcPr>
                  <w:tcW w:w="409" w:type="pct"/>
                  <w:noWrap w:val="0"/>
                  <w:vAlign w:val="center"/>
                </w:tcPr>
                <w:p w14:paraId="7246195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6B7F9D4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2A9E20C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749C230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772650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0FADF447">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60</w:t>
                  </w:r>
                </w:p>
              </w:tc>
              <w:tc>
                <w:tcPr>
                  <w:tcW w:w="552" w:type="pct"/>
                  <w:noWrap w:val="0"/>
                  <w:vAlign w:val="center"/>
                </w:tcPr>
                <w:p w14:paraId="717EF759">
                  <w:pPr>
                    <w:widowControl/>
                    <w:jc w:val="center"/>
                    <w:rPr>
                      <w:rFonts w:hint="eastAsia" w:cs="宋体"/>
                      <w:color w:val="auto"/>
                      <w:kern w:val="0"/>
                      <w:szCs w:val="21"/>
                      <w:highlight w:val="none"/>
                      <w:lang w:val="en-US" w:eastAsia="zh-CN"/>
                    </w:rPr>
                  </w:pPr>
                  <w:r>
                    <w:rPr>
                      <w:rFonts w:hint="eastAsia"/>
                      <w:color w:val="auto"/>
                      <w:szCs w:val="19"/>
                      <w:lang w:bidi="ar"/>
                    </w:rPr>
                    <w:t>背贴纸</w:t>
                  </w:r>
                </w:p>
              </w:tc>
              <w:tc>
                <w:tcPr>
                  <w:tcW w:w="451" w:type="pct"/>
                  <w:vMerge w:val="continue"/>
                  <w:noWrap w:val="0"/>
                  <w:vAlign w:val="center"/>
                </w:tcPr>
                <w:p w14:paraId="0BF16E78">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64615011">
                  <w:pPr>
                    <w:snapToGrid w:val="0"/>
                    <w:spacing w:line="240" w:lineRule="auto"/>
                    <w:jc w:val="center"/>
                    <w:textAlignment w:val="auto"/>
                    <w:rPr>
                      <w:rFonts w:hint="default" w:ascii="Times New Roman" w:hAnsi="Times New Roman" w:cs="Times New Roman"/>
                      <w:color w:val="auto"/>
                      <w:szCs w:val="21"/>
                      <w:highlight w:val="none"/>
                    </w:rPr>
                  </w:pPr>
                  <w:r>
                    <w:rPr>
                      <w:rFonts w:hint="eastAsia" w:cs="Times New Roman"/>
                      <w:color w:val="auto"/>
                      <w:szCs w:val="21"/>
                      <w:highlight w:val="none"/>
                      <w:lang w:val="en-US" w:eastAsia="zh-CN"/>
                    </w:rPr>
                    <w:t>0</w:t>
                  </w:r>
                </w:p>
              </w:tc>
              <w:tc>
                <w:tcPr>
                  <w:tcW w:w="327" w:type="pct"/>
                  <w:noWrap w:val="0"/>
                  <w:vAlign w:val="center"/>
                </w:tcPr>
                <w:p w14:paraId="35B27D20">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387C97E2">
                  <w:pPr>
                    <w:snapToGrid w:val="0"/>
                    <w:spacing w:line="240" w:lineRule="auto"/>
                    <w:jc w:val="center"/>
                    <w:textAlignment w:val="auto"/>
                    <w:rPr>
                      <w:rFonts w:hint="default" w:ascii="Times New Roman" w:hAnsi="Times New Roman" w:cs="Times New Roman"/>
                      <w:color w:val="FF0000"/>
                      <w:szCs w:val="21"/>
                      <w:highlight w:val="none"/>
                    </w:rPr>
                  </w:pPr>
                  <w:r>
                    <w:rPr>
                      <w:rFonts w:hint="eastAsia"/>
                      <w:color w:val="FF0000"/>
                      <w:szCs w:val="21"/>
                      <w:lang w:val="en-US" w:eastAsia="zh-CN"/>
                    </w:rPr>
                    <w:t>1.5</w:t>
                  </w:r>
                </w:p>
              </w:tc>
              <w:tc>
                <w:tcPr>
                  <w:tcW w:w="487" w:type="pct"/>
                  <w:noWrap w:val="0"/>
                  <w:vAlign w:val="center"/>
                </w:tcPr>
                <w:p w14:paraId="4E5F2988">
                  <w:pPr>
                    <w:adjustRightInd w:val="0"/>
                    <w:snapToGrid w:val="0"/>
                    <w:jc w:val="center"/>
                    <w:rPr>
                      <w:rFonts w:hint="eastAsia" w:cs="Times New Roman"/>
                      <w:color w:val="auto"/>
                      <w:szCs w:val="21"/>
                      <w:highlight w:val="none"/>
                      <w:lang w:val="en-US" w:eastAsia="zh-CN"/>
                    </w:rPr>
                  </w:pPr>
                  <w:r>
                    <w:rPr>
                      <w:rFonts w:hint="default" w:ascii="Times New Roman" w:hAnsi="Times New Roman" w:cs="Times New Roman"/>
                      <w:color w:val="auto"/>
                      <w:szCs w:val="21"/>
                    </w:rPr>
                    <w:t>t/a</w:t>
                  </w:r>
                </w:p>
              </w:tc>
              <w:tc>
                <w:tcPr>
                  <w:tcW w:w="409" w:type="pct"/>
                  <w:noWrap w:val="0"/>
                  <w:vAlign w:val="center"/>
                </w:tcPr>
                <w:p w14:paraId="4903BE6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0.1</w:t>
                  </w:r>
                </w:p>
              </w:tc>
              <w:tc>
                <w:tcPr>
                  <w:tcW w:w="409" w:type="pct"/>
                  <w:noWrap w:val="0"/>
                  <w:vAlign w:val="center"/>
                </w:tcPr>
                <w:p w14:paraId="1E31133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25B46D3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4888618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箱</w:t>
                  </w:r>
                  <w:r>
                    <w:rPr>
                      <w:rFonts w:hint="eastAsia" w:ascii="Times New Roman" w:hAnsi="Times New Roman" w:eastAsia="宋体" w:cs="Times New Roman"/>
                      <w:b w:val="0"/>
                      <w:bCs w:val="0"/>
                      <w:color w:val="FF0000"/>
                      <w:sz w:val="21"/>
                      <w:szCs w:val="21"/>
                      <w:vertAlign w:val="baseline"/>
                      <w:lang w:val="en-US" w:eastAsia="zh-CN"/>
                    </w:rPr>
                    <w:t>装</w:t>
                  </w:r>
                </w:p>
              </w:tc>
              <w:tc>
                <w:tcPr>
                  <w:tcW w:w="534" w:type="pct"/>
                  <w:noWrap w:val="0"/>
                  <w:vAlign w:val="center"/>
                </w:tcPr>
                <w:p w14:paraId="76F86458">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highlight w:val="none"/>
                      <w:lang w:val="en-US" w:eastAsia="zh-CN"/>
                    </w:rPr>
                  </w:pPr>
                  <w:r>
                    <w:rPr>
                      <w:rFonts w:hint="eastAsia" w:cs="Times New Roman"/>
                      <w:color w:val="auto"/>
                      <w:lang w:val="en-US" w:eastAsia="zh-CN"/>
                    </w:rPr>
                    <w:t>新增原辅料</w:t>
                  </w:r>
                </w:p>
              </w:tc>
            </w:tr>
            <w:tr w14:paraId="3A27BB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7FC7EAF1">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60</w:t>
                  </w:r>
                </w:p>
              </w:tc>
              <w:tc>
                <w:tcPr>
                  <w:tcW w:w="552" w:type="pct"/>
                  <w:noWrap w:val="0"/>
                  <w:vAlign w:val="center"/>
                </w:tcPr>
                <w:p w14:paraId="7F2C318E">
                  <w:pPr>
                    <w:snapToGrid w:val="0"/>
                    <w:spacing w:line="240" w:lineRule="auto"/>
                    <w:jc w:val="center"/>
                    <w:textAlignment w:val="auto"/>
                    <w:rPr>
                      <w:rFonts w:hint="eastAsia"/>
                      <w:color w:val="auto"/>
                      <w:szCs w:val="19"/>
                      <w:lang w:bidi="ar"/>
                    </w:rPr>
                  </w:pPr>
                  <w:r>
                    <w:rPr>
                      <w:rFonts w:hint="eastAsia"/>
                      <w:bCs/>
                      <w:color w:val="auto"/>
                      <w:szCs w:val="21"/>
                    </w:rPr>
                    <w:t>聚丙烯酸钠</w:t>
                  </w:r>
                </w:p>
              </w:tc>
              <w:tc>
                <w:tcPr>
                  <w:tcW w:w="451" w:type="pct"/>
                  <w:vMerge w:val="restart"/>
                  <w:noWrap w:val="0"/>
                  <w:vAlign w:val="center"/>
                </w:tcPr>
                <w:p w14:paraId="53C82E3B">
                  <w:pPr>
                    <w:snapToGrid w:val="0"/>
                    <w:spacing w:line="240" w:lineRule="auto"/>
                    <w:jc w:val="center"/>
                    <w:textAlignment w:val="auto"/>
                    <w:rPr>
                      <w:rFonts w:hint="eastAsia" w:cs="宋体"/>
                      <w:color w:val="auto"/>
                      <w:kern w:val="0"/>
                      <w:szCs w:val="21"/>
                      <w:highlight w:val="none"/>
                      <w:lang w:val="en-US" w:eastAsia="zh-CN"/>
                    </w:rPr>
                  </w:pPr>
                  <w:r>
                    <w:rPr>
                      <w:rFonts w:hint="eastAsia"/>
                      <w:color w:val="auto"/>
                      <w:szCs w:val="21"/>
                      <w:lang w:val="en-US" w:eastAsia="zh-CN"/>
                    </w:rPr>
                    <w:t>冰凉</w:t>
                  </w:r>
                  <w:r>
                    <w:rPr>
                      <w:rFonts w:hint="eastAsia"/>
                      <w:color w:val="auto"/>
                      <w:szCs w:val="21"/>
                    </w:rPr>
                    <w:t>贴</w:t>
                  </w:r>
                </w:p>
              </w:tc>
              <w:tc>
                <w:tcPr>
                  <w:tcW w:w="368" w:type="pct"/>
                  <w:noWrap w:val="0"/>
                  <w:vAlign w:val="center"/>
                </w:tcPr>
                <w:p w14:paraId="3920B2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175419FB">
                  <w:pPr>
                    <w:adjustRightInd w:val="0"/>
                    <w:snapToGrid w:val="0"/>
                    <w:spacing w:line="24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59D0BB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FF0000"/>
                      <w:szCs w:val="21"/>
                      <w:lang w:val="en-US" w:eastAsia="zh-CN"/>
                    </w:rPr>
                  </w:pPr>
                  <w:r>
                    <w:rPr>
                      <w:rFonts w:hint="eastAsia" w:ascii="Times New Roman" w:hAnsi="Times New Roman" w:eastAsia="宋体" w:cs="Times New Roman"/>
                      <w:b w:val="0"/>
                      <w:bCs w:val="0"/>
                      <w:color w:val="FF0000"/>
                      <w:sz w:val="21"/>
                      <w:szCs w:val="21"/>
                      <w:vertAlign w:val="baseline"/>
                      <w:lang w:val="en-US" w:eastAsia="zh-CN"/>
                    </w:rPr>
                    <w:t>66</w:t>
                  </w:r>
                </w:p>
              </w:tc>
              <w:tc>
                <w:tcPr>
                  <w:tcW w:w="487" w:type="pct"/>
                  <w:noWrap w:val="0"/>
                  <w:vAlign w:val="center"/>
                </w:tcPr>
                <w:p w14:paraId="33A585BF">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409" w:type="pct"/>
                  <w:noWrap w:val="0"/>
                  <w:vAlign w:val="center"/>
                </w:tcPr>
                <w:p w14:paraId="7EB7FD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20</w:t>
                  </w:r>
                </w:p>
              </w:tc>
              <w:tc>
                <w:tcPr>
                  <w:tcW w:w="409" w:type="pct"/>
                  <w:noWrap w:val="0"/>
                  <w:vAlign w:val="center"/>
                </w:tcPr>
                <w:p w14:paraId="57C6CD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53E9B4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543C6E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noWrap w:val="0"/>
                  <w:vAlign w:val="center"/>
                </w:tcPr>
                <w:p w14:paraId="6CD9675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新增原辅料</w:t>
                  </w:r>
                </w:p>
              </w:tc>
            </w:tr>
            <w:tr w14:paraId="5D13E9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6C56522D">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62</w:t>
                  </w:r>
                </w:p>
              </w:tc>
              <w:tc>
                <w:tcPr>
                  <w:tcW w:w="552" w:type="pct"/>
                  <w:noWrap w:val="0"/>
                  <w:vAlign w:val="center"/>
                </w:tcPr>
                <w:p w14:paraId="565D7235">
                  <w:pPr>
                    <w:snapToGrid w:val="0"/>
                    <w:spacing w:line="240" w:lineRule="auto"/>
                    <w:jc w:val="center"/>
                    <w:textAlignment w:val="auto"/>
                    <w:rPr>
                      <w:rFonts w:hint="eastAsia"/>
                      <w:color w:val="auto"/>
                      <w:szCs w:val="19"/>
                      <w:lang w:bidi="ar"/>
                    </w:rPr>
                  </w:pPr>
                  <w:r>
                    <w:rPr>
                      <w:rFonts w:hint="eastAsia"/>
                      <w:bCs/>
                      <w:color w:val="auto"/>
                      <w:szCs w:val="21"/>
                    </w:rPr>
                    <w:t>二羟基氨基乙酸铝</w:t>
                  </w:r>
                </w:p>
              </w:tc>
              <w:tc>
                <w:tcPr>
                  <w:tcW w:w="451" w:type="pct"/>
                  <w:vMerge w:val="continue"/>
                  <w:noWrap w:val="0"/>
                  <w:vAlign w:val="center"/>
                </w:tcPr>
                <w:p w14:paraId="5B9761D5">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55877C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6E8CE1E6">
                  <w:pPr>
                    <w:adjustRightInd w:val="0"/>
                    <w:snapToGrid w:val="0"/>
                    <w:spacing w:line="24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7987CE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FF0000"/>
                      <w:szCs w:val="21"/>
                      <w:lang w:val="en-US" w:eastAsia="zh-CN"/>
                    </w:rPr>
                  </w:pPr>
                  <w:r>
                    <w:rPr>
                      <w:rFonts w:hint="eastAsia" w:ascii="Times New Roman" w:hAnsi="Times New Roman" w:eastAsia="宋体" w:cs="Times New Roman"/>
                      <w:b w:val="0"/>
                      <w:bCs w:val="0"/>
                      <w:color w:val="FF0000"/>
                      <w:sz w:val="21"/>
                      <w:szCs w:val="21"/>
                      <w:vertAlign w:val="baseline"/>
                      <w:lang w:val="en-US" w:eastAsia="zh-CN"/>
                    </w:rPr>
                    <w:t>36</w:t>
                  </w:r>
                </w:p>
              </w:tc>
              <w:tc>
                <w:tcPr>
                  <w:tcW w:w="487" w:type="pct"/>
                  <w:noWrap w:val="0"/>
                  <w:vAlign w:val="center"/>
                </w:tcPr>
                <w:p w14:paraId="000BEB76">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409" w:type="pct"/>
                  <w:noWrap w:val="0"/>
                  <w:vAlign w:val="center"/>
                </w:tcPr>
                <w:p w14:paraId="31D8C0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10</w:t>
                  </w:r>
                </w:p>
              </w:tc>
              <w:tc>
                <w:tcPr>
                  <w:tcW w:w="409" w:type="pct"/>
                  <w:noWrap w:val="0"/>
                  <w:vAlign w:val="center"/>
                </w:tcPr>
                <w:p w14:paraId="5AB23F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32C6B5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122B9A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noWrap w:val="0"/>
                  <w:vAlign w:val="center"/>
                </w:tcPr>
                <w:p w14:paraId="2AF7625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新增原辅料</w:t>
                  </w:r>
                </w:p>
              </w:tc>
            </w:tr>
            <w:tr w14:paraId="7D8F2A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4807B93C">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63</w:t>
                  </w:r>
                </w:p>
              </w:tc>
              <w:tc>
                <w:tcPr>
                  <w:tcW w:w="552" w:type="pct"/>
                  <w:noWrap w:val="0"/>
                  <w:vAlign w:val="center"/>
                </w:tcPr>
                <w:p w14:paraId="3668C705">
                  <w:pPr>
                    <w:snapToGrid w:val="0"/>
                    <w:spacing w:line="240" w:lineRule="auto"/>
                    <w:jc w:val="center"/>
                    <w:textAlignment w:val="auto"/>
                    <w:rPr>
                      <w:rFonts w:hint="eastAsia"/>
                      <w:color w:val="auto"/>
                      <w:szCs w:val="19"/>
                      <w:lang w:bidi="ar"/>
                    </w:rPr>
                  </w:pPr>
                  <w:r>
                    <w:rPr>
                      <w:rFonts w:hint="eastAsia"/>
                      <w:color w:val="auto"/>
                      <w:szCs w:val="21"/>
                    </w:rPr>
                    <w:t>纯</w:t>
                  </w:r>
                  <w:r>
                    <w:rPr>
                      <w:rFonts w:hint="eastAsia"/>
                      <w:color w:val="auto"/>
                      <w:szCs w:val="21"/>
                      <w:lang w:val="en-US" w:eastAsia="zh-CN"/>
                    </w:rPr>
                    <w:t>化</w:t>
                  </w:r>
                  <w:r>
                    <w:rPr>
                      <w:rFonts w:hint="eastAsia"/>
                      <w:color w:val="auto"/>
                      <w:szCs w:val="21"/>
                    </w:rPr>
                    <w:t>水</w:t>
                  </w:r>
                </w:p>
              </w:tc>
              <w:tc>
                <w:tcPr>
                  <w:tcW w:w="451" w:type="pct"/>
                  <w:vMerge w:val="continue"/>
                  <w:noWrap w:val="0"/>
                  <w:vAlign w:val="center"/>
                </w:tcPr>
                <w:p w14:paraId="23579665">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10A60C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59B076DE">
                  <w:pPr>
                    <w:adjustRightInd w:val="0"/>
                    <w:snapToGrid w:val="0"/>
                    <w:spacing w:line="240" w:lineRule="exac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35D8B9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FF0000"/>
                      <w:szCs w:val="21"/>
                      <w:lang w:val="en-US" w:eastAsia="zh-CN"/>
                    </w:rPr>
                  </w:pPr>
                  <w:r>
                    <w:rPr>
                      <w:rFonts w:hint="eastAsia" w:ascii="Times New Roman" w:hAnsi="Times New Roman" w:eastAsia="宋体" w:cs="Times New Roman"/>
                      <w:b w:val="0"/>
                      <w:bCs w:val="0"/>
                      <w:color w:val="FF0000"/>
                      <w:sz w:val="21"/>
                      <w:szCs w:val="21"/>
                      <w:vertAlign w:val="baseline"/>
                      <w:lang w:val="en-US" w:eastAsia="zh-CN"/>
                    </w:rPr>
                    <w:t>84</w:t>
                  </w:r>
                </w:p>
              </w:tc>
              <w:tc>
                <w:tcPr>
                  <w:tcW w:w="487" w:type="pct"/>
                  <w:noWrap w:val="0"/>
                  <w:vAlign w:val="center"/>
                </w:tcPr>
                <w:p w14:paraId="6FBD7826">
                  <w:pPr>
                    <w:adjustRightInd w:val="0"/>
                    <w:snapToGrid w:val="0"/>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409" w:type="pct"/>
                  <w:noWrap w:val="0"/>
                  <w:vAlign w:val="center"/>
                </w:tcPr>
                <w:p w14:paraId="2156B4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c>
                <w:tcPr>
                  <w:tcW w:w="409" w:type="pct"/>
                  <w:noWrap w:val="0"/>
                  <w:vAlign w:val="center"/>
                </w:tcPr>
                <w:p w14:paraId="62BEC5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397181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自制</w:t>
                  </w:r>
                </w:p>
              </w:tc>
              <w:tc>
                <w:tcPr>
                  <w:tcW w:w="410" w:type="pct"/>
                  <w:noWrap w:val="0"/>
                  <w:vAlign w:val="center"/>
                </w:tcPr>
                <w:p w14:paraId="3BC4D9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w:t>
                  </w:r>
                </w:p>
              </w:tc>
              <w:tc>
                <w:tcPr>
                  <w:tcW w:w="534" w:type="pct"/>
                  <w:noWrap w:val="0"/>
                  <w:vAlign w:val="center"/>
                </w:tcPr>
                <w:p w14:paraId="0A3B53C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新增原辅料</w:t>
                  </w:r>
                </w:p>
              </w:tc>
            </w:tr>
            <w:tr w14:paraId="5090DD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1CE6FAD0">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64</w:t>
                  </w:r>
                </w:p>
              </w:tc>
              <w:tc>
                <w:tcPr>
                  <w:tcW w:w="552" w:type="pct"/>
                  <w:noWrap w:val="0"/>
                  <w:vAlign w:val="center"/>
                </w:tcPr>
                <w:p w14:paraId="5852C782">
                  <w:pPr>
                    <w:snapToGrid w:val="0"/>
                    <w:spacing w:line="240" w:lineRule="auto"/>
                    <w:jc w:val="center"/>
                    <w:textAlignment w:val="auto"/>
                    <w:rPr>
                      <w:rFonts w:hint="eastAsia"/>
                      <w:color w:val="auto"/>
                      <w:szCs w:val="19"/>
                      <w:lang w:bidi="ar"/>
                    </w:rPr>
                  </w:pPr>
                  <w:r>
                    <w:rPr>
                      <w:rFonts w:hint="eastAsia"/>
                      <w:bCs/>
                      <w:color w:val="auto"/>
                      <w:szCs w:val="21"/>
                    </w:rPr>
                    <w:t>EDTA二钠盐</w:t>
                  </w:r>
                </w:p>
              </w:tc>
              <w:tc>
                <w:tcPr>
                  <w:tcW w:w="451" w:type="pct"/>
                  <w:vMerge w:val="continue"/>
                  <w:noWrap w:val="0"/>
                  <w:vAlign w:val="center"/>
                </w:tcPr>
                <w:p w14:paraId="7341AE4A">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231ED2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0F55365B">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6F5A7A1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FF0000"/>
                      <w:szCs w:val="21"/>
                      <w:lang w:val="en-US" w:eastAsia="zh-CN"/>
                    </w:rPr>
                  </w:pPr>
                  <w:r>
                    <w:rPr>
                      <w:rFonts w:hint="eastAsia" w:ascii="Times New Roman" w:hAnsi="Times New Roman" w:eastAsia="宋体" w:cs="Times New Roman"/>
                      <w:b w:val="0"/>
                      <w:bCs w:val="0"/>
                      <w:color w:val="FF0000"/>
                      <w:sz w:val="21"/>
                      <w:szCs w:val="21"/>
                      <w:vertAlign w:val="baseline"/>
                      <w:lang w:val="en-US" w:eastAsia="zh-CN"/>
                    </w:rPr>
                    <w:t>2.6</w:t>
                  </w:r>
                </w:p>
              </w:tc>
              <w:tc>
                <w:tcPr>
                  <w:tcW w:w="487" w:type="pct"/>
                  <w:noWrap w:val="0"/>
                  <w:vAlign w:val="center"/>
                </w:tcPr>
                <w:p w14:paraId="023ABBF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409" w:type="pct"/>
                  <w:noWrap w:val="0"/>
                  <w:vAlign w:val="center"/>
                </w:tcPr>
                <w:p w14:paraId="2AFD93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409" w:type="pct"/>
                  <w:noWrap w:val="0"/>
                  <w:vAlign w:val="center"/>
                </w:tcPr>
                <w:p w14:paraId="167FFA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786A53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5FC218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袋装</w:t>
                  </w:r>
                </w:p>
              </w:tc>
              <w:tc>
                <w:tcPr>
                  <w:tcW w:w="534" w:type="pct"/>
                  <w:noWrap w:val="0"/>
                  <w:vAlign w:val="center"/>
                </w:tcPr>
                <w:p w14:paraId="67B95F1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新增原辅料</w:t>
                  </w:r>
                </w:p>
              </w:tc>
            </w:tr>
            <w:tr w14:paraId="5A4683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348507FF">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65</w:t>
                  </w:r>
                </w:p>
              </w:tc>
              <w:tc>
                <w:tcPr>
                  <w:tcW w:w="552" w:type="pct"/>
                  <w:noWrap w:val="0"/>
                  <w:vAlign w:val="center"/>
                </w:tcPr>
                <w:p w14:paraId="6FECC0E4">
                  <w:pPr>
                    <w:snapToGrid w:val="0"/>
                    <w:spacing w:line="240" w:lineRule="auto"/>
                    <w:jc w:val="center"/>
                    <w:textAlignment w:val="auto"/>
                    <w:rPr>
                      <w:rFonts w:hint="eastAsia"/>
                      <w:color w:val="auto"/>
                      <w:szCs w:val="19"/>
                      <w:lang w:bidi="ar"/>
                    </w:rPr>
                  </w:pPr>
                  <w:r>
                    <w:rPr>
                      <w:rFonts w:hint="eastAsia"/>
                      <w:bCs/>
                      <w:color w:val="auto"/>
                      <w:szCs w:val="21"/>
                    </w:rPr>
                    <w:t>酒石酸</w:t>
                  </w:r>
                </w:p>
              </w:tc>
              <w:tc>
                <w:tcPr>
                  <w:tcW w:w="451" w:type="pct"/>
                  <w:vMerge w:val="continue"/>
                  <w:noWrap w:val="0"/>
                  <w:vAlign w:val="center"/>
                </w:tcPr>
                <w:p w14:paraId="1CE9F004">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14F3AA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619BD843">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5B538B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FF0000"/>
                      <w:szCs w:val="21"/>
                      <w:lang w:val="en-US" w:eastAsia="zh-CN"/>
                    </w:rPr>
                  </w:pPr>
                  <w:r>
                    <w:rPr>
                      <w:rFonts w:hint="eastAsia" w:ascii="Times New Roman" w:hAnsi="Times New Roman" w:eastAsia="宋体" w:cs="Times New Roman"/>
                      <w:b w:val="0"/>
                      <w:bCs w:val="0"/>
                      <w:color w:val="FF0000"/>
                      <w:sz w:val="21"/>
                      <w:szCs w:val="21"/>
                      <w:vertAlign w:val="baseline"/>
                      <w:lang w:val="en-US" w:eastAsia="zh-CN"/>
                    </w:rPr>
                    <w:t>1.6</w:t>
                  </w:r>
                </w:p>
              </w:tc>
              <w:tc>
                <w:tcPr>
                  <w:tcW w:w="487" w:type="pct"/>
                  <w:noWrap w:val="0"/>
                  <w:vAlign w:val="center"/>
                </w:tcPr>
                <w:p w14:paraId="7118D2C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409" w:type="pct"/>
                  <w:noWrap w:val="0"/>
                  <w:vAlign w:val="center"/>
                </w:tcPr>
                <w:p w14:paraId="54E437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409" w:type="pct"/>
                  <w:noWrap w:val="0"/>
                  <w:vAlign w:val="center"/>
                </w:tcPr>
                <w:p w14:paraId="47505C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12471E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3111D0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袋装</w:t>
                  </w:r>
                </w:p>
              </w:tc>
              <w:tc>
                <w:tcPr>
                  <w:tcW w:w="534" w:type="pct"/>
                  <w:noWrap w:val="0"/>
                  <w:vAlign w:val="center"/>
                </w:tcPr>
                <w:p w14:paraId="4488BEBA">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新增原辅料</w:t>
                  </w:r>
                </w:p>
              </w:tc>
            </w:tr>
            <w:tr w14:paraId="08679D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681B873A">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66</w:t>
                  </w:r>
                </w:p>
              </w:tc>
              <w:tc>
                <w:tcPr>
                  <w:tcW w:w="552" w:type="pct"/>
                  <w:noWrap w:val="0"/>
                  <w:vAlign w:val="center"/>
                </w:tcPr>
                <w:p w14:paraId="3EF702C8">
                  <w:pPr>
                    <w:snapToGrid w:val="0"/>
                    <w:spacing w:line="240" w:lineRule="auto"/>
                    <w:jc w:val="center"/>
                    <w:textAlignment w:val="auto"/>
                    <w:rPr>
                      <w:rFonts w:hint="eastAsia"/>
                      <w:color w:val="auto"/>
                      <w:szCs w:val="19"/>
                      <w:lang w:bidi="ar"/>
                    </w:rPr>
                  </w:pPr>
                  <w:r>
                    <w:rPr>
                      <w:rFonts w:hint="eastAsia"/>
                      <w:bCs/>
                      <w:color w:val="auto"/>
                      <w:szCs w:val="21"/>
                    </w:rPr>
                    <w:t>聚乙烯吡咯烷酮</w:t>
                  </w:r>
                </w:p>
              </w:tc>
              <w:tc>
                <w:tcPr>
                  <w:tcW w:w="451" w:type="pct"/>
                  <w:vMerge w:val="continue"/>
                  <w:noWrap w:val="0"/>
                  <w:vAlign w:val="center"/>
                </w:tcPr>
                <w:p w14:paraId="157F5D99">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474F26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04F3BD97">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42A81B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FF0000"/>
                      <w:szCs w:val="21"/>
                      <w:lang w:val="en-US" w:eastAsia="zh-CN"/>
                    </w:rPr>
                  </w:pPr>
                  <w:r>
                    <w:rPr>
                      <w:rFonts w:hint="eastAsia" w:ascii="Times New Roman" w:hAnsi="Times New Roman" w:eastAsia="宋体" w:cs="Times New Roman"/>
                      <w:b w:val="0"/>
                      <w:bCs w:val="0"/>
                      <w:color w:val="FF0000"/>
                      <w:sz w:val="21"/>
                      <w:szCs w:val="21"/>
                      <w:vertAlign w:val="baseline"/>
                      <w:lang w:val="en-US" w:eastAsia="zh-CN"/>
                    </w:rPr>
                    <w:t>43</w:t>
                  </w:r>
                </w:p>
              </w:tc>
              <w:tc>
                <w:tcPr>
                  <w:tcW w:w="487" w:type="pct"/>
                  <w:noWrap w:val="0"/>
                  <w:vAlign w:val="center"/>
                </w:tcPr>
                <w:p w14:paraId="354022B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409" w:type="pct"/>
                  <w:noWrap w:val="0"/>
                  <w:vAlign w:val="center"/>
                </w:tcPr>
                <w:p w14:paraId="6696A4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15</w:t>
                  </w:r>
                </w:p>
              </w:tc>
              <w:tc>
                <w:tcPr>
                  <w:tcW w:w="409" w:type="pct"/>
                  <w:noWrap w:val="0"/>
                  <w:vAlign w:val="center"/>
                </w:tcPr>
                <w:p w14:paraId="65A8A0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粉状</w:t>
                  </w:r>
                </w:p>
              </w:tc>
              <w:tc>
                <w:tcPr>
                  <w:tcW w:w="409" w:type="pct"/>
                  <w:noWrap w:val="0"/>
                  <w:vAlign w:val="center"/>
                </w:tcPr>
                <w:p w14:paraId="1B6B3A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16BEDF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noWrap w:val="0"/>
                  <w:vAlign w:val="center"/>
                </w:tcPr>
                <w:p w14:paraId="1590B64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新增原辅料</w:t>
                  </w:r>
                </w:p>
              </w:tc>
            </w:tr>
            <w:tr w14:paraId="36B591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03182E93">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67</w:t>
                  </w:r>
                </w:p>
              </w:tc>
              <w:tc>
                <w:tcPr>
                  <w:tcW w:w="552" w:type="pct"/>
                  <w:noWrap w:val="0"/>
                  <w:vAlign w:val="center"/>
                </w:tcPr>
                <w:p w14:paraId="5BBE5C4A">
                  <w:pPr>
                    <w:snapToGrid w:val="0"/>
                    <w:spacing w:line="240" w:lineRule="auto"/>
                    <w:jc w:val="center"/>
                    <w:textAlignment w:val="auto"/>
                    <w:rPr>
                      <w:rFonts w:hint="eastAsia"/>
                      <w:color w:val="auto"/>
                      <w:szCs w:val="19"/>
                      <w:lang w:bidi="ar"/>
                    </w:rPr>
                  </w:pPr>
                  <w:r>
                    <w:rPr>
                      <w:rFonts w:hint="eastAsia"/>
                      <w:bCs/>
                      <w:color w:val="auto"/>
                      <w:szCs w:val="21"/>
                    </w:rPr>
                    <w:t>甘油</w:t>
                  </w:r>
                </w:p>
              </w:tc>
              <w:tc>
                <w:tcPr>
                  <w:tcW w:w="451" w:type="pct"/>
                  <w:vMerge w:val="continue"/>
                  <w:noWrap w:val="0"/>
                  <w:vAlign w:val="center"/>
                </w:tcPr>
                <w:p w14:paraId="60B51E3E">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22E0D7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04E7469F">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1D3C3A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FF0000"/>
                      <w:szCs w:val="21"/>
                      <w:lang w:val="en-US" w:eastAsia="zh-CN"/>
                    </w:rPr>
                  </w:pPr>
                  <w:r>
                    <w:rPr>
                      <w:rFonts w:hint="eastAsia"/>
                      <w:color w:val="FF0000"/>
                      <w:szCs w:val="21"/>
                      <w:lang w:val="en-US" w:eastAsia="zh-CN"/>
                    </w:rPr>
                    <w:t>3</w:t>
                  </w:r>
                </w:p>
              </w:tc>
              <w:tc>
                <w:tcPr>
                  <w:tcW w:w="487" w:type="pct"/>
                  <w:noWrap w:val="0"/>
                  <w:vAlign w:val="center"/>
                </w:tcPr>
                <w:p w14:paraId="381DE62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409" w:type="pct"/>
                  <w:noWrap w:val="0"/>
                  <w:vAlign w:val="center"/>
                </w:tcPr>
                <w:p w14:paraId="65C82D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409" w:type="pct"/>
                  <w:noWrap w:val="0"/>
                  <w:vAlign w:val="center"/>
                </w:tcPr>
                <w:p w14:paraId="643C22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液态</w:t>
                  </w:r>
                </w:p>
              </w:tc>
              <w:tc>
                <w:tcPr>
                  <w:tcW w:w="409" w:type="pct"/>
                  <w:noWrap w:val="0"/>
                  <w:vAlign w:val="center"/>
                </w:tcPr>
                <w:p w14:paraId="16A564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56750D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桶装</w:t>
                  </w:r>
                </w:p>
              </w:tc>
              <w:tc>
                <w:tcPr>
                  <w:tcW w:w="534" w:type="pct"/>
                  <w:noWrap w:val="0"/>
                  <w:vAlign w:val="center"/>
                </w:tcPr>
                <w:p w14:paraId="188AE71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新增原辅料</w:t>
                  </w:r>
                </w:p>
              </w:tc>
            </w:tr>
            <w:tr w14:paraId="3A759A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43" w:hRule="atLeast"/>
              </w:trPr>
              <w:tc>
                <w:tcPr>
                  <w:tcW w:w="208" w:type="pct"/>
                  <w:noWrap w:val="0"/>
                  <w:vAlign w:val="center"/>
                </w:tcPr>
                <w:p w14:paraId="0B389B8F">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68</w:t>
                  </w:r>
                </w:p>
              </w:tc>
              <w:tc>
                <w:tcPr>
                  <w:tcW w:w="552" w:type="pct"/>
                  <w:noWrap w:val="0"/>
                  <w:vAlign w:val="center"/>
                </w:tcPr>
                <w:p w14:paraId="736C710F">
                  <w:pPr>
                    <w:snapToGrid w:val="0"/>
                    <w:spacing w:line="240" w:lineRule="auto"/>
                    <w:jc w:val="center"/>
                    <w:textAlignment w:val="auto"/>
                    <w:rPr>
                      <w:rFonts w:hint="eastAsia"/>
                      <w:color w:val="auto"/>
                      <w:szCs w:val="19"/>
                      <w:lang w:bidi="ar"/>
                    </w:rPr>
                  </w:pPr>
                  <w:r>
                    <w:rPr>
                      <w:rFonts w:hint="eastAsia"/>
                      <w:bCs/>
                      <w:color w:val="auto"/>
                      <w:szCs w:val="21"/>
                    </w:rPr>
                    <w:t>无纺布</w:t>
                  </w:r>
                </w:p>
              </w:tc>
              <w:tc>
                <w:tcPr>
                  <w:tcW w:w="451" w:type="pct"/>
                  <w:vMerge w:val="continue"/>
                  <w:noWrap w:val="0"/>
                  <w:vAlign w:val="center"/>
                </w:tcPr>
                <w:p w14:paraId="7E4EB9B8">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auto"/>
                      <w:kern w:val="0"/>
                      <w:szCs w:val="21"/>
                      <w:highlight w:val="none"/>
                      <w:lang w:val="en-US" w:eastAsia="zh-CN"/>
                    </w:rPr>
                  </w:pPr>
                </w:p>
              </w:tc>
              <w:tc>
                <w:tcPr>
                  <w:tcW w:w="368" w:type="pct"/>
                  <w:noWrap w:val="0"/>
                  <w:vAlign w:val="center"/>
                </w:tcPr>
                <w:p w14:paraId="2CA0CCA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7B04163E">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1399A7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FF0000"/>
                      <w:szCs w:val="21"/>
                      <w:lang w:val="en-US" w:eastAsia="zh-CN"/>
                    </w:rPr>
                  </w:pPr>
                  <w:r>
                    <w:rPr>
                      <w:rFonts w:hint="eastAsia" w:cs="Times New Roman"/>
                      <w:b w:val="0"/>
                      <w:bCs w:val="0"/>
                      <w:color w:val="FF0000"/>
                      <w:sz w:val="21"/>
                      <w:szCs w:val="21"/>
                      <w:vertAlign w:val="baseline"/>
                      <w:lang w:val="en-US" w:eastAsia="zh-CN"/>
                    </w:rPr>
                    <w:t>6.6</w:t>
                  </w:r>
                </w:p>
              </w:tc>
              <w:tc>
                <w:tcPr>
                  <w:tcW w:w="487" w:type="pct"/>
                  <w:noWrap w:val="0"/>
                  <w:vAlign w:val="center"/>
                </w:tcPr>
                <w:p w14:paraId="163ADE2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409" w:type="pct"/>
                  <w:noWrap w:val="0"/>
                  <w:vAlign w:val="center"/>
                </w:tcPr>
                <w:p w14:paraId="4A99FE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highlight w:val="none"/>
                      <w:lang w:val="en-US" w:eastAsia="zh-CN"/>
                    </w:rPr>
                  </w:pPr>
                  <w:r>
                    <w:rPr>
                      <w:rFonts w:hint="eastAsia" w:cs="Times New Roman"/>
                      <w:b w:val="0"/>
                      <w:bCs w:val="0"/>
                      <w:color w:val="auto"/>
                      <w:sz w:val="21"/>
                      <w:szCs w:val="21"/>
                      <w:vertAlign w:val="baseline"/>
                      <w:lang w:val="en-US" w:eastAsia="zh-CN"/>
                    </w:rPr>
                    <w:t>0.2</w:t>
                  </w:r>
                </w:p>
              </w:tc>
              <w:tc>
                <w:tcPr>
                  <w:tcW w:w="409" w:type="pct"/>
                  <w:noWrap w:val="0"/>
                  <w:vAlign w:val="center"/>
                </w:tcPr>
                <w:p w14:paraId="34C8EB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固态</w:t>
                  </w:r>
                </w:p>
              </w:tc>
              <w:tc>
                <w:tcPr>
                  <w:tcW w:w="409" w:type="pct"/>
                  <w:noWrap w:val="0"/>
                  <w:vAlign w:val="center"/>
                </w:tcPr>
                <w:p w14:paraId="579957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31F5E2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FF0000"/>
                      <w:highlight w:val="none"/>
                      <w:lang w:val="en-US" w:eastAsia="zh-CN"/>
                    </w:rPr>
                  </w:pPr>
                  <w:r>
                    <w:rPr>
                      <w:rFonts w:hint="eastAsia" w:ascii="Times New Roman" w:hAnsi="Times New Roman" w:eastAsia="宋体" w:cs="Times New Roman"/>
                      <w:b w:val="0"/>
                      <w:bCs w:val="0"/>
                      <w:color w:val="FF0000"/>
                      <w:sz w:val="21"/>
                      <w:szCs w:val="21"/>
                      <w:vertAlign w:val="baseline"/>
                      <w:lang w:val="en-US" w:eastAsia="zh-CN"/>
                    </w:rPr>
                    <w:t>袋装</w:t>
                  </w:r>
                </w:p>
              </w:tc>
              <w:tc>
                <w:tcPr>
                  <w:tcW w:w="534" w:type="pct"/>
                  <w:noWrap w:val="0"/>
                  <w:vAlign w:val="center"/>
                </w:tcPr>
                <w:p w14:paraId="276F85D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新增原辅料</w:t>
                  </w:r>
                </w:p>
              </w:tc>
            </w:tr>
            <w:tr w14:paraId="24C7B5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52" w:hRule="atLeast"/>
              </w:trPr>
              <w:tc>
                <w:tcPr>
                  <w:tcW w:w="208" w:type="pct"/>
                  <w:noWrap w:val="0"/>
                  <w:vAlign w:val="center"/>
                </w:tcPr>
                <w:p w14:paraId="242B7114">
                  <w:pPr>
                    <w:snapToGrid w:val="0"/>
                    <w:jc w:val="center"/>
                    <w:rPr>
                      <w:rFonts w:hint="default" w:cs="宋体"/>
                      <w:color w:val="auto"/>
                      <w:kern w:val="0"/>
                      <w:szCs w:val="21"/>
                      <w:highlight w:val="none"/>
                      <w:lang w:val="en-US" w:eastAsia="zh-CN"/>
                    </w:rPr>
                  </w:pPr>
                  <w:r>
                    <w:rPr>
                      <w:rFonts w:hint="eastAsia" w:cs="宋体"/>
                      <w:color w:val="auto"/>
                      <w:kern w:val="0"/>
                      <w:szCs w:val="21"/>
                      <w:highlight w:val="none"/>
                      <w:lang w:val="en-US" w:eastAsia="zh-CN"/>
                    </w:rPr>
                    <w:t>69</w:t>
                  </w:r>
                </w:p>
              </w:tc>
              <w:tc>
                <w:tcPr>
                  <w:tcW w:w="552" w:type="pct"/>
                  <w:noWrap w:val="0"/>
                  <w:vAlign w:val="center"/>
                </w:tcPr>
                <w:p w14:paraId="4464757D">
                  <w:pPr>
                    <w:widowControl/>
                    <w:jc w:val="center"/>
                    <w:rPr>
                      <w:rFonts w:hint="default" w:eastAsia="宋体"/>
                      <w:color w:val="auto"/>
                      <w:szCs w:val="19"/>
                      <w:lang w:val="en-US" w:eastAsia="zh-CN" w:bidi="ar"/>
                    </w:rPr>
                  </w:pPr>
                  <w:r>
                    <w:rPr>
                      <w:rFonts w:hint="eastAsia"/>
                      <w:color w:val="auto"/>
                      <w:szCs w:val="19"/>
                      <w:lang w:val="en-US" w:eastAsia="zh-CN" w:bidi="ar"/>
                    </w:rPr>
                    <w:t>水性油墨</w:t>
                  </w:r>
                </w:p>
              </w:tc>
              <w:tc>
                <w:tcPr>
                  <w:tcW w:w="451" w:type="pct"/>
                  <w:noWrap w:val="0"/>
                  <w:vAlign w:val="center"/>
                </w:tcPr>
                <w:p w14:paraId="4C87D855">
                  <w:pPr>
                    <w:keepNext w:val="0"/>
                    <w:keepLines w:val="0"/>
                    <w:pageBreakBefore w:val="0"/>
                    <w:widowControl w:val="0"/>
                    <w:kinsoku/>
                    <w:wordWrap/>
                    <w:overflowPunct/>
                    <w:topLinePunct w:val="0"/>
                    <w:autoSpaceDE/>
                    <w:autoSpaceDN/>
                    <w:bidi w:val="0"/>
                    <w:spacing w:line="240" w:lineRule="auto"/>
                    <w:jc w:val="center"/>
                    <w:textAlignment w:val="auto"/>
                    <w:rPr>
                      <w:rFonts w:hint="default" w:cs="宋体"/>
                      <w:color w:val="auto"/>
                      <w:kern w:val="0"/>
                      <w:szCs w:val="21"/>
                      <w:highlight w:val="none"/>
                      <w:lang w:val="en-US" w:eastAsia="zh-CN"/>
                    </w:rPr>
                  </w:pPr>
                  <w:r>
                    <w:rPr>
                      <w:rFonts w:hint="eastAsia" w:cs="宋体"/>
                      <w:color w:val="auto"/>
                      <w:kern w:val="0"/>
                      <w:szCs w:val="21"/>
                      <w:highlight w:val="none"/>
                      <w:lang w:val="en-US" w:eastAsia="zh-CN"/>
                    </w:rPr>
                    <w:t>喷码</w:t>
                  </w:r>
                </w:p>
              </w:tc>
              <w:tc>
                <w:tcPr>
                  <w:tcW w:w="368" w:type="pct"/>
                  <w:noWrap w:val="0"/>
                  <w:vAlign w:val="center"/>
                </w:tcPr>
                <w:p w14:paraId="1A9E2771">
                  <w:pPr>
                    <w:snapToGrid w:val="0"/>
                    <w:spacing w:line="240" w:lineRule="auto"/>
                    <w:jc w:val="center"/>
                    <w:textAlignment w:val="auto"/>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327" w:type="pct"/>
                  <w:noWrap w:val="0"/>
                  <w:vAlign w:val="center"/>
                </w:tcPr>
                <w:p w14:paraId="0DF7B10A">
                  <w:pPr>
                    <w:adjustRightInd w:val="0"/>
                    <w:snapToGrid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w:t>
                  </w:r>
                </w:p>
              </w:tc>
              <w:tc>
                <w:tcPr>
                  <w:tcW w:w="433" w:type="pct"/>
                  <w:noWrap w:val="0"/>
                  <w:vAlign w:val="center"/>
                </w:tcPr>
                <w:p w14:paraId="197A42E5">
                  <w:pPr>
                    <w:snapToGrid w:val="0"/>
                    <w:spacing w:line="240" w:lineRule="auto"/>
                    <w:jc w:val="center"/>
                    <w:textAlignment w:val="auto"/>
                    <w:rPr>
                      <w:rFonts w:hint="default"/>
                      <w:color w:val="FF0000"/>
                      <w:szCs w:val="21"/>
                      <w:lang w:val="en-US" w:eastAsia="zh-CN"/>
                    </w:rPr>
                  </w:pPr>
                  <w:r>
                    <w:rPr>
                      <w:rFonts w:hint="eastAsia"/>
                      <w:color w:val="FF0000"/>
                      <w:szCs w:val="21"/>
                      <w:lang w:val="en-US" w:eastAsia="zh-CN"/>
                    </w:rPr>
                    <w:t>0.1</w:t>
                  </w:r>
                </w:p>
              </w:tc>
              <w:tc>
                <w:tcPr>
                  <w:tcW w:w="487" w:type="pct"/>
                  <w:noWrap w:val="0"/>
                  <w:vAlign w:val="center"/>
                </w:tcPr>
                <w:p w14:paraId="1B141FB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t/a</w:t>
                  </w:r>
                </w:p>
              </w:tc>
              <w:tc>
                <w:tcPr>
                  <w:tcW w:w="409" w:type="pct"/>
                  <w:noWrap w:val="0"/>
                  <w:vAlign w:val="center"/>
                </w:tcPr>
                <w:p w14:paraId="472B0F4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auto"/>
                      <w:highlight w:val="none"/>
                      <w:lang w:val="en-US" w:eastAsia="zh-CN"/>
                    </w:rPr>
                  </w:pPr>
                  <w:r>
                    <w:rPr>
                      <w:rFonts w:hint="eastAsia" w:cs="Times New Roman"/>
                      <w:color w:val="auto"/>
                      <w:highlight w:val="none"/>
                      <w:lang w:val="en-US" w:eastAsia="zh-CN"/>
                    </w:rPr>
                    <w:t>0.01</w:t>
                  </w:r>
                </w:p>
              </w:tc>
              <w:tc>
                <w:tcPr>
                  <w:tcW w:w="409" w:type="pct"/>
                  <w:noWrap w:val="0"/>
                  <w:vAlign w:val="center"/>
                </w:tcPr>
                <w:p w14:paraId="0CF5DCF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color w:val="auto"/>
                      <w:highlight w:val="none"/>
                      <w:lang w:val="en-US" w:eastAsia="zh-CN"/>
                    </w:rPr>
                    <w:t>液态</w:t>
                  </w:r>
                </w:p>
              </w:tc>
              <w:tc>
                <w:tcPr>
                  <w:tcW w:w="409" w:type="pct"/>
                  <w:noWrap w:val="0"/>
                  <w:vAlign w:val="center"/>
                </w:tcPr>
                <w:p w14:paraId="4D908FD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外购</w:t>
                  </w:r>
                </w:p>
              </w:tc>
              <w:tc>
                <w:tcPr>
                  <w:tcW w:w="410" w:type="pct"/>
                  <w:noWrap w:val="0"/>
                  <w:vAlign w:val="center"/>
                </w:tcPr>
                <w:p w14:paraId="2F30D230">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桶装</w:t>
                  </w:r>
                </w:p>
              </w:tc>
              <w:tc>
                <w:tcPr>
                  <w:tcW w:w="534" w:type="pct"/>
                  <w:noWrap w:val="0"/>
                  <w:vAlign w:val="center"/>
                </w:tcPr>
                <w:p w14:paraId="568CD11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auto"/>
                      <w:lang w:val="en-US" w:eastAsia="zh-CN"/>
                    </w:rPr>
                  </w:pPr>
                  <w:r>
                    <w:rPr>
                      <w:rFonts w:hint="eastAsia" w:cs="Times New Roman"/>
                      <w:color w:val="auto"/>
                      <w:lang w:val="en-US" w:eastAsia="zh-CN"/>
                    </w:rPr>
                    <w:t>新增原辅料</w:t>
                  </w:r>
                </w:p>
              </w:tc>
            </w:tr>
            <w:tr w14:paraId="15ADB3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52" w:hRule="atLeast"/>
              </w:trPr>
              <w:tc>
                <w:tcPr>
                  <w:tcW w:w="208" w:type="pct"/>
                  <w:noWrap w:val="0"/>
                  <w:vAlign w:val="center"/>
                </w:tcPr>
                <w:p w14:paraId="774BD978">
                  <w:pPr>
                    <w:snapToGrid w:val="0"/>
                    <w:jc w:val="center"/>
                    <w:rPr>
                      <w:rFonts w:hint="default" w:cs="宋体"/>
                      <w:color w:val="FF0000"/>
                      <w:kern w:val="0"/>
                      <w:szCs w:val="21"/>
                      <w:highlight w:val="none"/>
                      <w:lang w:val="en-US" w:eastAsia="zh-CN"/>
                    </w:rPr>
                  </w:pPr>
                  <w:r>
                    <w:rPr>
                      <w:rFonts w:hint="eastAsia" w:cs="宋体"/>
                      <w:color w:val="FF0000"/>
                      <w:kern w:val="0"/>
                      <w:szCs w:val="21"/>
                      <w:highlight w:val="none"/>
                      <w:lang w:val="en-US" w:eastAsia="zh-CN"/>
                    </w:rPr>
                    <w:t>70</w:t>
                  </w:r>
                </w:p>
              </w:tc>
              <w:tc>
                <w:tcPr>
                  <w:tcW w:w="552" w:type="pct"/>
                  <w:noWrap w:val="0"/>
                  <w:vAlign w:val="center"/>
                </w:tcPr>
                <w:p w14:paraId="5E8E5E54">
                  <w:pPr>
                    <w:widowControl/>
                    <w:jc w:val="center"/>
                    <w:rPr>
                      <w:rFonts w:hint="eastAsia"/>
                      <w:color w:val="FF0000"/>
                      <w:szCs w:val="19"/>
                      <w:lang w:val="en-US" w:eastAsia="zh-CN" w:bidi="ar"/>
                    </w:rPr>
                  </w:pPr>
                  <w:r>
                    <w:rPr>
                      <w:rFonts w:hint="default"/>
                      <w:color w:val="FF0000"/>
                      <w:szCs w:val="19"/>
                      <w:lang w:val="en-US" w:eastAsia="zh-CN" w:bidi="ar"/>
                    </w:rPr>
                    <w:t>1%</w:t>
                  </w:r>
                  <w:r>
                    <w:rPr>
                      <w:rFonts w:hint="eastAsia"/>
                      <w:color w:val="FF0000"/>
                      <w:szCs w:val="19"/>
                      <w:lang w:val="en-US" w:eastAsia="zh-CN" w:bidi="ar"/>
                    </w:rPr>
                    <w:t>新洁尔</w:t>
                  </w:r>
                </w:p>
                <w:p w14:paraId="7D9F20EE">
                  <w:pPr>
                    <w:widowControl/>
                    <w:jc w:val="center"/>
                    <w:rPr>
                      <w:rFonts w:hint="eastAsia"/>
                      <w:color w:val="FF0000"/>
                      <w:szCs w:val="19"/>
                      <w:lang w:val="en-US" w:eastAsia="zh-CN" w:bidi="ar"/>
                    </w:rPr>
                  </w:pPr>
                  <w:r>
                    <w:rPr>
                      <w:rFonts w:hint="eastAsia"/>
                      <w:color w:val="FF0000"/>
                      <w:szCs w:val="19"/>
                      <w:lang w:val="en-US" w:eastAsia="zh-CN" w:bidi="ar"/>
                    </w:rPr>
                    <w:t>灭溶液</w:t>
                  </w:r>
                </w:p>
              </w:tc>
              <w:tc>
                <w:tcPr>
                  <w:tcW w:w="451" w:type="pct"/>
                  <w:vMerge w:val="restart"/>
                  <w:noWrap w:val="0"/>
                  <w:vAlign w:val="center"/>
                </w:tcPr>
                <w:p w14:paraId="6FC634ED">
                  <w:pPr>
                    <w:keepNext w:val="0"/>
                    <w:keepLines w:val="0"/>
                    <w:pageBreakBefore w:val="0"/>
                    <w:widowControl w:val="0"/>
                    <w:kinsoku/>
                    <w:wordWrap/>
                    <w:overflowPunct/>
                    <w:topLinePunct w:val="0"/>
                    <w:autoSpaceDE/>
                    <w:autoSpaceDN/>
                    <w:bidi w:val="0"/>
                    <w:spacing w:line="240" w:lineRule="auto"/>
                    <w:jc w:val="center"/>
                    <w:textAlignment w:val="auto"/>
                    <w:rPr>
                      <w:rFonts w:hint="default" w:cs="宋体"/>
                      <w:color w:val="FF0000"/>
                      <w:kern w:val="0"/>
                      <w:szCs w:val="21"/>
                      <w:highlight w:val="none"/>
                      <w:lang w:val="en-US" w:eastAsia="zh-CN"/>
                    </w:rPr>
                  </w:pPr>
                  <w:r>
                    <w:rPr>
                      <w:rFonts w:hint="eastAsia" w:cs="宋体"/>
                      <w:color w:val="FF0000"/>
                      <w:kern w:val="0"/>
                      <w:szCs w:val="21"/>
                      <w:highlight w:val="none"/>
                      <w:lang w:val="en-US" w:eastAsia="zh-CN"/>
                    </w:rPr>
                    <w:t>消毒</w:t>
                  </w:r>
                </w:p>
              </w:tc>
              <w:tc>
                <w:tcPr>
                  <w:tcW w:w="368" w:type="pct"/>
                  <w:noWrap w:val="0"/>
                  <w:vAlign w:val="center"/>
                </w:tcPr>
                <w:p w14:paraId="76E1B734">
                  <w:pPr>
                    <w:snapToGrid w:val="0"/>
                    <w:spacing w:line="240" w:lineRule="auto"/>
                    <w:jc w:val="center"/>
                    <w:textAlignment w:val="auto"/>
                    <w:rPr>
                      <w:rFonts w:hint="default" w:cs="Times New Roman"/>
                      <w:color w:val="FF0000"/>
                      <w:szCs w:val="21"/>
                      <w:highlight w:val="none"/>
                      <w:lang w:val="en-US" w:eastAsia="zh-CN"/>
                    </w:rPr>
                  </w:pPr>
                  <w:r>
                    <w:rPr>
                      <w:rFonts w:hint="eastAsia" w:cs="Times New Roman"/>
                      <w:color w:val="FF0000"/>
                      <w:szCs w:val="21"/>
                      <w:highlight w:val="none"/>
                      <w:lang w:val="en-US" w:eastAsia="zh-CN"/>
                    </w:rPr>
                    <w:t>0</w:t>
                  </w:r>
                </w:p>
              </w:tc>
              <w:tc>
                <w:tcPr>
                  <w:tcW w:w="327" w:type="pct"/>
                  <w:noWrap w:val="0"/>
                  <w:vAlign w:val="center"/>
                </w:tcPr>
                <w:p w14:paraId="33136854">
                  <w:pPr>
                    <w:adjustRightInd w:val="0"/>
                    <w:snapToGrid w:val="0"/>
                    <w:jc w:val="center"/>
                    <w:rPr>
                      <w:rFonts w:hint="default" w:cs="Times New Roman"/>
                      <w:color w:val="FF0000"/>
                      <w:szCs w:val="21"/>
                      <w:highlight w:val="none"/>
                      <w:lang w:val="en-US" w:eastAsia="zh-CN"/>
                    </w:rPr>
                  </w:pPr>
                  <w:r>
                    <w:rPr>
                      <w:rFonts w:hint="eastAsia" w:cs="Times New Roman"/>
                      <w:color w:val="FF0000"/>
                      <w:szCs w:val="21"/>
                      <w:highlight w:val="none"/>
                      <w:lang w:val="en-US" w:eastAsia="zh-CN"/>
                    </w:rPr>
                    <w:t>0</w:t>
                  </w:r>
                </w:p>
              </w:tc>
              <w:tc>
                <w:tcPr>
                  <w:tcW w:w="433" w:type="pct"/>
                  <w:noWrap w:val="0"/>
                  <w:vAlign w:val="center"/>
                </w:tcPr>
                <w:p w14:paraId="4C6281DF">
                  <w:pPr>
                    <w:snapToGrid w:val="0"/>
                    <w:spacing w:line="240" w:lineRule="auto"/>
                    <w:jc w:val="center"/>
                    <w:textAlignment w:val="auto"/>
                    <w:rPr>
                      <w:rFonts w:hint="default"/>
                      <w:color w:val="FF0000"/>
                      <w:szCs w:val="21"/>
                      <w:lang w:val="en-US" w:eastAsia="zh-CN"/>
                    </w:rPr>
                  </w:pPr>
                  <w:r>
                    <w:rPr>
                      <w:rFonts w:hint="eastAsia"/>
                      <w:color w:val="FF0000"/>
                      <w:szCs w:val="21"/>
                      <w:lang w:val="en-US" w:eastAsia="zh-CN"/>
                    </w:rPr>
                    <w:t>0.003</w:t>
                  </w:r>
                </w:p>
              </w:tc>
              <w:tc>
                <w:tcPr>
                  <w:tcW w:w="487" w:type="pct"/>
                  <w:noWrap w:val="0"/>
                  <w:vAlign w:val="center"/>
                </w:tcPr>
                <w:p w14:paraId="494F136A">
                  <w:pPr>
                    <w:adjustRightInd w:val="0"/>
                    <w:snapToGrid w:val="0"/>
                    <w:jc w:val="center"/>
                    <w:rPr>
                      <w:rFonts w:hint="eastAsia" w:ascii="Times New Roman" w:hAnsi="Times New Roman" w:eastAsia="宋体" w:cs="Times New Roman"/>
                      <w:color w:val="FF0000"/>
                      <w:szCs w:val="21"/>
                      <w:lang w:val="en-US" w:eastAsia="zh-CN"/>
                    </w:rPr>
                  </w:pPr>
                  <w:r>
                    <w:rPr>
                      <w:rFonts w:hint="eastAsia" w:cs="Times New Roman"/>
                      <w:color w:val="FF0000"/>
                      <w:szCs w:val="21"/>
                      <w:lang w:val="en-US" w:eastAsia="zh-CN"/>
                    </w:rPr>
                    <w:t>kg</w:t>
                  </w:r>
                  <w:r>
                    <w:rPr>
                      <w:rFonts w:hint="default" w:ascii="Times New Roman" w:hAnsi="Times New Roman" w:cs="Times New Roman"/>
                      <w:color w:val="FF0000"/>
                      <w:szCs w:val="21"/>
                    </w:rPr>
                    <w:t>/a</w:t>
                  </w:r>
                </w:p>
              </w:tc>
              <w:tc>
                <w:tcPr>
                  <w:tcW w:w="1050" w:type="dxa"/>
                  <w:noWrap w:val="0"/>
                  <w:vAlign w:val="center"/>
                </w:tcPr>
                <w:p w14:paraId="7314AD05">
                  <w:pPr>
                    <w:snapToGrid w:val="0"/>
                    <w:spacing w:line="240" w:lineRule="auto"/>
                    <w:jc w:val="center"/>
                    <w:textAlignment w:val="auto"/>
                    <w:rPr>
                      <w:rFonts w:hint="eastAsia" w:cs="Times New Roman"/>
                      <w:color w:val="FF0000"/>
                      <w:highlight w:val="none"/>
                      <w:lang w:val="en-US" w:eastAsia="zh-CN"/>
                    </w:rPr>
                  </w:pPr>
                  <w:r>
                    <w:rPr>
                      <w:rFonts w:hint="eastAsia"/>
                      <w:color w:val="FF0000"/>
                      <w:szCs w:val="21"/>
                      <w:lang w:val="en-US" w:eastAsia="zh-CN"/>
                    </w:rPr>
                    <w:t>0.003</w:t>
                  </w:r>
                </w:p>
              </w:tc>
              <w:tc>
                <w:tcPr>
                  <w:tcW w:w="1050" w:type="dxa"/>
                  <w:noWrap w:val="0"/>
                  <w:vAlign w:val="center"/>
                </w:tcPr>
                <w:p w14:paraId="53CF628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液态</w:t>
                  </w:r>
                </w:p>
              </w:tc>
              <w:tc>
                <w:tcPr>
                  <w:tcW w:w="1050" w:type="dxa"/>
                  <w:noWrap w:val="0"/>
                  <w:vAlign w:val="center"/>
                </w:tcPr>
                <w:p w14:paraId="5057EFAB">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外购</w:t>
                  </w:r>
                </w:p>
              </w:tc>
              <w:tc>
                <w:tcPr>
                  <w:tcW w:w="410" w:type="pct"/>
                  <w:noWrap w:val="0"/>
                  <w:vAlign w:val="center"/>
                </w:tcPr>
                <w:p w14:paraId="546E772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default" w:cs="Times New Roman"/>
                      <w:color w:val="FF0000"/>
                      <w:highlight w:val="none"/>
                      <w:lang w:val="en-US" w:eastAsia="zh-CN"/>
                    </w:rPr>
                  </w:pPr>
                  <w:r>
                    <w:rPr>
                      <w:rFonts w:hint="eastAsia" w:cs="Times New Roman"/>
                      <w:color w:val="FF0000"/>
                      <w:highlight w:val="none"/>
                      <w:lang w:val="en-US" w:eastAsia="zh-CN"/>
                    </w:rPr>
                    <w:t>瓶装</w:t>
                  </w:r>
                </w:p>
              </w:tc>
              <w:tc>
                <w:tcPr>
                  <w:tcW w:w="534" w:type="pct"/>
                  <w:noWrap w:val="0"/>
                  <w:vAlign w:val="center"/>
                </w:tcPr>
                <w:p w14:paraId="6FBF2565">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lang w:val="en-US" w:eastAsia="zh-CN"/>
                    </w:rPr>
                  </w:pPr>
                  <w:r>
                    <w:rPr>
                      <w:rFonts w:hint="eastAsia" w:cs="Times New Roman"/>
                      <w:color w:val="FF0000"/>
                      <w:lang w:val="en-US" w:eastAsia="zh-CN"/>
                    </w:rPr>
                    <w:t>新增原辅料</w:t>
                  </w:r>
                </w:p>
              </w:tc>
            </w:tr>
            <w:tr w14:paraId="707FAB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85" w:type="dxa"/>
                  <w:bottom w:w="0" w:type="dxa"/>
                  <w:right w:w="0" w:type="dxa"/>
                </w:tblCellMar>
              </w:tblPrEx>
              <w:trPr>
                <w:trHeight w:val="352" w:hRule="atLeast"/>
              </w:trPr>
              <w:tc>
                <w:tcPr>
                  <w:tcW w:w="208" w:type="pct"/>
                  <w:noWrap w:val="0"/>
                  <w:vAlign w:val="center"/>
                </w:tcPr>
                <w:p w14:paraId="1C5C82CF">
                  <w:pPr>
                    <w:snapToGrid w:val="0"/>
                    <w:jc w:val="center"/>
                    <w:rPr>
                      <w:rFonts w:hint="default" w:cs="宋体"/>
                      <w:color w:val="FF0000"/>
                      <w:kern w:val="0"/>
                      <w:szCs w:val="21"/>
                      <w:highlight w:val="none"/>
                      <w:lang w:val="en-US" w:eastAsia="zh-CN"/>
                    </w:rPr>
                  </w:pPr>
                  <w:commentRangeStart w:id="9"/>
                  <w:r>
                    <w:rPr>
                      <w:rFonts w:hint="eastAsia" w:cs="宋体"/>
                      <w:color w:val="FF0000"/>
                      <w:kern w:val="0"/>
                      <w:szCs w:val="21"/>
                      <w:highlight w:val="none"/>
                      <w:lang w:val="en-US" w:eastAsia="zh-CN"/>
                    </w:rPr>
                    <w:t>71</w:t>
                  </w:r>
                  <w:commentRangeEnd w:id="9"/>
                  <w:r>
                    <w:commentReference w:id="9"/>
                  </w:r>
                </w:p>
              </w:tc>
              <w:tc>
                <w:tcPr>
                  <w:tcW w:w="552" w:type="pct"/>
                  <w:noWrap w:val="0"/>
                  <w:vAlign w:val="center"/>
                </w:tcPr>
                <w:p w14:paraId="7BC66ECD">
                  <w:pPr>
                    <w:widowControl/>
                    <w:jc w:val="center"/>
                    <w:rPr>
                      <w:rFonts w:hint="eastAsia"/>
                      <w:color w:val="FF0000"/>
                      <w:szCs w:val="19"/>
                      <w:lang w:val="en-US" w:eastAsia="zh-CN" w:bidi="ar"/>
                    </w:rPr>
                  </w:pPr>
                  <w:r>
                    <w:rPr>
                      <w:rFonts w:hint="eastAsia"/>
                      <w:color w:val="FF0000"/>
                      <w:szCs w:val="19"/>
                      <w:lang w:val="en-US" w:eastAsia="zh-CN" w:bidi="ar"/>
                    </w:rPr>
                    <w:t>医用</w:t>
                  </w:r>
                  <w:r>
                    <w:rPr>
                      <w:rFonts w:hint="default"/>
                      <w:color w:val="FF0000"/>
                      <w:szCs w:val="19"/>
                      <w:lang w:val="en-US" w:eastAsia="zh-CN" w:bidi="ar"/>
                    </w:rPr>
                    <w:t>75%</w:t>
                  </w:r>
                  <w:r>
                    <w:rPr>
                      <w:rFonts w:hint="eastAsia"/>
                      <w:color w:val="FF0000"/>
                      <w:szCs w:val="19"/>
                      <w:lang w:val="en-US" w:eastAsia="zh-CN" w:bidi="ar"/>
                    </w:rPr>
                    <w:t>酒精</w:t>
                  </w:r>
                </w:p>
              </w:tc>
              <w:tc>
                <w:tcPr>
                  <w:tcW w:w="451" w:type="pct"/>
                  <w:vMerge w:val="continue"/>
                  <w:noWrap w:val="0"/>
                  <w:vAlign w:val="center"/>
                </w:tcPr>
                <w:p w14:paraId="42025826">
                  <w:pPr>
                    <w:keepNext w:val="0"/>
                    <w:keepLines w:val="0"/>
                    <w:pageBreakBefore w:val="0"/>
                    <w:widowControl w:val="0"/>
                    <w:kinsoku/>
                    <w:wordWrap/>
                    <w:overflowPunct/>
                    <w:topLinePunct w:val="0"/>
                    <w:autoSpaceDE/>
                    <w:autoSpaceDN/>
                    <w:bidi w:val="0"/>
                    <w:spacing w:line="240" w:lineRule="auto"/>
                    <w:jc w:val="center"/>
                    <w:textAlignment w:val="auto"/>
                    <w:rPr>
                      <w:rFonts w:hint="eastAsia" w:cs="宋体"/>
                      <w:color w:val="FF0000"/>
                      <w:kern w:val="0"/>
                      <w:szCs w:val="21"/>
                      <w:highlight w:val="none"/>
                      <w:lang w:val="en-US" w:eastAsia="zh-CN"/>
                    </w:rPr>
                  </w:pPr>
                </w:p>
              </w:tc>
              <w:tc>
                <w:tcPr>
                  <w:tcW w:w="368" w:type="pct"/>
                  <w:noWrap w:val="0"/>
                  <w:vAlign w:val="center"/>
                </w:tcPr>
                <w:p w14:paraId="0DB2440E">
                  <w:pPr>
                    <w:snapToGrid w:val="0"/>
                    <w:spacing w:line="240" w:lineRule="auto"/>
                    <w:jc w:val="center"/>
                    <w:textAlignment w:val="auto"/>
                    <w:rPr>
                      <w:rFonts w:hint="default" w:cs="Times New Roman"/>
                      <w:color w:val="FF0000"/>
                      <w:szCs w:val="21"/>
                      <w:highlight w:val="none"/>
                      <w:lang w:val="en-US" w:eastAsia="zh-CN"/>
                    </w:rPr>
                  </w:pPr>
                  <w:r>
                    <w:rPr>
                      <w:rFonts w:hint="eastAsia" w:cs="Times New Roman"/>
                      <w:color w:val="FF0000"/>
                      <w:szCs w:val="21"/>
                      <w:highlight w:val="none"/>
                      <w:lang w:val="en-US" w:eastAsia="zh-CN"/>
                    </w:rPr>
                    <w:t>0</w:t>
                  </w:r>
                </w:p>
              </w:tc>
              <w:tc>
                <w:tcPr>
                  <w:tcW w:w="327" w:type="pct"/>
                  <w:noWrap w:val="0"/>
                  <w:vAlign w:val="center"/>
                </w:tcPr>
                <w:p w14:paraId="36D6CE5E">
                  <w:pPr>
                    <w:adjustRightInd w:val="0"/>
                    <w:snapToGrid w:val="0"/>
                    <w:jc w:val="center"/>
                    <w:rPr>
                      <w:rFonts w:hint="default" w:cs="Times New Roman"/>
                      <w:color w:val="FF0000"/>
                      <w:szCs w:val="21"/>
                      <w:highlight w:val="none"/>
                      <w:lang w:val="en-US" w:eastAsia="zh-CN"/>
                    </w:rPr>
                  </w:pPr>
                  <w:r>
                    <w:rPr>
                      <w:rFonts w:hint="eastAsia" w:cs="Times New Roman"/>
                      <w:color w:val="FF0000"/>
                      <w:szCs w:val="21"/>
                      <w:highlight w:val="none"/>
                      <w:lang w:val="en-US" w:eastAsia="zh-CN"/>
                    </w:rPr>
                    <w:t>0</w:t>
                  </w:r>
                </w:p>
              </w:tc>
              <w:tc>
                <w:tcPr>
                  <w:tcW w:w="433" w:type="pct"/>
                  <w:noWrap w:val="0"/>
                  <w:vAlign w:val="center"/>
                </w:tcPr>
                <w:p w14:paraId="64B358D2">
                  <w:pPr>
                    <w:snapToGrid w:val="0"/>
                    <w:spacing w:line="240" w:lineRule="auto"/>
                    <w:jc w:val="center"/>
                    <w:textAlignment w:val="auto"/>
                    <w:rPr>
                      <w:rFonts w:hint="default"/>
                      <w:color w:val="FF0000"/>
                      <w:szCs w:val="21"/>
                      <w:lang w:val="en-US" w:eastAsia="zh-CN"/>
                    </w:rPr>
                  </w:pPr>
                  <w:r>
                    <w:rPr>
                      <w:rFonts w:hint="eastAsia"/>
                      <w:color w:val="FF0000"/>
                      <w:szCs w:val="21"/>
                      <w:lang w:val="en-US" w:eastAsia="zh-CN"/>
                    </w:rPr>
                    <w:t>0.003</w:t>
                  </w:r>
                </w:p>
              </w:tc>
              <w:tc>
                <w:tcPr>
                  <w:tcW w:w="487" w:type="pct"/>
                  <w:noWrap w:val="0"/>
                  <w:vAlign w:val="center"/>
                </w:tcPr>
                <w:p w14:paraId="3E375486">
                  <w:pPr>
                    <w:adjustRightInd w:val="0"/>
                    <w:snapToGrid w:val="0"/>
                    <w:jc w:val="center"/>
                    <w:rPr>
                      <w:rFonts w:hint="eastAsia" w:ascii="Times New Roman" w:hAnsi="Times New Roman" w:eastAsia="宋体" w:cs="Times New Roman"/>
                      <w:color w:val="FF0000"/>
                      <w:szCs w:val="21"/>
                      <w:lang w:val="en-US" w:eastAsia="zh-CN"/>
                    </w:rPr>
                  </w:pPr>
                  <w:r>
                    <w:rPr>
                      <w:rFonts w:hint="eastAsia" w:cs="Times New Roman"/>
                      <w:color w:val="FF0000"/>
                      <w:szCs w:val="21"/>
                      <w:lang w:val="en-US" w:eastAsia="zh-CN"/>
                    </w:rPr>
                    <w:t>kg</w:t>
                  </w:r>
                  <w:r>
                    <w:rPr>
                      <w:rFonts w:hint="default" w:ascii="Times New Roman" w:hAnsi="Times New Roman" w:cs="Times New Roman"/>
                      <w:color w:val="FF0000"/>
                      <w:szCs w:val="21"/>
                    </w:rPr>
                    <w:t>/a</w:t>
                  </w:r>
                </w:p>
              </w:tc>
              <w:tc>
                <w:tcPr>
                  <w:tcW w:w="1050" w:type="dxa"/>
                  <w:noWrap w:val="0"/>
                  <w:vAlign w:val="center"/>
                </w:tcPr>
                <w:p w14:paraId="0D242863">
                  <w:pPr>
                    <w:snapToGrid w:val="0"/>
                    <w:spacing w:line="240" w:lineRule="auto"/>
                    <w:jc w:val="center"/>
                    <w:textAlignment w:val="auto"/>
                    <w:rPr>
                      <w:rFonts w:hint="eastAsia" w:cs="Times New Roman"/>
                      <w:color w:val="FF0000"/>
                      <w:highlight w:val="none"/>
                      <w:lang w:val="en-US" w:eastAsia="zh-CN"/>
                    </w:rPr>
                  </w:pPr>
                  <w:r>
                    <w:rPr>
                      <w:rFonts w:hint="eastAsia"/>
                      <w:color w:val="FF0000"/>
                      <w:szCs w:val="21"/>
                      <w:lang w:val="en-US" w:eastAsia="zh-CN"/>
                    </w:rPr>
                    <w:t>0.003</w:t>
                  </w:r>
                </w:p>
              </w:tc>
              <w:tc>
                <w:tcPr>
                  <w:tcW w:w="1050" w:type="dxa"/>
                  <w:noWrap w:val="0"/>
                  <w:vAlign w:val="center"/>
                </w:tcPr>
                <w:p w14:paraId="098690B7">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液态</w:t>
                  </w:r>
                </w:p>
              </w:tc>
              <w:tc>
                <w:tcPr>
                  <w:tcW w:w="1050" w:type="dxa"/>
                  <w:noWrap w:val="0"/>
                  <w:vAlign w:val="center"/>
                </w:tcPr>
                <w:p w14:paraId="0C574DFE">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color w:val="FF0000"/>
                      <w:sz w:val="21"/>
                      <w:szCs w:val="21"/>
                      <w:vertAlign w:val="baseline"/>
                      <w:lang w:val="en-US" w:eastAsia="zh-CN"/>
                    </w:rPr>
                  </w:pPr>
                  <w:r>
                    <w:rPr>
                      <w:rFonts w:hint="eastAsia" w:ascii="Times New Roman" w:hAnsi="Times New Roman" w:eastAsia="宋体" w:cs="Times New Roman"/>
                      <w:b w:val="0"/>
                      <w:bCs w:val="0"/>
                      <w:color w:val="FF0000"/>
                      <w:sz w:val="21"/>
                      <w:szCs w:val="21"/>
                      <w:vertAlign w:val="baseline"/>
                      <w:lang w:val="en-US" w:eastAsia="zh-CN"/>
                    </w:rPr>
                    <w:t>外购</w:t>
                  </w:r>
                </w:p>
              </w:tc>
              <w:tc>
                <w:tcPr>
                  <w:tcW w:w="410" w:type="pct"/>
                  <w:noWrap w:val="0"/>
                  <w:vAlign w:val="center"/>
                </w:tcPr>
                <w:p w14:paraId="7DCAF09D">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highlight w:val="none"/>
                      <w:lang w:val="en-US" w:eastAsia="zh-CN"/>
                    </w:rPr>
                  </w:pPr>
                  <w:r>
                    <w:rPr>
                      <w:rFonts w:hint="eastAsia" w:cs="Times New Roman"/>
                      <w:color w:val="FF0000"/>
                      <w:highlight w:val="none"/>
                      <w:lang w:val="en-US" w:eastAsia="zh-CN"/>
                    </w:rPr>
                    <w:t>瓶装</w:t>
                  </w:r>
                </w:p>
              </w:tc>
              <w:tc>
                <w:tcPr>
                  <w:tcW w:w="534" w:type="pct"/>
                  <w:noWrap w:val="0"/>
                  <w:vAlign w:val="center"/>
                </w:tcPr>
                <w:p w14:paraId="0BE68D43">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s="Times New Roman"/>
                      <w:color w:val="FF0000"/>
                      <w:lang w:val="en-US" w:eastAsia="zh-CN"/>
                    </w:rPr>
                  </w:pPr>
                  <w:r>
                    <w:rPr>
                      <w:rFonts w:hint="eastAsia" w:cs="Times New Roman"/>
                      <w:color w:val="FF0000"/>
                      <w:lang w:val="en-US" w:eastAsia="zh-CN"/>
                    </w:rPr>
                    <w:t>新增原辅料</w:t>
                  </w:r>
                </w:p>
              </w:tc>
            </w:tr>
          </w:tbl>
          <w:p w14:paraId="1FFF8E7B">
            <w:pPr>
              <w:pStyle w:val="37"/>
              <w:keepNext w:val="0"/>
              <w:keepLines w:val="0"/>
              <w:pageBreakBefore w:val="0"/>
              <w:widowControl w:val="0"/>
              <w:kinsoku/>
              <w:wordWrap/>
              <w:overflowPunct/>
              <w:topLinePunct w:val="0"/>
              <w:autoSpaceDE w:val="0"/>
              <w:autoSpaceDN w:val="0"/>
              <w:bidi w:val="0"/>
              <w:adjustRightInd w:val="0"/>
              <w:snapToGrid/>
              <w:spacing w:before="157" w:beforeLines="50" w:after="0" w:line="360" w:lineRule="auto"/>
              <w:ind w:left="0" w:leftChars="0" w:right="0" w:rightChars="0" w:firstLine="482" w:firstLineChars="200"/>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主要原辅材料理化性质</w:t>
            </w:r>
          </w:p>
          <w:p w14:paraId="3BA4DAB9">
            <w:pPr>
              <w:keepNext w:val="0"/>
              <w:keepLines w:val="0"/>
              <w:pageBreakBefore w:val="0"/>
              <w:widowControl w:val="0"/>
              <w:kinsoku/>
              <w:wordWrap/>
              <w:overflowPunct/>
              <w:bidi w:val="0"/>
              <w:spacing w:line="360" w:lineRule="auto"/>
              <w:ind w:firstLine="482" w:firstLineChars="200"/>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bCs w:val="0"/>
                <w:color w:val="auto"/>
                <w:sz w:val="24"/>
                <w:szCs w:val="24"/>
                <w:lang w:val="en-US" w:eastAsia="zh-CN"/>
              </w:rPr>
              <w:t>1</w:t>
            </w:r>
            <w:r>
              <w:rPr>
                <w:rFonts w:hint="eastAsia" w:cs="Times New Roman"/>
                <w:b/>
                <w:bCs w:val="0"/>
                <w:color w:val="auto"/>
                <w:sz w:val="24"/>
                <w:szCs w:val="24"/>
                <w:lang w:val="en-US" w:eastAsia="zh-CN"/>
              </w:rPr>
              <w:t>）</w:t>
            </w:r>
            <w:r>
              <w:rPr>
                <w:rFonts w:hint="eastAsia" w:ascii="Times New Roman" w:hAnsi="Times New Roman" w:eastAsia="宋体" w:cs="Times New Roman"/>
                <w:b/>
                <w:bCs w:val="0"/>
                <w:color w:val="auto"/>
                <w:sz w:val="24"/>
                <w:szCs w:val="24"/>
                <w:lang w:val="en-US" w:eastAsia="zh-CN"/>
              </w:rPr>
              <w:t>聚丙烯酸钠：</w:t>
            </w:r>
            <w:r>
              <w:rPr>
                <w:rFonts w:hint="eastAsia" w:ascii="Times New Roman" w:hAnsi="Times New Roman" w:eastAsia="宋体" w:cs="Times New Roman"/>
                <w:b w:val="0"/>
                <w:bCs/>
                <w:color w:val="auto"/>
                <w:sz w:val="24"/>
                <w:szCs w:val="24"/>
                <w:lang w:val="en-US" w:eastAsia="zh-CN"/>
              </w:rPr>
              <w:t>化学式为(C</w:t>
            </w:r>
            <w:r>
              <w:rPr>
                <w:rFonts w:hint="eastAsia" w:ascii="Times New Roman" w:hAnsi="Times New Roman" w:eastAsia="宋体" w:cs="Times New Roman"/>
                <w:b w:val="0"/>
                <w:bCs/>
                <w:color w:val="auto"/>
                <w:sz w:val="24"/>
                <w:szCs w:val="24"/>
                <w:vertAlign w:val="subscript"/>
                <w:lang w:val="en-US" w:eastAsia="zh-CN"/>
              </w:rPr>
              <w:t>3</w:t>
            </w:r>
            <w:r>
              <w:rPr>
                <w:rFonts w:hint="eastAsia" w:ascii="Times New Roman" w:hAnsi="Times New Roman" w:eastAsia="宋体" w:cs="Times New Roman"/>
                <w:b w:val="0"/>
                <w:bCs/>
                <w:color w:val="auto"/>
                <w:sz w:val="24"/>
                <w:szCs w:val="24"/>
                <w:lang w:val="en-US" w:eastAsia="zh-CN"/>
              </w:rPr>
              <w:t>H</w:t>
            </w:r>
            <w:r>
              <w:rPr>
                <w:rFonts w:hint="eastAsia" w:ascii="Times New Roman" w:hAnsi="Times New Roman" w:eastAsia="宋体" w:cs="Times New Roman"/>
                <w:b w:val="0"/>
                <w:bCs/>
                <w:color w:val="auto"/>
                <w:sz w:val="24"/>
                <w:szCs w:val="24"/>
                <w:vertAlign w:val="subscript"/>
                <w:lang w:val="en-US" w:eastAsia="zh-CN"/>
              </w:rPr>
              <w:t>3</w:t>
            </w:r>
            <w:r>
              <w:rPr>
                <w:rFonts w:hint="eastAsia" w:ascii="Times New Roman" w:hAnsi="Times New Roman" w:eastAsia="宋体" w:cs="Times New Roman"/>
                <w:b w:val="0"/>
                <w:bCs/>
                <w:color w:val="auto"/>
                <w:sz w:val="24"/>
                <w:szCs w:val="24"/>
                <w:lang w:val="en-US" w:eastAsia="zh-CN"/>
              </w:rPr>
              <w:t>NaO</w:t>
            </w:r>
            <w:r>
              <w:rPr>
                <w:rFonts w:hint="eastAsia" w:ascii="Times New Roman" w:hAnsi="Times New Roman" w:eastAsia="宋体" w:cs="Times New Roman"/>
                <w:b w:val="0"/>
                <w:bCs/>
                <w:color w:val="auto"/>
                <w:sz w:val="24"/>
                <w:szCs w:val="24"/>
                <w:vertAlign w:val="subscript"/>
                <w:lang w:val="en-US" w:eastAsia="zh-CN"/>
              </w:rPr>
              <w:t>2</w:t>
            </w:r>
            <w:r>
              <w:rPr>
                <w:rFonts w:hint="eastAsia" w:ascii="Times New Roman" w:hAnsi="Times New Roman" w:eastAsia="宋体"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vertAlign w:val="subscript"/>
                <w:lang w:val="en-US" w:eastAsia="zh-CN"/>
              </w:rPr>
              <w:t>n</w:t>
            </w:r>
            <w:r>
              <w:rPr>
                <w:rFonts w:hint="eastAsia" w:ascii="Times New Roman" w:hAnsi="Times New Roman" w:eastAsia="宋体" w:cs="Times New Roman"/>
                <w:b w:val="0"/>
                <w:bCs/>
                <w:color w:val="auto"/>
                <w:sz w:val="24"/>
                <w:szCs w:val="24"/>
                <w:lang w:val="en-US" w:eastAsia="zh-CN"/>
              </w:rPr>
              <w:t>，是一种新型功能高分子材料和重要化工产品，固态产品为白色或浅黄色块状或粉末，液态产品为无色或淡黄色粘稠液体。由丙烯酸及其酯类为原料，经水溶液聚合而得。无味，溶于氢氧化钠水溶液，在氢氧化钙、氢氧化镁等水溶液中沉淀。常被用作水处理剂、盐水精制及胶乳增稠，也可用作食品增粘、乳化。</w:t>
            </w:r>
          </w:p>
          <w:p w14:paraId="1E4DB346">
            <w:pPr>
              <w:pStyle w:val="37"/>
              <w:keepNext w:val="0"/>
              <w:keepLines w:val="0"/>
              <w:pageBreakBefore w:val="0"/>
              <w:widowControl w:val="0"/>
              <w:kinsoku/>
              <w:wordWrap/>
              <w:overflowPunct/>
              <w:topLinePunct w:val="0"/>
              <w:autoSpaceDE w:val="0"/>
              <w:autoSpaceDN w:val="0"/>
              <w:bidi w:val="0"/>
              <w:adjustRightInd w:val="0"/>
              <w:snapToGrid/>
              <w:spacing w:before="0" w:after="0" w:line="360" w:lineRule="auto"/>
              <w:ind w:firstLine="482" w:firstLineChars="200"/>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bCs w:val="0"/>
                <w:color w:val="auto"/>
                <w:sz w:val="24"/>
                <w:szCs w:val="24"/>
                <w:lang w:val="en-US" w:eastAsia="zh-CN"/>
              </w:rPr>
              <w:t>2</w:t>
            </w:r>
            <w:r>
              <w:rPr>
                <w:rFonts w:hint="eastAsia" w:cs="Times New Roman"/>
                <w:b/>
                <w:bCs w:val="0"/>
                <w:color w:val="auto"/>
                <w:sz w:val="24"/>
                <w:szCs w:val="24"/>
                <w:lang w:val="en-US" w:eastAsia="zh-CN"/>
              </w:rPr>
              <w:t>）</w:t>
            </w:r>
            <w:r>
              <w:rPr>
                <w:rFonts w:hint="eastAsia" w:ascii="Times New Roman" w:hAnsi="Times New Roman" w:eastAsia="宋体" w:cs="Times New Roman"/>
                <w:b/>
                <w:bCs w:val="0"/>
                <w:color w:val="auto"/>
                <w:sz w:val="24"/>
                <w:szCs w:val="24"/>
                <w:lang w:val="en-US" w:eastAsia="zh-CN"/>
              </w:rPr>
              <w:t>二羟基氨基乙酸铝：</w:t>
            </w:r>
            <w:r>
              <w:rPr>
                <w:rFonts w:hint="eastAsia" w:ascii="Times New Roman" w:hAnsi="Times New Roman" w:eastAsia="宋体" w:cs="Times New Roman"/>
                <w:b w:val="0"/>
                <w:bCs/>
                <w:color w:val="auto"/>
                <w:sz w:val="24"/>
                <w:szCs w:val="24"/>
                <w:lang w:val="en-US" w:eastAsia="zh-CN"/>
              </w:rPr>
              <w:t>在常温常压下稳定，如果遵照规格使用和储存则不会分解，未有已知危险反应。</w:t>
            </w:r>
          </w:p>
          <w:p w14:paraId="7E6D9C5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b/>
                <w:bCs/>
                <w:color w:val="auto"/>
                <w:sz w:val="24"/>
                <w:lang w:val="en-US" w:eastAsia="zh-CN"/>
              </w:rPr>
              <w:t>3</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lang w:val="en-US" w:eastAsia="zh-CN"/>
              </w:rPr>
              <w:t>EDTA二钠盐：</w:t>
            </w:r>
            <w:r>
              <w:rPr>
                <w:rFonts w:hint="eastAsia" w:ascii="Times New Roman" w:hAnsi="Times New Roman" w:eastAsia="宋体" w:cs="Times New Roman"/>
                <w:color w:val="auto"/>
                <w:sz w:val="24"/>
                <w:lang w:val="en-US" w:eastAsia="zh-CN"/>
              </w:rPr>
              <w:t>EDTA是一种重要的络合剂，是螯合剂的代表性物质，能和碱金属、稀土元素和过渡金属等形成稳定的水溶性络合物。EDTA是有机物，在水中溶解度不高，故常以EDTA二钠盐的形式储存除钠盐外，还有铵盐及铁、镁、钙、铜、锰、锌、钴、铝等各种盐，这些盐各有不同的用途。此外EDTA也可用来使有害放射性金属从人体中迅速排泄起到解毒作用，也是水的处理剂。</w:t>
            </w:r>
          </w:p>
          <w:p w14:paraId="7B6CBAEB">
            <w:pPr>
              <w:pStyle w:val="37"/>
              <w:keepNext w:val="0"/>
              <w:keepLines w:val="0"/>
              <w:pageBreakBefore w:val="0"/>
              <w:widowControl w:val="0"/>
              <w:kinsoku/>
              <w:wordWrap/>
              <w:overflowPunct/>
              <w:topLinePunct w:val="0"/>
              <w:autoSpaceDE w:val="0"/>
              <w:autoSpaceDN w:val="0"/>
              <w:bidi w:val="0"/>
              <w:adjustRightInd w:val="0"/>
              <w:snapToGrid/>
              <w:spacing w:before="0" w:after="0" w:line="360" w:lineRule="auto"/>
              <w:ind w:firstLine="482" w:firstLineChars="200"/>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bCs w:val="0"/>
                <w:color w:val="auto"/>
                <w:sz w:val="24"/>
                <w:szCs w:val="24"/>
                <w:lang w:val="en-US" w:eastAsia="zh-CN"/>
              </w:rPr>
              <w:t>4</w:t>
            </w:r>
            <w:r>
              <w:rPr>
                <w:rFonts w:hint="eastAsia" w:cs="Times New Roman"/>
                <w:b/>
                <w:bCs w:val="0"/>
                <w:color w:val="auto"/>
                <w:sz w:val="24"/>
                <w:szCs w:val="24"/>
                <w:lang w:val="en-US" w:eastAsia="zh-CN"/>
              </w:rPr>
              <w:t>）</w:t>
            </w:r>
            <w:r>
              <w:rPr>
                <w:rFonts w:hint="eastAsia" w:ascii="Times New Roman" w:hAnsi="Times New Roman" w:eastAsia="宋体" w:cs="Times New Roman"/>
                <w:b/>
                <w:bCs w:val="0"/>
                <w:color w:val="auto"/>
                <w:sz w:val="24"/>
                <w:szCs w:val="24"/>
                <w:lang w:val="en-US" w:eastAsia="zh-CN"/>
              </w:rPr>
              <w:t>酒石酸：</w:t>
            </w:r>
            <w:r>
              <w:rPr>
                <w:rFonts w:hint="eastAsia" w:ascii="Times New Roman" w:hAnsi="Times New Roman" w:eastAsia="宋体" w:cs="Times New Roman"/>
                <w:b w:val="0"/>
                <w:bCs/>
                <w:color w:val="auto"/>
                <w:sz w:val="24"/>
                <w:szCs w:val="24"/>
                <w:lang w:val="en-US" w:eastAsia="zh-CN"/>
              </w:rPr>
              <w:t>即2，3-二羟基丁二酸，是一种羧酸，化学式为C</w:t>
            </w:r>
            <w:r>
              <w:rPr>
                <w:rFonts w:hint="eastAsia" w:ascii="Times New Roman" w:hAnsi="Times New Roman" w:eastAsia="宋体" w:cs="Times New Roman"/>
                <w:b w:val="0"/>
                <w:bCs/>
                <w:color w:val="auto"/>
                <w:sz w:val="24"/>
                <w:szCs w:val="24"/>
                <w:vertAlign w:val="subscript"/>
                <w:lang w:val="en-US" w:eastAsia="zh-CN"/>
              </w:rPr>
              <w:t>4</w:t>
            </w:r>
            <w:r>
              <w:rPr>
                <w:rFonts w:hint="eastAsia" w:ascii="Times New Roman" w:hAnsi="Times New Roman" w:eastAsia="宋体" w:cs="Times New Roman"/>
                <w:b w:val="0"/>
                <w:bCs/>
                <w:color w:val="auto"/>
                <w:sz w:val="24"/>
                <w:szCs w:val="24"/>
                <w:lang w:val="en-US" w:eastAsia="zh-CN"/>
              </w:rPr>
              <w:t>H</w:t>
            </w:r>
            <w:r>
              <w:rPr>
                <w:rFonts w:hint="eastAsia" w:ascii="Times New Roman" w:hAnsi="Times New Roman" w:eastAsia="宋体" w:cs="Times New Roman"/>
                <w:b w:val="0"/>
                <w:bCs/>
                <w:color w:val="auto"/>
                <w:sz w:val="24"/>
                <w:szCs w:val="24"/>
                <w:vertAlign w:val="subscript"/>
                <w:lang w:val="en-US" w:eastAsia="zh-CN"/>
              </w:rPr>
              <w:t>6</w:t>
            </w:r>
            <w:r>
              <w:rPr>
                <w:rFonts w:hint="eastAsia" w:ascii="Times New Roman" w:hAnsi="Times New Roman" w:eastAsia="宋体" w:cs="Times New Roman"/>
                <w:b w:val="0"/>
                <w:bCs/>
                <w:color w:val="auto"/>
                <w:sz w:val="24"/>
                <w:szCs w:val="24"/>
                <w:lang w:val="en-US" w:eastAsia="zh-CN"/>
              </w:rPr>
              <w:t>O</w:t>
            </w:r>
            <w:r>
              <w:rPr>
                <w:rFonts w:hint="eastAsia" w:ascii="Times New Roman" w:hAnsi="Times New Roman" w:eastAsia="宋体" w:cs="Times New Roman"/>
                <w:b w:val="0"/>
                <w:bCs/>
                <w:color w:val="auto"/>
                <w:sz w:val="24"/>
                <w:szCs w:val="24"/>
                <w:vertAlign w:val="subscript"/>
                <w:lang w:val="en-US" w:eastAsia="zh-CN"/>
              </w:rPr>
              <w:t>6</w:t>
            </w:r>
            <w:r>
              <w:rPr>
                <w:rFonts w:hint="eastAsia" w:ascii="Times New Roman" w:hAnsi="Times New Roman" w:eastAsia="宋体" w:cs="Times New Roman"/>
                <w:b w:val="0"/>
                <w:bCs/>
                <w:color w:val="auto"/>
                <w:sz w:val="24"/>
                <w:szCs w:val="24"/>
                <w:lang w:val="en-US" w:eastAsia="zh-CN"/>
              </w:rPr>
              <w:t>。存在于多种植物中﹐如葡萄和罗望子。也是葡萄酒中主要的有机酸之一。作为食品中添加的抗氧化剂﹐可以使食物具有酸味。酒石酸最大的用途是饮料添加剂，也是药物工业原料。</w:t>
            </w:r>
          </w:p>
          <w:p w14:paraId="6145E60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bCs w:val="0"/>
                <w:color w:val="auto"/>
                <w:sz w:val="24"/>
                <w:szCs w:val="24"/>
                <w:lang w:val="en-US" w:eastAsia="zh-CN"/>
              </w:rPr>
              <w:t>5</w:t>
            </w:r>
            <w:r>
              <w:rPr>
                <w:rFonts w:hint="eastAsia" w:cs="Times New Roman"/>
                <w:b/>
                <w:bCs w:val="0"/>
                <w:color w:val="auto"/>
                <w:sz w:val="24"/>
                <w:szCs w:val="24"/>
                <w:lang w:val="en-US" w:eastAsia="zh-CN"/>
              </w:rPr>
              <w:t>）</w:t>
            </w:r>
            <w:r>
              <w:rPr>
                <w:rFonts w:hint="eastAsia" w:ascii="Times New Roman" w:hAnsi="Times New Roman" w:eastAsia="宋体" w:cs="Times New Roman"/>
                <w:b/>
                <w:bCs w:val="0"/>
                <w:color w:val="auto"/>
                <w:sz w:val="24"/>
                <w:szCs w:val="24"/>
                <w:lang w:val="en-US" w:eastAsia="zh-CN"/>
              </w:rPr>
              <w:t>聚乙烯吡咯烷酮：</w:t>
            </w:r>
            <w:r>
              <w:rPr>
                <w:rFonts w:hint="eastAsia" w:ascii="Times New Roman" w:hAnsi="Times New Roman" w:eastAsia="宋体" w:cs="Times New Roman"/>
                <w:b w:val="0"/>
                <w:bCs/>
                <w:color w:val="auto"/>
                <w:sz w:val="24"/>
                <w:szCs w:val="24"/>
                <w:lang w:val="en-US" w:eastAsia="zh-CN"/>
              </w:rPr>
              <w:t>聚乙烯吡咯烷酮(polyvinyl pyrrolidone)，简称PVP，是一种非离子型高分子化合物，是N-乙烯基酰胺类聚合物中最具特色，被研究得最深、最广泛的精细化学品。已发展成为非离子、阳离子、阴离子3大类，工业级、医药级、食品级3种规格，相对分子质量从数千至一百万以上的均聚物、共聚物和交联聚合物系列产品，并以其优异独特的性能获得广泛应用。</w:t>
            </w:r>
          </w:p>
          <w:p w14:paraId="5D5C4903">
            <w:pPr>
              <w:pStyle w:val="37"/>
              <w:keepNext w:val="0"/>
              <w:keepLines w:val="0"/>
              <w:pageBreakBefore w:val="0"/>
              <w:widowControl w:val="0"/>
              <w:kinsoku/>
              <w:wordWrap/>
              <w:overflowPunct/>
              <w:topLinePunct w:val="0"/>
              <w:autoSpaceDE w:val="0"/>
              <w:autoSpaceDN w:val="0"/>
              <w:bidi w:val="0"/>
              <w:adjustRightInd w:val="0"/>
              <w:snapToGrid/>
              <w:spacing w:before="0" w:after="0" w:line="360" w:lineRule="auto"/>
              <w:ind w:firstLine="482"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6</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rPr>
              <w:t>聚二甲基硅氧烷</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color w:val="auto"/>
                <w:sz w:val="24"/>
                <w:szCs w:val="24"/>
                <w:lang w:eastAsia="zh-CN"/>
              </w:rPr>
              <w:t>聚二甲基硅氧烷，又名二甲基硅油，根据相对分子质量的不同，外观由无色透明的挥发性液体至极高黏度的液体或硅胶，无味，透明度高，具有耐热性、耐寒性、黏度随温度变化小、防水性、表面张力小、具有导热性，导热系数为0.134-0.159W/(m·K)，透光性为透光率100%，二甲基硅油无毒无味，具有生理惰性、良好的化学稳定性。电绝缘性和耐候性、疏水性好，并具有很高的抗剪切能力，可在-50℃～200℃下长期使用。具有优良的物理特性，可直接用于防潮绝缘，阻尼，减震，消泡，润滑，抛光等方面，广泛用作绝缘润滑、防震、防油尘、介电液和热载体。以及用作消泡、脱模剂、油漆及日化品添加剂。</w:t>
            </w:r>
          </w:p>
          <w:p w14:paraId="2410019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7</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六甲基二硅氧烷：</w:t>
            </w:r>
            <w:r>
              <w:rPr>
                <w:rFonts w:hint="eastAsia" w:ascii="Times New Roman" w:hAnsi="Times New Roman" w:eastAsia="宋体" w:cs="Times New Roman"/>
                <w:color w:val="auto"/>
                <w:sz w:val="24"/>
                <w:szCs w:val="24"/>
                <w:lang w:val="en-US" w:eastAsia="zh-CN"/>
              </w:rPr>
              <w:t>六甲基二硅氧烷，是一种有机化合物，化学式为C</w:t>
            </w:r>
            <w:r>
              <w:rPr>
                <w:rFonts w:hint="eastAsia" w:ascii="Times New Roman" w:hAnsi="Times New Roman" w:eastAsia="宋体" w:cs="Times New Roman"/>
                <w:color w:val="auto"/>
                <w:sz w:val="24"/>
                <w:szCs w:val="24"/>
                <w:vertAlign w:val="subscript"/>
                <w:lang w:val="en-US" w:eastAsia="zh-CN"/>
              </w:rPr>
              <w:t>6</w:t>
            </w:r>
            <w:r>
              <w:rPr>
                <w:rFonts w:hint="eastAsia" w:ascii="Times New Roman" w:hAnsi="Times New Roman" w:eastAsia="宋体" w:cs="Times New Roman"/>
                <w:color w:val="auto"/>
                <w:sz w:val="24"/>
                <w:szCs w:val="24"/>
                <w:lang w:val="en-US" w:eastAsia="zh-CN"/>
              </w:rPr>
              <w:t>H</w:t>
            </w:r>
            <w:r>
              <w:rPr>
                <w:rFonts w:hint="eastAsia" w:ascii="Times New Roman" w:hAnsi="Times New Roman" w:eastAsia="宋体" w:cs="Times New Roman"/>
                <w:color w:val="auto"/>
                <w:sz w:val="24"/>
                <w:szCs w:val="24"/>
                <w:vertAlign w:val="subscript"/>
                <w:lang w:val="en-US" w:eastAsia="zh-CN"/>
              </w:rPr>
              <w:t>18</w:t>
            </w:r>
            <w:r>
              <w:rPr>
                <w:rFonts w:hint="eastAsia" w:ascii="Times New Roman" w:hAnsi="Times New Roman" w:eastAsia="宋体" w:cs="Times New Roman"/>
                <w:color w:val="auto"/>
                <w:sz w:val="24"/>
                <w:szCs w:val="24"/>
                <w:lang w:val="en-US" w:eastAsia="zh-CN"/>
              </w:rPr>
              <w:t>OSi</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lang w:val="en-US" w:eastAsia="zh-CN"/>
              </w:rPr>
              <w:t>，为无色透明液体，不溶于水，溶于多数有机溶剂，主要用作封头剂、清洗剂、脱膜剂、有机合成中间体等。</w:t>
            </w:r>
          </w:p>
          <w:p w14:paraId="5F1B463D">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8</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重组胶</w:t>
            </w:r>
            <w:r>
              <w:rPr>
                <w:rFonts w:hint="default" w:ascii="Times New Roman" w:hAnsi="Times New Roman" w:eastAsia="宋体" w:cs="Times New Roman"/>
                <w:b/>
                <w:bCs/>
                <w:color w:val="auto"/>
                <w:sz w:val="24"/>
                <w:szCs w:val="24"/>
              </w:rPr>
              <w:t>原蛋白</w:t>
            </w:r>
            <w:r>
              <w:rPr>
                <w:rFonts w:hint="default" w:ascii="Times New Roman" w:hAnsi="Times New Roman" w:eastAsia="宋体" w:cs="Times New Roman"/>
                <w:b/>
                <w:bCs/>
                <w:color w:val="auto"/>
                <w:sz w:val="24"/>
                <w:szCs w:val="24"/>
                <w:lang w:val="en-US" w:eastAsia="zh-CN"/>
              </w:rPr>
              <w:t>：</w:t>
            </w:r>
            <w:r>
              <w:rPr>
                <w:rFonts w:hint="default" w:ascii="Times New Roman" w:hAnsi="Times New Roman" w:eastAsia="宋体" w:cs="Times New Roman"/>
                <w:color w:val="auto"/>
                <w:sz w:val="24"/>
                <w:szCs w:val="24"/>
              </w:rPr>
              <w:t>胶原蛋白是一类生物高分子蛋白的总称，它是动物结缔组织的主要成分之一，也是哺乳动物体内含 量最多、分布最广的功能性蛋白，占总蛋白质含量的25%～30%。胶原蛋白广泛存在于皮肤、骨骼、关节、头发中，能够起到支撑、修复、抗衰老的作用。由于胶原蛋白独特的理化性质和功能，使其在保健食品、化妆品、生物医学等领域的应用日益广泛。</w:t>
            </w:r>
          </w:p>
          <w:p w14:paraId="788277BF">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color w:val="auto"/>
                <w:sz w:val="24"/>
                <w:szCs w:val="24"/>
                <w:lang w:val="en-US" w:eastAsia="zh-CN"/>
              </w:rPr>
            </w:pPr>
            <w:r>
              <w:rPr>
                <w:rFonts w:hint="eastAsia"/>
                <w:b/>
                <w:bCs/>
                <w:color w:val="auto"/>
                <w:sz w:val="24"/>
                <w:szCs w:val="24"/>
                <w:lang w:val="en-US" w:eastAsia="zh-CN"/>
              </w:rPr>
              <w:t>9</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rPr>
              <w:t>卡波姆</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color w:val="auto"/>
                <w:sz w:val="24"/>
                <w:szCs w:val="24"/>
              </w:rPr>
              <w:t>本品为丙烯酸键合烯丙基蔗糖或季戊四醇烯丙醚的</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"https://baike.baidu.com/item/%E9%AB%98%E5%88%86%E5%AD%90%E8%81%9A%E5%90%88%E7%89%A9/10404353?fromModule=lemma_inlink" \t "https://baike.baidu.com/item/%E5%8D%A1%E6%B3%A2%E5%A7%86/_blank"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高分子聚合物</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。按干燥品计算，含羧酸基（—COOH）应为56.0%～68.0%</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化学式为</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lang w:eastAsia="zh-CN"/>
              </w:rPr>
              <w:t>。</w:t>
            </w:r>
          </w:p>
          <w:p w14:paraId="7ECE8233">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10</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HYPERLINK "https://baike.baidu.com/item/%E7%94%98%E6%B2%B9/99429?fromModule=lemma_inlink" \t "https://baike.baidu.com/item/%E4%B8%99%E4%B8%89%E9%86%87/_blank"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甘油</w:t>
            </w:r>
            <w:r>
              <w:rPr>
                <w:rFonts w:hint="default" w:ascii="Times New Roman" w:hAnsi="Times New Roman" w:eastAsia="宋体" w:cs="Times New Roman"/>
                <w:b/>
                <w:bCs/>
                <w:color w:val="auto"/>
                <w:sz w:val="24"/>
                <w:szCs w:val="24"/>
              </w:rPr>
              <w:fldChar w:fldCharType="end"/>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color w:val="auto"/>
                <w:sz w:val="24"/>
                <w:szCs w:val="24"/>
              </w:rPr>
              <w:t>又名丙三醇，是一种有机化合物，化学式为C</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8</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，是一种简单的</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"https://baike.baidu.com/item/%E5%A4%9A%E5%85%83%E9%86%87/3422404?fromModule=lemma_inlink" \t "https://baike.baidu.com/item/%E4%B8%99%E4%B8%89%E9%86%87/_blank"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多元醇</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化合物。它是一种无色无臭有甜味的黏性液体，无毒。甘油主链存在于被称为甘油酯的脂质中。由于它具有抗菌和抗病毒特性，因此广泛用于FDA批准的伤口和烧伤治疗。相反，它也用作细菌培养基。它可作为衡量肝脏疾病的有效标志物。它还广泛用作食品工业中的甜味剂和药物配方中的保湿剂。由于其有三个羟基，甘油可与水混溶并具有吸湿性。</w:t>
            </w:r>
          </w:p>
          <w:p w14:paraId="76677D79">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lang w:val="en-US" w:eastAsia="zh-CN"/>
              </w:rPr>
              <w:t>11</w:t>
            </w:r>
            <w:r>
              <w:rPr>
                <w:rFonts w:hint="eastAsia" w:cs="Times New Roman"/>
                <w:b/>
                <w:bCs/>
                <w:color w:val="auto"/>
                <w:sz w:val="24"/>
                <w:szCs w:val="24"/>
                <w:lang w:val="en-US" w:eastAsia="zh-CN"/>
              </w:rPr>
              <w:t>）</w:t>
            </w:r>
            <w:r>
              <w:rPr>
                <w:rFonts w:hint="eastAsia" w:ascii="Times New Roman" w:hAnsi="Times New Roman" w:eastAsia="宋体" w:cs="Times New Roman"/>
                <w:b/>
                <w:bCs/>
                <w:color w:val="auto"/>
                <w:sz w:val="24"/>
                <w:szCs w:val="24"/>
              </w:rPr>
              <w:t>丙二醇</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"https://www.thepaper.cn/newsDetail_forward_18888861" \t "https://cn.bing.com/_blank"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丙二醇是一种无色、无臭、略有甜味的粘稠液体，化学式为C</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8</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"https://wenku.baidu.com/view/faec4984730abb68a98271fe910ef12d2bf9a936.html" \t "https://cn.bing.com/_blank"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它在工业生产中作为溶剂、抗冻剂和润滑剂使用，同时也用于制药、化妆品和食品工业等领域</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w:t>
            </w:r>
          </w:p>
          <w:p w14:paraId="249F4790">
            <w:pPr>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val="en-US" w:eastAsia="zh-CN"/>
              </w:rPr>
              <w:t>12</w:t>
            </w:r>
            <w:r>
              <w:rPr>
                <w:rFonts w:hint="eastAsia"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羟苯甲酯</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color w:val="auto"/>
                <w:sz w:val="24"/>
                <w:szCs w:val="24"/>
                <w:lang w:val="en-US" w:eastAsia="zh-CN"/>
              </w:rPr>
              <w:t>羟苯甲酯是一种白色结晶粉末或无色结晶，易溶于醇，醚和丙酮，极微溶于水，又称对羟基苯甲酸甲酯</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羟苯甲酯沸点270-280℃。分子式C</w:t>
            </w:r>
            <w:r>
              <w:rPr>
                <w:rFonts w:hint="default" w:ascii="Times New Roman" w:hAnsi="Times New Roman" w:eastAsia="宋体" w:cs="Times New Roman"/>
                <w:color w:val="auto"/>
                <w:sz w:val="24"/>
                <w:szCs w:val="24"/>
                <w:vertAlign w:val="subscript"/>
                <w:lang w:val="en-US" w:eastAsia="zh-CN"/>
              </w:rPr>
              <w:t>8</w:t>
            </w:r>
            <w:r>
              <w:rPr>
                <w:rFonts w:hint="default"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vertAlign w:val="subscript"/>
                <w:lang w:val="en-US" w:eastAsia="zh-CN"/>
              </w:rPr>
              <w:t>8</w:t>
            </w:r>
            <w:r>
              <w:rPr>
                <w:rFonts w:hint="default" w:ascii="Times New Roman" w:hAnsi="Times New Roman" w:eastAsia="宋体" w:cs="Times New Roman"/>
                <w:color w:val="auto"/>
                <w:sz w:val="24"/>
                <w:szCs w:val="24"/>
                <w:lang w:val="en-US" w:eastAsia="zh-CN"/>
              </w:rPr>
              <w:t>O</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。分子量152.15。主要用作有机合成、食品、化妆品、医药的杀菌防腐剂，也用作于饲料防腐剂</w:t>
            </w:r>
            <w:r>
              <w:rPr>
                <w:rFonts w:hint="eastAsia" w:ascii="Times New Roman" w:hAnsi="Times New Roman" w:eastAsia="宋体" w:cs="Times New Roman"/>
                <w:color w:val="auto"/>
                <w:sz w:val="24"/>
                <w:szCs w:val="24"/>
                <w:lang w:val="en-US" w:eastAsia="zh-CN"/>
              </w:rPr>
              <w:t>。</w:t>
            </w:r>
          </w:p>
          <w:p w14:paraId="3F2ED44C">
            <w:pPr>
              <w:pStyle w:val="8"/>
              <w:keepNext w:val="0"/>
              <w:keepLines w:val="0"/>
              <w:pageBreakBefore w:val="0"/>
              <w:widowControl w:val="0"/>
              <w:kinsoku/>
              <w:wordWrap/>
              <w:overflowPunct/>
              <w:topLinePunct w:val="0"/>
              <w:autoSpaceDE/>
              <w:autoSpaceDN/>
              <w:bidi w:val="0"/>
              <w:adjustRightInd/>
              <w:snapToGrid/>
              <w:spacing w:before="0" w:line="360" w:lineRule="auto"/>
              <w:ind w:firstLine="482"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13</w:t>
            </w:r>
            <w:r>
              <w:rPr>
                <w:rFonts w:hint="eastAsia" w:cs="Times New Roman"/>
                <w:b/>
                <w:bCs/>
                <w:color w:val="auto"/>
                <w:sz w:val="24"/>
                <w:szCs w:val="24"/>
                <w:lang w:val="en-US" w:eastAsia="zh-CN"/>
              </w:rPr>
              <w:t>）</w:t>
            </w:r>
            <w:r>
              <w:rPr>
                <w:rFonts w:hint="eastAsia" w:ascii="Times New Roman" w:hAnsi="Times New Roman" w:eastAsia="宋体" w:cs="Times New Roman"/>
                <w:b/>
                <w:bCs/>
                <w:color w:val="auto"/>
                <w:kern w:val="2"/>
                <w:sz w:val="24"/>
                <w:szCs w:val="24"/>
                <w:lang w:val="en-US" w:eastAsia="zh-CN" w:bidi="ar-SA"/>
              </w:rPr>
              <w:t>羟苯丙酯：</w:t>
            </w:r>
            <w:r>
              <w:rPr>
                <w:rFonts w:hint="default" w:ascii="Times New Roman" w:hAnsi="Times New Roman" w:eastAsia="宋体" w:cs="Times New Roman"/>
                <w:color w:val="auto"/>
                <w:kern w:val="2"/>
                <w:sz w:val="24"/>
                <w:szCs w:val="24"/>
                <w:lang w:val="en-US" w:eastAsia="zh-CN" w:bidi="ar-SA"/>
              </w:rPr>
              <w:t>羟苯丙酯是一种有机物，化学式为</w:t>
            </w:r>
            <w:r>
              <w:rPr>
                <w:rFonts w:hint="eastAsia" w:ascii="Times New Roman" w:hAnsi="Times New Roman" w:eastAsia="宋体" w:cs="Times New Roman"/>
                <w:color w:val="auto"/>
                <w:kern w:val="2"/>
                <w:sz w:val="24"/>
                <w:szCs w:val="24"/>
                <w:lang w:val="en-US" w:eastAsia="zh-CN" w:bidi="ar-SA"/>
              </w:rPr>
              <w:t>C</w:t>
            </w:r>
            <w:r>
              <w:rPr>
                <w:rFonts w:hint="eastAsia" w:ascii="Times New Roman" w:hAnsi="Times New Roman" w:eastAsia="宋体" w:cs="Times New Roman"/>
                <w:color w:val="auto"/>
                <w:kern w:val="2"/>
                <w:sz w:val="24"/>
                <w:szCs w:val="24"/>
                <w:vertAlign w:val="subscript"/>
                <w:lang w:val="en-US" w:eastAsia="zh-CN" w:bidi="ar-SA"/>
              </w:rPr>
              <w:t>10</w:t>
            </w:r>
            <w:r>
              <w:rPr>
                <w:rFonts w:hint="eastAsia" w:ascii="Times New Roman" w:hAnsi="Times New Roman" w:eastAsia="宋体" w:cs="Times New Roman"/>
                <w:color w:val="auto"/>
                <w:kern w:val="2"/>
                <w:sz w:val="24"/>
                <w:szCs w:val="24"/>
                <w:lang w:val="en-US" w:eastAsia="zh-CN" w:bidi="ar-SA"/>
              </w:rPr>
              <w:t>H</w:t>
            </w:r>
            <w:r>
              <w:rPr>
                <w:rFonts w:hint="eastAsia" w:ascii="Times New Roman" w:hAnsi="Times New Roman" w:eastAsia="宋体" w:cs="Times New Roman"/>
                <w:color w:val="auto"/>
                <w:kern w:val="2"/>
                <w:sz w:val="24"/>
                <w:szCs w:val="24"/>
                <w:vertAlign w:val="subscript"/>
                <w:lang w:val="en-US" w:eastAsia="zh-CN" w:bidi="ar-SA"/>
              </w:rPr>
              <w:t>12</w:t>
            </w:r>
            <w:r>
              <w:rPr>
                <w:rFonts w:hint="eastAsia" w:ascii="Times New Roman" w:hAnsi="Times New Roman" w:eastAsia="宋体" w:cs="Times New Roman"/>
                <w:color w:val="auto"/>
                <w:kern w:val="2"/>
                <w:sz w:val="24"/>
                <w:szCs w:val="24"/>
                <w:lang w:val="en-US" w:eastAsia="zh-CN" w:bidi="ar-SA"/>
              </w:rPr>
              <w:t>O</w:t>
            </w:r>
            <w:r>
              <w:rPr>
                <w:rFonts w:hint="eastAsia" w:ascii="Times New Roman" w:hAnsi="Times New Roman" w:eastAsia="宋体" w:cs="Times New Roman"/>
                <w:color w:val="auto"/>
                <w:kern w:val="2"/>
                <w:sz w:val="24"/>
                <w:szCs w:val="24"/>
                <w:vertAlign w:val="subscript"/>
                <w:lang w:val="en-US" w:eastAsia="zh-CN" w:bidi="ar-SA"/>
              </w:rPr>
              <w:t>3</w:t>
            </w:r>
            <w:r>
              <w:rPr>
                <w:rFonts w:hint="eastAsia" w:ascii="Times New Roman" w:hAnsi="Times New Roman" w:eastAsia="宋体" w:cs="Times New Roman"/>
                <w:color w:val="auto"/>
                <w:kern w:val="2"/>
                <w:sz w:val="24"/>
                <w:szCs w:val="24"/>
                <w:lang w:val="en-US" w:eastAsia="zh-CN" w:bidi="ar-SA"/>
              </w:rPr>
              <w:t>。白色结晶，有特殊气味。溶于乙醇、乙醚、丙酮等有机溶剂，微溶于水。主要用作食品、化妆品、医药的杀菌防腐剂抑菌剂，也用于饲料防腐剂。</w:t>
            </w:r>
          </w:p>
          <w:p w14:paraId="41E40037">
            <w:pPr>
              <w:pStyle w:val="8"/>
              <w:keepNext w:val="0"/>
              <w:keepLines w:val="0"/>
              <w:pageBreakBefore w:val="0"/>
              <w:widowControl w:val="0"/>
              <w:kinsoku/>
              <w:wordWrap/>
              <w:overflowPunct/>
              <w:topLinePunct w:val="0"/>
              <w:autoSpaceDE/>
              <w:autoSpaceDN/>
              <w:bidi w:val="0"/>
              <w:adjustRightInd/>
              <w:snapToGrid/>
              <w:spacing w:before="0" w:line="360" w:lineRule="auto"/>
              <w:ind w:firstLine="482"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14）</w:t>
            </w:r>
            <w:r>
              <w:rPr>
                <w:rFonts w:hint="eastAsia"/>
                <w:b/>
                <w:bCs/>
                <w:color w:val="auto"/>
                <w:szCs w:val="21"/>
              </w:rPr>
              <w:t>无纺布基材</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无纺布又称不织布、</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"https://baike.baidu.com/item/%E9%92%88%E5%88%BA%E6%A3%89/278700?fromModule=lemma_inlink" \t "https://baike.baidu.com/item/%E6%97%A0%E7%BA%BA%E5%B8%83/_blank"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针刺棉</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"https://baike.baidu.com/item/%E9%92%88%E5%88%BA%E6%97%A0%E7%BA%BA%E5%B8%83/10360231?fromModule=lemma_inlink" \t "https://baike.baidu.com/item/%E6%97%A0%E7%BA%BA%E5%B8%83/_blank"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针刺无纺布</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等，采用</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"https://baike.baidu.com/item/%E8%81%9A%E9%85%AF%E7%BA%A4%E7%BB%B4/10919395?fromModule=lemma_inlink" \t "https://baike.baidu.com/item/%E6%97%A0%E7%BA%BA%E5%B8%83/_blank"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聚酯纤维</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"https://baike.baidu.com/item/%E6%B6%A4%E7%BA%B6%E7%BA%A4%E7%BB%B4/4050654?fromModule=lemma_inlink" \t "https://baike.baidu.com/item/%E6%97%A0%E7%BA%BA%E5%B8%83/_blank"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涤纶纤维</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（简称：PET）材质生产，经过</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"https://baike.baidu.com/item/%E9%92%88%E5%88%BA/1208847?fromModule=lemma_inlink" \t "https://baike.baidu.com/item/%E6%97%A0%E7%BA%BA%E5%B8%83/_blank"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针刺</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工艺制作而成，可做出不同的厚度、手感、硬度等</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无毒、无刺激性</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产品采用符合</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"https://baike.baidu.com/item/FDA/1128100?fromModule=lemma_inlink" \t "https://baike.baidu.com/item/%E6%97%A0%E7%BA%BA%E5%B8%83/_blank"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FDA</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食品级原料生产，不含其他化学成分，性能稳定，无毒、无异味，不刺激皮肤。</w:t>
            </w:r>
          </w:p>
          <w:p w14:paraId="3FBE338B">
            <w:pPr>
              <w:pStyle w:val="8"/>
              <w:keepNext w:val="0"/>
              <w:keepLines w:val="0"/>
              <w:pageBreakBefore w:val="0"/>
              <w:widowControl w:val="0"/>
              <w:kinsoku/>
              <w:wordWrap/>
              <w:overflowPunct/>
              <w:topLinePunct w:val="0"/>
              <w:autoSpaceDE/>
              <w:autoSpaceDN/>
              <w:bidi w:val="0"/>
              <w:adjustRightInd/>
              <w:snapToGrid/>
              <w:spacing w:before="0" w:line="360" w:lineRule="auto"/>
              <w:ind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15</w:t>
            </w:r>
            <w:r>
              <w:rPr>
                <w:rFonts w:hint="eastAsia" w:cs="Times New Roman"/>
                <w:b/>
                <w:bCs/>
                <w:color w:val="auto"/>
                <w:sz w:val="24"/>
                <w:szCs w:val="24"/>
                <w:lang w:val="en-US" w:eastAsia="zh-CN"/>
              </w:rPr>
              <w:t>）</w:t>
            </w:r>
            <w:r>
              <w:rPr>
                <w:rFonts w:hint="default" w:ascii="Times New Roman" w:hAnsi="Times New Roman" w:eastAsia="宋体" w:cs="Times New Roman"/>
                <w:b/>
                <w:bCs/>
                <w:i w:val="0"/>
                <w:iCs w:val="0"/>
                <w:caps w:val="0"/>
                <w:color w:val="auto"/>
                <w:spacing w:val="0"/>
                <w:sz w:val="24"/>
                <w:szCs w:val="24"/>
                <w:shd w:val="clear" w:fill="FFFFFF"/>
              </w:rPr>
              <w:t>医用透明质酸钠凝胶</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i w:val="0"/>
                <w:iCs w:val="0"/>
                <w:caps w:val="0"/>
                <w:color w:val="auto"/>
                <w:spacing w:val="0"/>
                <w:sz w:val="24"/>
                <w:szCs w:val="24"/>
                <w:shd w:val="clear" w:fill="FFFFFF"/>
              </w:rPr>
              <w:t>即</w:t>
            </w:r>
            <w:r>
              <w:rPr>
                <w:rFonts w:hint="default" w:ascii="Times New Roman" w:hAnsi="Times New Roman" w:eastAsia="宋体" w:cs="Times New Roman"/>
                <w:i w:val="0"/>
                <w:iCs w:val="0"/>
                <w:caps w:val="0"/>
                <w:color w:val="auto"/>
                <w:spacing w:val="0"/>
                <w:sz w:val="24"/>
                <w:szCs w:val="24"/>
                <w:u w:val="none"/>
                <w:shd w:val="clear" w:fill="FFFFFF"/>
              </w:rPr>
              <w:fldChar w:fldCharType="begin"/>
            </w:r>
            <w:r>
              <w:rPr>
                <w:rFonts w:hint="default" w:ascii="Times New Roman" w:hAnsi="Times New Roman" w:eastAsia="宋体" w:cs="Times New Roman"/>
                <w:i w:val="0"/>
                <w:iCs w:val="0"/>
                <w:caps w:val="0"/>
                <w:color w:val="auto"/>
                <w:spacing w:val="0"/>
                <w:sz w:val="24"/>
                <w:szCs w:val="24"/>
                <w:u w:val="none"/>
                <w:shd w:val="clear" w:fill="FFFFFF"/>
              </w:rPr>
              <w:instrText xml:space="preserve"> HYPERLINK "https://baike.baidu.com/item/%E9%80%8F%E6%98%8E%E8%B4%A8%E9%85%B8%E9%92%A0/1597479?fromModule=lemma_inlink" \t "https://baike.baidu.com/item/%E5%8C%BB%E7%94%A8%E9%80%8F%E6%98%8E%E8%B4%A8%E9%85%B8%E9%92%A0%E5%87%9D%E8%83%B6/_blank" </w:instrText>
            </w:r>
            <w:r>
              <w:rPr>
                <w:rFonts w:hint="default" w:ascii="Times New Roman" w:hAnsi="Times New Roman" w:eastAsia="宋体" w:cs="Times New Roman"/>
                <w:i w:val="0"/>
                <w:iCs w:val="0"/>
                <w:caps w:val="0"/>
                <w:color w:val="auto"/>
                <w:spacing w:val="0"/>
                <w:sz w:val="24"/>
                <w:szCs w:val="24"/>
                <w:u w:val="none"/>
                <w:shd w:val="clear" w:fill="FFFFFF"/>
              </w:rPr>
              <w:fldChar w:fldCharType="separate"/>
            </w:r>
            <w:r>
              <w:rPr>
                <w:rStyle w:val="29"/>
                <w:rFonts w:hint="default" w:ascii="Times New Roman" w:hAnsi="Times New Roman" w:eastAsia="宋体" w:cs="Times New Roman"/>
                <w:i w:val="0"/>
                <w:iCs w:val="0"/>
                <w:caps w:val="0"/>
                <w:color w:val="auto"/>
                <w:spacing w:val="0"/>
                <w:sz w:val="24"/>
                <w:szCs w:val="24"/>
                <w:u w:val="none"/>
                <w:shd w:val="clear" w:fill="FFFFFF"/>
              </w:rPr>
              <w:t>透明质酸钠</w:t>
            </w:r>
            <w:r>
              <w:rPr>
                <w:rFonts w:hint="default" w:ascii="Times New Roman" w:hAnsi="Times New Roman" w:eastAsia="宋体" w:cs="Times New Roman"/>
                <w:i w:val="0"/>
                <w:iCs w:val="0"/>
                <w:caps w:val="0"/>
                <w:color w:val="auto"/>
                <w:spacing w:val="0"/>
                <w:sz w:val="24"/>
                <w:szCs w:val="24"/>
                <w:u w:val="none"/>
                <w:shd w:val="clear" w:fill="FFFFFF"/>
              </w:rPr>
              <w:fldChar w:fldCharType="end"/>
            </w:r>
            <w:r>
              <w:rPr>
                <w:rFonts w:hint="default" w:ascii="Times New Roman" w:hAnsi="Times New Roman" w:eastAsia="宋体" w:cs="Times New Roman"/>
                <w:i w:val="0"/>
                <w:iCs w:val="0"/>
                <w:caps w:val="0"/>
                <w:color w:val="auto"/>
                <w:spacing w:val="0"/>
                <w:sz w:val="24"/>
                <w:szCs w:val="24"/>
                <w:shd w:val="clear" w:fill="FFFFFF"/>
              </w:rPr>
              <w:t>（又称</w:t>
            </w:r>
            <w:r>
              <w:rPr>
                <w:rFonts w:hint="default" w:ascii="Times New Roman" w:hAnsi="Times New Roman" w:eastAsia="宋体" w:cs="Times New Roman"/>
                <w:i w:val="0"/>
                <w:iCs w:val="0"/>
                <w:caps w:val="0"/>
                <w:color w:val="auto"/>
                <w:spacing w:val="0"/>
                <w:sz w:val="24"/>
                <w:szCs w:val="24"/>
                <w:u w:val="none"/>
                <w:shd w:val="clear" w:fill="FFFFFF"/>
              </w:rPr>
              <w:fldChar w:fldCharType="begin"/>
            </w:r>
            <w:r>
              <w:rPr>
                <w:rFonts w:hint="default" w:ascii="Times New Roman" w:hAnsi="Times New Roman" w:eastAsia="宋体" w:cs="Times New Roman"/>
                <w:i w:val="0"/>
                <w:iCs w:val="0"/>
                <w:caps w:val="0"/>
                <w:color w:val="auto"/>
                <w:spacing w:val="0"/>
                <w:sz w:val="24"/>
                <w:szCs w:val="24"/>
                <w:u w:val="none"/>
                <w:shd w:val="clear" w:fill="FFFFFF"/>
              </w:rPr>
              <w:instrText xml:space="preserve"> HYPERLINK "https://baike.baidu.com/item/%E7%8E%BB%E7%92%83%E9%85%B8%E9%92%A0/10984692?fromModule=lemma_inlink" \t "https://baike.baidu.com/item/%E5%8C%BB%E7%94%A8%E9%80%8F%E6%98%8E%E8%B4%A8%E9%85%B8%E9%92%A0%E5%87%9D%E8%83%B6/_blank" </w:instrText>
            </w:r>
            <w:r>
              <w:rPr>
                <w:rFonts w:hint="default" w:ascii="Times New Roman" w:hAnsi="Times New Roman" w:eastAsia="宋体" w:cs="Times New Roman"/>
                <w:i w:val="0"/>
                <w:iCs w:val="0"/>
                <w:caps w:val="0"/>
                <w:color w:val="auto"/>
                <w:spacing w:val="0"/>
                <w:sz w:val="24"/>
                <w:szCs w:val="24"/>
                <w:u w:val="none"/>
                <w:shd w:val="clear" w:fill="FFFFFF"/>
              </w:rPr>
              <w:fldChar w:fldCharType="separate"/>
            </w:r>
            <w:r>
              <w:rPr>
                <w:rStyle w:val="29"/>
                <w:rFonts w:hint="default" w:ascii="Times New Roman" w:hAnsi="Times New Roman" w:eastAsia="宋体" w:cs="Times New Roman"/>
                <w:i w:val="0"/>
                <w:iCs w:val="0"/>
                <w:caps w:val="0"/>
                <w:color w:val="auto"/>
                <w:spacing w:val="0"/>
                <w:sz w:val="24"/>
                <w:szCs w:val="24"/>
                <w:u w:val="none"/>
                <w:shd w:val="clear" w:fill="FFFFFF"/>
              </w:rPr>
              <w:t>玻璃酸钠</w:t>
            </w:r>
            <w:r>
              <w:rPr>
                <w:rFonts w:hint="default" w:ascii="Times New Roman" w:hAnsi="Times New Roman" w:eastAsia="宋体" w:cs="Times New Roman"/>
                <w:i w:val="0"/>
                <w:iCs w:val="0"/>
                <w:caps w:val="0"/>
                <w:color w:val="auto"/>
                <w:spacing w:val="0"/>
                <w:sz w:val="24"/>
                <w:szCs w:val="24"/>
                <w:u w:val="none"/>
                <w:shd w:val="clear" w:fill="FFFFFF"/>
              </w:rPr>
              <w:fldChar w:fldCharType="end"/>
            </w:r>
            <w:r>
              <w:rPr>
                <w:rFonts w:hint="default" w:ascii="Times New Roman" w:hAnsi="Times New Roman" w:eastAsia="宋体" w:cs="Times New Roman"/>
                <w:i w:val="0"/>
                <w:iCs w:val="0"/>
                <w:caps w:val="0"/>
                <w:color w:val="auto"/>
                <w:spacing w:val="0"/>
                <w:sz w:val="24"/>
                <w:szCs w:val="24"/>
                <w:shd w:val="clear" w:fill="FFFFFF"/>
              </w:rPr>
              <w:t>）是一种</w:t>
            </w:r>
            <w:r>
              <w:rPr>
                <w:rFonts w:hint="default" w:ascii="Times New Roman" w:hAnsi="Times New Roman" w:eastAsia="宋体" w:cs="Times New Roman"/>
                <w:i w:val="0"/>
                <w:iCs w:val="0"/>
                <w:caps w:val="0"/>
                <w:color w:val="auto"/>
                <w:spacing w:val="0"/>
                <w:sz w:val="24"/>
                <w:szCs w:val="24"/>
                <w:u w:val="none"/>
                <w:shd w:val="clear" w:fill="FFFFFF"/>
              </w:rPr>
              <w:fldChar w:fldCharType="begin"/>
            </w:r>
            <w:r>
              <w:rPr>
                <w:rFonts w:hint="default" w:ascii="Times New Roman" w:hAnsi="Times New Roman" w:eastAsia="宋体" w:cs="Times New Roman"/>
                <w:i w:val="0"/>
                <w:iCs w:val="0"/>
                <w:caps w:val="0"/>
                <w:color w:val="auto"/>
                <w:spacing w:val="0"/>
                <w:sz w:val="24"/>
                <w:szCs w:val="24"/>
                <w:u w:val="none"/>
                <w:shd w:val="clear" w:fill="FFFFFF"/>
              </w:rPr>
              <w:instrText xml:space="preserve"> HYPERLINK "https://baike.baidu.com/item/%E7%B3%96%E8%83%BA%E8%81%9A%E7%B3%96/6629712?fromModule=lemma_inlink" \t "https://baike.baidu.com/item/%E5%8C%BB%E7%94%A8%E9%80%8F%E6%98%8E%E8%B4%A8%E9%85%B8%E9%92%A0%E5%87%9D%E8%83%B6/_blank" </w:instrText>
            </w:r>
            <w:r>
              <w:rPr>
                <w:rFonts w:hint="default" w:ascii="Times New Roman" w:hAnsi="Times New Roman" w:eastAsia="宋体" w:cs="Times New Roman"/>
                <w:i w:val="0"/>
                <w:iCs w:val="0"/>
                <w:caps w:val="0"/>
                <w:color w:val="auto"/>
                <w:spacing w:val="0"/>
                <w:sz w:val="24"/>
                <w:szCs w:val="24"/>
                <w:u w:val="none"/>
                <w:shd w:val="clear" w:fill="FFFFFF"/>
              </w:rPr>
              <w:fldChar w:fldCharType="separate"/>
            </w:r>
            <w:r>
              <w:rPr>
                <w:rStyle w:val="29"/>
                <w:rFonts w:hint="default" w:ascii="Times New Roman" w:hAnsi="Times New Roman" w:eastAsia="宋体" w:cs="Times New Roman"/>
                <w:i w:val="0"/>
                <w:iCs w:val="0"/>
                <w:caps w:val="0"/>
                <w:color w:val="auto"/>
                <w:spacing w:val="0"/>
                <w:sz w:val="24"/>
                <w:szCs w:val="24"/>
                <w:u w:val="none"/>
                <w:shd w:val="clear" w:fill="FFFFFF"/>
              </w:rPr>
              <w:t>糖胺聚糖</w:t>
            </w:r>
            <w:r>
              <w:rPr>
                <w:rFonts w:hint="default" w:ascii="Times New Roman" w:hAnsi="Times New Roman" w:eastAsia="宋体" w:cs="Times New Roman"/>
                <w:i w:val="0"/>
                <w:iCs w:val="0"/>
                <w:caps w:val="0"/>
                <w:color w:val="auto"/>
                <w:spacing w:val="0"/>
                <w:sz w:val="24"/>
                <w:szCs w:val="24"/>
                <w:u w:val="none"/>
                <w:shd w:val="clear" w:fill="FFFFFF"/>
              </w:rPr>
              <w:fldChar w:fldCharType="end"/>
            </w:r>
            <w:r>
              <w:rPr>
                <w:rFonts w:hint="default" w:ascii="Times New Roman" w:hAnsi="Times New Roman" w:eastAsia="宋体" w:cs="Times New Roman"/>
                <w:i w:val="0"/>
                <w:iCs w:val="0"/>
                <w:caps w:val="0"/>
                <w:color w:val="auto"/>
                <w:spacing w:val="0"/>
                <w:sz w:val="24"/>
                <w:szCs w:val="24"/>
                <w:shd w:val="clear" w:fill="FFFFFF"/>
              </w:rPr>
              <w:t>，在</w:t>
            </w:r>
            <w:r>
              <w:rPr>
                <w:rFonts w:hint="default" w:ascii="Times New Roman" w:hAnsi="Times New Roman" w:eastAsia="宋体" w:cs="Times New Roman"/>
                <w:i w:val="0"/>
                <w:iCs w:val="0"/>
                <w:caps w:val="0"/>
                <w:color w:val="auto"/>
                <w:spacing w:val="0"/>
                <w:sz w:val="24"/>
                <w:szCs w:val="24"/>
                <w:u w:val="none"/>
                <w:shd w:val="clear" w:fill="FFFFFF"/>
              </w:rPr>
              <w:fldChar w:fldCharType="begin"/>
            </w:r>
            <w:r>
              <w:rPr>
                <w:rFonts w:hint="default" w:ascii="Times New Roman" w:hAnsi="Times New Roman" w:eastAsia="宋体" w:cs="Times New Roman"/>
                <w:i w:val="0"/>
                <w:iCs w:val="0"/>
                <w:caps w:val="0"/>
                <w:color w:val="auto"/>
                <w:spacing w:val="0"/>
                <w:sz w:val="24"/>
                <w:szCs w:val="24"/>
                <w:u w:val="none"/>
                <w:shd w:val="clear" w:fill="FFFFFF"/>
              </w:rPr>
              <w:instrText xml:space="preserve"> HYPERLINK "https://baike.baidu.com/item/%E7%94%9F%E7%89%A9%E5%8C%BB%E8%8D%AF/3224279?fromModule=lemma_inlink" \t "https://baike.baidu.com/item/%E5%8C%BB%E7%94%A8%E9%80%8F%E6%98%8E%E8%B4%A8%E9%85%B8%E9%92%A0%E5%87%9D%E8%83%B6/_blank" </w:instrText>
            </w:r>
            <w:r>
              <w:rPr>
                <w:rFonts w:hint="default" w:ascii="Times New Roman" w:hAnsi="Times New Roman" w:eastAsia="宋体" w:cs="Times New Roman"/>
                <w:i w:val="0"/>
                <w:iCs w:val="0"/>
                <w:caps w:val="0"/>
                <w:color w:val="auto"/>
                <w:spacing w:val="0"/>
                <w:sz w:val="24"/>
                <w:szCs w:val="24"/>
                <w:u w:val="none"/>
                <w:shd w:val="clear" w:fill="FFFFFF"/>
              </w:rPr>
              <w:fldChar w:fldCharType="separate"/>
            </w:r>
            <w:r>
              <w:rPr>
                <w:rStyle w:val="29"/>
                <w:rFonts w:hint="default" w:ascii="Times New Roman" w:hAnsi="Times New Roman" w:eastAsia="宋体" w:cs="Times New Roman"/>
                <w:i w:val="0"/>
                <w:iCs w:val="0"/>
                <w:caps w:val="0"/>
                <w:color w:val="auto"/>
                <w:spacing w:val="0"/>
                <w:sz w:val="24"/>
                <w:szCs w:val="24"/>
                <w:u w:val="none"/>
                <w:shd w:val="clear" w:fill="FFFFFF"/>
              </w:rPr>
              <w:t>生物医药</w:t>
            </w:r>
            <w:r>
              <w:rPr>
                <w:rFonts w:hint="default" w:ascii="Times New Roman" w:hAnsi="Times New Roman" w:eastAsia="宋体" w:cs="Times New Roman"/>
                <w:i w:val="0"/>
                <w:iCs w:val="0"/>
                <w:caps w:val="0"/>
                <w:color w:val="auto"/>
                <w:spacing w:val="0"/>
                <w:sz w:val="24"/>
                <w:szCs w:val="24"/>
                <w:u w:val="none"/>
                <w:shd w:val="clear" w:fill="FFFFFF"/>
              </w:rPr>
              <w:fldChar w:fldCharType="end"/>
            </w:r>
            <w:r>
              <w:rPr>
                <w:rFonts w:hint="default" w:ascii="Times New Roman" w:hAnsi="Times New Roman" w:eastAsia="宋体" w:cs="Times New Roman"/>
                <w:i w:val="0"/>
                <w:iCs w:val="0"/>
                <w:caps w:val="0"/>
                <w:color w:val="auto"/>
                <w:spacing w:val="0"/>
                <w:sz w:val="24"/>
                <w:szCs w:val="24"/>
                <w:shd w:val="clear" w:fill="FFFFFF"/>
              </w:rPr>
              <w:t>、</w:t>
            </w:r>
            <w:r>
              <w:rPr>
                <w:rFonts w:hint="default" w:ascii="Times New Roman" w:hAnsi="Times New Roman" w:eastAsia="宋体" w:cs="Times New Roman"/>
                <w:i w:val="0"/>
                <w:iCs w:val="0"/>
                <w:caps w:val="0"/>
                <w:color w:val="auto"/>
                <w:spacing w:val="0"/>
                <w:sz w:val="24"/>
                <w:szCs w:val="24"/>
                <w:u w:val="none"/>
                <w:shd w:val="clear" w:fill="FFFFFF"/>
              </w:rPr>
              <w:fldChar w:fldCharType="begin"/>
            </w:r>
            <w:r>
              <w:rPr>
                <w:rFonts w:hint="default" w:ascii="Times New Roman" w:hAnsi="Times New Roman" w:eastAsia="宋体" w:cs="Times New Roman"/>
                <w:i w:val="0"/>
                <w:iCs w:val="0"/>
                <w:caps w:val="0"/>
                <w:color w:val="auto"/>
                <w:spacing w:val="0"/>
                <w:sz w:val="24"/>
                <w:szCs w:val="24"/>
                <w:u w:val="none"/>
                <w:shd w:val="clear" w:fill="FFFFFF"/>
              </w:rPr>
              <w:instrText xml:space="preserve"> HYPERLINK "https://baike.baidu.com/item/%E7%94%9F%E7%89%A9%E6%9D%90%E6%96%99/5016113?fromModule=lemma_inlink" \t "https://baike.baidu.com/item/%E5%8C%BB%E7%94%A8%E9%80%8F%E6%98%8E%E8%B4%A8%E9%85%B8%E9%92%A0%E5%87%9D%E8%83%B6/_blank" </w:instrText>
            </w:r>
            <w:r>
              <w:rPr>
                <w:rFonts w:hint="default" w:ascii="Times New Roman" w:hAnsi="Times New Roman" w:eastAsia="宋体" w:cs="Times New Roman"/>
                <w:i w:val="0"/>
                <w:iCs w:val="0"/>
                <w:caps w:val="0"/>
                <w:color w:val="auto"/>
                <w:spacing w:val="0"/>
                <w:sz w:val="24"/>
                <w:szCs w:val="24"/>
                <w:u w:val="none"/>
                <w:shd w:val="clear" w:fill="FFFFFF"/>
              </w:rPr>
              <w:fldChar w:fldCharType="separate"/>
            </w:r>
            <w:r>
              <w:rPr>
                <w:rStyle w:val="29"/>
                <w:rFonts w:hint="default" w:ascii="Times New Roman" w:hAnsi="Times New Roman" w:eastAsia="宋体" w:cs="Times New Roman"/>
                <w:i w:val="0"/>
                <w:iCs w:val="0"/>
                <w:caps w:val="0"/>
                <w:color w:val="auto"/>
                <w:spacing w:val="0"/>
                <w:sz w:val="24"/>
                <w:szCs w:val="24"/>
                <w:u w:val="none"/>
                <w:shd w:val="clear" w:fill="FFFFFF"/>
              </w:rPr>
              <w:t>生物材料</w:t>
            </w:r>
            <w:r>
              <w:rPr>
                <w:rFonts w:hint="default" w:ascii="Times New Roman" w:hAnsi="Times New Roman" w:eastAsia="宋体" w:cs="Times New Roman"/>
                <w:i w:val="0"/>
                <w:iCs w:val="0"/>
                <w:caps w:val="0"/>
                <w:color w:val="auto"/>
                <w:spacing w:val="0"/>
                <w:sz w:val="24"/>
                <w:szCs w:val="24"/>
                <w:u w:val="none"/>
                <w:shd w:val="clear" w:fill="FFFFFF"/>
              </w:rPr>
              <w:fldChar w:fldCharType="end"/>
            </w:r>
            <w:r>
              <w:rPr>
                <w:rFonts w:hint="default" w:ascii="Times New Roman" w:hAnsi="Times New Roman" w:eastAsia="宋体" w:cs="Times New Roman"/>
                <w:i w:val="0"/>
                <w:iCs w:val="0"/>
                <w:caps w:val="0"/>
                <w:color w:val="auto"/>
                <w:spacing w:val="0"/>
                <w:sz w:val="24"/>
                <w:szCs w:val="24"/>
                <w:shd w:val="clear" w:fill="FFFFFF"/>
              </w:rPr>
              <w:t>、</w:t>
            </w:r>
            <w:r>
              <w:rPr>
                <w:rFonts w:hint="default" w:ascii="Times New Roman" w:hAnsi="Times New Roman" w:eastAsia="宋体" w:cs="Times New Roman"/>
                <w:i w:val="0"/>
                <w:iCs w:val="0"/>
                <w:caps w:val="0"/>
                <w:color w:val="auto"/>
                <w:spacing w:val="0"/>
                <w:sz w:val="24"/>
                <w:szCs w:val="24"/>
                <w:u w:val="none"/>
                <w:shd w:val="clear" w:fill="FFFFFF"/>
              </w:rPr>
              <w:fldChar w:fldCharType="begin"/>
            </w:r>
            <w:r>
              <w:rPr>
                <w:rFonts w:hint="default" w:ascii="Times New Roman" w:hAnsi="Times New Roman" w:eastAsia="宋体" w:cs="Times New Roman"/>
                <w:i w:val="0"/>
                <w:iCs w:val="0"/>
                <w:caps w:val="0"/>
                <w:color w:val="auto"/>
                <w:spacing w:val="0"/>
                <w:sz w:val="24"/>
                <w:szCs w:val="24"/>
                <w:u w:val="none"/>
                <w:shd w:val="clear" w:fill="FFFFFF"/>
              </w:rPr>
              <w:instrText xml:space="preserve"> HYPERLINK "https://baike.baidu.com/item/%E5%8A%9F%E8%83%BD%E9%A3%9F%E5%93%81/1467222?fromModule=lemma_inlink" \t "https://baike.baidu.com/item/%E5%8C%BB%E7%94%A8%E9%80%8F%E6%98%8E%E8%B4%A8%E9%85%B8%E9%92%A0%E5%87%9D%E8%83%B6/_blank" </w:instrText>
            </w:r>
            <w:r>
              <w:rPr>
                <w:rFonts w:hint="default" w:ascii="Times New Roman" w:hAnsi="Times New Roman" w:eastAsia="宋体" w:cs="Times New Roman"/>
                <w:i w:val="0"/>
                <w:iCs w:val="0"/>
                <w:caps w:val="0"/>
                <w:color w:val="auto"/>
                <w:spacing w:val="0"/>
                <w:sz w:val="24"/>
                <w:szCs w:val="24"/>
                <w:u w:val="none"/>
                <w:shd w:val="clear" w:fill="FFFFFF"/>
              </w:rPr>
              <w:fldChar w:fldCharType="separate"/>
            </w:r>
            <w:r>
              <w:rPr>
                <w:rStyle w:val="29"/>
                <w:rFonts w:hint="default" w:ascii="Times New Roman" w:hAnsi="Times New Roman" w:eastAsia="宋体" w:cs="Times New Roman"/>
                <w:i w:val="0"/>
                <w:iCs w:val="0"/>
                <w:caps w:val="0"/>
                <w:color w:val="auto"/>
                <w:spacing w:val="0"/>
                <w:sz w:val="24"/>
                <w:szCs w:val="24"/>
                <w:u w:val="none"/>
                <w:shd w:val="clear" w:fill="FFFFFF"/>
              </w:rPr>
              <w:t>功能食品</w:t>
            </w:r>
            <w:r>
              <w:rPr>
                <w:rFonts w:hint="default" w:ascii="Times New Roman" w:hAnsi="Times New Roman" w:eastAsia="宋体" w:cs="Times New Roman"/>
                <w:i w:val="0"/>
                <w:iCs w:val="0"/>
                <w:caps w:val="0"/>
                <w:color w:val="auto"/>
                <w:spacing w:val="0"/>
                <w:sz w:val="24"/>
                <w:szCs w:val="24"/>
                <w:u w:val="none"/>
                <w:shd w:val="clear" w:fill="FFFFFF"/>
              </w:rPr>
              <w:fldChar w:fldCharType="end"/>
            </w:r>
            <w:r>
              <w:rPr>
                <w:rFonts w:hint="default" w:ascii="Times New Roman" w:hAnsi="Times New Roman" w:eastAsia="宋体" w:cs="Times New Roman"/>
                <w:i w:val="0"/>
                <w:iCs w:val="0"/>
                <w:caps w:val="0"/>
                <w:color w:val="auto"/>
                <w:spacing w:val="0"/>
                <w:sz w:val="24"/>
                <w:szCs w:val="24"/>
                <w:shd w:val="clear" w:fill="FFFFFF"/>
              </w:rPr>
              <w:t>以及化妆品等领域的广泛应用，是医学胶的一种</w:t>
            </w:r>
            <w:r>
              <w:rPr>
                <w:rFonts w:hint="default" w:ascii="Times New Roman" w:hAnsi="Times New Roman" w:eastAsia="宋体" w:cs="Times New Roman"/>
                <w:i w:val="0"/>
                <w:iCs w:val="0"/>
                <w:caps w:val="0"/>
                <w:color w:val="auto"/>
                <w:spacing w:val="0"/>
                <w:sz w:val="24"/>
                <w:szCs w:val="24"/>
                <w:shd w:val="clear" w:fill="FFFFFF"/>
                <w:lang w:eastAsia="zh-CN"/>
              </w:rPr>
              <w:t>，</w:t>
            </w:r>
            <w:r>
              <w:rPr>
                <w:rFonts w:hint="default" w:ascii="Times New Roman" w:hAnsi="Times New Roman" w:eastAsia="宋体" w:cs="Times New Roman"/>
                <w:i w:val="0"/>
                <w:iCs w:val="0"/>
                <w:caps w:val="0"/>
                <w:color w:val="auto"/>
                <w:spacing w:val="0"/>
                <w:sz w:val="24"/>
                <w:szCs w:val="24"/>
                <w:shd w:val="clear" w:fill="FFFFFF"/>
              </w:rPr>
              <w:t>分子式为（C</w:t>
            </w:r>
            <w:r>
              <w:rPr>
                <w:rFonts w:hint="default" w:ascii="Times New Roman" w:hAnsi="Times New Roman" w:eastAsia="宋体" w:cs="Times New Roman"/>
                <w:i w:val="0"/>
                <w:iCs w:val="0"/>
                <w:caps w:val="0"/>
                <w:color w:val="auto"/>
                <w:spacing w:val="0"/>
                <w:sz w:val="24"/>
                <w:szCs w:val="24"/>
                <w:shd w:val="clear" w:fill="FFFFFF"/>
                <w:vertAlign w:val="subscript"/>
              </w:rPr>
              <w:t>14</w:t>
            </w:r>
            <w:r>
              <w:rPr>
                <w:rFonts w:hint="default" w:ascii="Times New Roman" w:hAnsi="Times New Roman" w:eastAsia="宋体" w:cs="Times New Roman"/>
                <w:i w:val="0"/>
                <w:iCs w:val="0"/>
                <w:caps w:val="0"/>
                <w:color w:val="auto"/>
                <w:spacing w:val="0"/>
                <w:sz w:val="24"/>
                <w:szCs w:val="24"/>
                <w:shd w:val="clear" w:fill="FFFFFF"/>
              </w:rPr>
              <w:t>H</w:t>
            </w:r>
            <w:r>
              <w:rPr>
                <w:rFonts w:hint="default" w:ascii="Times New Roman" w:hAnsi="Times New Roman" w:eastAsia="宋体" w:cs="Times New Roman"/>
                <w:i w:val="0"/>
                <w:iCs w:val="0"/>
                <w:caps w:val="0"/>
                <w:color w:val="auto"/>
                <w:spacing w:val="0"/>
                <w:sz w:val="24"/>
                <w:szCs w:val="24"/>
                <w:shd w:val="clear" w:fill="FFFFFF"/>
                <w:vertAlign w:val="subscript"/>
              </w:rPr>
              <w:t>20</w:t>
            </w:r>
            <w:r>
              <w:rPr>
                <w:rFonts w:hint="default" w:ascii="Times New Roman" w:hAnsi="Times New Roman" w:eastAsia="宋体" w:cs="Times New Roman"/>
                <w:i w:val="0"/>
                <w:iCs w:val="0"/>
                <w:caps w:val="0"/>
                <w:color w:val="auto"/>
                <w:spacing w:val="0"/>
                <w:sz w:val="24"/>
                <w:szCs w:val="24"/>
                <w:shd w:val="clear" w:fill="FFFFFF"/>
              </w:rPr>
              <w:t>NO</w:t>
            </w:r>
            <w:r>
              <w:rPr>
                <w:rFonts w:hint="default" w:ascii="Times New Roman" w:hAnsi="Times New Roman" w:eastAsia="宋体" w:cs="Times New Roman"/>
                <w:i w:val="0"/>
                <w:iCs w:val="0"/>
                <w:caps w:val="0"/>
                <w:color w:val="auto"/>
                <w:spacing w:val="0"/>
                <w:sz w:val="24"/>
                <w:szCs w:val="24"/>
                <w:shd w:val="clear" w:fill="FFFFFF"/>
                <w:vertAlign w:val="subscript"/>
              </w:rPr>
              <w:t>11</w:t>
            </w:r>
            <w:r>
              <w:rPr>
                <w:rFonts w:hint="default" w:ascii="Times New Roman" w:hAnsi="Times New Roman" w:eastAsia="宋体" w:cs="Times New Roman"/>
                <w:i w:val="0"/>
                <w:iCs w:val="0"/>
                <w:caps w:val="0"/>
                <w:color w:val="auto"/>
                <w:spacing w:val="0"/>
                <w:sz w:val="24"/>
                <w:szCs w:val="24"/>
                <w:shd w:val="clear" w:fill="FFFFFF"/>
              </w:rPr>
              <w:t>Na）n</w:t>
            </w:r>
            <w:r>
              <w:rPr>
                <w:rFonts w:hint="default" w:ascii="Times New Roman" w:hAnsi="Times New Roman" w:eastAsia="宋体" w:cs="Times New Roman"/>
                <w:i w:val="0"/>
                <w:iCs w:val="0"/>
                <w:caps w:val="0"/>
                <w:color w:val="auto"/>
                <w:spacing w:val="0"/>
                <w:sz w:val="24"/>
                <w:szCs w:val="24"/>
                <w:shd w:val="clear" w:fill="FFFFFF"/>
                <w:lang w:eastAsia="zh-CN"/>
              </w:rPr>
              <w:t>。</w:t>
            </w:r>
          </w:p>
          <w:p w14:paraId="72D479FC">
            <w:pPr>
              <w:pStyle w:val="8"/>
              <w:keepNext w:val="0"/>
              <w:keepLines w:val="0"/>
              <w:pageBreakBefore w:val="0"/>
              <w:widowControl w:val="0"/>
              <w:kinsoku/>
              <w:wordWrap/>
              <w:overflowPunct/>
              <w:topLinePunct w:val="0"/>
              <w:autoSpaceDE/>
              <w:autoSpaceDN/>
              <w:bidi w:val="0"/>
              <w:adjustRightInd/>
              <w:snapToGrid/>
              <w:spacing w:before="0" w:line="360" w:lineRule="auto"/>
              <w:ind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16</w:t>
            </w:r>
            <w:r>
              <w:rPr>
                <w:rFonts w:hint="eastAsia" w:cs="Times New Roman"/>
                <w:b/>
                <w:bCs/>
                <w:color w:val="auto"/>
                <w:sz w:val="24"/>
                <w:szCs w:val="24"/>
                <w:lang w:val="en-US" w:eastAsia="zh-CN"/>
              </w:rPr>
              <w:t>）</w:t>
            </w:r>
            <w:r>
              <w:rPr>
                <w:rFonts w:hint="eastAsia" w:ascii="Times New Roman" w:hAnsi="Times New Roman" w:eastAsia="宋体" w:cs="Times New Roman"/>
                <w:b/>
                <w:bCs/>
                <w:color w:val="auto"/>
                <w:kern w:val="2"/>
                <w:sz w:val="24"/>
                <w:szCs w:val="24"/>
                <w:lang w:val="en-US" w:eastAsia="zh-CN" w:bidi="ar-SA"/>
              </w:rPr>
              <w:t>D-(+)-海藻糖二水合物：</w:t>
            </w:r>
            <w:r>
              <w:rPr>
                <w:rFonts w:hint="default" w:ascii="Times New Roman" w:hAnsi="Times New Roman" w:eastAsia="宋体" w:cs="Times New Roman"/>
                <w:color w:val="auto"/>
                <w:kern w:val="2"/>
                <w:sz w:val="24"/>
                <w:szCs w:val="24"/>
                <w:lang w:val="en-US" w:eastAsia="zh-CN" w:bidi="ar-SA"/>
              </w:rPr>
              <w:t>外观描述：白色粉状结晶，水中溶解度</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68.9g/100g(20°C)，溶于热乙醇，不溶于醚物理参数：熔点</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97-99°C(lit.)</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折射率</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181°(C=7</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H</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O)</w:t>
            </w:r>
          </w:p>
          <w:p w14:paraId="13D27673">
            <w:pPr>
              <w:pStyle w:val="8"/>
              <w:keepNext w:val="0"/>
              <w:keepLines w:val="0"/>
              <w:pageBreakBefore w:val="0"/>
              <w:widowControl w:val="0"/>
              <w:kinsoku/>
              <w:wordWrap/>
              <w:overflowPunct/>
              <w:topLinePunct w:val="0"/>
              <w:autoSpaceDE/>
              <w:autoSpaceDN/>
              <w:bidi w:val="0"/>
              <w:adjustRightInd/>
              <w:snapToGrid/>
              <w:spacing w:before="0" w:line="360" w:lineRule="auto"/>
              <w:ind w:firstLine="482"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17</w:t>
            </w:r>
            <w:r>
              <w:rPr>
                <w:rFonts w:hint="eastAsia" w:cs="Times New Roman"/>
                <w:b/>
                <w:bCs/>
                <w:color w:val="auto"/>
                <w:sz w:val="24"/>
                <w:szCs w:val="24"/>
                <w:lang w:val="en-US" w:eastAsia="zh-CN"/>
              </w:rPr>
              <w:t>）</w:t>
            </w:r>
            <w:r>
              <w:rPr>
                <w:rFonts w:hint="eastAsia" w:ascii="Times New Roman" w:hAnsi="Times New Roman" w:eastAsia="宋体" w:cs="Times New Roman"/>
                <w:b/>
                <w:bCs/>
                <w:color w:val="auto"/>
                <w:kern w:val="2"/>
                <w:sz w:val="24"/>
                <w:szCs w:val="24"/>
                <w:lang w:val="en-US" w:eastAsia="zh-CN" w:bidi="ar-SA"/>
              </w:rPr>
              <w:t>黄原胶：</w:t>
            </w:r>
            <w:r>
              <w:rPr>
                <w:rFonts w:hint="default" w:ascii="Times New Roman" w:hAnsi="Times New Roman" w:eastAsia="宋体" w:cs="Times New Roman"/>
                <w:color w:val="auto"/>
                <w:kern w:val="2"/>
                <w:sz w:val="24"/>
                <w:szCs w:val="24"/>
                <w:lang w:val="en-US" w:eastAsia="zh-CN" w:bidi="ar-SA"/>
              </w:rPr>
              <w:t>黄原胶又称黄胶、汉生胶，是一种由黄单胞杆菌发酵产生的细胞外酸性杂多糖。是由D-葡萄糖、D-甘露糖和D-葡萄糖醛酸按2:2:1组成的多糖类高分子化合物，相对分子质量在100万以上</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黄原胶为浅黄色至白色可流动粉末，稍带臭味。易溶于冷、热水中，溶液中性，耐冻结和解冻，不溶于乙醇。遇水分散、乳化变成稳定的亲水性粘稠胶体。</w:t>
            </w:r>
          </w:p>
          <w:p w14:paraId="406BBB62">
            <w:pPr>
              <w:pStyle w:val="8"/>
              <w:keepNext w:val="0"/>
              <w:keepLines w:val="0"/>
              <w:pageBreakBefore w:val="0"/>
              <w:widowControl w:val="0"/>
              <w:kinsoku/>
              <w:wordWrap/>
              <w:overflowPunct/>
              <w:topLinePunct w:val="0"/>
              <w:autoSpaceDE/>
              <w:autoSpaceDN/>
              <w:bidi w:val="0"/>
              <w:adjustRightInd/>
              <w:snapToGrid/>
              <w:spacing w:before="0" w:line="360" w:lineRule="auto"/>
              <w:ind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18</w:t>
            </w:r>
            <w:r>
              <w:rPr>
                <w:rFonts w:hint="eastAsia" w:cs="Times New Roman"/>
                <w:b/>
                <w:bCs/>
                <w:color w:val="auto"/>
                <w:sz w:val="24"/>
                <w:szCs w:val="24"/>
                <w:lang w:val="en-US" w:eastAsia="zh-CN"/>
              </w:rPr>
              <w:t>）</w:t>
            </w:r>
            <w:r>
              <w:rPr>
                <w:rFonts w:hint="default" w:ascii="Times New Roman" w:hAnsi="Times New Roman" w:eastAsia="宋体" w:cs="Times New Roman"/>
                <w:b/>
                <w:bCs/>
                <w:color w:val="auto"/>
                <w:kern w:val="2"/>
                <w:sz w:val="24"/>
                <w:szCs w:val="24"/>
                <w:lang w:val="en-US" w:eastAsia="zh-CN" w:bidi="ar-SA"/>
              </w:rPr>
              <w:t>丁二醇</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是一种有机物，分子式为C</w:t>
            </w:r>
            <w:r>
              <w:rPr>
                <w:rFonts w:hint="default" w:ascii="Times New Roman" w:hAnsi="Times New Roman" w:eastAsia="宋体" w:cs="Times New Roman"/>
                <w:color w:val="auto"/>
                <w:kern w:val="2"/>
                <w:sz w:val="24"/>
                <w:szCs w:val="24"/>
                <w:vertAlign w:val="subscript"/>
                <w:lang w:val="en-US" w:eastAsia="zh-CN" w:bidi="ar-SA"/>
              </w:rPr>
              <w:t>4</w:t>
            </w:r>
            <w:r>
              <w:rPr>
                <w:rFonts w:hint="default" w:ascii="Times New Roman" w:hAnsi="Times New Roman" w:eastAsia="宋体" w:cs="Times New Roman"/>
                <w:color w:val="auto"/>
                <w:kern w:val="2"/>
                <w:sz w:val="24"/>
                <w:szCs w:val="24"/>
                <w:lang w:val="en-US" w:eastAsia="zh-CN" w:bidi="ar-SA"/>
              </w:rPr>
              <w:t>H</w:t>
            </w:r>
            <w:r>
              <w:rPr>
                <w:rFonts w:hint="default" w:ascii="Times New Roman" w:hAnsi="Times New Roman" w:eastAsia="宋体" w:cs="Times New Roman"/>
                <w:color w:val="auto"/>
                <w:kern w:val="2"/>
                <w:sz w:val="24"/>
                <w:szCs w:val="24"/>
                <w:vertAlign w:val="subscript"/>
                <w:lang w:val="en-US" w:eastAsia="zh-CN" w:bidi="ar-SA"/>
              </w:rPr>
              <w:t>10</w:t>
            </w:r>
            <w:r>
              <w:rPr>
                <w:rFonts w:hint="default" w:ascii="Times New Roman" w:hAnsi="Times New Roman" w:eastAsia="宋体" w:cs="Times New Roman"/>
                <w:color w:val="auto"/>
                <w:kern w:val="2"/>
                <w:sz w:val="24"/>
                <w:szCs w:val="24"/>
                <w:lang w:val="en-US" w:eastAsia="zh-CN" w:bidi="ar-SA"/>
              </w:rPr>
              <w:t>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，分子量为90.12。外观为无色或淡黄色油状液体。可燃，</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"https://baike.baidu.com/item/%E5%87%9D%E5%9B%BA%E7%82%B9/848861?fromModule=lemma_inlink" \t "https://baike.baidu.com/item/1,4-%E4%B8%81%E4%BA%8C%E9%86%87/_blank"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凝固点</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20.1℃，</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"https://baike.baidu.com/item/%E6%8A%98%E5%B0%84%E7%8E%87/788655?fromModule=lemma_inlink" \t "https://baike.baidu.com/item/1,4-%E4%B8%81%E4%BA%8C%E9%86%87/_blank"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折射率</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1.4461。能溶于</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"https://baike.baidu.com/item/%E7%94%B2%E9%86%87/1512312?fromModule=lemma_inlink" \t "https://baike.baidu.com/item/1,4-%E4%B8%81%E4%BA%8C%E9%86%87/_blank"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甲醇</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"https://baike.baidu.com/item/%E4%B9%99%E9%86%87/135334?fromModule=lemma_inlink" \t "https://baike.baidu.com/item/1,4-%E4%B8%81%E4%BA%8C%E9%86%87/_blank"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乙醇</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"https://baike.baidu.com/item/%E4%B8%99%E9%85%AE/955883?fromModule=lemma_inlink" \t "https://baike.baidu.com/item/1,4-%E4%B8%81%E4%BA%8C%E9%86%87/_blank"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丙酮</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，微溶于</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"https://baike.baidu.com/item/%E4%B9%99%E9%86%9A/316922?fromModule=lemma_inlink" \t "https://baike.baidu.com/item/1,4-%E4%B8%81%E4%BA%8C%E9%86%87/_blank"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乙醚</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。有</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"https://baike.baidu.com/item/%E5%90%B8%E6%B9%BF%E6%80%A7/10930709?fromModule=lemma_inlink" \t "https://baike.baidu.com/item/1,4-%E4%B8%81%E4%BA%8C%E9%86%87/_blank"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吸湿性</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，气味苦，入口则略有甜味</w:t>
            </w:r>
            <w:r>
              <w:rPr>
                <w:rFonts w:hint="eastAsia"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用作溶剂和</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"https://baike.baidu.com/item/%E5%A2%9E%E6%B9%BF%E5%89%82/12719748?fromModule=lemma_inlink" \t "https://baike.baidu.com/item/1,4-%E4%B8%81%E4%BA%8C%E9%86%87/_blank"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增湿剂</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，也用于制</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"https://baike.baidu.com/item/%E5%A2%9E%E5%A1%91%E5%89%82/3588661?fromModule=lemma_inlink" \t "https://baike.baidu.com/item/1,4-%E4%B8%81%E4%BA%8C%E9%86%87/_blank"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增塑剂</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、药物、</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"https://baike.baidu.com/item/%E8%81%9A%E9%85%AF%E6%A0%91%E8%84%82/1653455?fromModule=lemma_inlink" \t "https://baike.baidu.com/item/1,4-%E4%B8%81%E4%BA%8C%E9%86%87/_blank"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聚酯树脂</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"https://baike.baidu.com/item/%E8%81%9A%E6%B0%A8%E5%9F%BA%E7%94%B2%E9%85%B8%E9%85%AF/3241083?fromModule=lemma_inlink" \t "https://baike.baidu.com/item/1,4-%E4%B8%81%E4%BA%8C%E9%86%87/_blank"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聚氨基甲酸酯</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树脂等。</w:t>
            </w:r>
          </w:p>
          <w:p w14:paraId="308CE5E5">
            <w:pPr>
              <w:pStyle w:val="8"/>
              <w:keepNext w:val="0"/>
              <w:keepLines w:val="0"/>
              <w:pageBreakBefore w:val="0"/>
              <w:widowControl w:val="0"/>
              <w:kinsoku/>
              <w:wordWrap/>
              <w:overflowPunct/>
              <w:topLinePunct w:val="0"/>
              <w:autoSpaceDE/>
              <w:autoSpaceDN/>
              <w:bidi w:val="0"/>
              <w:adjustRightInd/>
              <w:snapToGrid/>
              <w:spacing w:before="0" w:line="360" w:lineRule="auto"/>
              <w:ind w:firstLine="482"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19</w:t>
            </w:r>
            <w:r>
              <w:rPr>
                <w:rFonts w:hint="eastAsia" w:cs="Times New Roman"/>
                <w:b/>
                <w:bCs/>
                <w:color w:val="auto"/>
                <w:sz w:val="24"/>
                <w:szCs w:val="24"/>
                <w:lang w:val="en-US" w:eastAsia="zh-CN"/>
              </w:rPr>
              <w:t>）</w:t>
            </w:r>
            <w:r>
              <w:rPr>
                <w:rFonts w:hint="default" w:ascii="Times New Roman" w:hAnsi="Times New Roman" w:eastAsia="宋体" w:cs="Times New Roman"/>
                <w:b/>
                <w:bCs/>
                <w:color w:val="auto"/>
                <w:kern w:val="2"/>
                <w:sz w:val="24"/>
                <w:szCs w:val="24"/>
                <w:lang w:val="en-US" w:eastAsia="zh-CN" w:bidi="ar-SA"/>
              </w:rPr>
              <w:t>三乙醇胺</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是一种</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"https://baike.baidu.com/item/%E6%9C%89%E6%9C%BA%E5%8C%96%E5%90%88%E7%89%A9/2950156?fromModule=lemma_inlink" \t "https://baike.baidu.com/item/%E4%B8%89%E4%B9%99%E9%86%87%E8%83%BA/_blank"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有机化合物</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，可以看作是</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"https://baike.baidu.com/item/%E4%B8%89%E4%B9%99%E8%83%BA/8262079?fromModule=lemma_inlink" \t "https://baike.baidu.com/item/%E4%B8%89%E4%B9%99%E9%86%87%E8%83%BA/_blank"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三乙胺</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的三羟基取代物，化学式为C</w:t>
            </w:r>
            <w:r>
              <w:rPr>
                <w:rFonts w:hint="default" w:ascii="Times New Roman" w:hAnsi="Times New Roman" w:eastAsia="宋体" w:cs="Times New Roman"/>
                <w:color w:val="auto"/>
                <w:kern w:val="2"/>
                <w:sz w:val="24"/>
                <w:szCs w:val="24"/>
                <w:vertAlign w:val="subscript"/>
                <w:lang w:val="en-US" w:eastAsia="zh-CN" w:bidi="ar-SA"/>
              </w:rPr>
              <w:t>6</w:t>
            </w:r>
            <w:r>
              <w:rPr>
                <w:rFonts w:hint="default" w:ascii="Times New Roman" w:hAnsi="Times New Roman" w:eastAsia="宋体" w:cs="Times New Roman"/>
                <w:color w:val="auto"/>
                <w:kern w:val="2"/>
                <w:sz w:val="24"/>
                <w:szCs w:val="24"/>
                <w:lang w:val="en-US" w:eastAsia="zh-CN" w:bidi="ar-SA"/>
              </w:rPr>
              <w:t>H</w:t>
            </w:r>
            <w:r>
              <w:rPr>
                <w:rFonts w:hint="default" w:ascii="Times New Roman" w:hAnsi="Times New Roman" w:eastAsia="宋体" w:cs="Times New Roman"/>
                <w:color w:val="auto"/>
                <w:kern w:val="2"/>
                <w:sz w:val="24"/>
                <w:szCs w:val="24"/>
                <w:vertAlign w:val="subscript"/>
                <w:lang w:val="en-US" w:eastAsia="zh-CN" w:bidi="ar-SA"/>
              </w:rPr>
              <w:t>15</w:t>
            </w:r>
            <w:r>
              <w:rPr>
                <w:rFonts w:hint="default" w:ascii="Times New Roman" w:hAnsi="Times New Roman" w:eastAsia="宋体" w:cs="Times New Roman"/>
                <w:color w:val="auto"/>
                <w:kern w:val="2"/>
                <w:sz w:val="24"/>
                <w:szCs w:val="24"/>
                <w:lang w:val="en-US" w:eastAsia="zh-CN" w:bidi="ar-SA"/>
              </w:rPr>
              <w:t>NO</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。与其他胺类化合物相似，由于</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"https://baike.baidu.com/item/%E6%B0%AE%E5%8E%9F%E5%AD%90/22154477?fromModule=lemma_inlink" \t "https://baike.baidu.com/item/%E4%B8%89%E4%B9%99%E9%86%87%E8%83%BA/_blank"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氮原子</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上存在</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"https://baike.baidu.com/item/%E5%AD%A4%E5%AF%B9%E7%94%B5%E5%AD%90/1850715?fromModule=lemma_inlink" \t "https://baike.baidu.com/item/%E4%B8%89%E4%B9%99%E9%86%87%E8%83%BA/_blank"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孤对电子</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，三乙醇胺具</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"https://baike.baidu.com/item/%E5%BC%B1%E7%A2%B1%E6%80%A7/5448471?fromModule=lemma_inlink" \t "https://baike.baidu.com/item/%E4%B8%89%E4%B9%99%E9%86%87%E8%83%BA/_blank"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弱碱性</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，能够与</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"https://baike.baidu.com/item/%E6%97%A0%E6%9C%BA%E9%85%B8/9309745?fromModule=lemma_inlink" \t "https://baike.baidu.com/item/%E4%B8%89%E4%B9%99%E9%86%87%E8%83%BA/_blank"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无机酸</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或</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"https://baike.baidu.com/item/%E6%9C%89%E6%9C%BA%E9%85%B8/8073143?fromModule=lemma_inlink" \t "https://baike.baidu.com/item/%E4%B8%89%E4%B9%99%E9%86%87%E8%83%BA/_blank"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有机酸</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反应生成盐</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外观：无色至淡黄色粘性液体，室温下为无色透明粘稠液体</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溶于水，</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"https://baike.baidu.com/item/%E7%94%B2%E9%86%87/1512312?fromModule=lemma_inlink" \t "https://baike.baidu.com/item/%E4%B8%89%E4%B9%99%E9%86%87%E8%83%BA/_blank"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甲醇</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"https://baike.baidu.com/item/%E4%B8%99%E9%85%AE/955883?fromModule=lemma_inlink" \t "https://baike.baidu.com/item/%E4%B8%89%E4%B9%99%E9%86%87%E8%83%BA/_blank"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丙酮</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"https://baike.baidu.com/item/%E6%B0%AF%E4%BB%BF/521847?fromModule=lemma_inlink" \t "https://baike.baidu.com/item/%E4%B8%89%E4%B9%99%E9%86%87%E8%83%BA/_blank"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氯仿</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等，微溶于</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"https://baike.baidu.com/item/%E4%B9%99%E9%86%9A/316922?fromModule=lemma_inlink" \t "https://baike.baidu.com/item/%E4%B8%89%E4%B9%99%E9%86%87%E8%83%BA/_blank"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乙醚</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和苯，在</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"https://baike.baidu.com/item/%E9%9D%9E%E6%9E%81%E6%80%A7%E6%BA%B6%E5%89%82/3455455?fromModule=lemma_inlink" \t "https://baike.baidu.com/item/%E4%B8%89%E4%B9%99%E9%86%87%E8%83%BA/_blank"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非极性溶剂</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中几乎不溶</w:t>
            </w:r>
            <w:r>
              <w:rPr>
                <w:rFonts w:hint="eastAsia" w:ascii="Times New Roman" w:hAnsi="Times New Roman" w:eastAsia="宋体" w:cs="Times New Roman"/>
                <w:color w:val="auto"/>
                <w:kern w:val="2"/>
                <w:sz w:val="24"/>
                <w:szCs w:val="24"/>
                <w:lang w:val="en-US" w:eastAsia="zh-CN" w:bidi="ar-SA"/>
              </w:rPr>
              <w:t>。</w:t>
            </w:r>
          </w:p>
          <w:p w14:paraId="6B7374B3">
            <w:pPr>
              <w:pStyle w:val="8"/>
              <w:keepNext w:val="0"/>
              <w:keepLines w:val="0"/>
              <w:pageBreakBefore w:val="0"/>
              <w:widowControl w:val="0"/>
              <w:kinsoku/>
              <w:wordWrap/>
              <w:overflowPunct/>
              <w:topLinePunct w:val="0"/>
              <w:autoSpaceDE/>
              <w:autoSpaceDN/>
              <w:bidi w:val="0"/>
              <w:adjustRightInd/>
              <w:snapToGrid/>
              <w:spacing w:before="0" w:line="360" w:lineRule="auto"/>
              <w:ind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b/>
                <w:bCs/>
                <w:color w:val="auto"/>
                <w:kern w:val="2"/>
                <w:sz w:val="24"/>
                <w:szCs w:val="24"/>
                <w:lang w:val="en-US" w:eastAsia="zh-CN" w:bidi="ar-SA"/>
              </w:rPr>
              <w:t>20</w:t>
            </w:r>
            <w:r>
              <w:rPr>
                <w:rFonts w:hint="eastAsia" w:cs="Times New Roman"/>
                <w:b/>
                <w:bCs/>
                <w:color w:val="auto"/>
                <w:sz w:val="24"/>
                <w:szCs w:val="24"/>
                <w:lang w:val="en-US" w:eastAsia="zh-CN"/>
              </w:rPr>
              <w:t>）</w:t>
            </w:r>
            <w:r>
              <w:rPr>
                <w:rFonts w:hint="default" w:ascii="Times New Roman" w:hAnsi="Times New Roman" w:eastAsia="宋体" w:cs="Times New Roman"/>
                <w:b/>
                <w:bCs/>
                <w:color w:val="auto"/>
                <w:kern w:val="2"/>
                <w:sz w:val="24"/>
                <w:szCs w:val="24"/>
                <w:lang w:val="en-US" w:eastAsia="zh-CN" w:bidi="ar-SA"/>
              </w:rPr>
              <w:t>壳聚糖</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甲壳素N-脱乙酰基的产物，甲壳素（几丁质）、壳聚糖、</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"https://baike.baidu.com/item/%E7%BA%A4%E7%BB%B4%E7%B4%A0/775570?fromModule=lemma_inlink" \t "https://baike.baidu.com/item/%E5%A3%B3%E8%81%9A%E7%B3%96/_blank"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纤维素</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三者具有相近的化学结构，纤维素在C2位上是羟基，</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"https://baike.baidu.com/item/%E7%94%B2%E5%A3%B3%E7%B4%A0/3649954?fromModule=lemma_inlink" \t "https://baike.baidu.com/item/%E5%A3%B3%E8%81%9A%E7%B3%96/_blank"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甲壳素</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、壳聚糖在C2位上分别被一个</w:t>
            </w:r>
            <w:r>
              <w:rPr>
                <w:rFonts w:hint="default" w:ascii="Times New Roman" w:hAnsi="Times New Roman" w:eastAsia="宋体" w:cs="Times New Roman"/>
                <w:color w:val="auto"/>
                <w:kern w:val="2"/>
                <w:sz w:val="24"/>
                <w:szCs w:val="24"/>
                <w:lang w:val="en-US" w:eastAsia="zh-CN" w:bidi="ar-SA"/>
              </w:rPr>
              <w:fldChar w:fldCharType="begin"/>
            </w:r>
            <w:r>
              <w:rPr>
                <w:rFonts w:hint="default" w:ascii="Times New Roman" w:hAnsi="Times New Roman" w:eastAsia="宋体" w:cs="Times New Roman"/>
                <w:color w:val="auto"/>
                <w:kern w:val="2"/>
                <w:sz w:val="24"/>
                <w:szCs w:val="24"/>
                <w:lang w:val="en-US" w:eastAsia="zh-CN" w:bidi="ar-SA"/>
              </w:rPr>
              <w:instrText xml:space="preserve"> HYPERLINK "https://baike.baidu.com/item/%E4%B9%99%E9%85%B0%E6%B0%A8%E5%9F%BA/1757417?fromModule=lemma_inlink" \t "https://baike.baidu.com/item/%E5%A3%B3%E8%81%9A%E7%B3%96/_blank" </w:instrText>
            </w:r>
            <w:r>
              <w:rPr>
                <w:rFonts w:hint="default" w:ascii="Times New Roman" w:hAnsi="Times New Roman" w:eastAsia="宋体" w:cs="Times New Roman"/>
                <w:color w:val="auto"/>
                <w:kern w:val="2"/>
                <w:sz w:val="24"/>
                <w:szCs w:val="24"/>
                <w:lang w:val="en-US" w:eastAsia="zh-CN" w:bidi="ar-SA"/>
              </w:rPr>
              <w:fldChar w:fldCharType="separate"/>
            </w:r>
            <w:r>
              <w:rPr>
                <w:rFonts w:hint="default" w:ascii="Times New Roman" w:hAnsi="Times New Roman" w:eastAsia="宋体" w:cs="Times New Roman"/>
                <w:color w:val="auto"/>
                <w:kern w:val="2"/>
                <w:sz w:val="24"/>
                <w:szCs w:val="24"/>
                <w:lang w:val="en-US" w:eastAsia="zh-CN" w:bidi="ar-SA"/>
              </w:rPr>
              <w:t>乙酰氨基</w:t>
            </w:r>
            <w:r>
              <w:rPr>
                <w:rFonts w:hint="default" w:ascii="Times New Roman" w:hAnsi="Times New Roman" w:eastAsia="宋体" w:cs="Times New Roman"/>
                <w:color w:val="auto"/>
                <w:kern w:val="2"/>
                <w:sz w:val="24"/>
                <w:szCs w:val="24"/>
                <w:lang w:val="en-US" w:eastAsia="zh-CN" w:bidi="ar-SA"/>
              </w:rPr>
              <w:fldChar w:fldCharType="end"/>
            </w:r>
            <w:r>
              <w:rPr>
                <w:rFonts w:hint="default" w:ascii="Times New Roman" w:hAnsi="Times New Roman" w:eastAsia="宋体" w:cs="Times New Roman"/>
                <w:color w:val="auto"/>
                <w:kern w:val="2"/>
                <w:sz w:val="24"/>
                <w:szCs w:val="24"/>
                <w:lang w:val="en-US" w:eastAsia="zh-CN" w:bidi="ar-SA"/>
              </w:rPr>
              <w:t>和氨基所代替，甲壳素和壳聚糖具有生物降解性、细胞亲和性和生物效应等许多独特的性质，尤其是含有游离氨基的壳聚糖，是天然多糖中唯一的碱性多糖</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分子式：（C</w:t>
            </w:r>
            <w:r>
              <w:rPr>
                <w:rFonts w:hint="default" w:ascii="Times New Roman" w:hAnsi="Times New Roman" w:eastAsia="宋体" w:cs="Times New Roman"/>
                <w:color w:val="auto"/>
                <w:kern w:val="2"/>
                <w:sz w:val="24"/>
                <w:szCs w:val="24"/>
                <w:vertAlign w:val="subscript"/>
                <w:lang w:val="en-US" w:eastAsia="zh-CN" w:bidi="ar-SA"/>
              </w:rPr>
              <w:t>6</w:t>
            </w:r>
            <w:r>
              <w:rPr>
                <w:rFonts w:hint="default" w:ascii="Times New Roman" w:hAnsi="Times New Roman" w:eastAsia="宋体" w:cs="Times New Roman"/>
                <w:color w:val="auto"/>
                <w:kern w:val="2"/>
                <w:sz w:val="24"/>
                <w:szCs w:val="24"/>
                <w:lang w:val="en-US" w:eastAsia="zh-CN" w:bidi="ar-SA"/>
              </w:rPr>
              <w:t>H</w:t>
            </w:r>
            <w:r>
              <w:rPr>
                <w:rFonts w:hint="default" w:ascii="Times New Roman" w:hAnsi="Times New Roman" w:eastAsia="宋体" w:cs="Times New Roman"/>
                <w:color w:val="auto"/>
                <w:kern w:val="2"/>
                <w:sz w:val="24"/>
                <w:szCs w:val="24"/>
                <w:vertAlign w:val="subscript"/>
                <w:lang w:val="en-US" w:eastAsia="zh-CN" w:bidi="ar-SA"/>
              </w:rPr>
              <w:t>11</w:t>
            </w:r>
            <w:r>
              <w:rPr>
                <w:rFonts w:hint="default" w:ascii="Times New Roman" w:hAnsi="Times New Roman" w:eastAsia="宋体" w:cs="Times New Roman"/>
                <w:color w:val="auto"/>
                <w:kern w:val="2"/>
                <w:sz w:val="24"/>
                <w:szCs w:val="24"/>
                <w:lang w:val="en-US" w:eastAsia="zh-CN" w:bidi="ar-SA"/>
              </w:rPr>
              <w:t>NO</w:t>
            </w:r>
            <w:r>
              <w:rPr>
                <w:rFonts w:hint="default" w:ascii="Times New Roman" w:hAnsi="Times New Roman" w:eastAsia="宋体" w:cs="Times New Roman"/>
                <w:color w:val="auto"/>
                <w:kern w:val="2"/>
                <w:sz w:val="24"/>
                <w:szCs w:val="24"/>
                <w:vertAlign w:val="subscript"/>
                <w:lang w:val="en-US" w:eastAsia="zh-CN" w:bidi="ar-SA"/>
              </w:rPr>
              <w:t>4</w:t>
            </w:r>
            <w:r>
              <w:rPr>
                <w:rFonts w:hint="default" w:ascii="Times New Roman" w:hAnsi="Times New Roman" w:eastAsia="宋体" w:cs="Times New Roman"/>
                <w:color w:val="auto"/>
                <w:kern w:val="2"/>
                <w:sz w:val="24"/>
                <w:szCs w:val="24"/>
                <w:lang w:val="en-US" w:eastAsia="zh-CN" w:bidi="ar-SA"/>
              </w:rPr>
              <w:t>）n</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壳聚糖无味、无臭、无毒性，纯壳聚糖略带珍珠光泽。</w:t>
            </w:r>
          </w:p>
          <w:p w14:paraId="326A6ADE">
            <w:pPr>
              <w:pStyle w:val="8"/>
              <w:keepNext w:val="0"/>
              <w:keepLines w:val="0"/>
              <w:pageBreakBefore w:val="0"/>
              <w:widowControl w:val="0"/>
              <w:kinsoku/>
              <w:wordWrap/>
              <w:overflowPunct/>
              <w:topLinePunct w:val="0"/>
              <w:autoSpaceDE/>
              <w:autoSpaceDN/>
              <w:bidi w:val="0"/>
              <w:adjustRightInd/>
              <w:snapToGrid/>
              <w:spacing w:before="0" w:line="360" w:lineRule="auto"/>
              <w:ind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21</w:t>
            </w:r>
            <w:r>
              <w:rPr>
                <w:rFonts w:hint="eastAsia" w:cs="Times New Roman"/>
                <w:b/>
                <w:bCs/>
                <w:color w:val="auto"/>
                <w:sz w:val="24"/>
                <w:szCs w:val="24"/>
                <w:lang w:val="en-US" w:eastAsia="zh-CN"/>
              </w:rPr>
              <w:t>）</w:t>
            </w:r>
            <w:r>
              <w:rPr>
                <w:rFonts w:hint="eastAsia" w:ascii="Times New Roman" w:hAnsi="Times New Roman" w:eastAsia="宋体" w:cs="Times New Roman"/>
                <w:b/>
                <w:bCs/>
                <w:color w:val="auto"/>
                <w:kern w:val="2"/>
                <w:sz w:val="24"/>
                <w:szCs w:val="24"/>
                <w:lang w:val="en-US" w:eastAsia="zh-CN" w:bidi="ar-SA"/>
              </w:rPr>
              <w:t>医用胶布：</w:t>
            </w:r>
            <w:r>
              <w:rPr>
                <w:rFonts w:hint="default" w:ascii="Times New Roman" w:hAnsi="Times New Roman" w:eastAsia="宋体" w:cs="Times New Roman"/>
                <w:color w:val="auto"/>
                <w:kern w:val="2"/>
                <w:sz w:val="24"/>
                <w:szCs w:val="24"/>
                <w:lang w:val="en-US" w:eastAsia="zh-CN" w:bidi="ar-SA"/>
              </w:rPr>
              <w:t>医用胶属于生物医学特殊功能性胶粘剂，除了具有通常的胶接功能和力学功能外，还应具有生物医学功能。</w:t>
            </w:r>
          </w:p>
          <w:p w14:paraId="43F8705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kern w:val="2"/>
                <w:sz w:val="24"/>
                <w:szCs w:val="24"/>
                <w:lang w:val="en-US" w:eastAsia="zh-CN" w:bidi="ar-SA"/>
              </w:rPr>
              <w:t>22</w:t>
            </w:r>
            <w:r>
              <w:rPr>
                <w:rFonts w:hint="eastAsia" w:cs="Times New Roman"/>
                <w:b/>
                <w:bCs/>
                <w:color w:val="auto"/>
                <w:sz w:val="24"/>
                <w:szCs w:val="24"/>
                <w:lang w:val="en-US" w:eastAsia="zh-CN"/>
              </w:rPr>
              <w:t>）</w:t>
            </w:r>
            <w:r>
              <w:rPr>
                <w:rFonts w:hint="eastAsia" w:ascii="Times New Roman" w:hAnsi="Times New Roman" w:eastAsia="宋体" w:cs="Times New Roman"/>
                <w:b/>
                <w:bCs/>
                <w:color w:val="auto"/>
                <w:kern w:val="2"/>
                <w:sz w:val="24"/>
                <w:szCs w:val="24"/>
                <w:highlight w:val="none"/>
                <w:lang w:val="en-US" w:eastAsia="zh-CN" w:bidi="ar-SA"/>
              </w:rPr>
              <w:t>热</w:t>
            </w:r>
            <w:r>
              <w:rPr>
                <w:rFonts w:hint="eastAsia" w:ascii="Times New Roman" w:hAnsi="Times New Roman" w:eastAsia="宋体" w:cs="Times New Roman"/>
                <w:b/>
                <w:bCs w:val="0"/>
                <w:color w:val="auto"/>
                <w:kern w:val="2"/>
                <w:sz w:val="24"/>
                <w:szCs w:val="24"/>
                <w:highlight w:val="none"/>
                <w:lang w:val="en-US" w:eastAsia="zh-CN" w:bidi="ar-SA"/>
              </w:rPr>
              <w:t>熔胶：</w:t>
            </w:r>
            <w:r>
              <w:rPr>
                <w:rFonts w:hint="eastAsia" w:ascii="Times New Roman" w:hAnsi="Times New Roman" w:eastAsia="宋体" w:cs="Times New Roman"/>
                <w:b w:val="0"/>
                <w:bCs w:val="0"/>
                <w:color w:val="auto"/>
                <w:sz w:val="24"/>
                <w:szCs w:val="24"/>
                <w:highlight w:val="none"/>
                <w:shd w:val="clear" w:color="auto" w:fill="auto"/>
                <w:lang w:val="en-US" w:eastAsia="zh-CN"/>
              </w:rPr>
              <w:t>热熔胶是一种不需</w:t>
            </w:r>
            <w:r>
              <w:rPr>
                <w:rFonts w:hint="default" w:ascii="Times New Roman" w:hAnsi="Times New Roman" w:eastAsia="宋体" w:cs="Times New Roman"/>
                <w:b w:val="0"/>
                <w:bCs w:val="0"/>
                <w:color w:val="auto"/>
                <w:sz w:val="24"/>
                <w:szCs w:val="24"/>
                <w:highlight w:val="none"/>
                <w:shd w:val="clear" w:color="auto" w:fill="auto"/>
                <w:lang w:val="en-US" w:eastAsia="zh-CN"/>
              </w:rPr>
              <w:fldChar w:fldCharType="begin"/>
            </w:r>
            <w:r>
              <w:rPr>
                <w:rFonts w:hint="default" w:ascii="Times New Roman" w:hAnsi="Times New Roman" w:eastAsia="宋体" w:cs="Times New Roman"/>
                <w:b w:val="0"/>
                <w:bCs w:val="0"/>
                <w:color w:val="auto"/>
                <w:sz w:val="24"/>
                <w:szCs w:val="24"/>
                <w:highlight w:val="none"/>
                <w:shd w:val="clear" w:color="auto" w:fill="auto"/>
                <w:lang w:val="en-US" w:eastAsia="zh-CN"/>
              </w:rPr>
              <w:instrText xml:space="preserve"> HYPERLINK "https://baike.baidu.com/item/%E6%BA%B6%E5%89%82/0?fromModule=lemma_inlink" \t "https://baike.baidu.com/item/%E7%83%AD%E7%86%94%E8%83%B6/_blank" </w:instrText>
            </w:r>
            <w:r>
              <w:rPr>
                <w:rFonts w:hint="default" w:ascii="Times New Roman" w:hAnsi="Times New Roman" w:eastAsia="宋体" w:cs="Times New Roman"/>
                <w:b w:val="0"/>
                <w:bCs w:val="0"/>
                <w:color w:val="auto"/>
                <w:sz w:val="24"/>
                <w:szCs w:val="24"/>
                <w:highlight w:val="none"/>
                <w:shd w:val="clear" w:color="auto" w:fill="auto"/>
                <w:lang w:val="en-US" w:eastAsia="zh-CN"/>
              </w:rPr>
              <w:fldChar w:fldCharType="separate"/>
            </w:r>
            <w:r>
              <w:rPr>
                <w:rFonts w:hint="default" w:ascii="Times New Roman" w:hAnsi="Times New Roman" w:eastAsia="宋体" w:cs="Times New Roman"/>
                <w:b w:val="0"/>
                <w:bCs w:val="0"/>
                <w:color w:val="auto"/>
                <w:sz w:val="24"/>
                <w:szCs w:val="24"/>
                <w:highlight w:val="none"/>
                <w:shd w:val="clear" w:color="auto" w:fill="auto"/>
                <w:lang w:val="en-US" w:eastAsia="zh-CN"/>
              </w:rPr>
              <w:t>溶剂</w:t>
            </w:r>
            <w:r>
              <w:rPr>
                <w:rFonts w:hint="default" w:ascii="Times New Roman" w:hAnsi="Times New Roman" w:eastAsia="宋体" w:cs="Times New Roman"/>
                <w:b w:val="0"/>
                <w:bCs w:val="0"/>
                <w:color w:val="auto"/>
                <w:sz w:val="24"/>
                <w:szCs w:val="24"/>
                <w:highlight w:val="none"/>
                <w:shd w:val="clear" w:color="auto" w:fill="auto"/>
                <w:lang w:val="en-US" w:eastAsia="zh-CN"/>
              </w:rPr>
              <w:fldChar w:fldCharType="end"/>
            </w:r>
            <w:r>
              <w:rPr>
                <w:rFonts w:hint="default" w:ascii="Times New Roman" w:hAnsi="Times New Roman" w:eastAsia="宋体" w:cs="Times New Roman"/>
                <w:b w:val="0"/>
                <w:bCs w:val="0"/>
                <w:color w:val="auto"/>
                <w:sz w:val="24"/>
                <w:szCs w:val="24"/>
                <w:highlight w:val="none"/>
                <w:shd w:val="clear" w:color="auto" w:fill="auto"/>
                <w:lang w:val="en-US" w:eastAsia="zh-CN"/>
              </w:rPr>
              <w:t>、不含水分100%的固体可熔性</w:t>
            </w:r>
            <w:r>
              <w:rPr>
                <w:rFonts w:hint="default" w:ascii="Times New Roman" w:hAnsi="Times New Roman" w:eastAsia="宋体" w:cs="Times New Roman"/>
                <w:b w:val="0"/>
                <w:bCs w:val="0"/>
                <w:color w:val="auto"/>
                <w:sz w:val="24"/>
                <w:szCs w:val="24"/>
                <w:highlight w:val="none"/>
                <w:shd w:val="clear" w:color="auto" w:fill="auto"/>
                <w:lang w:val="en-US" w:eastAsia="zh-CN"/>
              </w:rPr>
              <w:fldChar w:fldCharType="begin"/>
            </w:r>
            <w:r>
              <w:rPr>
                <w:rFonts w:hint="default" w:ascii="Times New Roman" w:hAnsi="Times New Roman" w:eastAsia="宋体" w:cs="Times New Roman"/>
                <w:b w:val="0"/>
                <w:bCs w:val="0"/>
                <w:color w:val="auto"/>
                <w:sz w:val="24"/>
                <w:szCs w:val="24"/>
                <w:highlight w:val="none"/>
                <w:shd w:val="clear" w:color="auto" w:fill="auto"/>
                <w:lang w:val="en-US" w:eastAsia="zh-CN"/>
              </w:rPr>
              <w:instrText xml:space="preserve"> HYPERLINK "https://baike.baidu.com/item/%E8%81%9A%E5%90%88%E7%89%A9/0?fromModule=lemma_inlink" \t "https://baike.baidu.com/item/%E7%83%AD%E7%86%94%E8%83%B6/_blank" </w:instrText>
            </w:r>
            <w:r>
              <w:rPr>
                <w:rFonts w:hint="default" w:ascii="Times New Roman" w:hAnsi="Times New Roman" w:eastAsia="宋体" w:cs="Times New Roman"/>
                <w:b w:val="0"/>
                <w:bCs w:val="0"/>
                <w:color w:val="auto"/>
                <w:sz w:val="24"/>
                <w:szCs w:val="24"/>
                <w:highlight w:val="none"/>
                <w:shd w:val="clear" w:color="auto" w:fill="auto"/>
                <w:lang w:val="en-US" w:eastAsia="zh-CN"/>
              </w:rPr>
              <w:fldChar w:fldCharType="separate"/>
            </w:r>
            <w:r>
              <w:rPr>
                <w:rFonts w:hint="default" w:ascii="Times New Roman" w:hAnsi="Times New Roman" w:eastAsia="宋体" w:cs="Times New Roman"/>
                <w:b w:val="0"/>
                <w:bCs w:val="0"/>
                <w:color w:val="auto"/>
                <w:sz w:val="24"/>
                <w:szCs w:val="24"/>
                <w:highlight w:val="none"/>
                <w:shd w:val="clear" w:color="auto" w:fill="auto"/>
                <w:lang w:val="en-US" w:eastAsia="zh-CN"/>
              </w:rPr>
              <w:t>聚合物</w:t>
            </w:r>
            <w:r>
              <w:rPr>
                <w:rFonts w:hint="default" w:ascii="Times New Roman" w:hAnsi="Times New Roman" w:eastAsia="宋体" w:cs="Times New Roman"/>
                <w:b w:val="0"/>
                <w:bCs w:val="0"/>
                <w:color w:val="auto"/>
                <w:sz w:val="24"/>
                <w:szCs w:val="24"/>
                <w:highlight w:val="none"/>
                <w:shd w:val="clear" w:color="auto" w:fill="auto"/>
                <w:lang w:val="en-US" w:eastAsia="zh-CN"/>
              </w:rPr>
              <w:fldChar w:fldCharType="end"/>
            </w:r>
            <w:r>
              <w:rPr>
                <w:rFonts w:hint="default" w:ascii="Times New Roman" w:hAnsi="Times New Roman" w:eastAsia="宋体" w:cs="Times New Roman"/>
                <w:b w:val="0"/>
                <w:bCs w:val="0"/>
                <w:color w:val="auto"/>
                <w:sz w:val="24"/>
                <w:szCs w:val="24"/>
                <w:highlight w:val="none"/>
                <w:shd w:val="clear" w:color="auto" w:fill="auto"/>
                <w:lang w:val="en-US" w:eastAsia="zh-CN"/>
              </w:rPr>
              <w:t>；它在常温下为固体，加热熔融到一定温度变为能流动，且有一定粘性的液体。熔融后的热熔胶，呈浅棕色或白色。热熔胶由聚烯烃弹性体</w:t>
            </w:r>
            <w:r>
              <w:rPr>
                <w:rFonts w:hint="eastAsia" w:ascii="Times New Roman" w:hAnsi="Times New Roman" w:eastAsia="宋体" w:cs="Times New Roman"/>
                <w:b w:val="0"/>
                <w:bCs w:val="0"/>
                <w:color w:val="auto"/>
                <w:sz w:val="24"/>
                <w:szCs w:val="24"/>
                <w:highlight w:val="none"/>
                <w:shd w:val="clear" w:color="auto" w:fill="auto"/>
                <w:lang w:val="en-US" w:eastAsia="zh-CN"/>
              </w:rPr>
              <w:t>49</w:t>
            </w:r>
            <w:r>
              <w:rPr>
                <w:rFonts w:hint="default" w:ascii="Times New Roman" w:hAnsi="Times New Roman" w:eastAsia="宋体" w:cs="Times New Roman"/>
                <w:b w:val="0"/>
                <w:bCs w:val="0"/>
                <w:color w:val="auto"/>
                <w:sz w:val="24"/>
                <w:szCs w:val="24"/>
                <w:highlight w:val="none"/>
                <w:shd w:val="clear" w:color="auto" w:fill="auto"/>
                <w:lang w:val="en-US" w:eastAsia="zh-CN"/>
              </w:rPr>
              <w:t>%、石油树脂</w:t>
            </w:r>
            <w:r>
              <w:rPr>
                <w:rFonts w:hint="eastAsia" w:ascii="Times New Roman" w:hAnsi="Times New Roman" w:eastAsia="宋体" w:cs="Times New Roman"/>
                <w:b w:val="0"/>
                <w:bCs w:val="0"/>
                <w:color w:val="auto"/>
                <w:sz w:val="24"/>
                <w:szCs w:val="24"/>
                <w:highlight w:val="none"/>
                <w:shd w:val="clear" w:color="auto" w:fill="auto"/>
                <w:lang w:val="en-US" w:eastAsia="zh-CN"/>
              </w:rPr>
              <w:t>49</w:t>
            </w:r>
            <w:r>
              <w:rPr>
                <w:rFonts w:hint="default" w:ascii="Times New Roman" w:hAnsi="Times New Roman" w:eastAsia="宋体" w:cs="Times New Roman"/>
                <w:b w:val="0"/>
                <w:bCs w:val="0"/>
                <w:color w:val="auto"/>
                <w:sz w:val="24"/>
                <w:szCs w:val="24"/>
                <w:highlight w:val="none"/>
                <w:shd w:val="clear" w:color="auto" w:fill="auto"/>
                <w:lang w:val="en-US" w:eastAsia="zh-CN"/>
              </w:rPr>
              <w:t>%、抗氧化剂2%等成分组成</w:t>
            </w:r>
            <w:r>
              <w:rPr>
                <w:rFonts w:hint="eastAsia" w:ascii="Times New Roman" w:hAnsi="Times New Roman" w:eastAsia="宋体" w:cs="Times New Roman"/>
                <w:b w:val="0"/>
                <w:bCs w:val="0"/>
                <w:color w:val="auto"/>
                <w:sz w:val="24"/>
                <w:szCs w:val="24"/>
                <w:highlight w:val="none"/>
                <w:shd w:val="clear" w:color="auto" w:fill="auto"/>
                <w:lang w:val="en-US" w:eastAsia="zh-CN"/>
              </w:rPr>
              <w:t>，</w:t>
            </w:r>
            <w:r>
              <w:rPr>
                <w:rFonts w:hint="eastAsia" w:cs="Times New Roman"/>
                <w:b w:val="0"/>
                <w:bCs w:val="0"/>
                <w:color w:val="auto"/>
                <w:sz w:val="24"/>
                <w:szCs w:val="24"/>
                <w:highlight w:val="none"/>
                <w:shd w:val="clear" w:color="auto" w:fill="auto"/>
                <w:lang w:val="en-US" w:eastAsia="zh-CN"/>
              </w:rPr>
              <w:t>挥发性有机物</w:t>
            </w:r>
            <w:r>
              <w:rPr>
                <w:rFonts w:hint="eastAsia" w:ascii="Times New Roman" w:hAnsi="Times New Roman" w:eastAsia="宋体" w:cs="Times New Roman"/>
                <w:b w:val="0"/>
                <w:bCs w:val="0"/>
                <w:color w:val="auto"/>
                <w:sz w:val="24"/>
                <w:szCs w:val="24"/>
                <w:highlight w:val="none"/>
                <w:shd w:val="clear" w:color="auto" w:fill="auto"/>
                <w:lang w:val="en-US" w:eastAsia="zh-CN"/>
              </w:rPr>
              <w:t>含量为2%</w:t>
            </w:r>
            <w:r>
              <w:rPr>
                <w:rFonts w:hint="default" w:ascii="Times New Roman" w:hAnsi="Times New Roman" w:eastAsia="宋体" w:cs="Times New Roman"/>
                <w:b w:val="0"/>
                <w:bCs w:val="0"/>
                <w:color w:val="auto"/>
                <w:sz w:val="24"/>
                <w:szCs w:val="24"/>
                <w:highlight w:val="none"/>
                <w:shd w:val="clear" w:color="auto" w:fill="auto"/>
                <w:lang w:val="en-US" w:eastAsia="zh-CN"/>
              </w:rPr>
              <w:t>。</w:t>
            </w:r>
            <w:r>
              <w:rPr>
                <w:rFonts w:hint="eastAsia" w:cs="Times New Roman"/>
                <w:b w:val="0"/>
                <w:bCs w:val="0"/>
                <w:color w:val="auto"/>
                <w:sz w:val="24"/>
                <w:szCs w:val="24"/>
                <w:highlight w:val="none"/>
                <w:shd w:val="clear" w:color="auto" w:fill="auto"/>
                <w:lang w:val="en-US" w:eastAsia="zh-CN"/>
              </w:rPr>
              <w:t>满足</w:t>
            </w:r>
            <w:r>
              <w:rPr>
                <w:rFonts w:hint="default" w:ascii="Times New Roman" w:hAnsi="Times New Roman" w:eastAsia="宋体" w:cs="Times New Roman"/>
                <w:color w:val="auto"/>
                <w:kern w:val="0"/>
                <w:sz w:val="24"/>
                <w:szCs w:val="24"/>
                <w:lang w:val="en-US" w:eastAsia="zh-CN" w:bidi="ar"/>
              </w:rPr>
              <w:t>《胶粘剂挥发性有机化合物限量》（GB 33372-2020）</w:t>
            </w:r>
            <w:r>
              <w:rPr>
                <w:rFonts w:hint="eastAsia" w:cs="Times New Roman"/>
                <w:b w:val="0"/>
                <w:bCs w:val="0"/>
                <w:color w:val="auto"/>
                <w:sz w:val="24"/>
                <w:szCs w:val="24"/>
                <w:highlight w:val="none"/>
                <w:shd w:val="clear" w:color="auto" w:fill="auto"/>
                <w:lang w:val="en-US" w:eastAsia="zh-CN"/>
              </w:rPr>
              <w:t>中低挥发性含量限制要求。</w:t>
            </w:r>
          </w:p>
          <w:p w14:paraId="6EA59AA6">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4"/>
                <w:szCs w:val="24"/>
                <w:lang w:val="en-US" w:eastAsia="zh-CN"/>
              </w:rPr>
              <w:t>23）喷码油墨</w:t>
            </w:r>
            <w:r>
              <w:rPr>
                <w:rFonts w:hint="eastAsia"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val="0"/>
                <w:bCs w:val="0"/>
                <w:color w:val="auto"/>
                <w:sz w:val="24"/>
                <w:szCs w:val="24"/>
                <w:highlight w:val="none"/>
                <w:shd w:val="clear" w:color="auto" w:fill="auto"/>
                <w:lang w:val="en-US" w:eastAsia="zh-CN"/>
              </w:rPr>
              <w:t>主要由有机颜料、水性丙烯酸树脂、蒸馏水、氨及消泡剂组成，其中有机颜料40%、水性丙烯酸树脂30%、蒸馏水24.7%、氨5%、消泡剂0.3%，参照《浙江省工业涂装工序挥发性有机物排放量计算暂行方法》“水性涂料含水性丙烯酸乳液（树脂）或其他水性乳液（树脂）时，游离单体按实测挥发比例计入VOCs，无实测数据时按水性乳液（树脂）质量的2%计。”水性丙烯酸树脂中游离单体按其质量的2%计，即0.30x2%=0.6%。消泡剂以全部挥发计，为0.3%。则本项目VOCs(水性丙烯酸树脂中游离单体+消泡剂)含量为0.9%，水性油墨成分见</w:t>
            </w:r>
            <w:r>
              <w:rPr>
                <w:rFonts w:hint="eastAsia" w:cs="Times New Roman"/>
                <w:b w:val="0"/>
                <w:bCs w:val="0"/>
                <w:color w:val="auto"/>
                <w:sz w:val="24"/>
                <w:szCs w:val="24"/>
                <w:highlight w:val="none"/>
                <w:shd w:val="clear" w:color="auto" w:fill="auto"/>
                <w:lang w:val="en-US" w:eastAsia="zh-CN"/>
              </w:rPr>
              <w:t>下</w:t>
            </w:r>
            <w:r>
              <w:rPr>
                <w:rFonts w:hint="eastAsia" w:ascii="Times New Roman" w:hAnsi="Times New Roman" w:eastAsia="宋体" w:cs="Times New Roman"/>
                <w:b w:val="0"/>
                <w:bCs w:val="0"/>
                <w:color w:val="auto"/>
                <w:sz w:val="24"/>
                <w:szCs w:val="24"/>
                <w:highlight w:val="none"/>
                <w:shd w:val="clear" w:color="auto" w:fill="auto"/>
                <w:lang w:val="en-US" w:eastAsia="zh-CN"/>
              </w:rPr>
              <w:t>表。</w:t>
            </w:r>
          </w:p>
          <w:p w14:paraId="1ED6BC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highlight w:val="none"/>
                <w:lang w:val="en-US" w:eastAsia="zh-CN"/>
              </w:rPr>
            </w:pPr>
            <w:r>
              <w:rPr>
                <w:rFonts w:hint="default" w:ascii="Times New Roman" w:hAnsi="Times New Roman" w:eastAsia="宋体" w:cs="Times New Roman"/>
                <w:b/>
                <w:bCs/>
                <w:color w:val="auto"/>
                <w:sz w:val="21"/>
                <w:szCs w:val="21"/>
                <w:highlight w:val="none"/>
              </w:rPr>
              <w:t>表2-</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val="0"/>
                <w:color w:val="auto"/>
                <w:kern w:val="2"/>
                <w:sz w:val="21"/>
                <w:szCs w:val="21"/>
                <w:highlight w:val="none"/>
                <w:lang w:val="en-US" w:eastAsia="zh-CN" w:bidi="ar-SA"/>
              </w:rPr>
              <w:t>水性油墨成分</w:t>
            </w:r>
          </w:p>
          <w:tbl>
            <w:tblPr>
              <w:tblStyle w:val="24"/>
              <w:tblW w:w="4999"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163"/>
              <w:gridCol w:w="2666"/>
              <w:gridCol w:w="2894"/>
              <w:gridCol w:w="3115"/>
            </w:tblGrid>
            <w:tr w14:paraId="359D290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7" w:hRule="atLeast"/>
                <w:jc w:val="center"/>
              </w:trPr>
              <w:tc>
                <w:tcPr>
                  <w:tcW w:w="1621" w:type="pct"/>
                  <w:tcBorders>
                    <w:top w:val="single" w:color="auto" w:sz="12" w:space="0"/>
                    <w:bottom w:val="single" w:color="auto" w:sz="12" w:space="0"/>
                  </w:tcBorders>
                  <w:noWrap w:val="0"/>
                  <w:vAlign w:val="center"/>
                </w:tcPr>
                <w:p w14:paraId="5E1F28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bidi="ar-SA"/>
                    </w:rPr>
                    <w:t>成分名称</w:t>
                  </w:r>
                </w:p>
              </w:tc>
              <w:tc>
                <w:tcPr>
                  <w:tcW w:w="1038" w:type="pct"/>
                  <w:tcBorders>
                    <w:top w:val="single" w:color="auto" w:sz="12" w:space="0"/>
                    <w:bottom w:val="single" w:color="auto" w:sz="12" w:space="0"/>
                  </w:tcBorders>
                  <w:noWrap w:val="0"/>
                  <w:vAlign w:val="center"/>
                </w:tcPr>
                <w:p w14:paraId="1AF020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CAS</w:t>
                  </w:r>
                  <w:r>
                    <w:rPr>
                      <w:rFonts w:hint="eastAsia" w:ascii="Times New Roman" w:hAnsi="Times New Roman" w:eastAsia="宋体" w:cs="Times New Roman"/>
                      <w:b/>
                      <w:bCs/>
                      <w:color w:val="auto"/>
                      <w:sz w:val="21"/>
                      <w:szCs w:val="21"/>
                      <w:highlight w:val="none"/>
                      <w:lang w:val="en-US" w:eastAsia="zh-CN" w:bidi="ar-SA"/>
                    </w:rPr>
                    <w:t>号</w:t>
                  </w:r>
                </w:p>
              </w:tc>
              <w:tc>
                <w:tcPr>
                  <w:tcW w:w="1127" w:type="pct"/>
                  <w:tcBorders>
                    <w:top w:val="single" w:color="auto" w:sz="12" w:space="0"/>
                    <w:bottom w:val="single" w:color="auto" w:sz="12" w:space="0"/>
                  </w:tcBorders>
                  <w:noWrap w:val="0"/>
                  <w:vAlign w:val="center"/>
                </w:tcPr>
                <w:p w14:paraId="12108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bidi="ar-SA"/>
                    </w:rPr>
                    <w:t>成分（%）</w:t>
                  </w:r>
                </w:p>
              </w:tc>
              <w:tc>
                <w:tcPr>
                  <w:tcW w:w="1213" w:type="pct"/>
                  <w:tcBorders>
                    <w:top w:val="single" w:color="auto" w:sz="12" w:space="0"/>
                    <w:bottom w:val="single" w:color="auto" w:sz="12" w:space="0"/>
                  </w:tcBorders>
                  <w:noWrap w:val="0"/>
                  <w:vAlign w:val="center"/>
                </w:tcPr>
                <w:p w14:paraId="4CAAB6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bidi="ar-SA"/>
                    </w:rPr>
                    <w:t>本项目取值（%）</w:t>
                  </w:r>
                </w:p>
              </w:tc>
            </w:tr>
            <w:tr w14:paraId="398BB76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7" w:hRule="atLeast"/>
                <w:jc w:val="center"/>
              </w:trPr>
              <w:tc>
                <w:tcPr>
                  <w:tcW w:w="1621" w:type="pct"/>
                  <w:tcBorders>
                    <w:top w:val="single" w:color="auto" w:sz="12" w:space="0"/>
                    <w:bottom w:val="single" w:color="auto" w:sz="6" w:space="0"/>
                  </w:tcBorders>
                  <w:noWrap w:val="0"/>
                  <w:vAlign w:val="center"/>
                </w:tcPr>
                <w:p w14:paraId="65DD5F15">
                  <w:pPr>
                    <w:jc w:val="center"/>
                    <w:rPr>
                      <w:rFonts w:hint="default" w:ascii="Times New Roman" w:hAnsi="Times New Roman" w:eastAsia="宋体" w:cs="Times New Roman"/>
                      <w:b/>
                      <w:bCs/>
                      <w:color w:val="auto"/>
                      <w:sz w:val="21"/>
                      <w:szCs w:val="21"/>
                      <w:highlight w:val="none"/>
                      <w:lang w:bidi="ar-SA"/>
                    </w:rPr>
                  </w:pPr>
                  <w:r>
                    <w:rPr>
                      <w:rFonts w:hint="eastAsia" w:ascii="Times New Roman" w:hAnsi="Times New Roman" w:eastAsia="宋体" w:cs="Times New Roman"/>
                      <w:b w:val="0"/>
                      <w:bCs w:val="0"/>
                      <w:color w:val="auto"/>
                      <w:sz w:val="21"/>
                      <w:szCs w:val="21"/>
                      <w:highlight w:val="none"/>
                      <w:shd w:val="clear" w:color="auto" w:fill="auto"/>
                      <w:lang w:val="en-US" w:eastAsia="zh-CN"/>
                    </w:rPr>
                    <w:t>有机颜料</w:t>
                  </w:r>
                </w:p>
              </w:tc>
              <w:tc>
                <w:tcPr>
                  <w:tcW w:w="1038" w:type="pct"/>
                  <w:tcBorders>
                    <w:top w:val="single" w:color="auto" w:sz="12" w:space="0"/>
                    <w:bottom w:val="single" w:color="auto" w:sz="6" w:space="0"/>
                  </w:tcBorders>
                  <w:noWrap w:val="0"/>
                  <w:vAlign w:val="center"/>
                </w:tcPr>
                <w:p w14:paraId="53D97C77">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147-14-8</w:t>
                  </w:r>
                </w:p>
              </w:tc>
              <w:tc>
                <w:tcPr>
                  <w:tcW w:w="1127" w:type="pct"/>
                  <w:tcBorders>
                    <w:top w:val="single" w:color="auto" w:sz="12" w:space="0"/>
                    <w:bottom w:val="single" w:color="auto" w:sz="6" w:space="0"/>
                  </w:tcBorders>
                  <w:noWrap w:val="0"/>
                  <w:vAlign w:val="center"/>
                </w:tcPr>
                <w:p w14:paraId="6730B21E">
                  <w:pPr>
                    <w:jc w:val="center"/>
                    <w:rPr>
                      <w:rFonts w:hint="default" w:ascii="Times New Roman" w:hAnsi="Times New Roman" w:eastAsia="宋体" w:cs="Times New Roman"/>
                      <w:b/>
                      <w:bCs/>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eastAsia="zh-CN" w:bidi="ar-SA"/>
                    </w:rPr>
                    <w:t>30-40%</w:t>
                  </w:r>
                </w:p>
              </w:tc>
              <w:tc>
                <w:tcPr>
                  <w:tcW w:w="1213" w:type="pct"/>
                  <w:tcBorders>
                    <w:top w:val="single" w:color="auto" w:sz="12" w:space="0"/>
                    <w:bottom w:val="single" w:color="auto" w:sz="6" w:space="0"/>
                  </w:tcBorders>
                  <w:noWrap w:val="0"/>
                  <w:vAlign w:val="center"/>
                </w:tcPr>
                <w:p w14:paraId="3DEBE4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40%</w:t>
                  </w:r>
                </w:p>
              </w:tc>
            </w:tr>
            <w:tr w14:paraId="047BEF9D">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1621" w:type="pct"/>
                  <w:tcBorders>
                    <w:top w:val="single" w:color="auto" w:sz="6" w:space="0"/>
                    <w:bottom w:val="single" w:color="auto" w:sz="6" w:space="0"/>
                  </w:tcBorders>
                  <w:noWrap w:val="0"/>
                  <w:vAlign w:val="center"/>
                </w:tcPr>
                <w:p w14:paraId="276FBB37">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shd w:val="clear" w:color="auto" w:fill="auto"/>
                      <w:lang w:val="en-US" w:eastAsia="zh-CN"/>
                    </w:rPr>
                    <w:t>水性丙烯酸树脂</w:t>
                  </w:r>
                </w:p>
              </w:tc>
              <w:tc>
                <w:tcPr>
                  <w:tcW w:w="1038" w:type="pct"/>
                  <w:tcBorders>
                    <w:top w:val="single" w:color="auto" w:sz="6" w:space="0"/>
                    <w:bottom w:val="single" w:color="auto" w:sz="6" w:space="0"/>
                  </w:tcBorders>
                  <w:noWrap w:val="0"/>
                  <w:vAlign w:val="center"/>
                </w:tcPr>
                <w:p w14:paraId="7C271E1A">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25767-39-9</w:t>
                  </w:r>
                </w:p>
              </w:tc>
              <w:tc>
                <w:tcPr>
                  <w:tcW w:w="1127" w:type="pct"/>
                  <w:tcBorders>
                    <w:top w:val="single" w:color="auto" w:sz="6" w:space="0"/>
                    <w:bottom w:val="single" w:color="auto" w:sz="6" w:space="0"/>
                  </w:tcBorders>
                  <w:noWrap w:val="0"/>
                  <w:vAlign w:val="center"/>
                </w:tcPr>
                <w:p w14:paraId="30FD9695">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30-40%</w:t>
                  </w:r>
                </w:p>
              </w:tc>
              <w:tc>
                <w:tcPr>
                  <w:tcW w:w="1213" w:type="pct"/>
                  <w:tcBorders>
                    <w:top w:val="single" w:color="auto" w:sz="6" w:space="0"/>
                    <w:bottom w:val="single" w:color="auto" w:sz="6" w:space="0"/>
                  </w:tcBorders>
                  <w:noWrap w:val="0"/>
                  <w:vAlign w:val="center"/>
                </w:tcPr>
                <w:p w14:paraId="65CFEE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30%</w:t>
                  </w:r>
                </w:p>
              </w:tc>
            </w:tr>
            <w:tr w14:paraId="6EE2FCE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1621" w:type="pct"/>
                  <w:tcBorders>
                    <w:top w:val="single" w:color="auto" w:sz="6" w:space="0"/>
                    <w:bottom w:val="single" w:color="auto" w:sz="6" w:space="0"/>
                  </w:tcBorders>
                  <w:noWrap w:val="0"/>
                  <w:vAlign w:val="center"/>
                </w:tcPr>
                <w:p w14:paraId="39FBDFE7">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shd w:val="clear" w:color="auto" w:fill="auto"/>
                      <w:lang w:val="en-US" w:eastAsia="zh-CN"/>
                    </w:rPr>
                    <w:t>蒸馏水</w:t>
                  </w:r>
                </w:p>
              </w:tc>
              <w:tc>
                <w:tcPr>
                  <w:tcW w:w="1038" w:type="pct"/>
                  <w:tcBorders>
                    <w:top w:val="single" w:color="auto" w:sz="6" w:space="0"/>
                    <w:bottom w:val="single" w:color="auto" w:sz="6" w:space="0"/>
                  </w:tcBorders>
                  <w:noWrap w:val="0"/>
                  <w:vAlign w:val="center"/>
                </w:tcPr>
                <w:p w14:paraId="4E9354A3">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7732-18-5</w:t>
                  </w:r>
                </w:p>
              </w:tc>
              <w:tc>
                <w:tcPr>
                  <w:tcW w:w="1127" w:type="pct"/>
                  <w:tcBorders>
                    <w:top w:val="single" w:color="auto" w:sz="6" w:space="0"/>
                    <w:bottom w:val="single" w:color="auto" w:sz="6" w:space="0"/>
                  </w:tcBorders>
                  <w:noWrap w:val="0"/>
                  <w:vAlign w:val="center"/>
                </w:tcPr>
                <w:p w14:paraId="2DB106CB">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20-30%</w:t>
                  </w:r>
                </w:p>
              </w:tc>
              <w:tc>
                <w:tcPr>
                  <w:tcW w:w="1213" w:type="pct"/>
                  <w:tcBorders>
                    <w:top w:val="single" w:color="auto" w:sz="6" w:space="0"/>
                    <w:bottom w:val="single" w:color="auto" w:sz="6" w:space="0"/>
                  </w:tcBorders>
                  <w:noWrap w:val="0"/>
                  <w:vAlign w:val="center"/>
                </w:tcPr>
                <w:p w14:paraId="2A1D99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24.7%</w:t>
                  </w:r>
                </w:p>
              </w:tc>
            </w:tr>
            <w:tr w14:paraId="694F753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1621" w:type="pct"/>
                  <w:tcBorders>
                    <w:top w:val="single" w:color="auto" w:sz="6" w:space="0"/>
                    <w:bottom w:val="single" w:color="auto" w:sz="6" w:space="0"/>
                  </w:tcBorders>
                  <w:noWrap w:val="0"/>
                  <w:vAlign w:val="center"/>
                </w:tcPr>
                <w:p w14:paraId="6FB28F5D">
                  <w:pPr>
                    <w:jc w:val="center"/>
                    <w:rPr>
                      <w:rFonts w:hint="default" w:ascii="Times New Roman" w:hAnsi="Times New Roman" w:eastAsia="宋体" w:cs="Times New Roman"/>
                      <w:b/>
                      <w:bCs/>
                      <w:color w:val="auto"/>
                      <w:sz w:val="21"/>
                      <w:szCs w:val="21"/>
                      <w:highlight w:val="none"/>
                      <w:lang w:bidi="ar-SA"/>
                    </w:rPr>
                  </w:pPr>
                  <w:r>
                    <w:rPr>
                      <w:rFonts w:hint="eastAsia" w:ascii="Times New Roman" w:hAnsi="Times New Roman" w:eastAsia="宋体" w:cs="Times New Roman"/>
                      <w:b w:val="0"/>
                      <w:bCs w:val="0"/>
                      <w:color w:val="auto"/>
                      <w:sz w:val="21"/>
                      <w:szCs w:val="21"/>
                      <w:highlight w:val="none"/>
                      <w:shd w:val="clear" w:color="auto" w:fill="auto"/>
                      <w:lang w:val="en-US" w:eastAsia="zh-CN"/>
                    </w:rPr>
                    <w:t>氨</w:t>
                  </w:r>
                </w:p>
              </w:tc>
              <w:tc>
                <w:tcPr>
                  <w:tcW w:w="1038" w:type="pct"/>
                  <w:tcBorders>
                    <w:top w:val="single" w:color="auto" w:sz="6" w:space="0"/>
                    <w:bottom w:val="single" w:color="auto" w:sz="6" w:space="0"/>
                  </w:tcBorders>
                  <w:noWrap w:val="0"/>
                  <w:vAlign w:val="center"/>
                </w:tcPr>
                <w:p w14:paraId="6F03EF17">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1336-21-6</w:t>
                  </w:r>
                </w:p>
              </w:tc>
              <w:tc>
                <w:tcPr>
                  <w:tcW w:w="1127" w:type="pct"/>
                  <w:tcBorders>
                    <w:top w:val="single" w:color="auto" w:sz="6" w:space="0"/>
                    <w:bottom w:val="single" w:color="auto" w:sz="6" w:space="0"/>
                  </w:tcBorders>
                  <w:noWrap w:val="0"/>
                  <w:vAlign w:val="center"/>
                </w:tcPr>
                <w:p w14:paraId="2DE11614">
                  <w:pPr>
                    <w:jc w:val="center"/>
                    <w:rPr>
                      <w:rFonts w:hint="default" w:ascii="Times New Roman" w:hAnsi="Times New Roman" w:eastAsia="宋体" w:cs="Times New Roman"/>
                      <w:b/>
                      <w:bCs/>
                      <w:color w:val="auto"/>
                      <w:sz w:val="21"/>
                      <w:szCs w:val="21"/>
                      <w:highlight w:val="none"/>
                      <w:lang w:val="en-US" w:bidi="ar-SA"/>
                    </w:rPr>
                  </w:pPr>
                  <w:r>
                    <w:rPr>
                      <w:rFonts w:hint="eastAsia" w:ascii="Times New Roman" w:hAnsi="Times New Roman" w:eastAsia="宋体" w:cs="Times New Roman"/>
                      <w:color w:val="auto"/>
                      <w:sz w:val="21"/>
                      <w:szCs w:val="21"/>
                      <w:highlight w:val="none"/>
                      <w:lang w:val="en-US" w:eastAsia="zh-CN" w:bidi="ar-SA"/>
                    </w:rPr>
                    <w:t>1-5%</w:t>
                  </w:r>
                </w:p>
              </w:tc>
              <w:tc>
                <w:tcPr>
                  <w:tcW w:w="1213" w:type="pct"/>
                  <w:tcBorders>
                    <w:top w:val="single" w:color="auto" w:sz="6" w:space="0"/>
                    <w:bottom w:val="single" w:color="auto" w:sz="6" w:space="0"/>
                  </w:tcBorders>
                  <w:noWrap w:val="0"/>
                  <w:vAlign w:val="center"/>
                </w:tcPr>
                <w:p w14:paraId="62B982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5%</w:t>
                  </w:r>
                </w:p>
              </w:tc>
            </w:tr>
            <w:tr w14:paraId="0932C9D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7" w:hRule="atLeast"/>
                <w:jc w:val="center"/>
              </w:trPr>
              <w:tc>
                <w:tcPr>
                  <w:tcW w:w="1621" w:type="pct"/>
                  <w:tcBorders>
                    <w:top w:val="single" w:color="auto" w:sz="6" w:space="0"/>
                    <w:bottom w:val="single" w:color="auto" w:sz="6" w:space="0"/>
                  </w:tcBorders>
                  <w:noWrap w:val="0"/>
                  <w:vAlign w:val="center"/>
                </w:tcPr>
                <w:p w14:paraId="3717D1D7">
                  <w:pPr>
                    <w:jc w:val="center"/>
                    <w:rPr>
                      <w:rFonts w:hint="eastAsia" w:ascii="Times New Roman" w:hAnsi="Times New Roman" w:eastAsia="宋体" w:cs="Times New Roman"/>
                      <w:b w:val="0"/>
                      <w:bCs w:val="0"/>
                      <w:color w:val="auto"/>
                      <w:sz w:val="21"/>
                      <w:szCs w:val="21"/>
                      <w:highlight w:val="none"/>
                      <w:shd w:val="clear" w:color="auto" w:fill="auto"/>
                      <w:lang w:val="en-US" w:eastAsia="zh-CN"/>
                    </w:rPr>
                  </w:pPr>
                  <w:r>
                    <w:rPr>
                      <w:rFonts w:hint="eastAsia" w:ascii="Times New Roman" w:hAnsi="Times New Roman" w:eastAsia="宋体" w:cs="Times New Roman"/>
                      <w:b w:val="0"/>
                      <w:bCs w:val="0"/>
                      <w:color w:val="auto"/>
                      <w:sz w:val="21"/>
                      <w:szCs w:val="21"/>
                      <w:highlight w:val="none"/>
                      <w:shd w:val="clear" w:color="auto" w:fill="auto"/>
                      <w:lang w:val="en-US" w:eastAsia="zh-CN"/>
                    </w:rPr>
                    <w:t>消泡剂</w:t>
                  </w:r>
                </w:p>
              </w:tc>
              <w:tc>
                <w:tcPr>
                  <w:tcW w:w="1038" w:type="pct"/>
                  <w:tcBorders>
                    <w:top w:val="single" w:color="auto" w:sz="6" w:space="0"/>
                    <w:bottom w:val="single" w:color="auto" w:sz="6" w:space="0"/>
                  </w:tcBorders>
                  <w:noWrap w:val="0"/>
                  <w:vAlign w:val="center"/>
                </w:tcPr>
                <w:p w14:paraId="039C12BE">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64741-88-4</w:t>
                  </w:r>
                </w:p>
              </w:tc>
              <w:tc>
                <w:tcPr>
                  <w:tcW w:w="1127" w:type="pct"/>
                  <w:tcBorders>
                    <w:top w:val="single" w:color="auto" w:sz="6" w:space="0"/>
                    <w:bottom w:val="single" w:color="auto" w:sz="6" w:space="0"/>
                  </w:tcBorders>
                  <w:noWrap w:val="0"/>
                  <w:vAlign w:val="center"/>
                </w:tcPr>
                <w:p w14:paraId="1C1B2EC9">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0.1-0.3%</w:t>
                  </w:r>
                </w:p>
              </w:tc>
              <w:tc>
                <w:tcPr>
                  <w:tcW w:w="1213" w:type="pct"/>
                  <w:tcBorders>
                    <w:top w:val="single" w:color="auto" w:sz="6" w:space="0"/>
                    <w:bottom w:val="single" w:color="auto" w:sz="6" w:space="0"/>
                  </w:tcBorders>
                  <w:noWrap w:val="0"/>
                  <w:vAlign w:val="center"/>
                </w:tcPr>
                <w:p w14:paraId="7DE075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bidi="ar-SA"/>
                    </w:rPr>
                    <w:t>0.3%</w:t>
                  </w:r>
                </w:p>
              </w:tc>
            </w:tr>
          </w:tbl>
          <w:p w14:paraId="398F87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highlight w:val="none"/>
                <w:shd w:val="clear" w:color="auto" w:fill="auto"/>
                <w:lang w:val="en-US" w:eastAsia="zh-CN"/>
              </w:rPr>
            </w:pPr>
            <w:r>
              <w:rPr>
                <w:rFonts w:hint="eastAsia" w:ascii="Times New Roman" w:hAnsi="Times New Roman" w:eastAsia="宋体" w:cs="Times New Roman"/>
                <w:b w:val="0"/>
                <w:bCs w:val="0"/>
                <w:color w:val="auto"/>
                <w:sz w:val="24"/>
                <w:szCs w:val="24"/>
                <w:highlight w:val="none"/>
                <w:shd w:val="clear" w:color="auto" w:fill="auto"/>
                <w:lang w:val="en-US" w:eastAsia="zh-CN"/>
              </w:rPr>
              <w:t>（1）与《油墨中可挥发性有机化合物（VOCs）含量的限值》（GB 38507-2020）相符性分析。</w:t>
            </w:r>
          </w:p>
          <w:p w14:paraId="2207317E">
            <w:pPr>
              <w:pStyle w:val="37"/>
              <w:keepNext w:val="0"/>
              <w:keepLines w:val="0"/>
              <w:pageBreakBefore w:val="0"/>
              <w:widowControl w:val="0"/>
              <w:kinsoku/>
              <w:wordWrap/>
              <w:overflowPunct/>
              <w:topLinePunct w:val="0"/>
              <w:autoSpaceDE w:val="0"/>
              <w:autoSpaceDN w:val="0"/>
              <w:bidi w:val="0"/>
              <w:adjustRightInd w:val="0"/>
              <w:snapToGrid/>
              <w:spacing w:before="0" w:after="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sz w:val="24"/>
                <w:szCs w:val="24"/>
                <w:highlight w:val="none"/>
                <w:shd w:val="clear" w:color="auto" w:fill="auto"/>
                <w:lang w:val="en-US" w:eastAsia="zh-CN"/>
              </w:rPr>
              <w:t>根据《油墨中可挥发性有机化合物（VOCs）含量的限值》（GB 38507-2020）表1中油墨中VOCs含量限值要求，水性油墨中喷码印刷油墨的VOCs含量限值≤30%，本项目使用的喷码印刷油墨中VOC含量为0.9%，能够满足《油墨中可挥发性有机化合物（VOCs）含量的限值》（GB 38507-2020）表1中水性油墨VOCs含量限值要求。</w:t>
            </w:r>
          </w:p>
          <w:p w14:paraId="4DFEBB9F">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lang w:val="en-US" w:eastAsia="zh-CN"/>
              </w:rPr>
              <w:t>六、</w:t>
            </w:r>
            <w:r>
              <w:rPr>
                <w:rFonts w:hint="eastAsia" w:ascii="Times New Roman" w:hAnsi="Times New Roman" w:eastAsia="宋体" w:cs="Times New Roman"/>
                <w:b/>
                <w:bCs/>
                <w:color w:val="auto"/>
                <w:sz w:val="24"/>
                <w:szCs w:val="24"/>
                <w:lang w:val="en-US" w:eastAsia="zh-CN"/>
              </w:rPr>
              <w:t>主要设备</w:t>
            </w:r>
          </w:p>
          <w:p w14:paraId="258B2E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项目</w:t>
            </w:r>
            <w:r>
              <w:rPr>
                <w:rFonts w:hint="eastAsia" w:cs="Times New Roman"/>
                <w:b w:val="0"/>
                <w:bCs w:val="0"/>
                <w:color w:val="auto"/>
                <w:sz w:val="24"/>
                <w:szCs w:val="24"/>
                <w:lang w:val="en-US" w:eastAsia="zh-CN"/>
              </w:rPr>
              <w:t>变动前后</w:t>
            </w:r>
            <w:r>
              <w:rPr>
                <w:rFonts w:hint="eastAsia" w:ascii="Times New Roman" w:hAnsi="Times New Roman" w:eastAsia="宋体" w:cs="Times New Roman"/>
                <w:b w:val="0"/>
                <w:bCs w:val="0"/>
                <w:color w:val="auto"/>
                <w:sz w:val="24"/>
                <w:szCs w:val="24"/>
                <w:lang w:val="en-US" w:eastAsia="zh-CN"/>
              </w:rPr>
              <w:t>设备清单见</w:t>
            </w:r>
            <w:r>
              <w:rPr>
                <w:rFonts w:hint="eastAsia" w:cs="Times New Roman"/>
                <w:b w:val="0"/>
                <w:bCs w:val="0"/>
                <w:color w:val="auto"/>
                <w:sz w:val="24"/>
                <w:szCs w:val="24"/>
                <w:lang w:val="en-US" w:eastAsia="zh-CN"/>
              </w:rPr>
              <w:t>下</w:t>
            </w:r>
            <w:r>
              <w:rPr>
                <w:rFonts w:hint="eastAsia" w:ascii="Times New Roman" w:hAnsi="Times New Roman" w:eastAsia="宋体" w:cs="Times New Roman"/>
                <w:b w:val="0"/>
                <w:bCs w:val="0"/>
                <w:color w:val="auto"/>
                <w:sz w:val="24"/>
                <w:szCs w:val="24"/>
                <w:lang w:val="en-US" w:eastAsia="zh-CN"/>
              </w:rPr>
              <w:t>表。</w:t>
            </w:r>
          </w:p>
          <w:p w14:paraId="26973D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 xml:space="preserve">9 </w:t>
            </w:r>
            <w:r>
              <w:rPr>
                <w:rFonts w:hint="eastAsia"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变动前后主要</w:t>
            </w:r>
            <w:r>
              <w:rPr>
                <w:rFonts w:hint="eastAsia" w:ascii="Times New Roman" w:hAnsi="Times New Roman" w:eastAsia="宋体" w:cs="Times New Roman"/>
                <w:b/>
                <w:bCs/>
                <w:color w:val="auto"/>
                <w:sz w:val="21"/>
                <w:szCs w:val="21"/>
                <w:lang w:val="en-US" w:eastAsia="zh-CN"/>
              </w:rPr>
              <w:t>设备一览表</w:t>
            </w:r>
          </w:p>
          <w:tbl>
            <w:tblPr>
              <w:tblStyle w:val="2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274"/>
              <w:gridCol w:w="1769"/>
              <w:gridCol w:w="1218"/>
              <w:gridCol w:w="920"/>
              <w:gridCol w:w="1582"/>
              <w:gridCol w:w="2010"/>
              <w:gridCol w:w="1446"/>
              <w:gridCol w:w="923"/>
              <w:gridCol w:w="928"/>
            </w:tblGrid>
            <w:tr w14:paraId="7D5D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91" w:type="pct"/>
                  <w:vMerge w:val="restart"/>
                  <w:noWrap w:val="0"/>
                  <w:vAlign w:val="center"/>
                </w:tcPr>
                <w:p w14:paraId="52E9F70D">
                  <w:pPr>
                    <w:snapToGrid w:val="0"/>
                    <w:spacing w:line="240" w:lineRule="auto"/>
                    <w:jc w:val="center"/>
                    <w:textAlignment w:val="auto"/>
                    <w:rPr>
                      <w:b/>
                      <w:bCs/>
                      <w:color w:val="auto"/>
                      <w:szCs w:val="21"/>
                    </w:rPr>
                  </w:pPr>
                  <w:r>
                    <w:rPr>
                      <w:rFonts w:hint="eastAsia"/>
                      <w:b/>
                      <w:bCs/>
                      <w:color w:val="auto"/>
                      <w:szCs w:val="21"/>
                    </w:rPr>
                    <w:t>序号</w:t>
                  </w:r>
                </w:p>
              </w:tc>
              <w:tc>
                <w:tcPr>
                  <w:tcW w:w="2021" w:type="pct"/>
                  <w:gridSpan w:val="4"/>
                  <w:noWrap w:val="0"/>
                  <w:vAlign w:val="center"/>
                </w:tcPr>
                <w:p w14:paraId="0FB7380D">
                  <w:pPr>
                    <w:snapToGrid w:val="0"/>
                    <w:spacing w:line="240" w:lineRule="auto"/>
                    <w:jc w:val="center"/>
                    <w:textAlignment w:val="auto"/>
                    <w:rPr>
                      <w:rFonts w:hint="default" w:eastAsia="宋体"/>
                      <w:b/>
                      <w:bCs/>
                      <w:color w:val="auto"/>
                      <w:szCs w:val="21"/>
                      <w:lang w:val="en-US" w:eastAsia="zh-CN"/>
                    </w:rPr>
                  </w:pPr>
                  <w:r>
                    <w:rPr>
                      <w:rFonts w:hint="eastAsia"/>
                      <w:b/>
                      <w:bCs/>
                      <w:color w:val="auto"/>
                      <w:szCs w:val="21"/>
                      <w:lang w:val="en-US" w:eastAsia="zh-CN"/>
                    </w:rPr>
                    <w:t>变动前</w:t>
                  </w:r>
                </w:p>
              </w:tc>
              <w:tc>
                <w:tcPr>
                  <w:tcW w:w="2687" w:type="pct"/>
                  <w:gridSpan w:val="5"/>
                  <w:noWrap w:val="0"/>
                  <w:vAlign w:val="center"/>
                </w:tcPr>
                <w:p w14:paraId="28AC0A66">
                  <w:pPr>
                    <w:snapToGrid w:val="0"/>
                    <w:spacing w:line="240" w:lineRule="auto"/>
                    <w:jc w:val="center"/>
                    <w:textAlignment w:val="auto"/>
                    <w:rPr>
                      <w:rFonts w:hint="eastAsia"/>
                      <w:b/>
                      <w:bCs/>
                      <w:color w:val="auto"/>
                      <w:szCs w:val="21"/>
                    </w:rPr>
                  </w:pPr>
                  <w:r>
                    <w:rPr>
                      <w:rFonts w:hint="eastAsia"/>
                      <w:b/>
                      <w:bCs/>
                      <w:color w:val="auto"/>
                      <w:szCs w:val="21"/>
                      <w:lang w:val="en-US" w:eastAsia="zh-CN"/>
                    </w:rPr>
                    <w:t>变动后</w:t>
                  </w:r>
                </w:p>
              </w:tc>
            </w:tr>
            <w:tr w14:paraId="638E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91" w:type="pct"/>
                  <w:vMerge w:val="continue"/>
                  <w:noWrap w:val="0"/>
                  <w:vAlign w:val="center"/>
                </w:tcPr>
                <w:p w14:paraId="35302523">
                  <w:pPr>
                    <w:snapToGrid w:val="0"/>
                    <w:spacing w:line="240" w:lineRule="auto"/>
                    <w:jc w:val="center"/>
                    <w:textAlignment w:val="auto"/>
                    <w:rPr>
                      <w:b/>
                      <w:bCs/>
                      <w:color w:val="auto"/>
                      <w:szCs w:val="21"/>
                    </w:rPr>
                  </w:pPr>
                </w:p>
              </w:tc>
              <w:tc>
                <w:tcPr>
                  <w:tcW w:w="497" w:type="pct"/>
                  <w:noWrap w:val="0"/>
                  <w:vAlign w:val="center"/>
                </w:tcPr>
                <w:p w14:paraId="58188D92">
                  <w:pPr>
                    <w:snapToGrid w:val="0"/>
                    <w:spacing w:line="240" w:lineRule="auto"/>
                    <w:jc w:val="center"/>
                    <w:textAlignment w:val="auto"/>
                    <w:rPr>
                      <w:b/>
                      <w:bCs/>
                      <w:color w:val="auto"/>
                      <w:szCs w:val="21"/>
                    </w:rPr>
                  </w:pPr>
                  <w:r>
                    <w:rPr>
                      <w:rFonts w:hint="eastAsia"/>
                      <w:b/>
                      <w:bCs/>
                      <w:color w:val="auto"/>
                      <w:szCs w:val="21"/>
                    </w:rPr>
                    <w:t>产品</w:t>
                  </w:r>
                </w:p>
              </w:tc>
              <w:tc>
                <w:tcPr>
                  <w:tcW w:w="690" w:type="pct"/>
                  <w:noWrap w:val="0"/>
                  <w:vAlign w:val="center"/>
                </w:tcPr>
                <w:p w14:paraId="7764A649">
                  <w:pPr>
                    <w:snapToGrid w:val="0"/>
                    <w:spacing w:line="240" w:lineRule="auto"/>
                    <w:jc w:val="center"/>
                    <w:textAlignment w:val="auto"/>
                    <w:rPr>
                      <w:rFonts w:hint="eastAsia"/>
                      <w:b/>
                      <w:bCs/>
                      <w:color w:val="auto"/>
                      <w:szCs w:val="21"/>
                    </w:rPr>
                  </w:pPr>
                  <w:r>
                    <w:rPr>
                      <w:rFonts w:hint="eastAsia"/>
                      <w:b/>
                      <w:bCs/>
                      <w:color w:val="auto"/>
                      <w:szCs w:val="21"/>
                    </w:rPr>
                    <w:t>设备名称</w:t>
                  </w:r>
                </w:p>
              </w:tc>
              <w:tc>
                <w:tcPr>
                  <w:tcW w:w="475" w:type="pct"/>
                  <w:noWrap w:val="0"/>
                  <w:vAlign w:val="center"/>
                </w:tcPr>
                <w:p w14:paraId="49FF9DDA">
                  <w:pPr>
                    <w:snapToGrid w:val="0"/>
                    <w:spacing w:line="240" w:lineRule="auto"/>
                    <w:jc w:val="center"/>
                    <w:textAlignment w:val="auto"/>
                    <w:rPr>
                      <w:rFonts w:hint="eastAsia"/>
                      <w:b/>
                      <w:bCs/>
                      <w:color w:val="auto"/>
                      <w:szCs w:val="21"/>
                    </w:rPr>
                  </w:pPr>
                  <w:r>
                    <w:rPr>
                      <w:rFonts w:hint="eastAsia"/>
                      <w:b/>
                      <w:bCs/>
                      <w:color w:val="auto"/>
                      <w:szCs w:val="21"/>
                    </w:rPr>
                    <w:t>规格</w:t>
                  </w:r>
                </w:p>
              </w:tc>
              <w:tc>
                <w:tcPr>
                  <w:tcW w:w="358" w:type="pct"/>
                  <w:noWrap w:val="0"/>
                  <w:vAlign w:val="center"/>
                </w:tcPr>
                <w:p w14:paraId="4AFB79FE">
                  <w:pPr>
                    <w:snapToGrid w:val="0"/>
                    <w:spacing w:line="240" w:lineRule="auto"/>
                    <w:jc w:val="center"/>
                    <w:textAlignment w:val="auto"/>
                    <w:rPr>
                      <w:rFonts w:hint="eastAsia"/>
                      <w:b/>
                      <w:bCs/>
                      <w:color w:val="auto"/>
                      <w:szCs w:val="21"/>
                    </w:rPr>
                  </w:pPr>
                  <w:r>
                    <w:rPr>
                      <w:rFonts w:hint="eastAsia"/>
                      <w:b/>
                      <w:bCs/>
                      <w:color w:val="auto"/>
                      <w:szCs w:val="21"/>
                    </w:rPr>
                    <w:t>数量</w:t>
                  </w:r>
                </w:p>
              </w:tc>
              <w:tc>
                <w:tcPr>
                  <w:tcW w:w="617" w:type="pct"/>
                  <w:noWrap w:val="0"/>
                  <w:vAlign w:val="center"/>
                </w:tcPr>
                <w:p w14:paraId="6699B986">
                  <w:pPr>
                    <w:snapToGrid w:val="0"/>
                    <w:spacing w:line="240" w:lineRule="auto"/>
                    <w:jc w:val="center"/>
                    <w:textAlignment w:val="auto"/>
                    <w:rPr>
                      <w:rFonts w:hint="eastAsia"/>
                      <w:b/>
                      <w:bCs/>
                      <w:color w:val="auto"/>
                      <w:szCs w:val="21"/>
                    </w:rPr>
                  </w:pPr>
                  <w:r>
                    <w:rPr>
                      <w:rFonts w:hint="eastAsia"/>
                      <w:b/>
                      <w:bCs/>
                      <w:color w:val="auto"/>
                      <w:szCs w:val="21"/>
                    </w:rPr>
                    <w:t>产品</w:t>
                  </w:r>
                </w:p>
              </w:tc>
              <w:tc>
                <w:tcPr>
                  <w:tcW w:w="784" w:type="pct"/>
                  <w:noWrap w:val="0"/>
                  <w:vAlign w:val="center"/>
                </w:tcPr>
                <w:p w14:paraId="140F5B80">
                  <w:pPr>
                    <w:snapToGrid w:val="0"/>
                    <w:spacing w:line="240" w:lineRule="auto"/>
                    <w:jc w:val="center"/>
                    <w:textAlignment w:val="auto"/>
                    <w:rPr>
                      <w:rFonts w:hint="eastAsia"/>
                      <w:b/>
                      <w:bCs/>
                      <w:color w:val="auto"/>
                      <w:szCs w:val="21"/>
                    </w:rPr>
                  </w:pPr>
                  <w:r>
                    <w:rPr>
                      <w:rFonts w:hint="eastAsia"/>
                      <w:b/>
                      <w:bCs/>
                      <w:color w:val="auto"/>
                      <w:szCs w:val="21"/>
                    </w:rPr>
                    <w:t>设备名称</w:t>
                  </w:r>
                </w:p>
              </w:tc>
              <w:tc>
                <w:tcPr>
                  <w:tcW w:w="564" w:type="pct"/>
                  <w:noWrap w:val="0"/>
                  <w:vAlign w:val="center"/>
                </w:tcPr>
                <w:p w14:paraId="741DF6F9">
                  <w:pPr>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规格</w:t>
                  </w:r>
                </w:p>
              </w:tc>
              <w:tc>
                <w:tcPr>
                  <w:tcW w:w="360" w:type="pct"/>
                  <w:noWrap w:val="0"/>
                  <w:vAlign w:val="center"/>
                </w:tcPr>
                <w:p w14:paraId="45278E37">
                  <w:pPr>
                    <w:snapToGrid w:val="0"/>
                    <w:spacing w:line="240" w:lineRule="auto"/>
                    <w:jc w:val="center"/>
                    <w:textAlignment w:val="auto"/>
                    <w:rPr>
                      <w:b/>
                      <w:bCs/>
                      <w:color w:val="auto"/>
                      <w:szCs w:val="21"/>
                    </w:rPr>
                  </w:pPr>
                  <w:r>
                    <w:rPr>
                      <w:rFonts w:hint="eastAsia"/>
                      <w:b/>
                      <w:bCs/>
                      <w:color w:val="auto"/>
                      <w:szCs w:val="21"/>
                    </w:rPr>
                    <w:t>数量</w:t>
                  </w:r>
                </w:p>
              </w:tc>
              <w:tc>
                <w:tcPr>
                  <w:tcW w:w="362" w:type="pct"/>
                  <w:noWrap w:val="0"/>
                  <w:vAlign w:val="center"/>
                </w:tcPr>
                <w:p w14:paraId="109C8751">
                  <w:pPr>
                    <w:snapToGrid w:val="0"/>
                    <w:spacing w:line="240" w:lineRule="auto"/>
                    <w:jc w:val="center"/>
                    <w:textAlignment w:val="auto"/>
                    <w:rPr>
                      <w:rFonts w:hint="eastAsia" w:eastAsia="宋体"/>
                      <w:b/>
                      <w:bCs/>
                      <w:color w:val="FF0000"/>
                      <w:szCs w:val="21"/>
                      <w:lang w:val="en-US" w:eastAsia="zh-CN"/>
                    </w:rPr>
                  </w:pPr>
                  <w:commentRangeStart w:id="10"/>
                  <w:r>
                    <w:rPr>
                      <w:rFonts w:hint="eastAsia"/>
                      <w:b/>
                      <w:bCs/>
                      <w:color w:val="FF0000"/>
                      <w:szCs w:val="21"/>
                      <w:lang w:val="en-US" w:eastAsia="zh-CN"/>
                    </w:rPr>
                    <w:t>备注</w:t>
                  </w:r>
                  <w:commentRangeEnd w:id="10"/>
                  <w:r>
                    <w:commentReference w:id="10"/>
                  </w:r>
                </w:p>
              </w:tc>
            </w:tr>
            <w:tr w14:paraId="7C0D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463221C0">
                  <w:pPr>
                    <w:snapToGrid w:val="0"/>
                    <w:spacing w:line="240" w:lineRule="auto"/>
                    <w:jc w:val="center"/>
                    <w:textAlignment w:val="auto"/>
                    <w:rPr>
                      <w:color w:val="auto"/>
                      <w:szCs w:val="21"/>
                    </w:rPr>
                  </w:pPr>
                  <w:r>
                    <w:rPr>
                      <w:rFonts w:hint="eastAsia"/>
                      <w:color w:val="auto"/>
                      <w:szCs w:val="21"/>
                    </w:rPr>
                    <w:t>1</w:t>
                  </w:r>
                </w:p>
              </w:tc>
              <w:tc>
                <w:tcPr>
                  <w:tcW w:w="497" w:type="pct"/>
                  <w:vMerge w:val="restart"/>
                  <w:noWrap w:val="0"/>
                  <w:vAlign w:val="center"/>
                </w:tcPr>
                <w:p w14:paraId="7C0F661A">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医用退热贴</w:t>
                  </w:r>
                </w:p>
              </w:tc>
              <w:tc>
                <w:tcPr>
                  <w:tcW w:w="690" w:type="pct"/>
                  <w:noWrap w:val="0"/>
                  <w:vAlign w:val="center"/>
                </w:tcPr>
                <w:p w14:paraId="7141B68D">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水凝胶搅拌机</w:t>
                  </w:r>
                </w:p>
              </w:tc>
              <w:tc>
                <w:tcPr>
                  <w:tcW w:w="475" w:type="pct"/>
                  <w:noWrap w:val="0"/>
                  <w:vAlign w:val="center"/>
                </w:tcPr>
                <w:p w14:paraId="33546C8B">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500L</w:t>
                  </w:r>
                </w:p>
              </w:tc>
              <w:tc>
                <w:tcPr>
                  <w:tcW w:w="358" w:type="pct"/>
                  <w:noWrap w:val="0"/>
                  <w:vAlign w:val="center"/>
                </w:tcPr>
                <w:p w14:paraId="31105628">
                  <w:pPr>
                    <w:snapToGrid w:val="0"/>
                    <w:spacing w:line="240" w:lineRule="auto"/>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2</w:t>
                  </w:r>
                </w:p>
              </w:tc>
              <w:tc>
                <w:tcPr>
                  <w:tcW w:w="617" w:type="pct"/>
                  <w:vMerge w:val="restart"/>
                  <w:noWrap w:val="0"/>
                  <w:vAlign w:val="center"/>
                </w:tcPr>
                <w:p w14:paraId="2BB0A21A">
                  <w:pPr>
                    <w:widowControl/>
                    <w:jc w:val="center"/>
                    <w:textAlignment w:val="center"/>
                    <w:rPr>
                      <w:rFonts w:hint="eastAsia" w:eastAsia="宋体"/>
                      <w:color w:val="auto"/>
                      <w:sz w:val="22"/>
                      <w:szCs w:val="22"/>
                      <w:lang w:eastAsia="zh-CN" w:bidi="ar"/>
                    </w:rPr>
                  </w:pPr>
                  <w:r>
                    <w:rPr>
                      <w:rFonts w:hint="eastAsia"/>
                      <w:color w:val="auto"/>
                      <w:szCs w:val="21"/>
                    </w:rPr>
                    <w:t>医用退热贴</w:t>
                  </w:r>
                  <w:r>
                    <w:rPr>
                      <w:rFonts w:hint="eastAsia"/>
                      <w:color w:val="auto"/>
                      <w:szCs w:val="21"/>
                      <w:lang w:eastAsia="zh-CN"/>
                    </w:rPr>
                    <w:t>、</w:t>
                  </w:r>
                  <w:r>
                    <w:rPr>
                      <w:rFonts w:hint="eastAsia"/>
                      <w:color w:val="auto"/>
                      <w:szCs w:val="19"/>
                      <w:lang w:val="en-US" w:eastAsia="zh-CN" w:bidi="ar"/>
                    </w:rPr>
                    <w:t>冰凉</w:t>
                  </w:r>
                  <w:r>
                    <w:rPr>
                      <w:rFonts w:hint="eastAsia"/>
                      <w:color w:val="auto"/>
                      <w:szCs w:val="19"/>
                      <w:lang w:bidi="ar"/>
                    </w:rPr>
                    <w:t>贴</w:t>
                  </w:r>
                </w:p>
              </w:tc>
              <w:tc>
                <w:tcPr>
                  <w:tcW w:w="784" w:type="pct"/>
                  <w:noWrap w:val="0"/>
                  <w:vAlign w:val="center"/>
                </w:tcPr>
                <w:p w14:paraId="3B24A35A">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水凝胶搅拌机</w:t>
                  </w:r>
                </w:p>
              </w:tc>
              <w:tc>
                <w:tcPr>
                  <w:tcW w:w="564" w:type="pct"/>
                  <w:noWrap w:val="0"/>
                  <w:vAlign w:val="center"/>
                </w:tcPr>
                <w:p w14:paraId="1E67795C">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500L</w:t>
                  </w:r>
                </w:p>
              </w:tc>
              <w:tc>
                <w:tcPr>
                  <w:tcW w:w="360" w:type="pct"/>
                  <w:noWrap w:val="0"/>
                  <w:vAlign w:val="center"/>
                </w:tcPr>
                <w:p w14:paraId="2350F495">
                  <w:pPr>
                    <w:snapToGrid w:val="0"/>
                    <w:spacing w:line="240" w:lineRule="auto"/>
                    <w:jc w:val="center"/>
                    <w:textAlignment w:val="auto"/>
                    <w:rPr>
                      <w:rFonts w:hint="eastAsia" w:eastAsia="宋体"/>
                      <w:color w:val="auto"/>
                      <w:szCs w:val="21"/>
                      <w:lang w:eastAsia="zh-CN"/>
                    </w:rPr>
                  </w:pPr>
                  <w:r>
                    <w:rPr>
                      <w:rFonts w:hint="eastAsia"/>
                      <w:color w:val="auto"/>
                      <w:szCs w:val="21"/>
                      <w:lang w:val="en-US" w:eastAsia="zh-CN"/>
                    </w:rPr>
                    <w:t>4</w:t>
                  </w:r>
                </w:p>
              </w:tc>
              <w:tc>
                <w:tcPr>
                  <w:tcW w:w="362" w:type="pct"/>
                  <w:vMerge w:val="restart"/>
                  <w:noWrap w:val="0"/>
                  <w:vAlign w:val="center"/>
                </w:tcPr>
                <w:p w14:paraId="4E329594">
                  <w:pPr>
                    <w:snapToGrid w:val="0"/>
                    <w:spacing w:line="240" w:lineRule="auto"/>
                    <w:jc w:val="center"/>
                    <w:textAlignment w:val="auto"/>
                    <w:rPr>
                      <w:rFonts w:hint="default"/>
                      <w:color w:val="FF0000"/>
                      <w:szCs w:val="21"/>
                      <w:lang w:val="en-US" w:eastAsia="zh-CN"/>
                    </w:rPr>
                  </w:pPr>
                  <w:r>
                    <w:rPr>
                      <w:rFonts w:hint="eastAsia"/>
                      <w:color w:val="FF0000"/>
                      <w:szCs w:val="21"/>
                      <w:lang w:val="en-US" w:eastAsia="zh-CN"/>
                    </w:rPr>
                    <w:t>共线</w:t>
                  </w:r>
                </w:p>
              </w:tc>
            </w:tr>
            <w:tr w14:paraId="0478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6C61F974">
                  <w:pPr>
                    <w:snapToGrid w:val="0"/>
                    <w:spacing w:line="240" w:lineRule="auto"/>
                    <w:jc w:val="center"/>
                    <w:textAlignment w:val="auto"/>
                    <w:rPr>
                      <w:color w:val="auto"/>
                      <w:szCs w:val="21"/>
                    </w:rPr>
                  </w:pPr>
                  <w:r>
                    <w:rPr>
                      <w:rFonts w:hint="eastAsia"/>
                      <w:color w:val="auto"/>
                      <w:szCs w:val="21"/>
                    </w:rPr>
                    <w:t>2</w:t>
                  </w:r>
                </w:p>
              </w:tc>
              <w:tc>
                <w:tcPr>
                  <w:tcW w:w="497" w:type="pct"/>
                  <w:vMerge w:val="continue"/>
                  <w:noWrap w:val="0"/>
                  <w:vAlign w:val="center"/>
                </w:tcPr>
                <w:p w14:paraId="69D6F890">
                  <w:pPr>
                    <w:widowControl/>
                    <w:jc w:val="center"/>
                    <w:textAlignment w:val="center"/>
                    <w:rPr>
                      <w:rFonts w:hint="eastAsia" w:ascii="宋体" w:hAnsi="宋体" w:eastAsia="宋体" w:cs="宋体"/>
                      <w:color w:val="auto"/>
                      <w:sz w:val="21"/>
                      <w:szCs w:val="21"/>
                    </w:rPr>
                  </w:pPr>
                </w:p>
              </w:tc>
              <w:tc>
                <w:tcPr>
                  <w:tcW w:w="690" w:type="pct"/>
                  <w:noWrap w:val="0"/>
                  <w:vAlign w:val="center"/>
                </w:tcPr>
                <w:p w14:paraId="04DE6F5E">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水凝胶涂布机</w:t>
                  </w:r>
                </w:p>
              </w:tc>
              <w:tc>
                <w:tcPr>
                  <w:tcW w:w="475" w:type="pct"/>
                  <w:noWrap w:val="0"/>
                  <w:vAlign w:val="center"/>
                </w:tcPr>
                <w:p w14:paraId="11CEB0B4">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60m/min</w:t>
                  </w:r>
                </w:p>
              </w:tc>
              <w:tc>
                <w:tcPr>
                  <w:tcW w:w="358" w:type="pct"/>
                  <w:noWrap w:val="0"/>
                  <w:vAlign w:val="center"/>
                </w:tcPr>
                <w:p w14:paraId="27C69943">
                  <w:pPr>
                    <w:snapToGrid w:val="0"/>
                    <w:spacing w:line="240" w:lineRule="auto"/>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2</w:t>
                  </w:r>
                </w:p>
              </w:tc>
              <w:tc>
                <w:tcPr>
                  <w:tcW w:w="617" w:type="pct"/>
                  <w:vMerge w:val="continue"/>
                  <w:noWrap w:val="0"/>
                  <w:vAlign w:val="center"/>
                </w:tcPr>
                <w:p w14:paraId="746B9EAD">
                  <w:pPr>
                    <w:widowControl/>
                    <w:jc w:val="center"/>
                    <w:textAlignment w:val="center"/>
                    <w:rPr>
                      <w:rFonts w:hint="eastAsia"/>
                      <w:color w:val="auto"/>
                      <w:sz w:val="22"/>
                      <w:szCs w:val="22"/>
                      <w:lang w:bidi="ar"/>
                    </w:rPr>
                  </w:pPr>
                </w:p>
              </w:tc>
              <w:tc>
                <w:tcPr>
                  <w:tcW w:w="784" w:type="pct"/>
                  <w:noWrap w:val="0"/>
                  <w:vAlign w:val="center"/>
                </w:tcPr>
                <w:p w14:paraId="5315D6D1">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水凝胶涂布机</w:t>
                  </w:r>
                </w:p>
              </w:tc>
              <w:tc>
                <w:tcPr>
                  <w:tcW w:w="564" w:type="pct"/>
                  <w:noWrap w:val="0"/>
                  <w:vAlign w:val="center"/>
                </w:tcPr>
                <w:p w14:paraId="30553988">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60m/min</w:t>
                  </w:r>
                </w:p>
              </w:tc>
              <w:tc>
                <w:tcPr>
                  <w:tcW w:w="360" w:type="pct"/>
                  <w:noWrap w:val="0"/>
                  <w:vAlign w:val="center"/>
                </w:tcPr>
                <w:p w14:paraId="0AC8E93C">
                  <w:pPr>
                    <w:snapToGrid w:val="0"/>
                    <w:spacing w:line="240" w:lineRule="auto"/>
                    <w:jc w:val="center"/>
                    <w:textAlignment w:val="auto"/>
                    <w:rPr>
                      <w:rFonts w:hint="eastAsia" w:eastAsia="宋体"/>
                      <w:color w:val="auto"/>
                      <w:szCs w:val="21"/>
                      <w:lang w:eastAsia="zh-CN"/>
                    </w:rPr>
                  </w:pPr>
                  <w:r>
                    <w:rPr>
                      <w:rFonts w:hint="eastAsia"/>
                      <w:color w:val="auto"/>
                      <w:szCs w:val="21"/>
                      <w:lang w:val="en-US" w:eastAsia="zh-CN"/>
                    </w:rPr>
                    <w:t>4</w:t>
                  </w:r>
                </w:p>
              </w:tc>
              <w:tc>
                <w:tcPr>
                  <w:tcW w:w="362" w:type="pct"/>
                  <w:vMerge w:val="continue"/>
                  <w:noWrap w:val="0"/>
                  <w:vAlign w:val="center"/>
                </w:tcPr>
                <w:p w14:paraId="650F2EAE">
                  <w:pPr>
                    <w:snapToGrid w:val="0"/>
                    <w:spacing w:line="240" w:lineRule="auto"/>
                    <w:jc w:val="center"/>
                    <w:textAlignment w:val="auto"/>
                    <w:rPr>
                      <w:rFonts w:hint="eastAsia"/>
                      <w:color w:val="FF0000"/>
                      <w:szCs w:val="21"/>
                      <w:lang w:val="en-US" w:eastAsia="zh-CN"/>
                    </w:rPr>
                  </w:pPr>
                </w:p>
              </w:tc>
            </w:tr>
            <w:tr w14:paraId="7446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242BE7D6">
                  <w:pPr>
                    <w:snapToGrid w:val="0"/>
                    <w:spacing w:line="240" w:lineRule="auto"/>
                    <w:jc w:val="center"/>
                    <w:textAlignment w:val="auto"/>
                    <w:rPr>
                      <w:color w:val="auto"/>
                      <w:szCs w:val="21"/>
                    </w:rPr>
                  </w:pPr>
                  <w:r>
                    <w:rPr>
                      <w:rFonts w:hint="eastAsia"/>
                      <w:color w:val="auto"/>
                      <w:szCs w:val="21"/>
                    </w:rPr>
                    <w:t>3</w:t>
                  </w:r>
                </w:p>
              </w:tc>
              <w:tc>
                <w:tcPr>
                  <w:tcW w:w="497" w:type="pct"/>
                  <w:vMerge w:val="restart"/>
                  <w:noWrap w:val="0"/>
                  <w:vAlign w:val="center"/>
                </w:tcPr>
                <w:p w14:paraId="5E1EC033">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生理性海水鼻腔喷雾剂</w:t>
                  </w:r>
                </w:p>
              </w:tc>
              <w:tc>
                <w:tcPr>
                  <w:tcW w:w="690" w:type="pct"/>
                  <w:noWrap w:val="0"/>
                  <w:vAlign w:val="center"/>
                </w:tcPr>
                <w:p w14:paraId="59A116D7">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液体配制机</w:t>
                  </w:r>
                </w:p>
              </w:tc>
              <w:tc>
                <w:tcPr>
                  <w:tcW w:w="475" w:type="pct"/>
                  <w:noWrap w:val="0"/>
                  <w:vAlign w:val="center"/>
                </w:tcPr>
                <w:p w14:paraId="02E8A065">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1000L</w:t>
                  </w:r>
                </w:p>
              </w:tc>
              <w:tc>
                <w:tcPr>
                  <w:tcW w:w="358" w:type="pct"/>
                  <w:noWrap w:val="0"/>
                  <w:vAlign w:val="center"/>
                </w:tcPr>
                <w:p w14:paraId="3B4A524E">
                  <w:pPr>
                    <w:snapToGrid w:val="0"/>
                    <w:spacing w:line="240" w:lineRule="auto"/>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1</w:t>
                  </w:r>
                </w:p>
              </w:tc>
              <w:tc>
                <w:tcPr>
                  <w:tcW w:w="617" w:type="pct"/>
                  <w:vMerge w:val="restart"/>
                  <w:noWrap w:val="0"/>
                  <w:vAlign w:val="center"/>
                </w:tcPr>
                <w:p w14:paraId="23DCFCCD">
                  <w:pPr>
                    <w:widowControl/>
                    <w:jc w:val="center"/>
                    <w:textAlignment w:val="center"/>
                    <w:rPr>
                      <w:rFonts w:hint="eastAsia"/>
                      <w:color w:val="auto"/>
                      <w:sz w:val="22"/>
                      <w:szCs w:val="22"/>
                      <w:lang w:bidi="ar"/>
                    </w:rPr>
                  </w:pPr>
                  <w:r>
                    <w:rPr>
                      <w:rFonts w:hint="eastAsia"/>
                      <w:color w:val="auto"/>
                      <w:szCs w:val="21"/>
                    </w:rPr>
                    <w:t>生理性海水鼻腔喷雾剂</w:t>
                  </w:r>
                </w:p>
              </w:tc>
              <w:tc>
                <w:tcPr>
                  <w:tcW w:w="784" w:type="pct"/>
                  <w:noWrap w:val="0"/>
                  <w:vAlign w:val="center"/>
                </w:tcPr>
                <w:p w14:paraId="47253F18">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液体配制机</w:t>
                  </w:r>
                </w:p>
              </w:tc>
              <w:tc>
                <w:tcPr>
                  <w:tcW w:w="564" w:type="pct"/>
                  <w:noWrap w:val="0"/>
                  <w:vAlign w:val="center"/>
                </w:tcPr>
                <w:p w14:paraId="5456D215">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1000L</w:t>
                  </w:r>
                </w:p>
              </w:tc>
              <w:tc>
                <w:tcPr>
                  <w:tcW w:w="360" w:type="pct"/>
                  <w:noWrap w:val="0"/>
                  <w:vAlign w:val="center"/>
                </w:tcPr>
                <w:p w14:paraId="207BF5BE">
                  <w:pPr>
                    <w:snapToGrid w:val="0"/>
                    <w:spacing w:line="240" w:lineRule="auto"/>
                    <w:jc w:val="center"/>
                    <w:textAlignment w:val="auto"/>
                    <w:rPr>
                      <w:color w:val="auto"/>
                      <w:szCs w:val="21"/>
                    </w:rPr>
                  </w:pPr>
                  <w:r>
                    <w:rPr>
                      <w:rFonts w:hint="eastAsia"/>
                      <w:color w:val="auto"/>
                      <w:szCs w:val="21"/>
                    </w:rPr>
                    <w:t>1</w:t>
                  </w:r>
                </w:p>
              </w:tc>
              <w:tc>
                <w:tcPr>
                  <w:tcW w:w="362" w:type="pct"/>
                  <w:noWrap w:val="0"/>
                  <w:vAlign w:val="center"/>
                </w:tcPr>
                <w:p w14:paraId="582CF8FF">
                  <w:pPr>
                    <w:snapToGrid w:val="0"/>
                    <w:spacing w:line="240" w:lineRule="auto"/>
                    <w:jc w:val="center"/>
                    <w:textAlignment w:val="auto"/>
                    <w:rPr>
                      <w:rFonts w:hint="default" w:eastAsia="宋体"/>
                      <w:color w:val="FF0000"/>
                      <w:szCs w:val="21"/>
                      <w:lang w:val="en-US" w:eastAsia="zh-CN"/>
                    </w:rPr>
                  </w:pPr>
                  <w:r>
                    <w:rPr>
                      <w:rFonts w:hint="eastAsia"/>
                      <w:color w:val="FF0000"/>
                      <w:szCs w:val="21"/>
                      <w:lang w:val="en-US" w:eastAsia="zh-CN"/>
                    </w:rPr>
                    <w:t>/</w:t>
                  </w:r>
                </w:p>
              </w:tc>
            </w:tr>
            <w:tr w14:paraId="340A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038371BE">
                  <w:pPr>
                    <w:snapToGrid w:val="0"/>
                    <w:spacing w:line="240" w:lineRule="auto"/>
                    <w:jc w:val="center"/>
                    <w:textAlignment w:val="auto"/>
                    <w:rPr>
                      <w:color w:val="auto"/>
                      <w:szCs w:val="21"/>
                    </w:rPr>
                  </w:pPr>
                  <w:r>
                    <w:rPr>
                      <w:rFonts w:hint="eastAsia"/>
                      <w:color w:val="auto"/>
                      <w:szCs w:val="21"/>
                    </w:rPr>
                    <w:t>4</w:t>
                  </w:r>
                </w:p>
              </w:tc>
              <w:tc>
                <w:tcPr>
                  <w:tcW w:w="497" w:type="pct"/>
                  <w:vMerge w:val="continue"/>
                  <w:noWrap w:val="0"/>
                  <w:vAlign w:val="center"/>
                </w:tcPr>
                <w:p w14:paraId="7564CA37">
                  <w:pPr>
                    <w:widowControl/>
                    <w:jc w:val="center"/>
                    <w:textAlignment w:val="center"/>
                    <w:rPr>
                      <w:rFonts w:hint="eastAsia" w:ascii="宋体" w:hAnsi="宋体" w:eastAsia="宋体" w:cs="宋体"/>
                      <w:color w:val="auto"/>
                      <w:sz w:val="21"/>
                      <w:szCs w:val="21"/>
                    </w:rPr>
                  </w:pPr>
                </w:p>
              </w:tc>
              <w:tc>
                <w:tcPr>
                  <w:tcW w:w="690" w:type="pct"/>
                  <w:noWrap w:val="0"/>
                  <w:vAlign w:val="center"/>
                </w:tcPr>
                <w:p w14:paraId="3EA52823">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喷雾自动灌装机</w:t>
                  </w:r>
                </w:p>
              </w:tc>
              <w:tc>
                <w:tcPr>
                  <w:tcW w:w="475" w:type="pct"/>
                  <w:noWrap w:val="0"/>
                  <w:vAlign w:val="center"/>
                </w:tcPr>
                <w:p w14:paraId="44ABE092">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10L/min</w:t>
                  </w:r>
                </w:p>
              </w:tc>
              <w:tc>
                <w:tcPr>
                  <w:tcW w:w="358" w:type="pct"/>
                  <w:noWrap w:val="0"/>
                  <w:vAlign w:val="center"/>
                </w:tcPr>
                <w:p w14:paraId="1FC2B486">
                  <w:pPr>
                    <w:snapToGrid w:val="0"/>
                    <w:spacing w:line="240" w:lineRule="auto"/>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1</w:t>
                  </w:r>
                </w:p>
              </w:tc>
              <w:tc>
                <w:tcPr>
                  <w:tcW w:w="617" w:type="pct"/>
                  <w:vMerge w:val="continue"/>
                  <w:noWrap w:val="0"/>
                  <w:vAlign w:val="center"/>
                </w:tcPr>
                <w:p w14:paraId="1C9B9840">
                  <w:pPr>
                    <w:widowControl/>
                    <w:jc w:val="center"/>
                    <w:textAlignment w:val="center"/>
                    <w:rPr>
                      <w:rFonts w:hint="eastAsia"/>
                      <w:color w:val="auto"/>
                      <w:sz w:val="22"/>
                      <w:szCs w:val="22"/>
                      <w:lang w:bidi="ar"/>
                    </w:rPr>
                  </w:pPr>
                </w:p>
              </w:tc>
              <w:tc>
                <w:tcPr>
                  <w:tcW w:w="784" w:type="pct"/>
                  <w:noWrap w:val="0"/>
                  <w:vAlign w:val="center"/>
                </w:tcPr>
                <w:p w14:paraId="3B03459E">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喷雾自动灌装机</w:t>
                  </w:r>
                </w:p>
              </w:tc>
              <w:tc>
                <w:tcPr>
                  <w:tcW w:w="564" w:type="pct"/>
                  <w:noWrap w:val="0"/>
                  <w:vAlign w:val="center"/>
                </w:tcPr>
                <w:p w14:paraId="6982F9E9">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10L/min</w:t>
                  </w:r>
                </w:p>
              </w:tc>
              <w:tc>
                <w:tcPr>
                  <w:tcW w:w="360" w:type="pct"/>
                  <w:noWrap w:val="0"/>
                  <w:vAlign w:val="center"/>
                </w:tcPr>
                <w:p w14:paraId="0449541C">
                  <w:pPr>
                    <w:snapToGrid w:val="0"/>
                    <w:spacing w:line="240" w:lineRule="auto"/>
                    <w:jc w:val="center"/>
                    <w:textAlignment w:val="auto"/>
                    <w:rPr>
                      <w:color w:val="auto"/>
                      <w:szCs w:val="21"/>
                    </w:rPr>
                  </w:pPr>
                  <w:r>
                    <w:rPr>
                      <w:rFonts w:hint="eastAsia"/>
                      <w:color w:val="auto"/>
                      <w:szCs w:val="21"/>
                    </w:rPr>
                    <w:t>1</w:t>
                  </w:r>
                </w:p>
              </w:tc>
              <w:tc>
                <w:tcPr>
                  <w:tcW w:w="362" w:type="pct"/>
                  <w:noWrap w:val="0"/>
                  <w:vAlign w:val="center"/>
                </w:tcPr>
                <w:p w14:paraId="58E584D7">
                  <w:pPr>
                    <w:snapToGrid w:val="0"/>
                    <w:spacing w:line="240" w:lineRule="auto"/>
                    <w:jc w:val="center"/>
                    <w:textAlignment w:val="auto"/>
                    <w:rPr>
                      <w:rFonts w:hint="eastAsia"/>
                      <w:color w:val="FF0000"/>
                      <w:szCs w:val="21"/>
                    </w:rPr>
                  </w:pPr>
                  <w:r>
                    <w:rPr>
                      <w:rFonts w:hint="eastAsia"/>
                      <w:color w:val="FF0000"/>
                      <w:szCs w:val="21"/>
                      <w:lang w:val="en-US" w:eastAsia="zh-CN"/>
                    </w:rPr>
                    <w:t>/</w:t>
                  </w:r>
                </w:p>
              </w:tc>
            </w:tr>
            <w:tr w14:paraId="0648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1624FC38">
                  <w:pPr>
                    <w:snapToGrid w:val="0"/>
                    <w:spacing w:line="240" w:lineRule="auto"/>
                    <w:jc w:val="center"/>
                    <w:textAlignment w:val="auto"/>
                    <w:rPr>
                      <w:color w:val="auto"/>
                      <w:szCs w:val="21"/>
                    </w:rPr>
                  </w:pPr>
                  <w:r>
                    <w:rPr>
                      <w:rFonts w:hint="eastAsia"/>
                      <w:color w:val="auto"/>
                      <w:szCs w:val="21"/>
                    </w:rPr>
                    <w:t>5</w:t>
                  </w:r>
                </w:p>
              </w:tc>
              <w:tc>
                <w:tcPr>
                  <w:tcW w:w="497" w:type="pct"/>
                  <w:vMerge w:val="restart"/>
                  <w:noWrap w:val="0"/>
                  <w:vAlign w:val="center"/>
                </w:tcPr>
                <w:p w14:paraId="48A84BBE">
                  <w:pPr>
                    <w:widowControl/>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医用硅酮疤痕凝胶</w:t>
                  </w:r>
                </w:p>
              </w:tc>
              <w:tc>
                <w:tcPr>
                  <w:tcW w:w="690" w:type="pct"/>
                  <w:noWrap w:val="0"/>
                  <w:vAlign w:val="center"/>
                </w:tcPr>
                <w:p w14:paraId="03E29F6C">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乳化机</w:t>
                  </w:r>
                </w:p>
              </w:tc>
              <w:tc>
                <w:tcPr>
                  <w:tcW w:w="475" w:type="pct"/>
                  <w:noWrap w:val="0"/>
                  <w:vAlign w:val="center"/>
                </w:tcPr>
                <w:p w14:paraId="21952217">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100L</w:t>
                  </w:r>
                </w:p>
              </w:tc>
              <w:tc>
                <w:tcPr>
                  <w:tcW w:w="358" w:type="pct"/>
                  <w:noWrap w:val="0"/>
                  <w:vAlign w:val="center"/>
                </w:tcPr>
                <w:p w14:paraId="1DCA21A8">
                  <w:pPr>
                    <w:snapToGrid w:val="0"/>
                    <w:spacing w:line="240" w:lineRule="auto"/>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1</w:t>
                  </w:r>
                </w:p>
              </w:tc>
              <w:tc>
                <w:tcPr>
                  <w:tcW w:w="617" w:type="pct"/>
                  <w:vMerge w:val="restart"/>
                  <w:noWrap w:val="0"/>
                  <w:vAlign w:val="center"/>
                </w:tcPr>
                <w:p w14:paraId="0E946203">
                  <w:pPr>
                    <w:widowControl/>
                    <w:jc w:val="center"/>
                    <w:textAlignment w:val="center"/>
                    <w:rPr>
                      <w:rFonts w:hint="eastAsia"/>
                      <w:color w:val="auto"/>
                      <w:sz w:val="22"/>
                      <w:szCs w:val="22"/>
                      <w:lang w:bidi="ar"/>
                    </w:rPr>
                  </w:pPr>
                  <w:r>
                    <w:rPr>
                      <w:rFonts w:hint="eastAsia"/>
                      <w:color w:val="auto"/>
                      <w:szCs w:val="19"/>
                      <w:lang w:bidi="ar"/>
                    </w:rPr>
                    <w:t>医用硅酮疤痕凝胶</w:t>
                  </w:r>
                </w:p>
              </w:tc>
              <w:tc>
                <w:tcPr>
                  <w:tcW w:w="784" w:type="pct"/>
                  <w:noWrap w:val="0"/>
                  <w:vAlign w:val="center"/>
                </w:tcPr>
                <w:p w14:paraId="646EF4D4">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乳化机</w:t>
                  </w:r>
                </w:p>
              </w:tc>
              <w:tc>
                <w:tcPr>
                  <w:tcW w:w="564" w:type="pct"/>
                  <w:noWrap w:val="0"/>
                  <w:vAlign w:val="center"/>
                </w:tcPr>
                <w:p w14:paraId="343686F8">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100L</w:t>
                  </w:r>
                </w:p>
              </w:tc>
              <w:tc>
                <w:tcPr>
                  <w:tcW w:w="360" w:type="pct"/>
                  <w:noWrap w:val="0"/>
                  <w:vAlign w:val="center"/>
                </w:tcPr>
                <w:p w14:paraId="54E454B2">
                  <w:pPr>
                    <w:snapToGrid w:val="0"/>
                    <w:spacing w:line="240" w:lineRule="auto"/>
                    <w:jc w:val="center"/>
                    <w:textAlignment w:val="auto"/>
                    <w:rPr>
                      <w:color w:val="auto"/>
                      <w:szCs w:val="21"/>
                    </w:rPr>
                  </w:pPr>
                  <w:r>
                    <w:rPr>
                      <w:rFonts w:hint="eastAsia"/>
                      <w:color w:val="auto"/>
                      <w:szCs w:val="21"/>
                    </w:rPr>
                    <w:t>1</w:t>
                  </w:r>
                </w:p>
              </w:tc>
              <w:tc>
                <w:tcPr>
                  <w:tcW w:w="362" w:type="pct"/>
                  <w:noWrap w:val="0"/>
                  <w:vAlign w:val="center"/>
                </w:tcPr>
                <w:p w14:paraId="3685C22F">
                  <w:pPr>
                    <w:snapToGrid w:val="0"/>
                    <w:spacing w:line="240" w:lineRule="auto"/>
                    <w:jc w:val="center"/>
                    <w:textAlignment w:val="auto"/>
                    <w:rPr>
                      <w:rFonts w:hint="eastAsia"/>
                      <w:color w:val="FF0000"/>
                      <w:szCs w:val="21"/>
                    </w:rPr>
                  </w:pPr>
                  <w:r>
                    <w:rPr>
                      <w:rFonts w:hint="eastAsia"/>
                      <w:color w:val="FF0000"/>
                      <w:szCs w:val="21"/>
                      <w:lang w:val="en-US" w:eastAsia="zh-CN"/>
                    </w:rPr>
                    <w:t>/</w:t>
                  </w:r>
                </w:p>
              </w:tc>
            </w:tr>
            <w:tr w14:paraId="4F97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29AD073A">
                  <w:pPr>
                    <w:snapToGrid w:val="0"/>
                    <w:spacing w:line="240" w:lineRule="auto"/>
                    <w:jc w:val="center"/>
                    <w:textAlignment w:val="auto"/>
                    <w:rPr>
                      <w:color w:val="auto"/>
                      <w:szCs w:val="21"/>
                    </w:rPr>
                  </w:pPr>
                  <w:r>
                    <w:rPr>
                      <w:rFonts w:hint="eastAsia"/>
                      <w:color w:val="auto"/>
                      <w:szCs w:val="21"/>
                    </w:rPr>
                    <w:t>6</w:t>
                  </w:r>
                </w:p>
              </w:tc>
              <w:tc>
                <w:tcPr>
                  <w:tcW w:w="497" w:type="pct"/>
                  <w:vMerge w:val="continue"/>
                  <w:noWrap w:val="0"/>
                  <w:vAlign w:val="center"/>
                </w:tcPr>
                <w:p w14:paraId="544BD22E">
                  <w:pPr>
                    <w:widowControl/>
                    <w:jc w:val="center"/>
                    <w:textAlignment w:val="center"/>
                    <w:rPr>
                      <w:rFonts w:hint="eastAsia" w:ascii="宋体" w:hAnsi="宋体" w:eastAsia="宋体" w:cs="宋体"/>
                      <w:color w:val="auto"/>
                      <w:sz w:val="21"/>
                      <w:szCs w:val="21"/>
                    </w:rPr>
                  </w:pPr>
                </w:p>
              </w:tc>
              <w:tc>
                <w:tcPr>
                  <w:tcW w:w="690" w:type="pct"/>
                  <w:noWrap w:val="0"/>
                  <w:vAlign w:val="center"/>
                </w:tcPr>
                <w:p w14:paraId="064A0EAD">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封尾机</w:t>
                  </w:r>
                </w:p>
              </w:tc>
              <w:tc>
                <w:tcPr>
                  <w:tcW w:w="475" w:type="pct"/>
                  <w:noWrap w:val="0"/>
                  <w:vAlign w:val="center"/>
                </w:tcPr>
                <w:p w14:paraId="18619855">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40/min</w:t>
                  </w:r>
                </w:p>
              </w:tc>
              <w:tc>
                <w:tcPr>
                  <w:tcW w:w="358" w:type="pct"/>
                  <w:noWrap w:val="0"/>
                  <w:vAlign w:val="center"/>
                </w:tcPr>
                <w:p w14:paraId="7CE47FD7">
                  <w:pPr>
                    <w:snapToGrid w:val="0"/>
                    <w:spacing w:line="240" w:lineRule="auto"/>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1</w:t>
                  </w:r>
                </w:p>
              </w:tc>
              <w:tc>
                <w:tcPr>
                  <w:tcW w:w="617" w:type="pct"/>
                  <w:vMerge w:val="continue"/>
                  <w:noWrap w:val="0"/>
                  <w:vAlign w:val="center"/>
                </w:tcPr>
                <w:p w14:paraId="6784CADB">
                  <w:pPr>
                    <w:widowControl/>
                    <w:jc w:val="center"/>
                    <w:textAlignment w:val="center"/>
                    <w:rPr>
                      <w:rFonts w:hint="eastAsia"/>
                      <w:color w:val="auto"/>
                      <w:sz w:val="22"/>
                      <w:szCs w:val="22"/>
                      <w:lang w:bidi="ar"/>
                    </w:rPr>
                  </w:pPr>
                </w:p>
              </w:tc>
              <w:tc>
                <w:tcPr>
                  <w:tcW w:w="784" w:type="pct"/>
                  <w:noWrap w:val="0"/>
                  <w:vAlign w:val="center"/>
                </w:tcPr>
                <w:p w14:paraId="71C8C297">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封尾机</w:t>
                  </w:r>
                </w:p>
              </w:tc>
              <w:tc>
                <w:tcPr>
                  <w:tcW w:w="564" w:type="pct"/>
                  <w:noWrap w:val="0"/>
                  <w:vAlign w:val="center"/>
                </w:tcPr>
                <w:p w14:paraId="3A313D78">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40/min</w:t>
                  </w:r>
                </w:p>
              </w:tc>
              <w:tc>
                <w:tcPr>
                  <w:tcW w:w="360" w:type="pct"/>
                  <w:noWrap w:val="0"/>
                  <w:vAlign w:val="center"/>
                </w:tcPr>
                <w:p w14:paraId="4D35B379">
                  <w:pPr>
                    <w:snapToGrid w:val="0"/>
                    <w:spacing w:line="240" w:lineRule="auto"/>
                    <w:jc w:val="center"/>
                    <w:textAlignment w:val="auto"/>
                    <w:rPr>
                      <w:color w:val="auto"/>
                      <w:szCs w:val="21"/>
                    </w:rPr>
                  </w:pPr>
                  <w:r>
                    <w:rPr>
                      <w:rFonts w:hint="eastAsia"/>
                      <w:color w:val="auto"/>
                      <w:szCs w:val="21"/>
                    </w:rPr>
                    <w:t>1</w:t>
                  </w:r>
                </w:p>
              </w:tc>
              <w:tc>
                <w:tcPr>
                  <w:tcW w:w="362" w:type="pct"/>
                  <w:noWrap w:val="0"/>
                  <w:vAlign w:val="center"/>
                </w:tcPr>
                <w:p w14:paraId="66318FBD">
                  <w:pPr>
                    <w:snapToGrid w:val="0"/>
                    <w:spacing w:line="240" w:lineRule="auto"/>
                    <w:jc w:val="center"/>
                    <w:textAlignment w:val="auto"/>
                    <w:rPr>
                      <w:rFonts w:hint="eastAsia"/>
                      <w:color w:val="FF0000"/>
                      <w:szCs w:val="21"/>
                    </w:rPr>
                  </w:pPr>
                  <w:r>
                    <w:rPr>
                      <w:rFonts w:hint="eastAsia"/>
                      <w:color w:val="FF0000"/>
                      <w:szCs w:val="21"/>
                      <w:lang w:val="en-US" w:eastAsia="zh-CN"/>
                    </w:rPr>
                    <w:t>/</w:t>
                  </w:r>
                </w:p>
              </w:tc>
            </w:tr>
            <w:tr w14:paraId="26C8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70823A22">
                  <w:pPr>
                    <w:snapToGrid w:val="0"/>
                    <w:spacing w:line="240" w:lineRule="auto"/>
                    <w:jc w:val="center"/>
                    <w:textAlignment w:val="auto"/>
                    <w:rPr>
                      <w:rFonts w:hint="eastAsia" w:eastAsia="宋体"/>
                      <w:color w:val="auto"/>
                      <w:szCs w:val="21"/>
                      <w:lang w:val="en-US" w:eastAsia="zh-CN"/>
                    </w:rPr>
                  </w:pPr>
                  <w:r>
                    <w:rPr>
                      <w:rFonts w:hint="eastAsia"/>
                      <w:color w:val="auto"/>
                      <w:szCs w:val="21"/>
                      <w:lang w:val="en-US" w:eastAsia="zh-CN"/>
                    </w:rPr>
                    <w:t>7</w:t>
                  </w:r>
                </w:p>
              </w:tc>
              <w:tc>
                <w:tcPr>
                  <w:tcW w:w="497" w:type="pct"/>
                  <w:noWrap w:val="0"/>
                  <w:vAlign w:val="center"/>
                </w:tcPr>
                <w:p w14:paraId="0FFB6FD8">
                  <w:pPr>
                    <w:widowControl/>
                    <w:jc w:val="center"/>
                    <w:textAlignment w:val="center"/>
                    <w:rPr>
                      <w:rFonts w:hint="eastAsia" w:ascii="宋体" w:hAnsi="宋体" w:eastAsia="宋体" w:cs="宋体"/>
                      <w:color w:val="auto"/>
                      <w:sz w:val="21"/>
                      <w:szCs w:val="21"/>
                      <w:lang w:bidi="ar"/>
                    </w:rPr>
                  </w:pPr>
                  <w:r>
                    <w:rPr>
                      <w:rFonts w:hint="eastAsia" w:ascii="宋体" w:hAnsi="宋体" w:eastAsia="宋体" w:cs="宋体"/>
                      <w:color w:val="auto"/>
                      <w:sz w:val="21"/>
                      <w:szCs w:val="21"/>
                      <w:lang w:val="en-US" w:eastAsia="zh-CN" w:bidi="ar"/>
                    </w:rPr>
                    <w:t>纯水</w:t>
                  </w:r>
                </w:p>
              </w:tc>
              <w:tc>
                <w:tcPr>
                  <w:tcW w:w="690" w:type="pct"/>
                  <w:noWrap w:val="0"/>
                  <w:vAlign w:val="center"/>
                </w:tcPr>
                <w:p w14:paraId="07D7E5CC">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纯水机</w:t>
                  </w:r>
                </w:p>
              </w:tc>
              <w:tc>
                <w:tcPr>
                  <w:tcW w:w="475" w:type="pct"/>
                  <w:noWrap w:val="0"/>
                  <w:vAlign w:val="center"/>
                </w:tcPr>
                <w:p w14:paraId="5B8C566E">
                  <w:pPr>
                    <w:widowControl/>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lang w:bidi="ar"/>
                    </w:rPr>
                    <w:t>2L/min</w:t>
                  </w:r>
                </w:p>
              </w:tc>
              <w:tc>
                <w:tcPr>
                  <w:tcW w:w="358" w:type="pct"/>
                  <w:noWrap w:val="0"/>
                  <w:vAlign w:val="center"/>
                </w:tcPr>
                <w:p w14:paraId="6AEF0D59">
                  <w:pPr>
                    <w:snapToGrid w:val="0"/>
                    <w:spacing w:line="240" w:lineRule="auto"/>
                    <w:jc w:val="center"/>
                    <w:textAlignment w:val="auto"/>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2</w:t>
                  </w:r>
                </w:p>
              </w:tc>
              <w:tc>
                <w:tcPr>
                  <w:tcW w:w="617" w:type="pct"/>
                  <w:vMerge w:val="restart"/>
                  <w:noWrap w:val="0"/>
                  <w:vAlign w:val="center"/>
                </w:tcPr>
                <w:p w14:paraId="2B92D00D">
                  <w:pPr>
                    <w:snapToGrid w:val="0"/>
                    <w:spacing w:line="240" w:lineRule="auto"/>
                    <w:jc w:val="center"/>
                    <w:textAlignment w:val="auto"/>
                    <w:rPr>
                      <w:rFonts w:hint="eastAsia" w:eastAsia="宋体"/>
                      <w:color w:val="auto"/>
                      <w:sz w:val="22"/>
                      <w:szCs w:val="22"/>
                      <w:lang w:eastAsia="zh-CN" w:bidi="ar"/>
                    </w:rPr>
                  </w:pPr>
                  <w:r>
                    <w:rPr>
                      <w:rFonts w:hint="eastAsia"/>
                      <w:color w:val="auto"/>
                      <w:szCs w:val="21"/>
                    </w:rPr>
                    <w:t>重组胶原蛋白贴</w:t>
                  </w:r>
                  <w:r>
                    <w:rPr>
                      <w:rFonts w:hint="eastAsia"/>
                      <w:color w:val="auto"/>
                      <w:szCs w:val="21"/>
                      <w:lang w:eastAsia="zh-CN"/>
                    </w:rPr>
                    <w:t>、</w:t>
                  </w:r>
                  <w:r>
                    <w:rPr>
                      <w:rFonts w:hint="eastAsia"/>
                      <w:color w:val="auto"/>
                      <w:szCs w:val="19"/>
                      <w:lang w:bidi="ar"/>
                    </w:rPr>
                    <w:t>医用透明质酸钠敷贴</w:t>
                  </w:r>
                </w:p>
              </w:tc>
              <w:tc>
                <w:tcPr>
                  <w:tcW w:w="784" w:type="pct"/>
                  <w:noWrap w:val="0"/>
                  <w:vAlign w:val="center"/>
                </w:tcPr>
                <w:p w14:paraId="6CFD7517">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真空均质乳化机组</w:t>
                  </w:r>
                </w:p>
              </w:tc>
              <w:tc>
                <w:tcPr>
                  <w:tcW w:w="564" w:type="pct"/>
                  <w:noWrap w:val="0"/>
                  <w:vAlign w:val="center"/>
                </w:tcPr>
                <w:p w14:paraId="7A5D9164">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val="en-US" w:eastAsia="zh-CN" w:bidi="ar"/>
                    </w:rPr>
                    <w:t>350L</w:t>
                  </w:r>
                </w:p>
              </w:tc>
              <w:tc>
                <w:tcPr>
                  <w:tcW w:w="360" w:type="pct"/>
                  <w:noWrap w:val="0"/>
                  <w:vAlign w:val="center"/>
                </w:tcPr>
                <w:p w14:paraId="41342A53">
                  <w:pPr>
                    <w:snapToGrid w:val="0"/>
                    <w:spacing w:line="240" w:lineRule="auto"/>
                    <w:jc w:val="center"/>
                    <w:textAlignment w:val="auto"/>
                    <w:rPr>
                      <w:rFonts w:hint="eastAsia"/>
                      <w:color w:val="auto"/>
                      <w:szCs w:val="21"/>
                    </w:rPr>
                  </w:pPr>
                  <w:r>
                    <w:rPr>
                      <w:rFonts w:hint="eastAsia"/>
                      <w:color w:val="auto"/>
                      <w:szCs w:val="21"/>
                      <w:lang w:val="en-US" w:eastAsia="zh-CN"/>
                    </w:rPr>
                    <w:t>2</w:t>
                  </w:r>
                </w:p>
              </w:tc>
              <w:tc>
                <w:tcPr>
                  <w:tcW w:w="362" w:type="pct"/>
                  <w:vMerge w:val="restart"/>
                  <w:noWrap w:val="0"/>
                  <w:vAlign w:val="center"/>
                </w:tcPr>
                <w:p w14:paraId="440AAF0F">
                  <w:pPr>
                    <w:snapToGrid w:val="0"/>
                    <w:spacing w:line="240" w:lineRule="auto"/>
                    <w:jc w:val="center"/>
                    <w:textAlignment w:val="auto"/>
                    <w:rPr>
                      <w:rFonts w:hint="eastAsia"/>
                      <w:color w:val="FF0000"/>
                      <w:szCs w:val="21"/>
                      <w:lang w:val="en-US" w:eastAsia="zh-CN"/>
                    </w:rPr>
                  </w:pPr>
                  <w:r>
                    <w:rPr>
                      <w:rFonts w:hint="eastAsia"/>
                      <w:color w:val="FF0000"/>
                      <w:szCs w:val="21"/>
                      <w:lang w:val="en-US" w:eastAsia="zh-CN"/>
                    </w:rPr>
                    <w:t>共线</w:t>
                  </w:r>
                </w:p>
              </w:tc>
            </w:tr>
            <w:tr w14:paraId="5D72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0B404B76">
                  <w:pPr>
                    <w:snapToGrid w:val="0"/>
                    <w:spacing w:line="240" w:lineRule="auto"/>
                    <w:jc w:val="center"/>
                    <w:textAlignment w:val="auto"/>
                    <w:rPr>
                      <w:rFonts w:hint="eastAsia" w:eastAsia="宋体"/>
                      <w:color w:val="auto"/>
                      <w:szCs w:val="21"/>
                      <w:lang w:val="en-US" w:eastAsia="zh-CN"/>
                    </w:rPr>
                  </w:pPr>
                  <w:r>
                    <w:rPr>
                      <w:rFonts w:hint="eastAsia"/>
                      <w:color w:val="auto"/>
                      <w:szCs w:val="21"/>
                      <w:lang w:val="en-US" w:eastAsia="zh-CN"/>
                    </w:rPr>
                    <w:t>9</w:t>
                  </w:r>
                </w:p>
              </w:tc>
              <w:tc>
                <w:tcPr>
                  <w:tcW w:w="2021" w:type="pct"/>
                  <w:gridSpan w:val="4"/>
                  <w:vMerge w:val="restart"/>
                  <w:noWrap w:val="0"/>
                  <w:vAlign w:val="center"/>
                </w:tcPr>
                <w:p w14:paraId="428AA3EC">
                  <w:pPr>
                    <w:widowControl/>
                    <w:jc w:val="center"/>
                    <w:textAlignment w:val="center"/>
                    <w:rPr>
                      <w:rFonts w:hint="default" w:eastAsia="宋体"/>
                      <w:color w:val="auto"/>
                      <w:sz w:val="22"/>
                      <w:szCs w:val="22"/>
                      <w:lang w:val="en-US" w:eastAsia="zh-CN" w:bidi="ar"/>
                    </w:rPr>
                  </w:pPr>
                  <w:r>
                    <w:rPr>
                      <w:rFonts w:hint="eastAsia"/>
                      <w:color w:val="auto"/>
                      <w:sz w:val="22"/>
                      <w:szCs w:val="22"/>
                      <w:lang w:val="en-US" w:eastAsia="zh-CN" w:bidi="ar"/>
                    </w:rPr>
                    <w:t>/</w:t>
                  </w:r>
                </w:p>
              </w:tc>
              <w:tc>
                <w:tcPr>
                  <w:tcW w:w="617" w:type="pct"/>
                  <w:vMerge w:val="continue"/>
                  <w:noWrap w:val="0"/>
                  <w:vAlign w:val="center"/>
                </w:tcPr>
                <w:p w14:paraId="3F44A8B2">
                  <w:pPr>
                    <w:widowControl/>
                    <w:jc w:val="center"/>
                    <w:textAlignment w:val="center"/>
                    <w:rPr>
                      <w:rFonts w:hint="eastAsia"/>
                      <w:color w:val="auto"/>
                      <w:sz w:val="22"/>
                      <w:szCs w:val="22"/>
                      <w:lang w:bidi="ar"/>
                    </w:rPr>
                  </w:pPr>
                </w:p>
              </w:tc>
              <w:tc>
                <w:tcPr>
                  <w:tcW w:w="784" w:type="pct"/>
                  <w:noWrap w:val="0"/>
                  <w:vAlign w:val="center"/>
                </w:tcPr>
                <w:p w14:paraId="2E951A69">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面膜灌装封口机</w:t>
                  </w:r>
                </w:p>
              </w:tc>
              <w:tc>
                <w:tcPr>
                  <w:tcW w:w="564" w:type="pct"/>
                  <w:noWrap w:val="0"/>
                  <w:vAlign w:val="center"/>
                </w:tcPr>
                <w:p w14:paraId="101194A3">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YH-M8</w:t>
                  </w:r>
                </w:p>
              </w:tc>
              <w:tc>
                <w:tcPr>
                  <w:tcW w:w="360" w:type="pct"/>
                  <w:noWrap w:val="0"/>
                  <w:vAlign w:val="center"/>
                </w:tcPr>
                <w:p w14:paraId="4301A00A">
                  <w:pPr>
                    <w:snapToGrid w:val="0"/>
                    <w:spacing w:line="240" w:lineRule="auto"/>
                    <w:jc w:val="center"/>
                    <w:textAlignment w:val="auto"/>
                    <w:rPr>
                      <w:rFonts w:hint="eastAsia"/>
                      <w:color w:val="auto"/>
                      <w:szCs w:val="21"/>
                    </w:rPr>
                  </w:pPr>
                  <w:r>
                    <w:rPr>
                      <w:rFonts w:hint="eastAsia"/>
                      <w:color w:val="auto"/>
                      <w:szCs w:val="21"/>
                      <w:lang w:val="en-US" w:eastAsia="zh-CN"/>
                    </w:rPr>
                    <w:t>2</w:t>
                  </w:r>
                </w:p>
              </w:tc>
              <w:tc>
                <w:tcPr>
                  <w:tcW w:w="362" w:type="pct"/>
                  <w:vMerge w:val="continue"/>
                  <w:noWrap w:val="0"/>
                  <w:vAlign w:val="center"/>
                </w:tcPr>
                <w:p w14:paraId="4A23F0D3">
                  <w:pPr>
                    <w:snapToGrid w:val="0"/>
                    <w:spacing w:line="240" w:lineRule="auto"/>
                    <w:jc w:val="center"/>
                    <w:textAlignment w:val="auto"/>
                    <w:rPr>
                      <w:rFonts w:hint="eastAsia"/>
                      <w:color w:val="FF0000"/>
                      <w:szCs w:val="21"/>
                      <w:lang w:val="en-US" w:eastAsia="zh-CN"/>
                    </w:rPr>
                  </w:pPr>
                </w:p>
              </w:tc>
            </w:tr>
            <w:tr w14:paraId="7A58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55793928">
                  <w:pPr>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10</w:t>
                  </w:r>
                </w:p>
              </w:tc>
              <w:tc>
                <w:tcPr>
                  <w:tcW w:w="2021" w:type="pct"/>
                  <w:gridSpan w:val="4"/>
                  <w:vMerge w:val="continue"/>
                  <w:noWrap w:val="0"/>
                  <w:vAlign w:val="center"/>
                </w:tcPr>
                <w:p w14:paraId="4E965B3B">
                  <w:pPr>
                    <w:widowControl/>
                    <w:jc w:val="center"/>
                    <w:textAlignment w:val="center"/>
                    <w:rPr>
                      <w:rFonts w:hint="eastAsia"/>
                      <w:color w:val="auto"/>
                      <w:sz w:val="22"/>
                      <w:szCs w:val="22"/>
                      <w:lang w:bidi="ar"/>
                    </w:rPr>
                  </w:pPr>
                </w:p>
              </w:tc>
              <w:tc>
                <w:tcPr>
                  <w:tcW w:w="617" w:type="pct"/>
                  <w:vMerge w:val="restart"/>
                  <w:noWrap w:val="0"/>
                  <w:vAlign w:val="center"/>
                </w:tcPr>
                <w:p w14:paraId="2147B9AF">
                  <w:pPr>
                    <w:snapToGrid w:val="0"/>
                    <w:spacing w:line="240" w:lineRule="auto"/>
                    <w:jc w:val="center"/>
                    <w:textAlignment w:val="auto"/>
                    <w:rPr>
                      <w:rFonts w:hint="eastAsia"/>
                      <w:color w:val="auto"/>
                      <w:sz w:val="22"/>
                      <w:szCs w:val="22"/>
                      <w:lang w:bidi="ar"/>
                    </w:rPr>
                  </w:pPr>
                  <w:r>
                    <w:rPr>
                      <w:rFonts w:hint="eastAsia"/>
                      <w:color w:val="auto"/>
                      <w:szCs w:val="19"/>
                      <w:lang w:bidi="ar"/>
                    </w:rPr>
                    <w:t>壳聚糖止血粉</w:t>
                  </w:r>
                </w:p>
              </w:tc>
              <w:tc>
                <w:tcPr>
                  <w:tcW w:w="784" w:type="pct"/>
                  <w:noWrap w:val="0"/>
                  <w:vAlign w:val="center"/>
                </w:tcPr>
                <w:p w14:paraId="260F998F">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瓶装灌装旋盖机</w:t>
                  </w:r>
                </w:p>
              </w:tc>
              <w:tc>
                <w:tcPr>
                  <w:tcW w:w="564" w:type="pct"/>
                  <w:noWrap w:val="0"/>
                  <w:vAlign w:val="center"/>
                </w:tcPr>
                <w:p w14:paraId="4703BAB9">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XG-40</w:t>
                  </w:r>
                </w:p>
              </w:tc>
              <w:tc>
                <w:tcPr>
                  <w:tcW w:w="360" w:type="pct"/>
                  <w:noWrap w:val="0"/>
                  <w:vAlign w:val="center"/>
                </w:tcPr>
                <w:p w14:paraId="295B2119">
                  <w:pPr>
                    <w:snapToGrid w:val="0"/>
                    <w:spacing w:line="240" w:lineRule="auto"/>
                    <w:jc w:val="center"/>
                    <w:textAlignment w:val="auto"/>
                    <w:rPr>
                      <w:rFonts w:hint="eastAsia"/>
                      <w:color w:val="auto"/>
                      <w:szCs w:val="21"/>
                    </w:rPr>
                  </w:pPr>
                  <w:r>
                    <w:rPr>
                      <w:rFonts w:hint="eastAsia"/>
                      <w:color w:val="auto"/>
                      <w:szCs w:val="21"/>
                      <w:lang w:val="en-US" w:eastAsia="zh-CN"/>
                    </w:rPr>
                    <w:t>1</w:t>
                  </w:r>
                </w:p>
              </w:tc>
              <w:tc>
                <w:tcPr>
                  <w:tcW w:w="362" w:type="pct"/>
                  <w:noWrap w:val="0"/>
                  <w:vAlign w:val="center"/>
                </w:tcPr>
                <w:p w14:paraId="08753D19">
                  <w:pPr>
                    <w:snapToGrid w:val="0"/>
                    <w:spacing w:line="240" w:lineRule="auto"/>
                    <w:jc w:val="center"/>
                    <w:textAlignment w:val="auto"/>
                    <w:rPr>
                      <w:rFonts w:hint="eastAsia"/>
                      <w:color w:val="FF0000"/>
                      <w:szCs w:val="21"/>
                      <w:lang w:val="en-US" w:eastAsia="zh-CN"/>
                    </w:rPr>
                  </w:pPr>
                  <w:r>
                    <w:rPr>
                      <w:rFonts w:hint="eastAsia"/>
                      <w:color w:val="FF0000"/>
                      <w:szCs w:val="21"/>
                      <w:lang w:val="en-US" w:eastAsia="zh-CN"/>
                    </w:rPr>
                    <w:t>/</w:t>
                  </w:r>
                </w:p>
              </w:tc>
            </w:tr>
            <w:tr w14:paraId="463E4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6E1C59EC">
                  <w:pPr>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11</w:t>
                  </w:r>
                </w:p>
              </w:tc>
              <w:tc>
                <w:tcPr>
                  <w:tcW w:w="2021" w:type="pct"/>
                  <w:gridSpan w:val="4"/>
                  <w:vMerge w:val="continue"/>
                  <w:noWrap w:val="0"/>
                  <w:vAlign w:val="center"/>
                </w:tcPr>
                <w:p w14:paraId="63DA25F7">
                  <w:pPr>
                    <w:widowControl/>
                    <w:jc w:val="center"/>
                    <w:textAlignment w:val="center"/>
                    <w:rPr>
                      <w:rFonts w:hint="eastAsia"/>
                      <w:color w:val="auto"/>
                      <w:sz w:val="22"/>
                      <w:szCs w:val="22"/>
                      <w:lang w:bidi="ar"/>
                    </w:rPr>
                  </w:pPr>
                </w:p>
              </w:tc>
              <w:tc>
                <w:tcPr>
                  <w:tcW w:w="617" w:type="pct"/>
                  <w:vMerge w:val="continue"/>
                  <w:noWrap w:val="0"/>
                  <w:vAlign w:val="center"/>
                </w:tcPr>
                <w:p w14:paraId="043ABDC1">
                  <w:pPr>
                    <w:widowControl/>
                    <w:jc w:val="center"/>
                    <w:textAlignment w:val="center"/>
                    <w:rPr>
                      <w:rFonts w:hint="eastAsia"/>
                      <w:color w:val="auto"/>
                      <w:sz w:val="22"/>
                      <w:szCs w:val="22"/>
                      <w:lang w:bidi="ar"/>
                    </w:rPr>
                  </w:pPr>
                </w:p>
              </w:tc>
              <w:tc>
                <w:tcPr>
                  <w:tcW w:w="784" w:type="pct"/>
                  <w:noWrap w:val="0"/>
                  <w:vAlign w:val="center"/>
                </w:tcPr>
                <w:p w14:paraId="4171F365">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贴标机</w:t>
                  </w:r>
                </w:p>
              </w:tc>
              <w:tc>
                <w:tcPr>
                  <w:tcW w:w="564" w:type="pct"/>
                  <w:noWrap w:val="0"/>
                  <w:vAlign w:val="center"/>
                </w:tcPr>
                <w:p w14:paraId="31748C73">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TBJ-60</w:t>
                  </w:r>
                </w:p>
              </w:tc>
              <w:tc>
                <w:tcPr>
                  <w:tcW w:w="360" w:type="pct"/>
                  <w:noWrap w:val="0"/>
                  <w:vAlign w:val="center"/>
                </w:tcPr>
                <w:p w14:paraId="4181DEC4">
                  <w:pPr>
                    <w:snapToGrid w:val="0"/>
                    <w:spacing w:line="240" w:lineRule="auto"/>
                    <w:jc w:val="center"/>
                    <w:textAlignment w:val="auto"/>
                    <w:rPr>
                      <w:rFonts w:hint="eastAsia"/>
                      <w:color w:val="auto"/>
                      <w:szCs w:val="21"/>
                    </w:rPr>
                  </w:pPr>
                  <w:r>
                    <w:rPr>
                      <w:rFonts w:hint="eastAsia"/>
                      <w:color w:val="auto"/>
                      <w:szCs w:val="21"/>
                      <w:lang w:val="en-US" w:eastAsia="zh-CN"/>
                    </w:rPr>
                    <w:t>1</w:t>
                  </w:r>
                </w:p>
              </w:tc>
              <w:tc>
                <w:tcPr>
                  <w:tcW w:w="362" w:type="pct"/>
                  <w:noWrap w:val="0"/>
                  <w:vAlign w:val="center"/>
                </w:tcPr>
                <w:p w14:paraId="11B18A93">
                  <w:pPr>
                    <w:snapToGrid w:val="0"/>
                    <w:spacing w:line="240" w:lineRule="auto"/>
                    <w:jc w:val="center"/>
                    <w:textAlignment w:val="auto"/>
                    <w:rPr>
                      <w:rFonts w:hint="eastAsia"/>
                      <w:color w:val="FF0000"/>
                      <w:szCs w:val="21"/>
                      <w:lang w:val="en-US" w:eastAsia="zh-CN"/>
                    </w:rPr>
                  </w:pPr>
                  <w:r>
                    <w:rPr>
                      <w:rFonts w:hint="eastAsia"/>
                      <w:color w:val="FF0000"/>
                      <w:szCs w:val="21"/>
                      <w:lang w:val="en-US" w:eastAsia="zh-CN"/>
                    </w:rPr>
                    <w:t>/</w:t>
                  </w:r>
                </w:p>
              </w:tc>
            </w:tr>
            <w:tr w14:paraId="68AF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3066A46A">
                  <w:pPr>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12</w:t>
                  </w:r>
                </w:p>
              </w:tc>
              <w:tc>
                <w:tcPr>
                  <w:tcW w:w="2021" w:type="pct"/>
                  <w:gridSpan w:val="4"/>
                  <w:vMerge w:val="continue"/>
                  <w:noWrap w:val="0"/>
                  <w:vAlign w:val="center"/>
                </w:tcPr>
                <w:p w14:paraId="5290C54A">
                  <w:pPr>
                    <w:widowControl/>
                    <w:jc w:val="center"/>
                    <w:textAlignment w:val="center"/>
                    <w:rPr>
                      <w:rFonts w:hint="eastAsia"/>
                      <w:color w:val="auto"/>
                      <w:sz w:val="22"/>
                      <w:szCs w:val="22"/>
                      <w:lang w:bidi="ar"/>
                    </w:rPr>
                  </w:pPr>
                </w:p>
              </w:tc>
              <w:tc>
                <w:tcPr>
                  <w:tcW w:w="617" w:type="pct"/>
                  <w:vMerge w:val="continue"/>
                  <w:noWrap w:val="0"/>
                  <w:vAlign w:val="center"/>
                </w:tcPr>
                <w:p w14:paraId="5ACA0D5D">
                  <w:pPr>
                    <w:widowControl/>
                    <w:jc w:val="center"/>
                    <w:textAlignment w:val="center"/>
                    <w:rPr>
                      <w:rFonts w:hint="eastAsia"/>
                      <w:color w:val="auto"/>
                      <w:sz w:val="22"/>
                      <w:szCs w:val="22"/>
                      <w:lang w:bidi="ar"/>
                    </w:rPr>
                  </w:pPr>
                </w:p>
              </w:tc>
              <w:tc>
                <w:tcPr>
                  <w:tcW w:w="784" w:type="pct"/>
                  <w:noWrap w:val="0"/>
                  <w:vAlign w:val="center"/>
                </w:tcPr>
                <w:p w14:paraId="05FC6548">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袋装灌装机</w:t>
                  </w:r>
                </w:p>
              </w:tc>
              <w:tc>
                <w:tcPr>
                  <w:tcW w:w="564" w:type="pct"/>
                  <w:noWrap w:val="0"/>
                  <w:vAlign w:val="center"/>
                </w:tcPr>
                <w:p w14:paraId="25578156">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YK-20L</w:t>
                  </w:r>
                </w:p>
              </w:tc>
              <w:tc>
                <w:tcPr>
                  <w:tcW w:w="360" w:type="pct"/>
                  <w:noWrap w:val="0"/>
                  <w:vAlign w:val="center"/>
                </w:tcPr>
                <w:p w14:paraId="14BF3F6C">
                  <w:pPr>
                    <w:snapToGrid w:val="0"/>
                    <w:spacing w:line="240" w:lineRule="auto"/>
                    <w:jc w:val="center"/>
                    <w:textAlignment w:val="auto"/>
                    <w:rPr>
                      <w:rFonts w:hint="eastAsia"/>
                      <w:color w:val="auto"/>
                      <w:szCs w:val="21"/>
                    </w:rPr>
                  </w:pPr>
                  <w:r>
                    <w:rPr>
                      <w:rFonts w:hint="eastAsia"/>
                      <w:color w:val="auto"/>
                      <w:szCs w:val="21"/>
                      <w:lang w:val="en-US" w:eastAsia="zh-CN"/>
                    </w:rPr>
                    <w:t>1</w:t>
                  </w:r>
                </w:p>
              </w:tc>
              <w:tc>
                <w:tcPr>
                  <w:tcW w:w="362" w:type="pct"/>
                  <w:noWrap w:val="0"/>
                  <w:vAlign w:val="center"/>
                </w:tcPr>
                <w:p w14:paraId="72CA9E20">
                  <w:pPr>
                    <w:snapToGrid w:val="0"/>
                    <w:spacing w:line="240" w:lineRule="auto"/>
                    <w:jc w:val="center"/>
                    <w:textAlignment w:val="auto"/>
                    <w:rPr>
                      <w:rFonts w:hint="eastAsia"/>
                      <w:color w:val="FF0000"/>
                      <w:szCs w:val="21"/>
                      <w:lang w:val="en-US" w:eastAsia="zh-CN"/>
                    </w:rPr>
                  </w:pPr>
                  <w:r>
                    <w:rPr>
                      <w:rFonts w:hint="eastAsia"/>
                      <w:color w:val="FF0000"/>
                      <w:szCs w:val="21"/>
                      <w:lang w:val="en-US" w:eastAsia="zh-CN"/>
                    </w:rPr>
                    <w:t>/</w:t>
                  </w:r>
                </w:p>
              </w:tc>
            </w:tr>
            <w:tr w14:paraId="044BC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7DDCC406">
                  <w:pPr>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13</w:t>
                  </w:r>
                </w:p>
              </w:tc>
              <w:tc>
                <w:tcPr>
                  <w:tcW w:w="2021" w:type="pct"/>
                  <w:gridSpan w:val="4"/>
                  <w:vMerge w:val="continue"/>
                  <w:noWrap w:val="0"/>
                  <w:vAlign w:val="center"/>
                </w:tcPr>
                <w:p w14:paraId="22F655E9">
                  <w:pPr>
                    <w:widowControl/>
                    <w:jc w:val="center"/>
                    <w:textAlignment w:val="center"/>
                    <w:rPr>
                      <w:rFonts w:hint="eastAsia"/>
                      <w:color w:val="auto"/>
                      <w:sz w:val="22"/>
                      <w:szCs w:val="22"/>
                      <w:lang w:bidi="ar"/>
                    </w:rPr>
                  </w:pPr>
                </w:p>
              </w:tc>
              <w:tc>
                <w:tcPr>
                  <w:tcW w:w="617" w:type="pct"/>
                  <w:vMerge w:val="continue"/>
                  <w:noWrap w:val="0"/>
                  <w:vAlign w:val="center"/>
                </w:tcPr>
                <w:p w14:paraId="051EC8E9">
                  <w:pPr>
                    <w:widowControl/>
                    <w:jc w:val="center"/>
                    <w:textAlignment w:val="center"/>
                    <w:rPr>
                      <w:rFonts w:hint="eastAsia"/>
                      <w:color w:val="auto"/>
                      <w:sz w:val="22"/>
                      <w:szCs w:val="22"/>
                      <w:lang w:bidi="ar"/>
                    </w:rPr>
                  </w:pPr>
                </w:p>
              </w:tc>
              <w:tc>
                <w:tcPr>
                  <w:tcW w:w="784" w:type="pct"/>
                  <w:noWrap w:val="0"/>
                  <w:vAlign w:val="center"/>
                </w:tcPr>
                <w:p w14:paraId="0367BB4F">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自动封口机</w:t>
                  </w:r>
                </w:p>
              </w:tc>
              <w:tc>
                <w:tcPr>
                  <w:tcW w:w="564" w:type="pct"/>
                  <w:noWrap w:val="0"/>
                  <w:vAlign w:val="center"/>
                </w:tcPr>
                <w:p w14:paraId="3C2CB09F">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FRD—1000w</w:t>
                  </w:r>
                </w:p>
              </w:tc>
              <w:tc>
                <w:tcPr>
                  <w:tcW w:w="360" w:type="pct"/>
                  <w:noWrap w:val="0"/>
                  <w:vAlign w:val="center"/>
                </w:tcPr>
                <w:p w14:paraId="7CC0A968">
                  <w:pPr>
                    <w:snapToGrid w:val="0"/>
                    <w:spacing w:line="240" w:lineRule="auto"/>
                    <w:jc w:val="center"/>
                    <w:textAlignment w:val="auto"/>
                    <w:rPr>
                      <w:rFonts w:hint="eastAsia"/>
                      <w:color w:val="auto"/>
                      <w:szCs w:val="21"/>
                    </w:rPr>
                  </w:pPr>
                  <w:r>
                    <w:rPr>
                      <w:rFonts w:hint="eastAsia"/>
                      <w:color w:val="auto"/>
                      <w:szCs w:val="21"/>
                      <w:lang w:val="en-US" w:eastAsia="zh-CN"/>
                    </w:rPr>
                    <w:t>1</w:t>
                  </w:r>
                </w:p>
              </w:tc>
              <w:tc>
                <w:tcPr>
                  <w:tcW w:w="362" w:type="pct"/>
                  <w:noWrap w:val="0"/>
                  <w:vAlign w:val="center"/>
                </w:tcPr>
                <w:p w14:paraId="28204BF4">
                  <w:pPr>
                    <w:snapToGrid w:val="0"/>
                    <w:spacing w:line="240" w:lineRule="auto"/>
                    <w:jc w:val="center"/>
                    <w:textAlignment w:val="auto"/>
                    <w:rPr>
                      <w:rFonts w:hint="eastAsia"/>
                      <w:color w:val="FF0000"/>
                      <w:szCs w:val="21"/>
                      <w:lang w:val="en-US" w:eastAsia="zh-CN"/>
                    </w:rPr>
                  </w:pPr>
                  <w:r>
                    <w:rPr>
                      <w:rFonts w:hint="eastAsia"/>
                      <w:color w:val="FF0000"/>
                      <w:szCs w:val="21"/>
                      <w:lang w:val="en-US" w:eastAsia="zh-CN"/>
                    </w:rPr>
                    <w:t>/</w:t>
                  </w:r>
                </w:p>
              </w:tc>
            </w:tr>
            <w:tr w14:paraId="5A14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2B460E0C">
                  <w:pPr>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14</w:t>
                  </w:r>
                </w:p>
              </w:tc>
              <w:tc>
                <w:tcPr>
                  <w:tcW w:w="2021" w:type="pct"/>
                  <w:gridSpan w:val="4"/>
                  <w:vMerge w:val="continue"/>
                  <w:noWrap w:val="0"/>
                  <w:vAlign w:val="center"/>
                </w:tcPr>
                <w:p w14:paraId="192DEA4B">
                  <w:pPr>
                    <w:widowControl/>
                    <w:jc w:val="center"/>
                    <w:textAlignment w:val="center"/>
                    <w:rPr>
                      <w:rFonts w:hint="eastAsia"/>
                      <w:color w:val="auto"/>
                      <w:sz w:val="22"/>
                      <w:szCs w:val="22"/>
                      <w:lang w:bidi="ar"/>
                    </w:rPr>
                  </w:pPr>
                </w:p>
              </w:tc>
              <w:tc>
                <w:tcPr>
                  <w:tcW w:w="617" w:type="pct"/>
                  <w:vMerge w:val="restart"/>
                  <w:noWrap w:val="0"/>
                  <w:vAlign w:val="center"/>
                </w:tcPr>
                <w:p w14:paraId="6C8642BE">
                  <w:pPr>
                    <w:widowControl/>
                    <w:jc w:val="center"/>
                    <w:rPr>
                      <w:rFonts w:hint="eastAsia" w:eastAsia="宋体"/>
                      <w:color w:val="FF0000"/>
                      <w:sz w:val="22"/>
                      <w:szCs w:val="22"/>
                      <w:lang w:eastAsia="zh-CN" w:bidi="ar"/>
                    </w:rPr>
                  </w:pPr>
                  <w:r>
                    <w:rPr>
                      <w:rFonts w:hint="eastAsia"/>
                      <w:color w:val="FF0000"/>
                      <w:szCs w:val="19"/>
                      <w:lang w:bidi="ar"/>
                    </w:rPr>
                    <w:t>穴位压力刺激贴</w:t>
                  </w:r>
                  <w:r>
                    <w:rPr>
                      <w:rFonts w:hint="eastAsia"/>
                      <w:color w:val="FF0000"/>
                      <w:szCs w:val="19"/>
                      <w:lang w:eastAsia="zh-CN" w:bidi="ar"/>
                    </w:rPr>
                    <w:t>、</w:t>
                  </w:r>
                  <w:r>
                    <w:rPr>
                      <w:rFonts w:hint="eastAsia"/>
                      <w:color w:val="FF0000"/>
                      <w:szCs w:val="19"/>
                      <w:lang w:bidi="ar"/>
                    </w:rPr>
                    <w:t>晕车贴</w:t>
                  </w:r>
                  <w:r>
                    <w:rPr>
                      <w:rFonts w:hint="eastAsia"/>
                      <w:color w:val="FF0000"/>
                      <w:szCs w:val="19"/>
                      <w:lang w:eastAsia="zh-CN" w:bidi="ar"/>
                    </w:rPr>
                    <w:t>、</w:t>
                  </w:r>
                  <w:r>
                    <w:rPr>
                      <w:rFonts w:hint="eastAsia"/>
                      <w:color w:val="FF0000"/>
                      <w:szCs w:val="19"/>
                      <w:lang w:bidi="ar"/>
                    </w:rPr>
                    <w:t>三伏贴</w:t>
                  </w:r>
                </w:p>
              </w:tc>
              <w:tc>
                <w:tcPr>
                  <w:tcW w:w="784" w:type="pct"/>
                  <w:noWrap w:val="0"/>
                  <w:vAlign w:val="center"/>
                </w:tcPr>
                <w:p w14:paraId="35EF6BA8">
                  <w:pPr>
                    <w:snapToGrid w:val="0"/>
                    <w:spacing w:line="240" w:lineRule="auto"/>
                    <w:jc w:val="center"/>
                    <w:textAlignment w:val="auto"/>
                    <w:rPr>
                      <w:rFonts w:hint="eastAsia" w:ascii="Times New Roman" w:hAnsi="Times New Roman" w:eastAsia="宋体" w:cs="Times New Roman"/>
                      <w:color w:val="FF0000"/>
                      <w:szCs w:val="19"/>
                      <w:lang w:bidi="ar"/>
                    </w:rPr>
                  </w:pPr>
                  <w:r>
                    <w:rPr>
                      <w:rFonts w:hint="eastAsia" w:ascii="Times New Roman" w:hAnsi="Times New Roman" w:eastAsia="宋体" w:cs="Times New Roman"/>
                      <w:color w:val="FF0000"/>
                      <w:szCs w:val="19"/>
                      <w:lang w:bidi="ar"/>
                    </w:rPr>
                    <w:t>热熔胶涂布机</w:t>
                  </w:r>
                </w:p>
              </w:tc>
              <w:tc>
                <w:tcPr>
                  <w:tcW w:w="564" w:type="pct"/>
                  <w:noWrap w:val="0"/>
                  <w:vAlign w:val="center"/>
                </w:tcPr>
                <w:p w14:paraId="304F9D07">
                  <w:pPr>
                    <w:widowControl/>
                    <w:jc w:val="center"/>
                    <w:textAlignment w:val="center"/>
                    <w:rPr>
                      <w:rFonts w:hint="default" w:ascii="Times New Roman" w:hAnsi="Times New Roman" w:cs="Times New Roman"/>
                      <w:color w:val="FF0000"/>
                      <w:sz w:val="21"/>
                      <w:szCs w:val="21"/>
                      <w:lang w:bidi="ar"/>
                    </w:rPr>
                  </w:pPr>
                  <w:r>
                    <w:rPr>
                      <w:rFonts w:hint="default" w:ascii="Times New Roman" w:hAnsi="Times New Roman" w:cs="Times New Roman"/>
                      <w:color w:val="FF0000"/>
                      <w:sz w:val="21"/>
                      <w:szCs w:val="21"/>
                      <w:lang w:bidi="ar"/>
                    </w:rPr>
                    <w:t>600型</w:t>
                  </w:r>
                </w:p>
              </w:tc>
              <w:tc>
                <w:tcPr>
                  <w:tcW w:w="360" w:type="pct"/>
                  <w:noWrap w:val="0"/>
                  <w:vAlign w:val="center"/>
                </w:tcPr>
                <w:p w14:paraId="40C3A109">
                  <w:pPr>
                    <w:snapToGrid w:val="0"/>
                    <w:spacing w:line="240" w:lineRule="auto"/>
                    <w:jc w:val="center"/>
                    <w:textAlignment w:val="auto"/>
                    <w:rPr>
                      <w:rFonts w:hint="eastAsia"/>
                      <w:color w:val="FF0000"/>
                      <w:szCs w:val="21"/>
                    </w:rPr>
                  </w:pPr>
                  <w:r>
                    <w:rPr>
                      <w:rFonts w:hint="eastAsia"/>
                      <w:color w:val="FF0000"/>
                      <w:szCs w:val="21"/>
                      <w:lang w:val="en-US" w:eastAsia="zh-CN"/>
                    </w:rPr>
                    <w:t>1</w:t>
                  </w:r>
                </w:p>
              </w:tc>
              <w:tc>
                <w:tcPr>
                  <w:tcW w:w="362" w:type="pct"/>
                  <w:vMerge w:val="restart"/>
                  <w:noWrap w:val="0"/>
                  <w:vAlign w:val="center"/>
                </w:tcPr>
                <w:p w14:paraId="1433A14B">
                  <w:pPr>
                    <w:snapToGrid w:val="0"/>
                    <w:spacing w:line="240" w:lineRule="auto"/>
                    <w:jc w:val="center"/>
                    <w:textAlignment w:val="auto"/>
                    <w:rPr>
                      <w:rFonts w:hint="eastAsia"/>
                      <w:color w:val="FF0000"/>
                      <w:szCs w:val="21"/>
                      <w:lang w:val="en-US" w:eastAsia="zh-CN"/>
                    </w:rPr>
                  </w:pPr>
                  <w:r>
                    <w:rPr>
                      <w:rFonts w:hint="eastAsia"/>
                      <w:color w:val="FF0000"/>
                      <w:szCs w:val="21"/>
                      <w:lang w:val="en-US" w:eastAsia="zh-CN"/>
                    </w:rPr>
                    <w:t>共线</w:t>
                  </w:r>
                </w:p>
              </w:tc>
            </w:tr>
            <w:tr w14:paraId="3552A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6F8D26D0">
                  <w:pPr>
                    <w:snapToGrid w:val="0"/>
                    <w:spacing w:line="240" w:lineRule="auto"/>
                    <w:jc w:val="center"/>
                    <w:textAlignment w:val="auto"/>
                    <w:rPr>
                      <w:rFonts w:hint="eastAsia" w:eastAsia="宋体"/>
                      <w:color w:val="auto"/>
                      <w:szCs w:val="21"/>
                      <w:lang w:val="en-US" w:eastAsia="zh-CN"/>
                    </w:rPr>
                  </w:pPr>
                  <w:r>
                    <w:rPr>
                      <w:rFonts w:hint="eastAsia"/>
                      <w:color w:val="auto"/>
                      <w:szCs w:val="21"/>
                      <w:lang w:val="en-US" w:eastAsia="zh-CN"/>
                    </w:rPr>
                    <w:t>15</w:t>
                  </w:r>
                </w:p>
              </w:tc>
              <w:tc>
                <w:tcPr>
                  <w:tcW w:w="2021" w:type="pct"/>
                  <w:gridSpan w:val="4"/>
                  <w:vMerge w:val="continue"/>
                  <w:noWrap w:val="0"/>
                  <w:vAlign w:val="center"/>
                </w:tcPr>
                <w:p w14:paraId="3A8E8E77">
                  <w:pPr>
                    <w:widowControl/>
                    <w:jc w:val="center"/>
                    <w:textAlignment w:val="center"/>
                    <w:rPr>
                      <w:rFonts w:hint="eastAsia"/>
                      <w:color w:val="auto"/>
                      <w:sz w:val="22"/>
                      <w:szCs w:val="22"/>
                      <w:lang w:bidi="ar"/>
                    </w:rPr>
                  </w:pPr>
                </w:p>
              </w:tc>
              <w:tc>
                <w:tcPr>
                  <w:tcW w:w="617" w:type="pct"/>
                  <w:vMerge w:val="continue"/>
                  <w:noWrap w:val="0"/>
                  <w:vAlign w:val="center"/>
                </w:tcPr>
                <w:p w14:paraId="18B9FE46">
                  <w:pPr>
                    <w:widowControl/>
                    <w:jc w:val="center"/>
                    <w:textAlignment w:val="center"/>
                    <w:rPr>
                      <w:rFonts w:hint="eastAsia"/>
                      <w:color w:val="FF0000"/>
                      <w:sz w:val="22"/>
                      <w:szCs w:val="22"/>
                      <w:lang w:bidi="ar"/>
                    </w:rPr>
                  </w:pPr>
                </w:p>
              </w:tc>
              <w:tc>
                <w:tcPr>
                  <w:tcW w:w="784" w:type="pct"/>
                  <w:noWrap w:val="0"/>
                  <w:vAlign w:val="center"/>
                </w:tcPr>
                <w:p w14:paraId="4CC86A49">
                  <w:pPr>
                    <w:snapToGrid w:val="0"/>
                    <w:spacing w:line="240" w:lineRule="auto"/>
                    <w:jc w:val="center"/>
                    <w:textAlignment w:val="auto"/>
                    <w:rPr>
                      <w:rFonts w:hint="eastAsia" w:ascii="Times New Roman" w:hAnsi="Times New Roman" w:eastAsia="宋体" w:cs="Times New Roman"/>
                      <w:color w:val="FF0000"/>
                      <w:szCs w:val="19"/>
                      <w:lang w:bidi="ar"/>
                    </w:rPr>
                  </w:pPr>
                  <w:commentRangeStart w:id="11"/>
                  <w:commentRangeStart w:id="12"/>
                  <w:r>
                    <w:rPr>
                      <w:rFonts w:hint="eastAsia" w:ascii="Times New Roman" w:hAnsi="Times New Roman" w:eastAsia="宋体" w:cs="Times New Roman"/>
                      <w:color w:val="FF0000"/>
                      <w:szCs w:val="19"/>
                      <w:lang w:bidi="ar"/>
                    </w:rPr>
                    <w:t>反应</w:t>
                  </w:r>
                  <w:commentRangeEnd w:id="11"/>
                  <w:r>
                    <w:rPr>
                      <w:color w:val="FF0000"/>
                    </w:rPr>
                    <w:commentReference w:id="11"/>
                  </w:r>
                  <w:commentRangeEnd w:id="12"/>
                  <w:r>
                    <w:commentReference w:id="12"/>
                  </w:r>
                  <w:r>
                    <w:rPr>
                      <w:rFonts w:hint="eastAsia" w:ascii="Times New Roman" w:hAnsi="Times New Roman" w:eastAsia="宋体" w:cs="Times New Roman"/>
                      <w:color w:val="FF0000"/>
                      <w:szCs w:val="19"/>
                      <w:lang w:bidi="ar"/>
                    </w:rPr>
                    <w:t>釜</w:t>
                  </w:r>
                </w:p>
              </w:tc>
              <w:tc>
                <w:tcPr>
                  <w:tcW w:w="564" w:type="pct"/>
                  <w:noWrap w:val="0"/>
                  <w:vAlign w:val="center"/>
                </w:tcPr>
                <w:p w14:paraId="53EB8E3A">
                  <w:pPr>
                    <w:widowControl/>
                    <w:jc w:val="center"/>
                    <w:textAlignment w:val="center"/>
                    <w:rPr>
                      <w:rFonts w:hint="default" w:ascii="Times New Roman" w:hAnsi="Times New Roman" w:cs="Times New Roman"/>
                      <w:color w:val="FF0000"/>
                      <w:sz w:val="21"/>
                      <w:szCs w:val="21"/>
                      <w:lang w:bidi="ar"/>
                    </w:rPr>
                  </w:pPr>
                  <w:r>
                    <w:rPr>
                      <w:rFonts w:hint="default" w:ascii="Times New Roman" w:hAnsi="Times New Roman" w:cs="Times New Roman"/>
                      <w:color w:val="FF0000"/>
                      <w:sz w:val="21"/>
                      <w:szCs w:val="21"/>
                      <w:lang w:bidi="ar"/>
                    </w:rPr>
                    <w:t>QC-400升</w:t>
                  </w:r>
                </w:p>
              </w:tc>
              <w:tc>
                <w:tcPr>
                  <w:tcW w:w="360" w:type="pct"/>
                  <w:noWrap w:val="0"/>
                  <w:vAlign w:val="center"/>
                </w:tcPr>
                <w:p w14:paraId="754B8151">
                  <w:pPr>
                    <w:snapToGrid w:val="0"/>
                    <w:spacing w:line="240" w:lineRule="auto"/>
                    <w:jc w:val="center"/>
                    <w:textAlignment w:val="auto"/>
                    <w:rPr>
                      <w:rFonts w:hint="eastAsia"/>
                      <w:color w:val="FF0000"/>
                      <w:szCs w:val="21"/>
                    </w:rPr>
                  </w:pPr>
                  <w:r>
                    <w:rPr>
                      <w:rFonts w:hint="eastAsia"/>
                      <w:color w:val="FF0000"/>
                      <w:szCs w:val="21"/>
                      <w:lang w:val="en-US" w:eastAsia="zh-CN"/>
                    </w:rPr>
                    <w:t>3</w:t>
                  </w:r>
                </w:p>
              </w:tc>
              <w:tc>
                <w:tcPr>
                  <w:tcW w:w="362" w:type="pct"/>
                  <w:vMerge w:val="continue"/>
                  <w:noWrap w:val="0"/>
                  <w:vAlign w:val="center"/>
                </w:tcPr>
                <w:p w14:paraId="0CDC8DA3">
                  <w:pPr>
                    <w:snapToGrid w:val="0"/>
                    <w:spacing w:line="240" w:lineRule="auto"/>
                    <w:jc w:val="center"/>
                    <w:textAlignment w:val="auto"/>
                    <w:rPr>
                      <w:rFonts w:hint="eastAsia"/>
                      <w:color w:val="FF0000"/>
                      <w:szCs w:val="21"/>
                      <w:lang w:val="en-US" w:eastAsia="zh-CN"/>
                    </w:rPr>
                  </w:pPr>
                </w:p>
              </w:tc>
            </w:tr>
            <w:tr w14:paraId="37D5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68A196A5">
                  <w:pPr>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16</w:t>
                  </w:r>
                </w:p>
              </w:tc>
              <w:tc>
                <w:tcPr>
                  <w:tcW w:w="2021" w:type="pct"/>
                  <w:gridSpan w:val="4"/>
                  <w:vMerge w:val="continue"/>
                  <w:noWrap w:val="0"/>
                  <w:vAlign w:val="center"/>
                </w:tcPr>
                <w:p w14:paraId="05F70A66">
                  <w:pPr>
                    <w:widowControl/>
                    <w:jc w:val="center"/>
                    <w:textAlignment w:val="center"/>
                    <w:rPr>
                      <w:rFonts w:hint="eastAsia"/>
                      <w:color w:val="auto"/>
                      <w:sz w:val="22"/>
                      <w:szCs w:val="22"/>
                      <w:lang w:bidi="ar"/>
                    </w:rPr>
                  </w:pPr>
                </w:p>
              </w:tc>
              <w:tc>
                <w:tcPr>
                  <w:tcW w:w="617" w:type="pct"/>
                  <w:vMerge w:val="continue"/>
                  <w:noWrap w:val="0"/>
                  <w:vAlign w:val="center"/>
                </w:tcPr>
                <w:p w14:paraId="30A7EAD7">
                  <w:pPr>
                    <w:widowControl/>
                    <w:jc w:val="center"/>
                    <w:textAlignment w:val="center"/>
                    <w:rPr>
                      <w:rFonts w:hint="eastAsia"/>
                      <w:color w:val="FF0000"/>
                      <w:sz w:val="22"/>
                      <w:szCs w:val="22"/>
                      <w:lang w:bidi="ar"/>
                    </w:rPr>
                  </w:pPr>
                </w:p>
              </w:tc>
              <w:tc>
                <w:tcPr>
                  <w:tcW w:w="784" w:type="pct"/>
                  <w:noWrap w:val="0"/>
                  <w:vAlign w:val="center"/>
                </w:tcPr>
                <w:p w14:paraId="7E560315">
                  <w:pPr>
                    <w:snapToGrid w:val="0"/>
                    <w:spacing w:line="240" w:lineRule="auto"/>
                    <w:jc w:val="center"/>
                    <w:textAlignment w:val="auto"/>
                    <w:rPr>
                      <w:rFonts w:hint="eastAsia" w:ascii="Times New Roman" w:hAnsi="Times New Roman" w:eastAsia="宋体" w:cs="Times New Roman"/>
                      <w:color w:val="FF0000"/>
                      <w:szCs w:val="19"/>
                      <w:lang w:bidi="ar"/>
                    </w:rPr>
                  </w:pPr>
                  <w:r>
                    <w:rPr>
                      <w:rFonts w:hint="eastAsia" w:ascii="Times New Roman" w:hAnsi="Times New Roman" w:eastAsia="宋体" w:cs="Times New Roman"/>
                      <w:color w:val="FF0000"/>
                      <w:szCs w:val="19"/>
                      <w:lang w:bidi="ar"/>
                    </w:rPr>
                    <w:t>药贴合成机</w:t>
                  </w:r>
                </w:p>
              </w:tc>
              <w:tc>
                <w:tcPr>
                  <w:tcW w:w="564" w:type="pct"/>
                  <w:noWrap w:val="0"/>
                  <w:vAlign w:val="center"/>
                </w:tcPr>
                <w:p w14:paraId="24739215">
                  <w:pPr>
                    <w:widowControl/>
                    <w:jc w:val="center"/>
                    <w:textAlignment w:val="center"/>
                    <w:rPr>
                      <w:rFonts w:hint="default" w:ascii="Times New Roman" w:hAnsi="Times New Roman" w:cs="Times New Roman"/>
                      <w:color w:val="FF0000"/>
                      <w:sz w:val="21"/>
                      <w:szCs w:val="21"/>
                      <w:lang w:bidi="ar"/>
                    </w:rPr>
                  </w:pPr>
                  <w:r>
                    <w:rPr>
                      <w:rFonts w:hint="default" w:ascii="Times New Roman" w:hAnsi="Times New Roman" w:cs="Times New Roman"/>
                      <w:color w:val="FF0000"/>
                      <w:sz w:val="21"/>
                      <w:szCs w:val="21"/>
                      <w:lang w:bidi="ar"/>
                    </w:rPr>
                    <w:t>QC-210型</w:t>
                  </w:r>
                </w:p>
              </w:tc>
              <w:tc>
                <w:tcPr>
                  <w:tcW w:w="360" w:type="pct"/>
                  <w:noWrap w:val="0"/>
                  <w:vAlign w:val="center"/>
                </w:tcPr>
                <w:p w14:paraId="68A6C9F7">
                  <w:pPr>
                    <w:snapToGrid w:val="0"/>
                    <w:spacing w:line="240" w:lineRule="auto"/>
                    <w:jc w:val="center"/>
                    <w:textAlignment w:val="auto"/>
                    <w:rPr>
                      <w:rFonts w:hint="eastAsia"/>
                      <w:color w:val="FF0000"/>
                      <w:szCs w:val="21"/>
                    </w:rPr>
                  </w:pPr>
                  <w:r>
                    <w:rPr>
                      <w:rFonts w:hint="eastAsia"/>
                      <w:color w:val="FF0000"/>
                      <w:szCs w:val="21"/>
                      <w:lang w:val="en-US" w:eastAsia="zh-CN"/>
                    </w:rPr>
                    <w:t>1</w:t>
                  </w:r>
                </w:p>
              </w:tc>
              <w:tc>
                <w:tcPr>
                  <w:tcW w:w="362" w:type="pct"/>
                  <w:vMerge w:val="continue"/>
                  <w:noWrap w:val="0"/>
                  <w:vAlign w:val="center"/>
                </w:tcPr>
                <w:p w14:paraId="714ED46B">
                  <w:pPr>
                    <w:snapToGrid w:val="0"/>
                    <w:spacing w:line="240" w:lineRule="auto"/>
                    <w:jc w:val="center"/>
                    <w:textAlignment w:val="auto"/>
                    <w:rPr>
                      <w:rFonts w:hint="eastAsia"/>
                      <w:color w:val="FF0000"/>
                      <w:szCs w:val="21"/>
                      <w:lang w:val="en-US" w:eastAsia="zh-CN"/>
                    </w:rPr>
                  </w:pPr>
                </w:p>
              </w:tc>
            </w:tr>
            <w:tr w14:paraId="4500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61E1D039">
                  <w:pPr>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17</w:t>
                  </w:r>
                </w:p>
              </w:tc>
              <w:tc>
                <w:tcPr>
                  <w:tcW w:w="2021" w:type="pct"/>
                  <w:gridSpan w:val="4"/>
                  <w:vMerge w:val="continue"/>
                  <w:noWrap w:val="0"/>
                  <w:vAlign w:val="center"/>
                </w:tcPr>
                <w:p w14:paraId="684919E8">
                  <w:pPr>
                    <w:widowControl/>
                    <w:jc w:val="center"/>
                    <w:textAlignment w:val="center"/>
                    <w:rPr>
                      <w:rFonts w:hint="eastAsia"/>
                      <w:color w:val="auto"/>
                      <w:sz w:val="22"/>
                      <w:szCs w:val="22"/>
                      <w:lang w:bidi="ar"/>
                    </w:rPr>
                  </w:pPr>
                </w:p>
              </w:tc>
              <w:tc>
                <w:tcPr>
                  <w:tcW w:w="617" w:type="pct"/>
                  <w:noWrap w:val="0"/>
                  <w:vAlign w:val="center"/>
                </w:tcPr>
                <w:p w14:paraId="1582BCEA">
                  <w:pPr>
                    <w:widowControl/>
                    <w:jc w:val="center"/>
                    <w:rPr>
                      <w:rFonts w:hint="eastAsia"/>
                      <w:color w:val="auto"/>
                      <w:sz w:val="22"/>
                      <w:szCs w:val="22"/>
                      <w:lang w:bidi="ar"/>
                    </w:rPr>
                  </w:pPr>
                  <w:r>
                    <w:rPr>
                      <w:rFonts w:hint="eastAsia"/>
                      <w:color w:val="auto"/>
                      <w:szCs w:val="19"/>
                      <w:lang w:bidi="ar"/>
                    </w:rPr>
                    <w:t>创口贴</w:t>
                  </w:r>
                </w:p>
              </w:tc>
              <w:tc>
                <w:tcPr>
                  <w:tcW w:w="784" w:type="pct"/>
                  <w:noWrap w:val="0"/>
                  <w:vAlign w:val="center"/>
                </w:tcPr>
                <w:p w14:paraId="5035859E">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滚刀创口贴机</w:t>
                  </w:r>
                </w:p>
              </w:tc>
              <w:tc>
                <w:tcPr>
                  <w:tcW w:w="564" w:type="pct"/>
                  <w:noWrap w:val="0"/>
                  <w:vAlign w:val="center"/>
                </w:tcPr>
                <w:p w14:paraId="5FF46E7A">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val="en-US" w:eastAsia="zh-CN" w:bidi="ar"/>
                    </w:rPr>
                    <w:t>FRD-100</w:t>
                  </w:r>
                </w:p>
              </w:tc>
              <w:tc>
                <w:tcPr>
                  <w:tcW w:w="360" w:type="pct"/>
                  <w:noWrap w:val="0"/>
                  <w:vAlign w:val="center"/>
                </w:tcPr>
                <w:p w14:paraId="5F2A7DC1">
                  <w:pPr>
                    <w:snapToGrid w:val="0"/>
                    <w:spacing w:line="240" w:lineRule="auto"/>
                    <w:jc w:val="center"/>
                    <w:textAlignment w:val="auto"/>
                    <w:rPr>
                      <w:rFonts w:hint="eastAsia"/>
                      <w:color w:val="auto"/>
                      <w:szCs w:val="21"/>
                    </w:rPr>
                  </w:pPr>
                  <w:r>
                    <w:rPr>
                      <w:rFonts w:hint="eastAsia"/>
                      <w:color w:val="auto"/>
                      <w:szCs w:val="21"/>
                      <w:lang w:val="en-US" w:eastAsia="zh-CN"/>
                    </w:rPr>
                    <w:t>2</w:t>
                  </w:r>
                </w:p>
              </w:tc>
              <w:tc>
                <w:tcPr>
                  <w:tcW w:w="362" w:type="pct"/>
                  <w:noWrap w:val="0"/>
                  <w:vAlign w:val="center"/>
                </w:tcPr>
                <w:p w14:paraId="14E5642A">
                  <w:pPr>
                    <w:snapToGrid w:val="0"/>
                    <w:spacing w:line="240" w:lineRule="auto"/>
                    <w:jc w:val="center"/>
                    <w:textAlignment w:val="auto"/>
                    <w:rPr>
                      <w:rFonts w:hint="eastAsia"/>
                      <w:color w:val="FF0000"/>
                      <w:szCs w:val="21"/>
                      <w:lang w:val="en-US" w:eastAsia="zh-CN"/>
                    </w:rPr>
                  </w:pPr>
                  <w:r>
                    <w:rPr>
                      <w:rFonts w:hint="eastAsia"/>
                      <w:color w:val="FF0000"/>
                      <w:szCs w:val="21"/>
                      <w:lang w:val="en-US" w:eastAsia="zh-CN"/>
                    </w:rPr>
                    <w:t>/</w:t>
                  </w:r>
                </w:p>
              </w:tc>
            </w:tr>
            <w:tr w14:paraId="5494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trPr>
              <w:tc>
                <w:tcPr>
                  <w:tcW w:w="291" w:type="pct"/>
                  <w:noWrap w:val="0"/>
                  <w:vAlign w:val="center"/>
                </w:tcPr>
                <w:p w14:paraId="2D66F6F4">
                  <w:pPr>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18</w:t>
                  </w:r>
                </w:p>
              </w:tc>
              <w:tc>
                <w:tcPr>
                  <w:tcW w:w="2021" w:type="pct"/>
                  <w:gridSpan w:val="4"/>
                  <w:vMerge w:val="continue"/>
                  <w:noWrap w:val="0"/>
                  <w:vAlign w:val="center"/>
                </w:tcPr>
                <w:p w14:paraId="4616A46A">
                  <w:pPr>
                    <w:widowControl/>
                    <w:jc w:val="center"/>
                    <w:textAlignment w:val="center"/>
                    <w:rPr>
                      <w:rFonts w:hint="eastAsia"/>
                      <w:color w:val="auto"/>
                      <w:sz w:val="22"/>
                      <w:szCs w:val="22"/>
                      <w:lang w:bidi="ar"/>
                    </w:rPr>
                  </w:pPr>
                </w:p>
              </w:tc>
              <w:tc>
                <w:tcPr>
                  <w:tcW w:w="617" w:type="pct"/>
                  <w:noWrap w:val="0"/>
                  <w:vAlign w:val="center"/>
                </w:tcPr>
                <w:p w14:paraId="2346F2CB">
                  <w:pPr>
                    <w:widowControl/>
                    <w:jc w:val="center"/>
                    <w:textAlignment w:val="center"/>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通气鼻贴</w:t>
                  </w:r>
                </w:p>
              </w:tc>
              <w:tc>
                <w:tcPr>
                  <w:tcW w:w="784" w:type="pct"/>
                  <w:noWrap w:val="0"/>
                  <w:vAlign w:val="center"/>
                </w:tcPr>
                <w:p w14:paraId="38E2B598">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鼻贴机</w:t>
                  </w:r>
                </w:p>
              </w:tc>
              <w:tc>
                <w:tcPr>
                  <w:tcW w:w="564" w:type="pct"/>
                  <w:noWrap w:val="0"/>
                  <w:vAlign w:val="center"/>
                </w:tcPr>
                <w:p w14:paraId="0F1FCA4C">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val="en-US" w:eastAsia="zh-CN" w:bidi="ar"/>
                    </w:rPr>
                    <w:t>TQBT</w:t>
                  </w:r>
                </w:p>
              </w:tc>
              <w:tc>
                <w:tcPr>
                  <w:tcW w:w="360" w:type="pct"/>
                  <w:noWrap w:val="0"/>
                  <w:vAlign w:val="center"/>
                </w:tcPr>
                <w:p w14:paraId="15A0D149">
                  <w:pPr>
                    <w:snapToGrid w:val="0"/>
                    <w:spacing w:line="240" w:lineRule="auto"/>
                    <w:jc w:val="center"/>
                    <w:textAlignment w:val="auto"/>
                    <w:rPr>
                      <w:rFonts w:hint="eastAsia" w:eastAsia="宋体"/>
                      <w:color w:val="auto"/>
                      <w:szCs w:val="21"/>
                      <w:lang w:val="en-US" w:eastAsia="zh-CN"/>
                    </w:rPr>
                  </w:pPr>
                  <w:r>
                    <w:rPr>
                      <w:rFonts w:hint="eastAsia"/>
                      <w:color w:val="auto"/>
                      <w:szCs w:val="21"/>
                      <w:lang w:val="en-US" w:eastAsia="zh-CN"/>
                    </w:rPr>
                    <w:t>5</w:t>
                  </w:r>
                </w:p>
              </w:tc>
              <w:tc>
                <w:tcPr>
                  <w:tcW w:w="362" w:type="pct"/>
                  <w:noWrap w:val="0"/>
                  <w:vAlign w:val="center"/>
                </w:tcPr>
                <w:p w14:paraId="0A8203EE">
                  <w:pPr>
                    <w:snapToGrid w:val="0"/>
                    <w:spacing w:line="240" w:lineRule="auto"/>
                    <w:jc w:val="center"/>
                    <w:textAlignment w:val="auto"/>
                    <w:rPr>
                      <w:rFonts w:hint="eastAsia"/>
                      <w:color w:val="FF0000"/>
                      <w:szCs w:val="21"/>
                      <w:lang w:val="en-US" w:eastAsia="zh-CN"/>
                    </w:rPr>
                  </w:pPr>
                  <w:r>
                    <w:rPr>
                      <w:rFonts w:hint="eastAsia"/>
                      <w:color w:val="FF0000"/>
                      <w:szCs w:val="21"/>
                      <w:lang w:val="en-US" w:eastAsia="zh-CN"/>
                    </w:rPr>
                    <w:t>/</w:t>
                  </w:r>
                </w:p>
              </w:tc>
            </w:tr>
            <w:tr w14:paraId="5308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291" w:type="pct"/>
                  <w:noWrap w:val="0"/>
                  <w:vAlign w:val="center"/>
                </w:tcPr>
                <w:p w14:paraId="5FC7BE91">
                  <w:pPr>
                    <w:snapToGrid w:val="0"/>
                    <w:spacing w:line="240" w:lineRule="auto"/>
                    <w:jc w:val="center"/>
                    <w:textAlignment w:val="auto"/>
                    <w:rPr>
                      <w:rFonts w:hint="default" w:eastAsia="宋体"/>
                      <w:color w:val="auto"/>
                      <w:szCs w:val="21"/>
                      <w:lang w:val="en-US" w:eastAsia="zh-CN"/>
                    </w:rPr>
                  </w:pPr>
                  <w:r>
                    <w:rPr>
                      <w:rFonts w:hint="eastAsia"/>
                      <w:color w:val="auto"/>
                      <w:szCs w:val="21"/>
                      <w:lang w:val="en-US" w:eastAsia="zh-CN"/>
                    </w:rPr>
                    <w:t>19</w:t>
                  </w:r>
                </w:p>
              </w:tc>
              <w:tc>
                <w:tcPr>
                  <w:tcW w:w="2021" w:type="pct"/>
                  <w:gridSpan w:val="4"/>
                  <w:vMerge w:val="continue"/>
                  <w:noWrap w:val="0"/>
                  <w:vAlign w:val="center"/>
                </w:tcPr>
                <w:p w14:paraId="5E1000E0">
                  <w:pPr>
                    <w:snapToGrid w:val="0"/>
                    <w:spacing w:line="240" w:lineRule="auto"/>
                    <w:jc w:val="center"/>
                    <w:textAlignment w:val="auto"/>
                    <w:rPr>
                      <w:rFonts w:hint="eastAsia"/>
                      <w:color w:val="auto"/>
                      <w:sz w:val="22"/>
                      <w:szCs w:val="22"/>
                      <w:lang w:bidi="ar"/>
                    </w:rPr>
                  </w:pPr>
                </w:p>
              </w:tc>
              <w:tc>
                <w:tcPr>
                  <w:tcW w:w="617" w:type="pct"/>
                  <w:noWrap w:val="0"/>
                  <w:vAlign w:val="center"/>
                </w:tcPr>
                <w:p w14:paraId="34E5254C">
                  <w:pPr>
                    <w:widowControl/>
                    <w:jc w:val="center"/>
                    <w:textAlignment w:val="center"/>
                    <w:rPr>
                      <w:rFonts w:hint="eastAsia" w:ascii="Times New Roman" w:hAnsi="Times New Roman" w:eastAsia="宋体" w:cs="Times New Roman"/>
                      <w:color w:val="auto"/>
                      <w:szCs w:val="19"/>
                      <w:lang w:val="en-US" w:eastAsia="zh-CN" w:bidi="ar"/>
                    </w:rPr>
                  </w:pPr>
                  <w:r>
                    <w:rPr>
                      <w:rFonts w:hint="eastAsia" w:ascii="Times New Roman" w:hAnsi="Times New Roman" w:eastAsia="宋体" w:cs="Times New Roman"/>
                      <w:color w:val="auto"/>
                      <w:szCs w:val="19"/>
                      <w:lang w:val="en-US" w:eastAsia="zh-CN" w:bidi="ar"/>
                    </w:rPr>
                    <w:t>纯水制备</w:t>
                  </w:r>
                </w:p>
              </w:tc>
              <w:tc>
                <w:tcPr>
                  <w:tcW w:w="784" w:type="pct"/>
                  <w:noWrap w:val="0"/>
                  <w:vAlign w:val="center"/>
                </w:tcPr>
                <w:p w14:paraId="79C377B8">
                  <w:pPr>
                    <w:snapToGrid w:val="0"/>
                    <w:spacing w:line="240" w:lineRule="auto"/>
                    <w:jc w:val="center"/>
                    <w:textAlignment w:val="auto"/>
                    <w:rPr>
                      <w:rFonts w:hint="eastAsia" w:ascii="Times New Roman" w:hAnsi="Times New Roman" w:eastAsia="宋体" w:cs="Times New Roman"/>
                      <w:color w:val="auto"/>
                      <w:szCs w:val="19"/>
                      <w:lang w:bidi="ar"/>
                    </w:rPr>
                  </w:pPr>
                  <w:r>
                    <w:rPr>
                      <w:rFonts w:hint="eastAsia" w:ascii="Times New Roman" w:hAnsi="Times New Roman" w:eastAsia="宋体" w:cs="Times New Roman"/>
                      <w:color w:val="auto"/>
                      <w:szCs w:val="19"/>
                      <w:lang w:bidi="ar"/>
                    </w:rPr>
                    <w:t>纯水机</w:t>
                  </w:r>
                </w:p>
              </w:tc>
              <w:tc>
                <w:tcPr>
                  <w:tcW w:w="564" w:type="pct"/>
                  <w:noWrap w:val="0"/>
                  <w:vAlign w:val="center"/>
                </w:tcPr>
                <w:p w14:paraId="02D82B25">
                  <w:pPr>
                    <w:widowControl/>
                    <w:jc w:val="center"/>
                    <w:textAlignment w:val="center"/>
                    <w:rPr>
                      <w:rFonts w:hint="default" w:ascii="Times New Roman" w:hAnsi="Times New Roman" w:cs="Times New Roman"/>
                      <w:color w:val="auto"/>
                      <w:sz w:val="21"/>
                      <w:szCs w:val="21"/>
                      <w:lang w:bidi="ar"/>
                    </w:rPr>
                  </w:pPr>
                  <w:r>
                    <w:rPr>
                      <w:rFonts w:hint="default" w:ascii="Times New Roman" w:hAnsi="Times New Roman" w:cs="Times New Roman"/>
                      <w:color w:val="auto"/>
                      <w:sz w:val="21"/>
                      <w:szCs w:val="21"/>
                      <w:lang w:bidi="ar"/>
                    </w:rPr>
                    <w:t>2L/min</w:t>
                  </w:r>
                </w:p>
              </w:tc>
              <w:tc>
                <w:tcPr>
                  <w:tcW w:w="360" w:type="pct"/>
                  <w:noWrap w:val="0"/>
                  <w:vAlign w:val="center"/>
                </w:tcPr>
                <w:p w14:paraId="516135B0">
                  <w:pPr>
                    <w:snapToGrid w:val="0"/>
                    <w:spacing w:line="240" w:lineRule="auto"/>
                    <w:jc w:val="center"/>
                    <w:textAlignment w:val="auto"/>
                    <w:rPr>
                      <w:color w:val="auto"/>
                      <w:szCs w:val="21"/>
                    </w:rPr>
                  </w:pPr>
                  <w:r>
                    <w:rPr>
                      <w:rFonts w:hint="eastAsia"/>
                      <w:color w:val="auto"/>
                      <w:szCs w:val="21"/>
                    </w:rPr>
                    <w:t>2</w:t>
                  </w:r>
                </w:p>
              </w:tc>
              <w:tc>
                <w:tcPr>
                  <w:tcW w:w="362" w:type="pct"/>
                  <w:noWrap w:val="0"/>
                  <w:vAlign w:val="center"/>
                </w:tcPr>
                <w:p w14:paraId="6FBF23E9">
                  <w:pPr>
                    <w:snapToGrid w:val="0"/>
                    <w:spacing w:line="240" w:lineRule="auto"/>
                    <w:jc w:val="center"/>
                    <w:textAlignment w:val="auto"/>
                    <w:rPr>
                      <w:rFonts w:hint="eastAsia"/>
                      <w:color w:val="FF0000"/>
                      <w:szCs w:val="21"/>
                    </w:rPr>
                  </w:pPr>
                  <w:r>
                    <w:rPr>
                      <w:rFonts w:hint="eastAsia"/>
                      <w:color w:val="FF0000"/>
                      <w:szCs w:val="21"/>
                      <w:lang w:val="en-US" w:eastAsia="zh-CN"/>
                    </w:rPr>
                    <w:t>/</w:t>
                  </w:r>
                </w:p>
              </w:tc>
            </w:tr>
          </w:tbl>
          <w:p w14:paraId="3B25B59C">
            <w:pPr>
              <w:rPr>
                <w:rFonts w:hint="default"/>
                <w:color w:val="auto"/>
                <w:lang w:val="en-US" w:eastAsia="zh-CN"/>
              </w:rPr>
            </w:pPr>
          </w:p>
          <w:p w14:paraId="5604B14C">
            <w:pPr>
              <w:rPr>
                <w:rFonts w:hint="default"/>
                <w:color w:val="auto"/>
                <w:lang w:val="en-US" w:eastAsia="zh-CN"/>
              </w:rPr>
            </w:pPr>
          </w:p>
        </w:tc>
      </w:tr>
    </w:tbl>
    <w:p w14:paraId="53402D21">
      <w:pPr>
        <w:rPr>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257"/>
      </w:tblGrid>
      <w:tr w14:paraId="6387A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803" w:type="dxa"/>
            <w:tcBorders>
              <w:bottom w:val="single" w:color="000000" w:sz="4" w:space="0"/>
            </w:tcBorders>
            <w:noWrap w:val="0"/>
            <w:vAlign w:val="center"/>
          </w:tcPr>
          <w:p w14:paraId="08EE099E">
            <w:pPr>
              <w:pStyle w:val="20"/>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257" w:type="dxa"/>
            <w:tcBorders>
              <w:bottom w:val="single" w:color="000000" w:sz="4" w:space="0"/>
            </w:tcBorders>
            <w:noWrap w:val="0"/>
            <w:vAlign w:val="top"/>
          </w:tcPr>
          <w:p w14:paraId="012E9E0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产能匹配性分析</w:t>
            </w:r>
          </w:p>
          <w:p w14:paraId="65639AAE">
            <w:pPr>
              <w:pStyle w:val="14"/>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医用退热贴、冰凉贴：</w:t>
            </w:r>
          </w:p>
          <w:p w14:paraId="5548C7CC">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本项目医用退热贴的总产量为6000万片</w:t>
            </w:r>
            <w:r>
              <w:rPr>
                <w:rFonts w:hint="eastAsia" w:cs="Times New Roman"/>
                <w:color w:val="auto"/>
                <w:sz w:val="24"/>
                <w:szCs w:val="24"/>
                <w:lang w:val="en-US" w:eastAsia="zh-CN"/>
              </w:rPr>
              <w:t>、冰凉贴</w:t>
            </w:r>
            <w:r>
              <w:rPr>
                <w:rFonts w:hint="eastAsia" w:ascii="Times New Roman" w:hAnsi="Times New Roman" w:eastAsia="宋体" w:cs="Times New Roman"/>
                <w:color w:val="auto"/>
                <w:sz w:val="24"/>
                <w:szCs w:val="24"/>
                <w:lang w:val="en-US" w:eastAsia="zh-CN"/>
              </w:rPr>
              <w:t>的总产量为</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000万片，每片长度以12cm计，则总长度为</w:t>
            </w:r>
            <w:r>
              <w:rPr>
                <w:rFonts w:hint="eastAsia" w:cs="Times New Roman"/>
                <w:color w:val="auto"/>
                <w:sz w:val="24"/>
                <w:szCs w:val="24"/>
                <w:lang w:val="en-US" w:eastAsia="zh-CN"/>
              </w:rPr>
              <w:t>96</w:t>
            </w:r>
            <w:r>
              <w:rPr>
                <w:rFonts w:hint="eastAsia" w:ascii="Times New Roman" w:hAnsi="Times New Roman" w:eastAsia="宋体" w:cs="Times New Roman"/>
                <w:color w:val="auto"/>
                <w:sz w:val="24"/>
                <w:szCs w:val="24"/>
                <w:lang w:val="en-US" w:eastAsia="zh-CN"/>
              </w:rPr>
              <w:t>00000m。涂布机涂布速率为60m/min，每天生产16h，一年生产300天，则涂布机一年可涂布17280000m，能满足项目需要。</w:t>
            </w:r>
          </w:p>
          <w:p w14:paraId="0B6194FF">
            <w:pPr>
              <w:pStyle w:val="14"/>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vertAlign w:val="baseline"/>
                <w:lang w:val="en-US" w:eastAsia="zh-CN"/>
              </w:rPr>
              <w:t>生理性海水鼻腔喷雾剂：</w:t>
            </w:r>
          </w:p>
          <w:p w14:paraId="5B6D8B0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本项目生理性海水鼻腔喷雾剂总产量为900万瓶，每瓶60mL，总量为540000L。项目使用灌装机灌装速率为10L/min，</w:t>
            </w:r>
            <w:r>
              <w:rPr>
                <w:rFonts w:hint="eastAsia" w:ascii="Times New Roman" w:hAnsi="Times New Roman" w:eastAsia="宋体" w:cs="Times New Roman"/>
                <w:color w:val="auto"/>
                <w:sz w:val="24"/>
                <w:szCs w:val="24"/>
                <w:lang w:val="en-US" w:eastAsia="zh-CN"/>
              </w:rPr>
              <w:t>每天生产16h，一年生产300天，则一年灌装量为2880000L，能满足项目需要。</w:t>
            </w:r>
          </w:p>
          <w:p w14:paraId="742A804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kern w:val="0"/>
                <w:sz w:val="24"/>
                <w:szCs w:val="24"/>
                <w:lang w:val="en-US" w:eastAsia="zh-CN" w:bidi="ar"/>
              </w:rPr>
              <w:t>医用硅酮疤痕凝胶</w:t>
            </w:r>
            <w:r>
              <w:rPr>
                <w:rFonts w:hint="eastAsia" w:ascii="Times New Roman" w:hAnsi="Times New Roman" w:eastAsia="宋体" w:cs="Times New Roman"/>
                <w:b/>
                <w:bCs/>
                <w:color w:val="auto"/>
                <w:sz w:val="24"/>
                <w:szCs w:val="24"/>
                <w:vertAlign w:val="baseline"/>
                <w:lang w:val="en-US" w:eastAsia="zh-CN"/>
              </w:rPr>
              <w:t>：</w:t>
            </w:r>
          </w:p>
          <w:p w14:paraId="45E946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kern w:val="0"/>
                <w:sz w:val="24"/>
                <w:szCs w:val="24"/>
                <w:lang w:val="en-US" w:eastAsia="zh-CN" w:bidi="ar"/>
              </w:rPr>
              <w:t>医用硅酮疤痕凝胶总产量为300万贴，所使用封尾机每分钟可封40只，则一年可封11520000只，能满足项目需求。</w:t>
            </w:r>
          </w:p>
          <w:p w14:paraId="1062D38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重组胶原蛋白贴、医用透明质酸钠敷贴：</w:t>
            </w:r>
          </w:p>
          <w:p w14:paraId="2EE78F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b w:val="0"/>
                <w:bCs w:val="0"/>
                <w:color w:val="auto"/>
                <w:kern w:val="0"/>
                <w:sz w:val="24"/>
                <w:szCs w:val="24"/>
                <w:lang w:val="en-US" w:eastAsia="zh-CN" w:bidi="ar"/>
              </w:rPr>
              <w:t>重组胶原蛋白贴总产量为</w:t>
            </w:r>
            <w:r>
              <w:rPr>
                <w:rFonts w:hint="eastAsia" w:cs="Times New Roman"/>
                <w:b w:val="0"/>
                <w:bCs w:val="0"/>
                <w:color w:val="auto"/>
                <w:kern w:val="0"/>
                <w:sz w:val="24"/>
                <w:szCs w:val="24"/>
                <w:lang w:val="en-US" w:eastAsia="zh-CN" w:bidi="ar"/>
              </w:rPr>
              <w:t>5</w:t>
            </w:r>
            <w:r>
              <w:rPr>
                <w:rFonts w:hint="eastAsia" w:ascii="Times New Roman" w:hAnsi="Times New Roman" w:eastAsia="宋体" w:cs="Times New Roman"/>
                <w:b w:val="0"/>
                <w:bCs w:val="0"/>
                <w:color w:val="auto"/>
                <w:kern w:val="0"/>
                <w:sz w:val="24"/>
                <w:szCs w:val="24"/>
                <w:lang w:val="en-US" w:eastAsia="zh-CN" w:bidi="ar"/>
              </w:rPr>
              <w:t>00万贴</w:t>
            </w:r>
            <w:r>
              <w:rPr>
                <w:rFonts w:hint="eastAsia"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医用透明质酸钠敷贴总产量为</w:t>
            </w:r>
            <w:r>
              <w:rPr>
                <w:rFonts w:hint="eastAsia" w:cs="Times New Roman"/>
                <w:b w:val="0"/>
                <w:bCs w:val="0"/>
                <w:color w:val="auto"/>
                <w:kern w:val="0"/>
                <w:sz w:val="24"/>
                <w:szCs w:val="24"/>
                <w:lang w:val="en-US" w:eastAsia="zh-CN" w:bidi="ar"/>
              </w:rPr>
              <w:t>5</w:t>
            </w:r>
            <w:r>
              <w:rPr>
                <w:rFonts w:hint="eastAsia" w:ascii="Times New Roman" w:hAnsi="Times New Roman" w:eastAsia="宋体" w:cs="Times New Roman"/>
                <w:b w:val="0"/>
                <w:bCs w:val="0"/>
                <w:color w:val="auto"/>
                <w:kern w:val="0"/>
                <w:sz w:val="24"/>
                <w:szCs w:val="24"/>
                <w:lang w:val="en-US" w:eastAsia="zh-CN" w:bidi="ar"/>
              </w:rPr>
              <w:t>00万贴，所使用</w:t>
            </w:r>
            <w:r>
              <w:rPr>
                <w:rFonts w:hint="eastAsia"/>
                <w:color w:val="auto"/>
                <w:sz w:val="24"/>
                <w:szCs w:val="24"/>
                <w:lang w:bidi="ar"/>
              </w:rPr>
              <w:t>真空均质乳化机组</w:t>
            </w:r>
            <w:r>
              <w:rPr>
                <w:rFonts w:hint="eastAsia" w:ascii="Times New Roman" w:hAnsi="Times New Roman" w:eastAsia="宋体" w:cs="Times New Roman"/>
                <w:b w:val="0"/>
                <w:bCs w:val="0"/>
                <w:color w:val="auto"/>
                <w:kern w:val="0"/>
                <w:sz w:val="24"/>
                <w:szCs w:val="24"/>
                <w:lang w:val="en-US" w:eastAsia="zh-CN" w:bidi="ar"/>
              </w:rPr>
              <w:t>每分钟可</w:t>
            </w:r>
            <w:r>
              <w:rPr>
                <w:rFonts w:hint="eastAsia" w:cs="Times New Roman"/>
                <w:b w:val="0"/>
                <w:bCs w:val="0"/>
                <w:color w:val="auto"/>
                <w:kern w:val="0"/>
                <w:sz w:val="24"/>
                <w:szCs w:val="24"/>
                <w:lang w:val="en-US" w:eastAsia="zh-CN" w:bidi="ar"/>
              </w:rPr>
              <w:t>生产</w:t>
            </w:r>
            <w:r>
              <w:rPr>
                <w:rFonts w:hint="eastAsia" w:ascii="Times New Roman" w:hAnsi="Times New Roman" w:eastAsia="宋体" w:cs="Times New Roman"/>
                <w:b w:val="0"/>
                <w:bCs w:val="0"/>
                <w:color w:val="auto"/>
                <w:kern w:val="0"/>
                <w:sz w:val="24"/>
                <w:szCs w:val="24"/>
                <w:lang w:val="en-US" w:eastAsia="zh-CN" w:bidi="ar"/>
              </w:rPr>
              <w:t>40</w:t>
            </w:r>
            <w:r>
              <w:rPr>
                <w:rFonts w:hint="eastAsia" w:cs="Times New Roman"/>
                <w:b w:val="0"/>
                <w:bCs w:val="0"/>
                <w:color w:val="auto"/>
                <w:kern w:val="0"/>
                <w:sz w:val="24"/>
                <w:szCs w:val="24"/>
                <w:lang w:val="en-US" w:eastAsia="zh-CN" w:bidi="ar"/>
              </w:rPr>
              <w:t>片</w:t>
            </w:r>
            <w:r>
              <w:rPr>
                <w:rFonts w:hint="eastAsia" w:ascii="Times New Roman" w:hAnsi="Times New Roman" w:eastAsia="宋体" w:cs="Times New Roman"/>
                <w:b w:val="0"/>
                <w:bCs w:val="0"/>
                <w:color w:val="auto"/>
                <w:kern w:val="0"/>
                <w:sz w:val="24"/>
                <w:szCs w:val="24"/>
                <w:lang w:val="en-US" w:eastAsia="zh-CN" w:bidi="ar"/>
              </w:rPr>
              <w:t>，则一年可</w:t>
            </w:r>
            <w:r>
              <w:rPr>
                <w:rFonts w:hint="eastAsia" w:cs="Times New Roman"/>
                <w:b w:val="0"/>
                <w:bCs w:val="0"/>
                <w:color w:val="auto"/>
                <w:kern w:val="0"/>
                <w:sz w:val="24"/>
                <w:szCs w:val="24"/>
                <w:lang w:val="en-US" w:eastAsia="zh-CN" w:bidi="ar"/>
              </w:rPr>
              <w:t>生产</w:t>
            </w:r>
            <w:r>
              <w:rPr>
                <w:rFonts w:hint="eastAsia" w:ascii="Times New Roman" w:hAnsi="Times New Roman" w:eastAsia="宋体" w:cs="Times New Roman"/>
                <w:b w:val="0"/>
                <w:bCs w:val="0"/>
                <w:color w:val="auto"/>
                <w:kern w:val="0"/>
                <w:sz w:val="24"/>
                <w:szCs w:val="24"/>
                <w:lang w:val="en-US" w:eastAsia="zh-CN" w:bidi="ar"/>
              </w:rPr>
              <w:t>11520000</w:t>
            </w:r>
            <w:r>
              <w:rPr>
                <w:rFonts w:hint="eastAsia" w:cs="Times New Roman"/>
                <w:b w:val="0"/>
                <w:bCs w:val="0"/>
                <w:color w:val="auto"/>
                <w:kern w:val="0"/>
                <w:sz w:val="24"/>
                <w:szCs w:val="24"/>
                <w:lang w:val="en-US" w:eastAsia="zh-CN" w:bidi="ar"/>
              </w:rPr>
              <w:t>片</w:t>
            </w:r>
            <w:r>
              <w:rPr>
                <w:rFonts w:hint="eastAsia" w:ascii="Times New Roman" w:hAnsi="Times New Roman" w:eastAsia="宋体" w:cs="Times New Roman"/>
                <w:b w:val="0"/>
                <w:bCs w:val="0"/>
                <w:color w:val="auto"/>
                <w:kern w:val="0"/>
                <w:sz w:val="24"/>
                <w:szCs w:val="24"/>
                <w:lang w:val="en-US" w:eastAsia="zh-CN" w:bidi="ar"/>
              </w:rPr>
              <w:t>，能满足项目需求。</w:t>
            </w:r>
          </w:p>
          <w:p w14:paraId="65B6E75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0"/>
                <w:sz w:val="24"/>
                <w:szCs w:val="24"/>
                <w:lang w:val="en-US" w:eastAsia="zh-CN" w:bidi="ar"/>
              </w:rPr>
            </w:pPr>
            <w:r>
              <w:rPr>
                <w:rFonts w:hint="eastAsia"/>
                <w:b/>
                <w:bCs/>
                <w:color w:val="auto"/>
                <w:sz w:val="24"/>
                <w:szCs w:val="24"/>
                <w:lang w:bidi="ar"/>
              </w:rPr>
              <w:t>壳聚糖止血粉</w:t>
            </w:r>
            <w:r>
              <w:rPr>
                <w:rFonts w:hint="eastAsia" w:ascii="Times New Roman" w:hAnsi="Times New Roman" w:eastAsia="宋体" w:cs="Times New Roman"/>
                <w:b/>
                <w:bCs/>
                <w:color w:val="auto"/>
                <w:kern w:val="0"/>
                <w:sz w:val="24"/>
                <w:szCs w:val="24"/>
                <w:lang w:val="en-US" w:eastAsia="zh-CN" w:bidi="ar"/>
              </w:rPr>
              <w:t>：</w:t>
            </w:r>
          </w:p>
          <w:p w14:paraId="24B2EE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w:t>
            </w:r>
            <w:r>
              <w:rPr>
                <w:rFonts w:hint="eastAsia"/>
                <w:b w:val="0"/>
                <w:bCs w:val="0"/>
                <w:color w:val="auto"/>
                <w:sz w:val="24"/>
                <w:szCs w:val="24"/>
                <w:lang w:bidi="ar"/>
              </w:rPr>
              <w:t>壳聚糖止血粉</w:t>
            </w:r>
            <w:r>
              <w:rPr>
                <w:rFonts w:hint="eastAsia" w:ascii="Times New Roman" w:hAnsi="Times New Roman" w:eastAsia="宋体" w:cs="Times New Roman"/>
                <w:b w:val="0"/>
                <w:bCs w:val="0"/>
                <w:color w:val="auto"/>
                <w:kern w:val="0"/>
                <w:sz w:val="24"/>
                <w:szCs w:val="24"/>
                <w:lang w:val="en-US" w:eastAsia="zh-CN" w:bidi="ar"/>
              </w:rPr>
              <w:t>总产量为</w:t>
            </w:r>
            <w:r>
              <w:rPr>
                <w:rFonts w:hint="eastAsia" w:cs="Times New Roman"/>
                <w:b w:val="0"/>
                <w:bCs w:val="0"/>
                <w:color w:val="auto"/>
                <w:kern w:val="0"/>
                <w:sz w:val="24"/>
                <w:szCs w:val="24"/>
                <w:lang w:val="en-US" w:eastAsia="zh-CN" w:bidi="ar"/>
              </w:rPr>
              <w:t>1g瓶装的1</w:t>
            </w:r>
            <w:r>
              <w:rPr>
                <w:rFonts w:hint="eastAsia" w:ascii="Times New Roman" w:hAnsi="Times New Roman" w:eastAsia="宋体" w:cs="Times New Roman"/>
                <w:b w:val="0"/>
                <w:bCs w:val="0"/>
                <w:color w:val="auto"/>
                <w:kern w:val="0"/>
                <w:sz w:val="24"/>
                <w:szCs w:val="24"/>
                <w:lang w:val="en-US" w:eastAsia="zh-CN" w:bidi="ar"/>
              </w:rPr>
              <w:t>00万</w:t>
            </w:r>
            <w:r>
              <w:rPr>
                <w:rFonts w:hint="eastAsia" w:cs="Times New Roman"/>
                <w:b w:val="0"/>
                <w:bCs w:val="0"/>
                <w:color w:val="auto"/>
                <w:kern w:val="0"/>
                <w:sz w:val="24"/>
                <w:szCs w:val="24"/>
                <w:lang w:val="en-US" w:eastAsia="zh-CN" w:bidi="ar"/>
              </w:rPr>
              <w:t>瓶、3g袋装的100万瓶</w:t>
            </w:r>
            <w:r>
              <w:rPr>
                <w:rFonts w:hint="eastAsia" w:ascii="Times New Roman" w:hAnsi="Times New Roman" w:eastAsia="宋体" w:cs="Times New Roman"/>
                <w:b w:val="0"/>
                <w:bCs w:val="0"/>
                <w:color w:val="auto"/>
                <w:kern w:val="0"/>
                <w:sz w:val="24"/>
                <w:szCs w:val="24"/>
                <w:lang w:val="en-US" w:eastAsia="zh-CN" w:bidi="ar"/>
              </w:rPr>
              <w:t>，所使</w:t>
            </w:r>
            <w:r>
              <w:rPr>
                <w:rFonts w:hint="eastAsia" w:cs="Times New Roman"/>
                <w:b w:val="0"/>
                <w:bCs w:val="0"/>
                <w:color w:val="auto"/>
                <w:kern w:val="0"/>
                <w:sz w:val="24"/>
                <w:szCs w:val="24"/>
                <w:lang w:val="en-US" w:eastAsia="zh-CN" w:bidi="ar"/>
              </w:rPr>
              <w:t>用袋装灌装机每分钟可装0.5kg、瓶装灌装旋盖机每分钟可封0.2kg，则袋装灌装机一年可装144000kg</w:t>
            </w:r>
            <w:r>
              <w:rPr>
                <w:rFonts w:hint="eastAsia" w:ascii="Times New Roman" w:hAnsi="Times New Roman" w:eastAsia="宋体" w:cs="Times New Roman"/>
                <w:b w:val="0"/>
                <w:bCs w:val="0"/>
                <w:color w:val="auto"/>
                <w:kern w:val="0"/>
                <w:sz w:val="24"/>
                <w:szCs w:val="24"/>
                <w:lang w:val="en-US" w:eastAsia="zh-CN" w:bidi="ar"/>
              </w:rPr>
              <w:t>，</w:t>
            </w:r>
            <w:r>
              <w:rPr>
                <w:rFonts w:hint="eastAsia" w:cs="Times New Roman"/>
                <w:b w:val="0"/>
                <w:bCs w:val="0"/>
                <w:color w:val="auto"/>
                <w:kern w:val="0"/>
                <w:sz w:val="24"/>
                <w:szCs w:val="24"/>
                <w:lang w:val="en-US" w:eastAsia="zh-CN" w:bidi="ar"/>
              </w:rPr>
              <w:t>瓶装灌装旋盖机一年可装57600kg，</w:t>
            </w:r>
            <w:r>
              <w:rPr>
                <w:rFonts w:hint="eastAsia" w:ascii="Times New Roman" w:hAnsi="Times New Roman" w:eastAsia="宋体" w:cs="Times New Roman"/>
                <w:b w:val="0"/>
                <w:bCs w:val="0"/>
                <w:color w:val="auto"/>
                <w:kern w:val="0"/>
                <w:sz w:val="24"/>
                <w:szCs w:val="24"/>
                <w:lang w:val="en-US" w:eastAsia="zh-CN" w:bidi="ar"/>
              </w:rPr>
              <w:t>能满足项目需求。</w:t>
            </w:r>
          </w:p>
          <w:p w14:paraId="34F9AC1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0"/>
                <w:sz w:val="24"/>
                <w:szCs w:val="24"/>
                <w:lang w:val="en-US" w:eastAsia="zh-CN" w:bidi="ar"/>
              </w:rPr>
            </w:pPr>
            <w:r>
              <w:rPr>
                <w:rFonts w:hint="eastAsia"/>
                <w:b/>
                <w:bCs/>
                <w:color w:val="auto"/>
                <w:sz w:val="24"/>
                <w:szCs w:val="24"/>
                <w:lang w:bidi="ar"/>
              </w:rPr>
              <w:t>穴位压力刺激贴</w:t>
            </w:r>
            <w:r>
              <w:rPr>
                <w:rFonts w:hint="eastAsia"/>
                <w:b/>
                <w:bCs/>
                <w:color w:val="auto"/>
                <w:sz w:val="24"/>
                <w:szCs w:val="24"/>
                <w:lang w:eastAsia="zh-CN" w:bidi="ar"/>
              </w:rPr>
              <w:t>、</w:t>
            </w:r>
            <w:r>
              <w:rPr>
                <w:rFonts w:hint="eastAsia"/>
                <w:b/>
                <w:bCs/>
                <w:color w:val="auto"/>
                <w:sz w:val="24"/>
                <w:szCs w:val="24"/>
                <w:lang w:bidi="ar"/>
              </w:rPr>
              <w:t>晕车贴</w:t>
            </w:r>
            <w:r>
              <w:rPr>
                <w:rFonts w:hint="eastAsia"/>
                <w:b/>
                <w:bCs/>
                <w:color w:val="auto"/>
                <w:sz w:val="24"/>
                <w:szCs w:val="24"/>
                <w:lang w:eastAsia="zh-CN" w:bidi="ar"/>
              </w:rPr>
              <w:t>、</w:t>
            </w:r>
            <w:r>
              <w:rPr>
                <w:rFonts w:hint="eastAsia"/>
                <w:b/>
                <w:bCs/>
                <w:color w:val="auto"/>
                <w:sz w:val="24"/>
                <w:szCs w:val="24"/>
                <w:lang w:bidi="ar"/>
              </w:rPr>
              <w:t>三伏贴</w:t>
            </w:r>
            <w:r>
              <w:rPr>
                <w:rFonts w:hint="eastAsia" w:ascii="Times New Roman" w:hAnsi="Times New Roman" w:eastAsia="宋体" w:cs="Times New Roman"/>
                <w:b/>
                <w:bCs/>
                <w:color w:val="auto"/>
                <w:kern w:val="0"/>
                <w:sz w:val="24"/>
                <w:szCs w:val="24"/>
                <w:lang w:val="en-US" w:eastAsia="zh-CN" w:bidi="ar"/>
              </w:rPr>
              <w:t>：</w:t>
            </w:r>
          </w:p>
          <w:p w14:paraId="0659AC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
              </w:rPr>
            </w:pPr>
            <w:r>
              <w:rPr>
                <w:rFonts w:hint="eastAsia" w:cs="Times New Roman"/>
                <w:b w:val="0"/>
                <w:bCs w:val="0"/>
                <w:color w:val="auto"/>
                <w:kern w:val="0"/>
                <w:sz w:val="24"/>
                <w:szCs w:val="24"/>
                <w:lang w:val="en-US" w:eastAsia="zh-CN" w:bidi="ar"/>
              </w:rPr>
              <w:t>本项目穴位压力刺激贴总产量为5000万贴、晕车贴2000万贴、三伏贴4000万贴，所</w:t>
            </w:r>
            <w:r>
              <w:rPr>
                <w:rFonts w:hint="eastAsia" w:ascii="Times New Roman" w:hAnsi="Times New Roman" w:eastAsia="宋体" w:cs="Times New Roman"/>
                <w:b w:val="0"/>
                <w:bCs w:val="0"/>
                <w:color w:val="auto"/>
                <w:kern w:val="0"/>
                <w:sz w:val="24"/>
                <w:szCs w:val="24"/>
                <w:lang w:val="en-US" w:eastAsia="zh-CN" w:bidi="ar"/>
              </w:rPr>
              <w:t>使</w:t>
            </w:r>
            <w:r>
              <w:rPr>
                <w:rFonts w:hint="eastAsia" w:cs="Times New Roman"/>
                <w:b w:val="0"/>
                <w:bCs w:val="0"/>
                <w:color w:val="auto"/>
                <w:kern w:val="0"/>
                <w:sz w:val="24"/>
                <w:szCs w:val="24"/>
                <w:lang w:val="en-US" w:eastAsia="zh-CN" w:bidi="ar"/>
              </w:rPr>
              <w:t>用</w:t>
            </w:r>
            <w:r>
              <w:rPr>
                <w:rFonts w:hint="eastAsia"/>
                <w:color w:val="auto"/>
                <w:sz w:val="24"/>
                <w:szCs w:val="24"/>
                <w:lang w:bidi="ar"/>
              </w:rPr>
              <w:t>热熔胶涂布机</w:t>
            </w:r>
            <w:r>
              <w:rPr>
                <w:rFonts w:hint="eastAsia" w:cs="Times New Roman"/>
                <w:b w:val="0"/>
                <w:bCs w:val="0"/>
                <w:color w:val="auto"/>
                <w:kern w:val="0"/>
                <w:sz w:val="24"/>
                <w:szCs w:val="24"/>
                <w:lang w:val="en-US" w:eastAsia="zh-CN" w:bidi="ar"/>
              </w:rPr>
              <w:t>每分钟可</w:t>
            </w:r>
            <w:r>
              <w:rPr>
                <w:rFonts w:hint="eastAsia"/>
                <w:color w:val="auto"/>
                <w:sz w:val="24"/>
                <w:szCs w:val="24"/>
                <w:lang w:bidi="ar"/>
              </w:rPr>
              <w:t>涂</w:t>
            </w:r>
            <w:r>
              <w:rPr>
                <w:rFonts w:hint="eastAsia" w:cs="Times New Roman"/>
                <w:b w:val="0"/>
                <w:bCs w:val="0"/>
                <w:color w:val="auto"/>
                <w:kern w:val="0"/>
                <w:sz w:val="24"/>
                <w:szCs w:val="24"/>
                <w:lang w:val="en-US" w:eastAsia="zh-CN" w:bidi="ar"/>
              </w:rPr>
              <w:t>53贴，则</w:t>
            </w:r>
            <w:r>
              <w:rPr>
                <w:rFonts w:hint="eastAsia"/>
                <w:color w:val="auto"/>
                <w:sz w:val="24"/>
                <w:szCs w:val="24"/>
                <w:lang w:bidi="ar"/>
              </w:rPr>
              <w:t>热熔胶涂布机</w:t>
            </w:r>
            <w:r>
              <w:rPr>
                <w:rFonts w:hint="eastAsia" w:cs="Times New Roman"/>
                <w:b w:val="0"/>
                <w:bCs w:val="0"/>
                <w:color w:val="auto"/>
                <w:kern w:val="0"/>
                <w:sz w:val="24"/>
                <w:szCs w:val="24"/>
                <w:lang w:val="en-US" w:eastAsia="zh-CN" w:bidi="ar"/>
              </w:rPr>
              <w:t>一年可</w:t>
            </w:r>
            <w:r>
              <w:rPr>
                <w:rFonts w:hint="eastAsia"/>
                <w:color w:val="auto"/>
                <w:sz w:val="24"/>
                <w:szCs w:val="24"/>
                <w:lang w:bidi="ar"/>
              </w:rPr>
              <w:t>涂</w:t>
            </w:r>
            <w:r>
              <w:rPr>
                <w:rFonts w:hint="eastAsia" w:cs="Times New Roman"/>
                <w:b w:val="0"/>
                <w:bCs w:val="0"/>
                <w:color w:val="auto"/>
                <w:kern w:val="0"/>
                <w:sz w:val="24"/>
                <w:szCs w:val="24"/>
                <w:lang w:val="en-US" w:eastAsia="zh-CN" w:bidi="ar"/>
              </w:rPr>
              <w:t>1526.4万贴</w:t>
            </w:r>
            <w:r>
              <w:rPr>
                <w:rFonts w:hint="eastAsia" w:ascii="Times New Roman" w:hAnsi="Times New Roman" w:eastAsia="宋体" w:cs="Times New Roman"/>
                <w:b w:val="0"/>
                <w:bCs w:val="0"/>
                <w:color w:val="auto"/>
                <w:kern w:val="0"/>
                <w:sz w:val="24"/>
                <w:szCs w:val="24"/>
                <w:lang w:val="en-US" w:eastAsia="zh-CN" w:bidi="ar"/>
              </w:rPr>
              <w:t>，能满足项目需求。</w:t>
            </w:r>
          </w:p>
          <w:p w14:paraId="6731056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0"/>
                <w:sz w:val="24"/>
                <w:szCs w:val="24"/>
                <w:lang w:val="en-US" w:eastAsia="zh-CN" w:bidi="ar"/>
              </w:rPr>
            </w:pPr>
            <w:r>
              <w:rPr>
                <w:rFonts w:hint="eastAsia"/>
                <w:b/>
                <w:bCs/>
                <w:color w:val="auto"/>
                <w:sz w:val="24"/>
                <w:szCs w:val="24"/>
                <w:lang w:bidi="ar"/>
              </w:rPr>
              <w:t>创口贴</w:t>
            </w:r>
            <w:r>
              <w:rPr>
                <w:rFonts w:hint="eastAsia" w:ascii="Times New Roman" w:hAnsi="Times New Roman" w:eastAsia="宋体" w:cs="Times New Roman"/>
                <w:b/>
                <w:bCs/>
                <w:color w:val="auto"/>
                <w:kern w:val="0"/>
                <w:sz w:val="24"/>
                <w:szCs w:val="24"/>
                <w:lang w:val="en-US" w:eastAsia="zh-CN" w:bidi="ar"/>
              </w:rPr>
              <w:t>：</w:t>
            </w:r>
          </w:p>
          <w:p w14:paraId="4A574C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val="0"/>
                <w:bCs w:val="0"/>
                <w:color w:val="auto"/>
                <w:sz w:val="24"/>
                <w:szCs w:val="24"/>
                <w:lang w:val="en-US" w:eastAsia="zh-CN"/>
              </w:rPr>
              <w:t>本项目</w:t>
            </w:r>
            <w:r>
              <w:rPr>
                <w:rFonts w:hint="eastAsia" w:cs="Times New Roman"/>
                <w:b w:val="0"/>
                <w:bCs w:val="0"/>
                <w:color w:val="auto"/>
                <w:kern w:val="0"/>
                <w:sz w:val="24"/>
                <w:szCs w:val="24"/>
                <w:lang w:val="en-US" w:eastAsia="zh-CN" w:bidi="ar"/>
              </w:rPr>
              <w:t>创口贴</w:t>
            </w:r>
            <w:r>
              <w:rPr>
                <w:rFonts w:hint="eastAsia" w:ascii="Times New Roman" w:hAnsi="Times New Roman" w:eastAsia="宋体" w:cs="Times New Roman"/>
                <w:b w:val="0"/>
                <w:bCs w:val="0"/>
                <w:color w:val="auto"/>
                <w:kern w:val="0"/>
                <w:sz w:val="24"/>
                <w:szCs w:val="24"/>
                <w:lang w:val="en-US" w:eastAsia="zh-CN" w:bidi="ar"/>
              </w:rPr>
              <w:t>总产量为</w:t>
            </w:r>
            <w:r>
              <w:rPr>
                <w:rFonts w:hint="eastAsia" w:cs="Times New Roman"/>
                <w:b w:val="0"/>
                <w:bCs w:val="0"/>
                <w:color w:val="auto"/>
                <w:kern w:val="0"/>
                <w:sz w:val="24"/>
                <w:szCs w:val="24"/>
                <w:lang w:val="en-US" w:eastAsia="zh-CN" w:bidi="ar"/>
              </w:rPr>
              <w:t>5</w:t>
            </w:r>
            <w:r>
              <w:rPr>
                <w:rFonts w:hint="eastAsia" w:ascii="Times New Roman" w:hAnsi="Times New Roman" w:eastAsia="宋体" w:cs="Times New Roman"/>
                <w:b w:val="0"/>
                <w:bCs w:val="0"/>
                <w:color w:val="auto"/>
                <w:kern w:val="0"/>
                <w:sz w:val="24"/>
                <w:szCs w:val="24"/>
                <w:lang w:val="en-US" w:eastAsia="zh-CN" w:bidi="ar"/>
              </w:rPr>
              <w:t>00</w:t>
            </w:r>
            <w:r>
              <w:rPr>
                <w:rFonts w:hint="eastAsia" w:cs="Times New Roman"/>
                <w:b w:val="0"/>
                <w:bCs w:val="0"/>
                <w:color w:val="auto"/>
                <w:kern w:val="0"/>
                <w:sz w:val="24"/>
                <w:szCs w:val="24"/>
                <w:lang w:val="en-US" w:eastAsia="zh-CN" w:bidi="ar"/>
              </w:rPr>
              <w:t>0</w:t>
            </w:r>
            <w:r>
              <w:rPr>
                <w:rFonts w:hint="eastAsia" w:ascii="Times New Roman" w:hAnsi="Times New Roman" w:eastAsia="宋体" w:cs="Times New Roman"/>
                <w:b w:val="0"/>
                <w:bCs w:val="0"/>
                <w:color w:val="auto"/>
                <w:kern w:val="0"/>
                <w:sz w:val="24"/>
                <w:szCs w:val="24"/>
                <w:lang w:val="en-US" w:eastAsia="zh-CN" w:bidi="ar"/>
              </w:rPr>
              <w:t>万贴</w:t>
            </w:r>
            <w:r>
              <w:rPr>
                <w:rFonts w:hint="eastAsia"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所使用</w:t>
            </w:r>
            <w:r>
              <w:rPr>
                <w:rFonts w:hint="eastAsia"/>
                <w:color w:val="auto"/>
                <w:sz w:val="24"/>
                <w:szCs w:val="24"/>
                <w:lang w:bidi="ar"/>
              </w:rPr>
              <w:t>滚刀创口贴机</w:t>
            </w:r>
            <w:r>
              <w:rPr>
                <w:rFonts w:hint="eastAsia" w:ascii="Times New Roman" w:hAnsi="Times New Roman" w:eastAsia="宋体" w:cs="Times New Roman"/>
                <w:b w:val="0"/>
                <w:bCs w:val="0"/>
                <w:color w:val="auto"/>
                <w:kern w:val="0"/>
                <w:sz w:val="24"/>
                <w:szCs w:val="24"/>
                <w:lang w:val="en-US" w:eastAsia="zh-CN" w:bidi="ar"/>
              </w:rPr>
              <w:t>每分钟可</w:t>
            </w:r>
            <w:r>
              <w:rPr>
                <w:rFonts w:hint="eastAsia" w:cs="Times New Roman"/>
                <w:b w:val="0"/>
                <w:bCs w:val="0"/>
                <w:color w:val="auto"/>
                <w:kern w:val="0"/>
                <w:sz w:val="24"/>
                <w:szCs w:val="24"/>
                <w:lang w:val="en-US" w:eastAsia="zh-CN" w:bidi="ar"/>
              </w:rPr>
              <w:t>生产200贴</w:t>
            </w:r>
            <w:r>
              <w:rPr>
                <w:rFonts w:hint="eastAsia" w:ascii="Times New Roman" w:hAnsi="Times New Roman" w:eastAsia="宋体" w:cs="Times New Roman"/>
                <w:b w:val="0"/>
                <w:bCs w:val="0"/>
                <w:color w:val="auto"/>
                <w:kern w:val="0"/>
                <w:sz w:val="24"/>
                <w:szCs w:val="24"/>
                <w:lang w:val="en-US" w:eastAsia="zh-CN" w:bidi="ar"/>
              </w:rPr>
              <w:t>，则一年可</w:t>
            </w:r>
            <w:r>
              <w:rPr>
                <w:rFonts w:hint="eastAsia" w:cs="Times New Roman"/>
                <w:b w:val="0"/>
                <w:bCs w:val="0"/>
                <w:color w:val="auto"/>
                <w:kern w:val="0"/>
                <w:sz w:val="24"/>
                <w:szCs w:val="24"/>
                <w:lang w:val="en-US" w:eastAsia="zh-CN" w:bidi="ar"/>
              </w:rPr>
              <w:t>生产5760</w:t>
            </w:r>
            <w:r>
              <w:rPr>
                <w:rFonts w:hint="eastAsia" w:ascii="Times New Roman" w:hAnsi="Times New Roman" w:eastAsia="宋体" w:cs="Times New Roman"/>
                <w:b w:val="0"/>
                <w:bCs w:val="0"/>
                <w:color w:val="auto"/>
                <w:kern w:val="0"/>
                <w:sz w:val="24"/>
                <w:szCs w:val="24"/>
                <w:lang w:val="en-US" w:eastAsia="zh-CN" w:bidi="ar"/>
              </w:rPr>
              <w:t>万</w:t>
            </w:r>
            <w:r>
              <w:rPr>
                <w:rFonts w:hint="eastAsia" w:cs="Times New Roman"/>
                <w:b w:val="0"/>
                <w:bCs w:val="0"/>
                <w:color w:val="auto"/>
                <w:kern w:val="0"/>
                <w:sz w:val="24"/>
                <w:szCs w:val="24"/>
                <w:lang w:val="en-US" w:eastAsia="zh-CN" w:bidi="ar"/>
              </w:rPr>
              <w:t>贴</w:t>
            </w:r>
            <w:r>
              <w:rPr>
                <w:rFonts w:hint="eastAsia" w:ascii="Times New Roman" w:hAnsi="Times New Roman" w:eastAsia="宋体" w:cs="Times New Roman"/>
                <w:b w:val="0"/>
                <w:bCs w:val="0"/>
                <w:color w:val="auto"/>
                <w:kern w:val="0"/>
                <w:sz w:val="24"/>
                <w:szCs w:val="24"/>
                <w:lang w:val="en-US" w:eastAsia="zh-CN" w:bidi="ar"/>
              </w:rPr>
              <w:t>，能满足项目需求。</w:t>
            </w:r>
          </w:p>
          <w:p w14:paraId="38F0D50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auto"/>
                <w:kern w:val="0"/>
                <w:sz w:val="24"/>
                <w:szCs w:val="24"/>
                <w:lang w:val="en-US" w:eastAsia="zh-CN" w:bidi="ar"/>
              </w:rPr>
            </w:pPr>
            <w:r>
              <w:rPr>
                <w:rFonts w:hint="eastAsia"/>
                <w:b/>
                <w:bCs/>
                <w:color w:val="auto"/>
                <w:sz w:val="24"/>
                <w:szCs w:val="24"/>
                <w:lang w:bidi="ar"/>
              </w:rPr>
              <w:t>通气鼻贴</w:t>
            </w:r>
            <w:r>
              <w:rPr>
                <w:rFonts w:hint="eastAsia" w:ascii="Times New Roman" w:hAnsi="Times New Roman" w:eastAsia="宋体" w:cs="Times New Roman"/>
                <w:b/>
                <w:bCs/>
                <w:color w:val="auto"/>
                <w:kern w:val="0"/>
                <w:sz w:val="24"/>
                <w:szCs w:val="24"/>
                <w:lang w:val="en-US" w:eastAsia="zh-CN" w:bidi="ar"/>
              </w:rPr>
              <w:t>：</w:t>
            </w:r>
          </w:p>
          <w:p w14:paraId="21457A6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val="0"/>
                <w:bCs w:val="0"/>
                <w:color w:val="auto"/>
                <w:sz w:val="24"/>
                <w:szCs w:val="24"/>
                <w:lang w:val="en-US" w:eastAsia="zh-CN"/>
              </w:rPr>
              <w:t>本项目</w:t>
            </w:r>
            <w:r>
              <w:rPr>
                <w:rFonts w:hint="eastAsia"/>
                <w:b w:val="0"/>
                <w:bCs w:val="0"/>
                <w:color w:val="auto"/>
                <w:sz w:val="24"/>
                <w:szCs w:val="24"/>
                <w:lang w:bidi="ar"/>
              </w:rPr>
              <w:t>通气鼻贴</w:t>
            </w:r>
            <w:r>
              <w:rPr>
                <w:rFonts w:hint="eastAsia" w:ascii="Times New Roman" w:hAnsi="Times New Roman" w:eastAsia="宋体" w:cs="Times New Roman"/>
                <w:b w:val="0"/>
                <w:bCs w:val="0"/>
                <w:color w:val="auto"/>
                <w:kern w:val="0"/>
                <w:sz w:val="24"/>
                <w:szCs w:val="24"/>
                <w:lang w:val="en-US" w:eastAsia="zh-CN" w:bidi="ar"/>
              </w:rPr>
              <w:t>总产量为</w:t>
            </w:r>
            <w:r>
              <w:rPr>
                <w:rFonts w:hint="eastAsia" w:cs="Times New Roman"/>
                <w:b w:val="0"/>
                <w:bCs w:val="0"/>
                <w:color w:val="auto"/>
                <w:kern w:val="0"/>
                <w:sz w:val="24"/>
                <w:szCs w:val="24"/>
                <w:lang w:val="en-US" w:eastAsia="zh-CN" w:bidi="ar"/>
              </w:rPr>
              <w:t>5</w:t>
            </w:r>
            <w:r>
              <w:rPr>
                <w:rFonts w:hint="eastAsia" w:ascii="Times New Roman" w:hAnsi="Times New Roman" w:eastAsia="宋体" w:cs="Times New Roman"/>
                <w:b w:val="0"/>
                <w:bCs w:val="0"/>
                <w:color w:val="auto"/>
                <w:kern w:val="0"/>
                <w:sz w:val="24"/>
                <w:szCs w:val="24"/>
                <w:lang w:val="en-US" w:eastAsia="zh-CN" w:bidi="ar"/>
              </w:rPr>
              <w:t>00</w:t>
            </w:r>
            <w:r>
              <w:rPr>
                <w:rFonts w:hint="eastAsia" w:cs="Times New Roman"/>
                <w:b w:val="0"/>
                <w:bCs w:val="0"/>
                <w:color w:val="auto"/>
                <w:kern w:val="0"/>
                <w:sz w:val="24"/>
                <w:szCs w:val="24"/>
                <w:lang w:val="en-US" w:eastAsia="zh-CN" w:bidi="ar"/>
              </w:rPr>
              <w:t>0</w:t>
            </w:r>
            <w:r>
              <w:rPr>
                <w:rFonts w:hint="eastAsia" w:ascii="Times New Roman" w:hAnsi="Times New Roman" w:eastAsia="宋体" w:cs="Times New Roman"/>
                <w:b w:val="0"/>
                <w:bCs w:val="0"/>
                <w:color w:val="auto"/>
                <w:kern w:val="0"/>
                <w:sz w:val="24"/>
                <w:szCs w:val="24"/>
                <w:lang w:val="en-US" w:eastAsia="zh-CN" w:bidi="ar"/>
              </w:rPr>
              <w:t>万贴</w:t>
            </w:r>
            <w:r>
              <w:rPr>
                <w:rFonts w:hint="eastAsia" w:cs="Times New Roman"/>
                <w:b w:val="0"/>
                <w:bCs w:val="0"/>
                <w:color w:val="auto"/>
                <w:kern w:val="0"/>
                <w:sz w:val="24"/>
                <w:szCs w:val="24"/>
                <w:lang w:val="en-US" w:eastAsia="zh-CN" w:bidi="ar"/>
              </w:rPr>
              <w:t>，</w:t>
            </w:r>
            <w:r>
              <w:rPr>
                <w:rFonts w:hint="eastAsia" w:ascii="Times New Roman" w:hAnsi="Times New Roman" w:eastAsia="宋体" w:cs="Times New Roman"/>
                <w:b w:val="0"/>
                <w:bCs w:val="0"/>
                <w:color w:val="auto"/>
                <w:kern w:val="0"/>
                <w:sz w:val="24"/>
                <w:szCs w:val="24"/>
                <w:lang w:val="en-US" w:eastAsia="zh-CN" w:bidi="ar"/>
              </w:rPr>
              <w:t>所使用</w:t>
            </w:r>
            <w:r>
              <w:rPr>
                <w:rFonts w:hint="eastAsia"/>
                <w:color w:val="auto"/>
                <w:sz w:val="22"/>
                <w:szCs w:val="22"/>
                <w:lang w:bidi="ar"/>
              </w:rPr>
              <w:t>鼻贴机</w:t>
            </w:r>
            <w:r>
              <w:rPr>
                <w:rFonts w:hint="eastAsia" w:ascii="Times New Roman" w:hAnsi="Times New Roman" w:eastAsia="宋体" w:cs="Times New Roman"/>
                <w:b w:val="0"/>
                <w:bCs w:val="0"/>
                <w:color w:val="auto"/>
                <w:kern w:val="0"/>
                <w:sz w:val="24"/>
                <w:szCs w:val="24"/>
                <w:lang w:val="en-US" w:eastAsia="zh-CN" w:bidi="ar"/>
              </w:rPr>
              <w:t>每分钟可</w:t>
            </w:r>
            <w:r>
              <w:rPr>
                <w:rFonts w:hint="eastAsia" w:cs="Times New Roman"/>
                <w:b w:val="0"/>
                <w:bCs w:val="0"/>
                <w:color w:val="auto"/>
                <w:kern w:val="0"/>
                <w:sz w:val="24"/>
                <w:szCs w:val="24"/>
                <w:lang w:val="en-US" w:eastAsia="zh-CN" w:bidi="ar"/>
              </w:rPr>
              <w:t>生产200贴</w:t>
            </w:r>
            <w:r>
              <w:rPr>
                <w:rFonts w:hint="eastAsia" w:ascii="Times New Roman" w:hAnsi="Times New Roman" w:eastAsia="宋体" w:cs="Times New Roman"/>
                <w:b w:val="0"/>
                <w:bCs w:val="0"/>
                <w:color w:val="auto"/>
                <w:kern w:val="0"/>
                <w:sz w:val="24"/>
                <w:szCs w:val="24"/>
                <w:lang w:val="en-US" w:eastAsia="zh-CN" w:bidi="ar"/>
              </w:rPr>
              <w:t>，则一年可</w:t>
            </w:r>
            <w:r>
              <w:rPr>
                <w:rFonts w:hint="eastAsia" w:cs="Times New Roman"/>
                <w:b w:val="0"/>
                <w:bCs w:val="0"/>
                <w:color w:val="auto"/>
                <w:kern w:val="0"/>
                <w:sz w:val="24"/>
                <w:szCs w:val="24"/>
                <w:lang w:val="en-US" w:eastAsia="zh-CN" w:bidi="ar"/>
              </w:rPr>
              <w:t>生产5760</w:t>
            </w:r>
            <w:r>
              <w:rPr>
                <w:rFonts w:hint="eastAsia" w:ascii="Times New Roman" w:hAnsi="Times New Roman" w:eastAsia="宋体" w:cs="Times New Roman"/>
                <w:b w:val="0"/>
                <w:bCs w:val="0"/>
                <w:color w:val="auto"/>
                <w:kern w:val="0"/>
                <w:sz w:val="24"/>
                <w:szCs w:val="24"/>
                <w:lang w:val="en-US" w:eastAsia="zh-CN" w:bidi="ar"/>
              </w:rPr>
              <w:t>万</w:t>
            </w:r>
            <w:r>
              <w:rPr>
                <w:rFonts w:hint="eastAsia" w:cs="Times New Roman"/>
                <w:b w:val="0"/>
                <w:bCs w:val="0"/>
                <w:color w:val="auto"/>
                <w:kern w:val="0"/>
                <w:sz w:val="24"/>
                <w:szCs w:val="24"/>
                <w:lang w:val="en-US" w:eastAsia="zh-CN" w:bidi="ar"/>
              </w:rPr>
              <w:t>贴</w:t>
            </w:r>
            <w:r>
              <w:rPr>
                <w:rFonts w:hint="eastAsia" w:ascii="Times New Roman" w:hAnsi="Times New Roman" w:eastAsia="宋体" w:cs="Times New Roman"/>
                <w:b w:val="0"/>
                <w:bCs w:val="0"/>
                <w:color w:val="auto"/>
                <w:kern w:val="0"/>
                <w:sz w:val="24"/>
                <w:szCs w:val="24"/>
                <w:lang w:val="en-US" w:eastAsia="zh-CN" w:bidi="ar"/>
              </w:rPr>
              <w:t>，能满足项目需求。</w:t>
            </w:r>
          </w:p>
          <w:p w14:paraId="4331A2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color w:val="auto"/>
                <w:sz w:val="24"/>
                <w:szCs w:val="24"/>
                <w:highlight w:val="none"/>
                <w:shd w:val="clear" w:color="auto" w:fill="auto"/>
                <w:lang w:val="en-US" w:eastAsia="zh-CN"/>
              </w:rPr>
              <w:t>七</w:t>
            </w:r>
            <w:r>
              <w:rPr>
                <w:rFonts w:hint="eastAsia" w:ascii="Times New Roman" w:hAnsi="Times New Roman" w:eastAsia="宋体" w:cs="Times New Roman"/>
                <w:b/>
                <w:bCs/>
                <w:color w:val="auto"/>
                <w:sz w:val="24"/>
                <w:szCs w:val="24"/>
                <w:highlight w:val="none"/>
                <w:shd w:val="clear" w:color="auto" w:fill="auto"/>
                <w:lang w:eastAsia="zh-CN"/>
              </w:rPr>
              <w:t>、</w:t>
            </w:r>
            <w:r>
              <w:rPr>
                <w:rFonts w:hint="default" w:ascii="Times New Roman" w:hAnsi="Times New Roman" w:eastAsia="宋体" w:cs="Times New Roman"/>
                <w:b/>
                <w:bCs/>
                <w:color w:val="auto"/>
                <w:sz w:val="24"/>
                <w:szCs w:val="24"/>
                <w:highlight w:val="none"/>
                <w:shd w:val="clear" w:color="auto" w:fill="auto"/>
                <w:lang w:eastAsia="zh-CN"/>
              </w:rPr>
              <w:t>劳动</w:t>
            </w:r>
            <w:r>
              <w:rPr>
                <w:rFonts w:hint="default" w:ascii="Times New Roman" w:hAnsi="Times New Roman" w:eastAsia="宋体" w:cs="Times New Roman"/>
                <w:b/>
                <w:bCs w:val="0"/>
                <w:color w:val="auto"/>
                <w:sz w:val="24"/>
                <w:szCs w:val="24"/>
                <w:highlight w:val="none"/>
              </w:rPr>
              <w:t>定员及工作制度</w:t>
            </w:r>
          </w:p>
          <w:p w14:paraId="1A1D24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rPr>
              <w:t>根据建设单位提供资料，</w:t>
            </w:r>
            <w:r>
              <w:rPr>
                <w:rFonts w:hint="eastAsia" w:ascii="Times New Roman" w:hAnsi="Times New Roman" w:eastAsia="宋体" w:cs="Times New Roman"/>
                <w:color w:val="auto"/>
                <w:sz w:val="24"/>
                <w:lang w:val="en-US" w:eastAsia="zh-CN"/>
              </w:rPr>
              <w:t>原定</w:t>
            </w:r>
            <w:r>
              <w:rPr>
                <w:rFonts w:hint="eastAsia" w:ascii="Times New Roman" w:hAnsi="Times New Roman" w:eastAsia="宋体" w:cs="Times New Roman"/>
                <w:color w:val="auto"/>
                <w:sz w:val="24"/>
                <w:szCs w:val="24"/>
              </w:rPr>
              <w:t>劳动定员</w:t>
            </w:r>
            <w:r>
              <w:rPr>
                <w:rFonts w:hint="eastAsia" w:ascii="Times New Roman" w:hAnsi="Times New Roman" w:eastAsia="宋体" w:cs="Times New Roman"/>
                <w:color w:val="auto"/>
                <w:sz w:val="24"/>
                <w:szCs w:val="24"/>
                <w:lang w:val="en-US" w:eastAsia="zh-CN"/>
              </w:rPr>
              <w:t>20</w:t>
            </w:r>
            <w:r>
              <w:rPr>
                <w:rFonts w:ascii="Times New Roman" w:hAnsi="Times New Roman" w:eastAsia="宋体" w:cs="Times New Roman"/>
                <w:color w:val="auto"/>
                <w:sz w:val="24"/>
                <w:szCs w:val="24"/>
              </w:rPr>
              <w:t>人</w:t>
            </w:r>
            <w:r>
              <w:rPr>
                <w:rFonts w:hint="eastAsia" w:ascii="Times New Roman" w:hAnsi="Times New Roman" w:eastAsia="宋体" w:cs="Times New Roman"/>
                <w:color w:val="auto"/>
                <w:sz w:val="24"/>
                <w:szCs w:val="24"/>
                <w:lang w:eastAsia="zh-CN"/>
              </w:rPr>
              <w:t>，</w:t>
            </w:r>
            <w:r>
              <w:rPr>
                <w:rFonts w:hint="eastAsia" w:cs="Times New Roman"/>
                <w:color w:val="auto"/>
                <w:sz w:val="24"/>
                <w:lang w:eastAsia="zh-CN"/>
              </w:rPr>
              <w:t>项目</w:t>
            </w:r>
            <w:r>
              <w:rPr>
                <w:rFonts w:hint="default" w:ascii="Times New Roman" w:hAnsi="Times New Roman" w:eastAsia="宋体" w:cs="Times New Roman"/>
                <w:color w:val="auto"/>
                <w:sz w:val="24"/>
              </w:rPr>
              <w:t>重大变</w:t>
            </w:r>
            <w:r>
              <w:rPr>
                <w:rFonts w:hint="eastAsia" w:cs="Times New Roman"/>
                <w:color w:val="auto"/>
                <w:sz w:val="24"/>
                <w:lang w:eastAsia="zh-CN"/>
              </w:rPr>
              <w:t>动</w:t>
            </w:r>
            <w:r>
              <w:rPr>
                <w:rFonts w:hint="default" w:ascii="Times New Roman" w:hAnsi="Times New Roman" w:eastAsia="宋体" w:cs="Times New Roman"/>
                <w:color w:val="auto"/>
                <w:sz w:val="24"/>
              </w:rPr>
              <w:t>后新增劳动定员</w:t>
            </w:r>
            <w:r>
              <w:rPr>
                <w:rFonts w:hint="eastAsia" w:ascii="Times New Roman" w:hAnsi="Times New Roman" w:eastAsia="宋体" w:cs="Times New Roman"/>
                <w:color w:val="auto"/>
                <w:sz w:val="24"/>
                <w:lang w:val="en-US" w:eastAsia="zh-CN"/>
              </w:rPr>
              <w:t>15</w:t>
            </w:r>
            <w:r>
              <w:rPr>
                <w:rFonts w:ascii="Times New Roman" w:hAnsi="Times New Roman" w:eastAsia="宋体" w:cs="Times New Roman"/>
                <w:color w:val="auto"/>
                <w:sz w:val="24"/>
                <w:szCs w:val="24"/>
              </w:rPr>
              <w:t>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共35人</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工作时间不变，</w:t>
            </w:r>
            <w:r>
              <w:rPr>
                <w:rFonts w:hint="default" w:ascii="Times New Roman" w:hAnsi="Times New Roman" w:cs="Times New Roman"/>
                <w:color w:val="auto"/>
                <w:sz w:val="24"/>
                <w:szCs w:val="24"/>
              </w:rPr>
              <w:t>实行</w:t>
            </w:r>
            <w:r>
              <w:rPr>
                <w:rFonts w:hint="eastAsia" w:ascii="Times New Roman" w:hAnsi="Times New Roman" w:eastAsia="宋体" w:cs="Times New Roman"/>
                <w:color w:val="auto"/>
                <w:sz w:val="24"/>
                <w:szCs w:val="24"/>
                <w:lang w:eastAsia="zh-CN"/>
              </w:rPr>
              <w:t>两班制，每班工作</w:t>
            </w:r>
            <w:r>
              <w:rPr>
                <w:rFonts w:hint="eastAsia" w:ascii="Times New Roman" w:hAnsi="Times New Roman" w:eastAsia="宋体" w:cs="Times New Roman"/>
                <w:color w:val="auto"/>
                <w:sz w:val="24"/>
                <w:szCs w:val="24"/>
                <w:lang w:val="en-US" w:eastAsia="zh-CN"/>
              </w:rPr>
              <w:t>8小时，年工作300天</w:t>
            </w:r>
            <w:r>
              <w:rPr>
                <w:rFonts w:hint="eastAsia" w:ascii="Times New Roman" w:hAnsi="Times New Roman" w:eastAsia="宋体" w:cs="Times New Roman"/>
                <w:color w:val="auto"/>
                <w:sz w:val="24"/>
                <w:szCs w:val="24"/>
              </w:rPr>
              <w:t>。</w:t>
            </w:r>
          </w:p>
          <w:p w14:paraId="7F1671B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八、公用工程</w:t>
            </w:r>
          </w:p>
          <w:p w14:paraId="0FB1EFDF">
            <w:pPr>
              <w:keepNext w:val="0"/>
              <w:keepLines w:val="0"/>
              <w:pageBreakBefore w:val="0"/>
              <w:widowControl w:val="0"/>
              <w:kinsoku/>
              <w:wordWrap/>
              <w:overflowPunct/>
              <w:topLinePunct/>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（1）、给水</w:t>
            </w:r>
          </w:p>
          <w:p w14:paraId="77219604">
            <w:pPr>
              <w:keepNext w:val="0"/>
              <w:keepLines w:val="0"/>
              <w:pageBreakBefore w:val="0"/>
              <w:widowControl w:val="0"/>
              <w:kinsoku/>
              <w:wordWrap/>
              <w:overflowPunct/>
              <w:topLinePunct/>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snapToGrid w:val="0"/>
                <w:color w:val="auto"/>
                <w:kern w:val="0"/>
                <w:sz w:val="24"/>
                <w:szCs w:val="24"/>
              </w:rPr>
              <w:t>本项目用水主要为生活用水、</w:t>
            </w:r>
            <w:r>
              <w:rPr>
                <w:rFonts w:hint="eastAsia" w:ascii="Times New Roman" w:hAnsi="Times New Roman" w:eastAsia="宋体" w:cs="Times New Roman"/>
                <w:snapToGrid w:val="0"/>
                <w:color w:val="auto"/>
                <w:kern w:val="0"/>
                <w:sz w:val="24"/>
                <w:szCs w:val="24"/>
                <w:lang w:eastAsia="zh-CN"/>
              </w:rPr>
              <w:t>纯水制备</w:t>
            </w:r>
            <w:r>
              <w:rPr>
                <w:rFonts w:hint="eastAsia" w:ascii="Times New Roman" w:hAnsi="Times New Roman" w:eastAsia="宋体" w:cs="Times New Roman"/>
                <w:snapToGrid w:val="0"/>
                <w:color w:val="auto"/>
                <w:kern w:val="0"/>
                <w:sz w:val="24"/>
                <w:szCs w:val="24"/>
              </w:rPr>
              <w:t>用水，</w:t>
            </w:r>
            <w:r>
              <w:rPr>
                <w:rFonts w:ascii="Times New Roman" w:hAnsi="Times New Roman" w:eastAsia="宋体" w:cs="Times New Roman"/>
                <w:snapToGrid w:val="0"/>
                <w:color w:val="auto"/>
                <w:kern w:val="0"/>
                <w:sz w:val="24"/>
                <w:szCs w:val="24"/>
              </w:rPr>
              <w:t>项目用水来自</w:t>
            </w:r>
            <w:r>
              <w:rPr>
                <w:rFonts w:hint="eastAsia" w:ascii="Times New Roman" w:hAnsi="Times New Roman" w:eastAsia="宋体" w:cs="Times New Roman"/>
                <w:snapToGrid w:val="0"/>
                <w:color w:val="auto"/>
                <w:kern w:val="0"/>
                <w:sz w:val="24"/>
                <w:szCs w:val="24"/>
              </w:rPr>
              <w:t>自来水</w:t>
            </w:r>
            <w:r>
              <w:rPr>
                <w:rFonts w:ascii="Times New Roman" w:hAnsi="Times New Roman" w:eastAsia="宋体" w:cs="Times New Roman"/>
                <w:snapToGrid w:val="0"/>
                <w:color w:val="auto"/>
                <w:kern w:val="0"/>
                <w:sz w:val="24"/>
                <w:szCs w:val="24"/>
              </w:rPr>
              <w:t>管网</w:t>
            </w:r>
            <w:r>
              <w:rPr>
                <w:rFonts w:hint="eastAsia" w:ascii="Times New Roman" w:hAnsi="Times New Roman" w:eastAsia="宋体" w:cs="Times New Roman"/>
                <w:snapToGrid w:val="0"/>
                <w:color w:val="auto"/>
                <w:kern w:val="0"/>
                <w:sz w:val="24"/>
                <w:szCs w:val="24"/>
              </w:rPr>
              <w:t>。</w:t>
            </w:r>
          </w:p>
          <w:p w14:paraId="1970B47B">
            <w:pPr>
              <w:keepNext w:val="0"/>
              <w:keepLines w:val="0"/>
              <w:pageBreakBefore w:val="0"/>
              <w:widowControl w:val="0"/>
              <w:kinsoku/>
              <w:wordWrap/>
              <w:overflowPunct/>
              <w:topLinePunct/>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（2）、排水</w:t>
            </w:r>
          </w:p>
          <w:p w14:paraId="27E5ED96">
            <w:pPr>
              <w:topLinePunct/>
              <w:adjustRightInd w:val="0"/>
              <w:snapToGrid w:val="0"/>
              <w:spacing w:line="360" w:lineRule="auto"/>
              <w:ind w:firstLine="480" w:firstLineChars="200"/>
              <w:jc w:val="left"/>
              <w:rPr>
                <w:rFonts w:ascii="Times New Roman" w:hAnsi="Times New Roman" w:eastAsia="宋体" w:cs="Times New Roman"/>
                <w:snapToGrid w:val="0"/>
                <w:color w:val="auto"/>
                <w:kern w:val="0"/>
                <w:sz w:val="24"/>
                <w:szCs w:val="24"/>
              </w:rPr>
            </w:pPr>
            <w:r>
              <w:rPr>
                <w:rFonts w:hint="eastAsia" w:ascii="Times New Roman" w:hAnsi="Times New Roman" w:eastAsia="宋体" w:cs="Times New Roman"/>
                <w:color w:val="auto"/>
                <w:sz w:val="24"/>
                <w:szCs w:val="24"/>
              </w:rPr>
              <w:t>厂区采用雨污分流系统，雨水通过雨水</w:t>
            </w:r>
            <w:r>
              <w:rPr>
                <w:rFonts w:ascii="Times New Roman" w:hAnsi="Times New Roman" w:eastAsia="宋体" w:cs="Times New Roman"/>
                <w:color w:val="auto"/>
                <w:sz w:val="24"/>
                <w:szCs w:val="24"/>
              </w:rPr>
              <w:t>管网直接排放</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生活污水及生产废水经化粪池处理后与浓水一同经由园区污水管网排入庐山工业园污水处理厂</w:t>
            </w:r>
            <w:r>
              <w:rPr>
                <w:rFonts w:hint="eastAsia" w:ascii="Times New Roman" w:hAnsi="Times New Roman" w:eastAsia="宋体" w:cs="Times New Roman"/>
                <w:color w:val="auto"/>
                <w:sz w:val="24"/>
                <w:szCs w:val="24"/>
              </w:rPr>
              <w:t>。</w:t>
            </w:r>
          </w:p>
          <w:p w14:paraId="70714AA8">
            <w:pPr>
              <w:topLinePunct/>
              <w:adjustRightInd w:val="0"/>
              <w:snapToGrid w:val="0"/>
              <w:spacing w:line="360" w:lineRule="auto"/>
              <w:ind w:firstLine="480" w:firstLineChars="200"/>
              <w:jc w:val="left"/>
              <w:rPr>
                <w:rFonts w:ascii="Times New Roman" w:hAnsi="Times New Roman" w:eastAsia="宋体" w:cs="Times New Roman"/>
                <w:snapToGrid w:val="0"/>
                <w:color w:val="auto"/>
                <w:kern w:val="0"/>
                <w:sz w:val="24"/>
                <w:szCs w:val="24"/>
              </w:rPr>
            </w:pPr>
            <w:r>
              <w:rPr>
                <w:rFonts w:hint="eastAsia" w:ascii="Times New Roman" w:hAnsi="Times New Roman" w:eastAsia="宋体" w:cs="Times New Roman"/>
                <w:snapToGrid w:val="0"/>
                <w:color w:val="auto"/>
                <w:kern w:val="0"/>
                <w:sz w:val="24"/>
                <w:szCs w:val="24"/>
              </w:rPr>
              <w:t>（</w:t>
            </w:r>
            <w:r>
              <w:rPr>
                <w:rFonts w:hint="eastAsia" w:ascii="Times New Roman" w:hAnsi="Times New Roman" w:eastAsia="宋体" w:cs="Times New Roman"/>
                <w:snapToGrid w:val="0"/>
                <w:color w:val="auto"/>
                <w:kern w:val="0"/>
                <w:sz w:val="24"/>
                <w:szCs w:val="24"/>
                <w:lang w:val="en-US" w:eastAsia="zh-CN"/>
              </w:rPr>
              <w:t>3</w:t>
            </w:r>
            <w:r>
              <w:rPr>
                <w:rFonts w:hint="eastAsia" w:ascii="Times New Roman" w:hAnsi="Times New Roman" w:eastAsia="宋体" w:cs="Times New Roman"/>
                <w:snapToGrid w:val="0"/>
                <w:color w:val="auto"/>
                <w:kern w:val="0"/>
                <w:sz w:val="24"/>
                <w:szCs w:val="24"/>
              </w:rPr>
              <w:t>）</w:t>
            </w:r>
            <w:r>
              <w:rPr>
                <w:rFonts w:hint="eastAsia" w:ascii="Times New Roman" w:hAnsi="Times New Roman" w:eastAsia="宋体" w:cs="Times New Roman"/>
                <w:snapToGrid w:val="0"/>
                <w:color w:val="auto"/>
                <w:kern w:val="0"/>
                <w:sz w:val="24"/>
                <w:szCs w:val="24"/>
                <w:lang w:eastAsia="zh-CN"/>
              </w:rPr>
              <w:t>、</w:t>
            </w:r>
            <w:r>
              <w:rPr>
                <w:rFonts w:hint="eastAsia" w:ascii="Times New Roman" w:hAnsi="Times New Roman" w:eastAsia="宋体" w:cs="Times New Roman"/>
                <w:snapToGrid w:val="0"/>
                <w:color w:val="auto"/>
                <w:kern w:val="0"/>
                <w:sz w:val="24"/>
                <w:szCs w:val="24"/>
              </w:rPr>
              <w:t>供电</w:t>
            </w:r>
          </w:p>
          <w:p w14:paraId="22990CB2">
            <w:pPr>
              <w:topLinePunct/>
              <w:adjustRightInd w:val="0"/>
              <w:snapToGrid w:val="0"/>
              <w:spacing w:line="360" w:lineRule="auto"/>
              <w:ind w:firstLine="480" w:firstLineChars="200"/>
              <w:jc w:val="left"/>
              <w:rPr>
                <w:rFonts w:ascii="Times New Roman" w:hAnsi="Times New Roman" w:eastAsia="宋体" w:cs="Times New Roman"/>
                <w:snapToGrid w:val="0"/>
                <w:color w:val="auto"/>
                <w:kern w:val="0"/>
                <w:sz w:val="24"/>
                <w:szCs w:val="24"/>
              </w:rPr>
            </w:pPr>
            <w:r>
              <w:rPr>
                <w:rFonts w:hint="eastAsia" w:ascii="Times New Roman" w:hAnsi="Times New Roman" w:eastAsia="宋体" w:cs="Times New Roman"/>
                <w:snapToGrid w:val="0"/>
                <w:color w:val="auto"/>
                <w:kern w:val="0"/>
                <w:sz w:val="24"/>
                <w:szCs w:val="24"/>
              </w:rPr>
              <w:t>本项目供电由园区电网统一集中供给，能满足项目用电。</w:t>
            </w:r>
          </w:p>
          <w:p w14:paraId="22F3A580">
            <w:pPr>
              <w:pStyle w:val="22"/>
              <w:rPr>
                <w:rFonts w:hint="eastAsia" w:cs="Times New Roman"/>
                <w:b/>
                <w:bCs/>
                <w:color w:val="FF0000"/>
                <w:spacing w:val="0"/>
                <w:kern w:val="0"/>
                <w:sz w:val="24"/>
                <w:szCs w:val="24"/>
                <w:lang w:val="en-US" w:eastAsia="zh-CN" w:bidi="ar"/>
              </w:rPr>
            </w:pPr>
            <w:r>
              <w:rPr>
                <w:rFonts w:hint="eastAsia" w:cs="Times New Roman"/>
                <w:b/>
                <w:bCs/>
                <w:color w:val="FF0000"/>
                <w:spacing w:val="0"/>
                <w:kern w:val="0"/>
                <w:sz w:val="24"/>
                <w:szCs w:val="24"/>
                <w:lang w:val="en-US" w:eastAsia="zh-CN" w:bidi="ar"/>
              </w:rPr>
              <w:t>九、</w:t>
            </w:r>
            <w:commentRangeStart w:id="13"/>
            <w:r>
              <w:rPr>
                <w:rFonts w:hint="eastAsia" w:cs="Times New Roman"/>
                <w:b/>
                <w:bCs/>
                <w:color w:val="FF0000"/>
                <w:spacing w:val="0"/>
                <w:kern w:val="0"/>
                <w:sz w:val="24"/>
                <w:szCs w:val="24"/>
                <w:lang w:val="en-US" w:eastAsia="zh-CN" w:bidi="ar"/>
              </w:rPr>
              <w:t>水平</w:t>
            </w:r>
            <w:commentRangeEnd w:id="13"/>
            <w:r>
              <w:commentReference w:id="13"/>
            </w:r>
            <w:r>
              <w:rPr>
                <w:rFonts w:hint="eastAsia" w:cs="Times New Roman"/>
                <w:b/>
                <w:bCs/>
                <w:color w:val="FF0000"/>
                <w:spacing w:val="0"/>
                <w:kern w:val="0"/>
                <w:sz w:val="24"/>
                <w:szCs w:val="24"/>
                <w:lang w:val="en-US" w:eastAsia="zh-CN" w:bidi="ar"/>
              </w:rPr>
              <w:t>衡</w:t>
            </w:r>
          </w:p>
          <w:p w14:paraId="2C6B7585">
            <w:pPr>
              <w:adjustRightInd w:val="0"/>
              <w:spacing w:line="360" w:lineRule="auto"/>
              <w:ind w:firstLine="480" w:firstLineChars="200"/>
              <w:jc w:val="left"/>
              <w:rPr>
                <w:rFonts w:ascii="Times New Roman" w:hAnsi="Times New Roman" w:eastAsia="宋体" w:cs="Times New Roman"/>
                <w:color w:val="FF0000"/>
                <w:spacing w:val="0"/>
                <w:position w:val="0"/>
                <w:sz w:val="24"/>
                <w:szCs w:val="24"/>
              </w:rPr>
            </w:pPr>
            <w:r>
              <w:rPr>
                <w:rFonts w:ascii="Times New Roman" w:hAnsi="Times New Roman" w:eastAsia="宋体" w:cs="Times New Roman"/>
                <w:color w:val="FF0000"/>
                <w:spacing w:val="0"/>
                <w:position w:val="0"/>
                <w:sz w:val="24"/>
                <w:szCs w:val="24"/>
              </w:rPr>
              <w:t>本项目全厂总用水量</w:t>
            </w:r>
            <w:r>
              <w:rPr>
                <w:rFonts w:hint="eastAsia" w:cs="Times New Roman"/>
                <w:color w:val="FF0000"/>
                <w:spacing w:val="0"/>
                <w:position w:val="0"/>
                <w:sz w:val="24"/>
                <w:szCs w:val="24"/>
                <w:lang w:val="en-US" w:eastAsia="zh-CN"/>
              </w:rPr>
              <w:t>2163.75</w:t>
            </w:r>
            <w:r>
              <w:rPr>
                <w:rFonts w:ascii="Times New Roman" w:hAnsi="Times New Roman" w:eastAsia="宋体" w:cs="Times New Roman"/>
                <w:color w:val="FF0000"/>
                <w:spacing w:val="0"/>
                <w:position w:val="0"/>
                <w:sz w:val="24"/>
                <w:szCs w:val="24"/>
              </w:rPr>
              <w:t>m³/a，排水量</w:t>
            </w:r>
            <w:r>
              <w:rPr>
                <w:rFonts w:hint="eastAsia" w:cs="Times New Roman"/>
                <w:color w:val="FF0000"/>
                <w:spacing w:val="0"/>
                <w:position w:val="0"/>
                <w:sz w:val="24"/>
                <w:szCs w:val="24"/>
                <w:lang w:val="en-US" w:eastAsia="zh-CN"/>
              </w:rPr>
              <w:t>1076.25</w:t>
            </w:r>
            <w:r>
              <w:rPr>
                <w:rFonts w:ascii="Times New Roman" w:hAnsi="Times New Roman" w:eastAsia="宋体" w:cs="Times New Roman"/>
                <w:color w:val="FF0000"/>
                <w:spacing w:val="0"/>
                <w:position w:val="0"/>
                <w:sz w:val="24"/>
                <w:szCs w:val="24"/>
              </w:rPr>
              <w:t>m³/a。</w:t>
            </w:r>
            <w:r>
              <w:rPr>
                <w:rFonts w:hint="eastAsia" w:ascii="Times New Roman" w:hAnsi="Times New Roman" w:eastAsia="宋体" w:cs="Times New Roman"/>
                <w:color w:val="FF0000"/>
                <w:spacing w:val="0"/>
                <w:position w:val="0"/>
                <w:sz w:val="24"/>
                <w:szCs w:val="24"/>
              </w:rPr>
              <w:t>本项目</w:t>
            </w:r>
            <w:r>
              <w:rPr>
                <w:rFonts w:ascii="Times New Roman" w:hAnsi="Times New Roman" w:eastAsia="宋体" w:cs="Times New Roman"/>
                <w:color w:val="FF0000"/>
                <w:spacing w:val="0"/>
                <w:position w:val="0"/>
                <w:sz w:val="24"/>
                <w:szCs w:val="24"/>
              </w:rPr>
              <w:t>水平衡见表</w:t>
            </w:r>
            <w:r>
              <w:rPr>
                <w:rFonts w:hint="eastAsia" w:cs="Times New Roman"/>
                <w:color w:val="FF0000"/>
                <w:spacing w:val="0"/>
                <w:position w:val="0"/>
                <w:sz w:val="24"/>
                <w:szCs w:val="24"/>
                <w:lang w:val="en-US" w:eastAsia="zh-CN"/>
              </w:rPr>
              <w:t>2-10</w:t>
            </w:r>
            <w:r>
              <w:rPr>
                <w:rFonts w:hint="eastAsia" w:ascii="Times New Roman" w:hAnsi="Times New Roman" w:eastAsia="宋体" w:cs="Times New Roman"/>
                <w:color w:val="FF0000"/>
                <w:spacing w:val="0"/>
                <w:position w:val="0"/>
                <w:sz w:val="24"/>
                <w:szCs w:val="24"/>
              </w:rPr>
              <w:t>及图</w:t>
            </w:r>
            <w:r>
              <w:rPr>
                <w:rFonts w:hint="eastAsia" w:cs="Times New Roman"/>
                <w:color w:val="FF0000"/>
                <w:spacing w:val="0"/>
                <w:position w:val="0"/>
                <w:sz w:val="24"/>
                <w:szCs w:val="24"/>
                <w:lang w:val="en-US" w:eastAsia="zh-CN"/>
              </w:rPr>
              <w:t>2-1</w:t>
            </w:r>
            <w:r>
              <w:rPr>
                <w:rFonts w:hint="eastAsia" w:ascii="Times New Roman" w:hAnsi="Times New Roman" w:eastAsia="宋体" w:cs="Times New Roman"/>
                <w:color w:val="FF0000"/>
                <w:spacing w:val="0"/>
                <w:position w:val="0"/>
                <w:sz w:val="24"/>
                <w:szCs w:val="24"/>
              </w:rPr>
              <w:t>。</w:t>
            </w:r>
          </w:p>
          <w:p w14:paraId="1652A1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FF0000"/>
                <w:spacing w:val="0"/>
                <w:position w:val="0"/>
                <w:sz w:val="21"/>
                <w:szCs w:val="21"/>
                <w:lang w:val="en-US" w:eastAsia="zh-CN"/>
              </w:rPr>
            </w:pPr>
            <w:r>
              <w:rPr>
                <w:rFonts w:hint="eastAsia" w:ascii="Times New Roman" w:hAnsi="Times New Roman" w:eastAsia="宋体" w:cs="Times New Roman"/>
                <w:b/>
                <w:bCs w:val="0"/>
                <w:color w:val="FF0000"/>
                <w:spacing w:val="0"/>
                <w:position w:val="0"/>
                <w:sz w:val="21"/>
                <w:szCs w:val="21"/>
                <w:lang w:val="en-US" w:eastAsia="zh-CN"/>
              </w:rPr>
              <w:t>表</w:t>
            </w:r>
            <w:r>
              <w:rPr>
                <w:rFonts w:hint="eastAsia" w:cs="Times New Roman"/>
                <w:b/>
                <w:bCs w:val="0"/>
                <w:color w:val="FF0000"/>
                <w:spacing w:val="0"/>
                <w:position w:val="0"/>
                <w:sz w:val="21"/>
                <w:szCs w:val="21"/>
                <w:lang w:val="en-US" w:eastAsia="zh-CN"/>
              </w:rPr>
              <w:t xml:space="preserve">2-10 </w:t>
            </w:r>
            <w:r>
              <w:rPr>
                <w:rFonts w:hint="eastAsia" w:ascii="Times New Roman" w:hAnsi="Times New Roman" w:eastAsia="宋体" w:cs="Times New Roman"/>
                <w:b/>
                <w:bCs w:val="0"/>
                <w:color w:val="FF0000"/>
                <w:spacing w:val="0"/>
                <w:position w:val="0"/>
                <w:sz w:val="21"/>
                <w:szCs w:val="21"/>
                <w:lang w:val="en-US" w:eastAsia="zh-CN"/>
              </w:rPr>
              <w:t xml:space="preserve"> 项目水平衡表  （t/d）</w:t>
            </w:r>
          </w:p>
          <w:tbl>
            <w:tblPr>
              <w:tblStyle w:val="24"/>
              <w:tblW w:w="492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69"/>
              <w:gridCol w:w="1079"/>
              <w:gridCol w:w="1151"/>
              <w:gridCol w:w="1343"/>
              <w:gridCol w:w="1090"/>
              <w:gridCol w:w="1085"/>
            </w:tblGrid>
            <w:tr w14:paraId="4A9CD1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50" w:hRule="atLeast"/>
                <w:jc w:val="center"/>
              </w:trPr>
              <w:tc>
                <w:tcPr>
                  <w:tcW w:w="2778" w:type="pct"/>
                  <w:gridSpan w:val="3"/>
                  <w:tcBorders>
                    <w:bottom w:val="single" w:color="auto" w:sz="12" w:space="0"/>
                  </w:tcBorders>
                  <w:noWrap w:val="0"/>
                  <w:vAlign w:val="center"/>
                </w:tcPr>
                <w:p w14:paraId="45935A17">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default" w:ascii="Times New Roman" w:hAnsi="Times New Roman" w:eastAsia="宋体" w:cs="Times New Roman"/>
                      <w:b/>
                      <w:bCs/>
                      <w:color w:val="FF0000"/>
                      <w:sz w:val="21"/>
                      <w:szCs w:val="21"/>
                      <w:highlight w:val="none"/>
                      <w:lang w:val="en-US" w:eastAsia="zh-CN"/>
                    </w:rPr>
                    <w:t>投入</w:t>
                  </w:r>
                </w:p>
              </w:tc>
              <w:tc>
                <w:tcPr>
                  <w:tcW w:w="2221" w:type="pct"/>
                  <w:gridSpan w:val="3"/>
                  <w:tcBorders>
                    <w:bottom w:val="single" w:color="auto" w:sz="12" w:space="0"/>
                  </w:tcBorders>
                  <w:noWrap w:val="0"/>
                  <w:vAlign w:val="center"/>
                </w:tcPr>
                <w:p w14:paraId="2C10BBBF">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default" w:ascii="Times New Roman" w:hAnsi="Times New Roman" w:eastAsia="宋体" w:cs="Times New Roman"/>
                      <w:b/>
                      <w:bCs/>
                      <w:color w:val="FF0000"/>
                      <w:sz w:val="21"/>
                      <w:szCs w:val="21"/>
                      <w:highlight w:val="none"/>
                      <w:lang w:val="en-US" w:eastAsia="zh-CN"/>
                    </w:rPr>
                    <w:t>产出</w:t>
                  </w:r>
                </w:p>
              </w:tc>
            </w:tr>
            <w:tr w14:paraId="2C95AF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1370" w:type="pct"/>
                  <w:tcBorders>
                    <w:top w:val="single" w:color="auto" w:sz="12" w:space="0"/>
                    <w:bottom w:val="single" w:color="auto" w:sz="12" w:space="0"/>
                  </w:tcBorders>
                  <w:noWrap w:val="0"/>
                  <w:vAlign w:val="center"/>
                </w:tcPr>
                <w:p w14:paraId="4DE1BFF3">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名称</w:t>
                  </w:r>
                </w:p>
              </w:tc>
              <w:tc>
                <w:tcPr>
                  <w:tcW w:w="681" w:type="pct"/>
                  <w:tcBorders>
                    <w:top w:val="single" w:color="auto" w:sz="12" w:space="0"/>
                    <w:bottom w:val="single" w:color="auto" w:sz="12" w:space="0"/>
                  </w:tcBorders>
                  <w:noWrap w:val="0"/>
                  <w:vAlign w:val="center"/>
                </w:tcPr>
                <w:p w14:paraId="41ACF7F7">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新鲜水</w:t>
                  </w:r>
                </w:p>
              </w:tc>
              <w:tc>
                <w:tcPr>
                  <w:tcW w:w="727" w:type="pct"/>
                  <w:tcBorders>
                    <w:top w:val="single" w:color="auto" w:sz="12" w:space="0"/>
                    <w:bottom w:val="single" w:color="auto" w:sz="12" w:space="0"/>
                  </w:tcBorders>
                  <w:noWrap w:val="0"/>
                  <w:vAlign w:val="center"/>
                </w:tcPr>
                <w:p w14:paraId="18286244">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回用水</w:t>
                  </w:r>
                </w:p>
              </w:tc>
              <w:tc>
                <w:tcPr>
                  <w:tcW w:w="848" w:type="pct"/>
                  <w:tcBorders>
                    <w:top w:val="single" w:color="auto" w:sz="12" w:space="0"/>
                    <w:bottom w:val="single" w:color="auto" w:sz="12" w:space="0"/>
                  </w:tcBorders>
                  <w:noWrap w:val="0"/>
                  <w:vAlign w:val="center"/>
                </w:tcPr>
                <w:p w14:paraId="78D99032">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损耗水</w:t>
                  </w:r>
                </w:p>
              </w:tc>
              <w:tc>
                <w:tcPr>
                  <w:tcW w:w="688" w:type="pct"/>
                  <w:tcBorders>
                    <w:top w:val="single" w:color="auto" w:sz="12" w:space="0"/>
                    <w:bottom w:val="single" w:color="auto" w:sz="12" w:space="0"/>
                  </w:tcBorders>
                  <w:noWrap w:val="0"/>
                  <w:vAlign w:val="center"/>
                </w:tcPr>
                <w:p w14:paraId="1EC54E68">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回用水</w:t>
                  </w:r>
                </w:p>
              </w:tc>
              <w:tc>
                <w:tcPr>
                  <w:tcW w:w="685" w:type="pct"/>
                  <w:tcBorders>
                    <w:top w:val="single" w:color="auto" w:sz="12" w:space="0"/>
                    <w:bottom w:val="single" w:color="auto" w:sz="12" w:space="0"/>
                  </w:tcBorders>
                  <w:noWrap w:val="0"/>
                  <w:vAlign w:val="center"/>
                </w:tcPr>
                <w:p w14:paraId="42426370">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排放量</w:t>
                  </w:r>
                </w:p>
              </w:tc>
            </w:tr>
            <w:tr w14:paraId="521441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1370" w:type="pct"/>
                  <w:tcBorders>
                    <w:tl2br w:val="nil"/>
                    <w:tr2bl w:val="nil"/>
                  </w:tcBorders>
                  <w:noWrap w:val="0"/>
                  <w:vAlign w:val="center"/>
                </w:tcPr>
                <w:p w14:paraId="7F6A294C">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纯水制备用水</w:t>
                  </w:r>
                </w:p>
              </w:tc>
              <w:tc>
                <w:tcPr>
                  <w:tcW w:w="681" w:type="pct"/>
                  <w:tcBorders>
                    <w:tl2br w:val="nil"/>
                    <w:tr2bl w:val="nil"/>
                  </w:tcBorders>
                  <w:noWrap w:val="0"/>
                  <w:vAlign w:val="center"/>
                </w:tcPr>
                <w:p w14:paraId="1CCDC21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cs="Times New Roman"/>
                      <w:b w:val="0"/>
                      <w:bCs w:val="0"/>
                      <w:color w:val="FF0000"/>
                      <w:spacing w:val="0"/>
                      <w:sz w:val="21"/>
                      <w:szCs w:val="21"/>
                      <w:lang w:val="en-US" w:eastAsia="zh-CN"/>
                    </w:rPr>
                    <w:t>3.7125</w:t>
                  </w:r>
                </w:p>
              </w:tc>
              <w:tc>
                <w:tcPr>
                  <w:tcW w:w="727" w:type="pct"/>
                  <w:tcBorders>
                    <w:tl2br w:val="nil"/>
                    <w:tr2bl w:val="nil"/>
                  </w:tcBorders>
                  <w:noWrap w:val="0"/>
                  <w:vAlign w:val="center"/>
                </w:tcPr>
                <w:p w14:paraId="05977BC5">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cs="Times New Roman"/>
                      <w:b w:val="0"/>
                      <w:bCs w:val="0"/>
                      <w:color w:val="FF0000"/>
                      <w:spacing w:val="0"/>
                      <w:sz w:val="21"/>
                      <w:szCs w:val="21"/>
                      <w:lang w:val="en-US" w:eastAsia="zh-CN"/>
                    </w:rPr>
                    <w:t>0</w:t>
                  </w:r>
                </w:p>
              </w:tc>
              <w:tc>
                <w:tcPr>
                  <w:tcW w:w="848" w:type="pct"/>
                  <w:tcBorders>
                    <w:tl2br w:val="nil"/>
                    <w:tr2bl w:val="nil"/>
                  </w:tcBorders>
                  <w:noWrap w:val="0"/>
                  <w:vAlign w:val="center"/>
                </w:tcPr>
                <w:p w14:paraId="16D461C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cs="Times New Roman"/>
                      <w:b w:val="0"/>
                      <w:bCs w:val="0"/>
                      <w:color w:val="FF0000"/>
                      <w:spacing w:val="0"/>
                      <w:sz w:val="21"/>
                      <w:szCs w:val="21"/>
                      <w:lang w:val="en-US" w:eastAsia="zh-CN"/>
                    </w:rPr>
                    <w:t>2.90</w:t>
                  </w:r>
                </w:p>
              </w:tc>
              <w:tc>
                <w:tcPr>
                  <w:tcW w:w="688" w:type="pct"/>
                  <w:tcBorders>
                    <w:tl2br w:val="nil"/>
                    <w:tr2bl w:val="nil"/>
                  </w:tcBorders>
                  <w:noWrap w:val="0"/>
                  <w:vAlign w:val="center"/>
                </w:tcPr>
                <w:p w14:paraId="35FEF15F">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cs="Times New Roman"/>
                      <w:b w:val="0"/>
                      <w:bCs w:val="0"/>
                      <w:color w:val="FF0000"/>
                      <w:spacing w:val="0"/>
                      <w:sz w:val="21"/>
                      <w:szCs w:val="21"/>
                      <w:lang w:val="en-US" w:eastAsia="zh-CN"/>
                    </w:rPr>
                    <w:t>0.05</w:t>
                  </w:r>
                </w:p>
              </w:tc>
              <w:tc>
                <w:tcPr>
                  <w:tcW w:w="685" w:type="pct"/>
                  <w:tcBorders>
                    <w:tl2br w:val="nil"/>
                    <w:tr2bl w:val="nil"/>
                  </w:tcBorders>
                  <w:noWrap w:val="0"/>
                  <w:vAlign w:val="center"/>
                </w:tcPr>
                <w:p w14:paraId="7CCFF76D">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cs="Times New Roman"/>
                      <w:b w:val="0"/>
                      <w:bCs w:val="0"/>
                      <w:color w:val="FF0000"/>
                      <w:spacing w:val="0"/>
                      <w:sz w:val="21"/>
                      <w:szCs w:val="21"/>
                      <w:lang w:val="en-US" w:eastAsia="zh-CN"/>
                    </w:rPr>
                    <w:t>0.7425</w:t>
                  </w:r>
                </w:p>
              </w:tc>
            </w:tr>
            <w:tr w14:paraId="57FDFA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1370" w:type="pct"/>
                  <w:tcBorders>
                    <w:tl2br w:val="nil"/>
                    <w:tr2bl w:val="nil"/>
                  </w:tcBorders>
                  <w:noWrap w:val="0"/>
                  <w:vAlign w:val="center"/>
                </w:tcPr>
                <w:p w14:paraId="25D79FB7">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highlight w:val="none"/>
                      <w:lang w:val="zh-CN" w:eastAsia="zh-CN"/>
                    </w:rPr>
                  </w:pPr>
                  <w:r>
                    <w:rPr>
                      <w:rFonts w:hint="eastAsia" w:ascii="Times New Roman" w:hAnsi="Times New Roman" w:eastAsia="宋体" w:cs="Times New Roman"/>
                      <w:color w:val="FF0000"/>
                      <w:sz w:val="21"/>
                      <w:szCs w:val="21"/>
                      <w:highlight w:val="none"/>
                      <w:lang w:val="en-US" w:eastAsia="zh-CN"/>
                    </w:rPr>
                    <w:t>生活</w:t>
                  </w:r>
                  <w:r>
                    <w:rPr>
                      <w:rFonts w:hint="eastAsia" w:ascii="Times New Roman" w:hAnsi="Times New Roman" w:eastAsia="宋体" w:cs="Times New Roman"/>
                      <w:color w:val="FF0000"/>
                      <w:sz w:val="21"/>
                      <w:szCs w:val="21"/>
                      <w:highlight w:val="none"/>
                      <w:lang w:val="zh-CN" w:eastAsia="zh-CN"/>
                    </w:rPr>
                    <w:t>用水</w:t>
                  </w:r>
                </w:p>
              </w:tc>
              <w:tc>
                <w:tcPr>
                  <w:tcW w:w="681" w:type="pct"/>
                  <w:tcBorders>
                    <w:tl2br w:val="nil"/>
                    <w:tr2bl w:val="nil"/>
                  </w:tcBorders>
                  <w:noWrap w:val="0"/>
                  <w:vAlign w:val="center"/>
                </w:tcPr>
                <w:p w14:paraId="47CE75C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b w:val="0"/>
                      <w:bCs w:val="0"/>
                      <w:color w:val="FF0000"/>
                      <w:kern w:val="2"/>
                      <w:sz w:val="21"/>
                      <w:szCs w:val="21"/>
                      <w:highlight w:val="none"/>
                      <w:lang w:val="en-US" w:eastAsia="zh-CN" w:bidi="ar-SA"/>
                    </w:rPr>
                    <w:t>3.5</w:t>
                  </w:r>
                </w:p>
              </w:tc>
              <w:tc>
                <w:tcPr>
                  <w:tcW w:w="727" w:type="pct"/>
                  <w:tcBorders>
                    <w:tl2br w:val="nil"/>
                    <w:tr2bl w:val="nil"/>
                  </w:tcBorders>
                  <w:noWrap w:val="0"/>
                  <w:vAlign w:val="center"/>
                </w:tcPr>
                <w:p w14:paraId="47E030C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b w:val="0"/>
                      <w:bCs w:val="0"/>
                      <w:color w:val="FF0000"/>
                      <w:kern w:val="2"/>
                      <w:sz w:val="21"/>
                      <w:szCs w:val="21"/>
                      <w:highlight w:val="none"/>
                      <w:lang w:val="en-US" w:eastAsia="zh-CN" w:bidi="ar-SA"/>
                    </w:rPr>
                    <w:t>0</w:t>
                  </w:r>
                </w:p>
              </w:tc>
              <w:tc>
                <w:tcPr>
                  <w:tcW w:w="848" w:type="pct"/>
                  <w:tcBorders>
                    <w:tl2br w:val="nil"/>
                    <w:tr2bl w:val="nil"/>
                  </w:tcBorders>
                  <w:noWrap w:val="0"/>
                  <w:vAlign w:val="center"/>
                </w:tcPr>
                <w:p w14:paraId="26618145">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ascii="Times New Roman" w:hAnsi="Times New Roman" w:eastAsia="宋体" w:cs="Times New Roman"/>
                      <w:b w:val="0"/>
                      <w:bCs w:val="0"/>
                      <w:color w:val="FF0000"/>
                      <w:kern w:val="0"/>
                      <w:sz w:val="21"/>
                      <w:szCs w:val="21"/>
                      <w:highlight w:val="none"/>
                      <w:lang w:val="en-US" w:eastAsia="zh-CN" w:bidi="ar-SA"/>
                    </w:rPr>
                    <w:t>0.7</w:t>
                  </w:r>
                </w:p>
              </w:tc>
              <w:tc>
                <w:tcPr>
                  <w:tcW w:w="688" w:type="pct"/>
                  <w:tcBorders>
                    <w:tl2br w:val="nil"/>
                    <w:tr2bl w:val="nil"/>
                  </w:tcBorders>
                  <w:noWrap w:val="0"/>
                  <w:vAlign w:val="center"/>
                </w:tcPr>
                <w:p w14:paraId="6A3B2A2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b w:val="0"/>
                      <w:bCs w:val="0"/>
                      <w:color w:val="FF0000"/>
                      <w:kern w:val="2"/>
                      <w:sz w:val="21"/>
                      <w:szCs w:val="21"/>
                      <w:highlight w:val="none"/>
                      <w:lang w:val="en-US" w:eastAsia="zh-CN" w:bidi="ar-SA"/>
                    </w:rPr>
                    <w:t>0</w:t>
                  </w:r>
                </w:p>
              </w:tc>
              <w:tc>
                <w:tcPr>
                  <w:tcW w:w="685" w:type="pct"/>
                  <w:tcBorders>
                    <w:tl2br w:val="nil"/>
                    <w:tr2bl w:val="nil"/>
                  </w:tcBorders>
                  <w:noWrap w:val="0"/>
                  <w:vAlign w:val="center"/>
                </w:tcPr>
                <w:p w14:paraId="42ECBC88">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ascii="Times New Roman" w:hAnsi="Times New Roman" w:eastAsia="宋体" w:cs="Times New Roman"/>
                      <w:b w:val="0"/>
                      <w:bCs w:val="0"/>
                      <w:color w:val="FF0000"/>
                      <w:kern w:val="0"/>
                      <w:sz w:val="21"/>
                      <w:szCs w:val="21"/>
                      <w:highlight w:val="none"/>
                      <w:lang w:val="en-US" w:eastAsia="zh-CN" w:bidi="ar-SA"/>
                    </w:rPr>
                    <w:t>2.8</w:t>
                  </w:r>
                </w:p>
              </w:tc>
            </w:tr>
            <w:tr w14:paraId="7258D2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1370" w:type="pct"/>
                  <w:tcBorders>
                    <w:tl2br w:val="nil"/>
                    <w:tr2bl w:val="nil"/>
                  </w:tcBorders>
                  <w:noWrap w:val="0"/>
                  <w:vAlign w:val="center"/>
                </w:tcPr>
                <w:p w14:paraId="4E23B489">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设备清洗用水</w:t>
                  </w:r>
                </w:p>
              </w:tc>
              <w:tc>
                <w:tcPr>
                  <w:tcW w:w="681" w:type="pct"/>
                  <w:tcBorders>
                    <w:tl2br w:val="nil"/>
                    <w:tr2bl w:val="nil"/>
                  </w:tcBorders>
                  <w:noWrap w:val="0"/>
                  <w:vAlign w:val="center"/>
                </w:tcPr>
                <w:p w14:paraId="3FF9B8E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b w:val="0"/>
                      <w:bCs w:val="0"/>
                      <w:color w:val="FF0000"/>
                      <w:kern w:val="2"/>
                      <w:sz w:val="21"/>
                      <w:szCs w:val="21"/>
                      <w:highlight w:val="none"/>
                      <w:lang w:val="en-US" w:eastAsia="zh-CN" w:bidi="ar-SA"/>
                    </w:rPr>
                    <w:t>0</w:t>
                  </w:r>
                </w:p>
              </w:tc>
              <w:tc>
                <w:tcPr>
                  <w:tcW w:w="727" w:type="pct"/>
                  <w:tcBorders>
                    <w:tl2br w:val="nil"/>
                    <w:tr2bl w:val="nil"/>
                  </w:tcBorders>
                  <w:noWrap w:val="0"/>
                  <w:vAlign w:val="center"/>
                </w:tcPr>
                <w:p w14:paraId="00FD95B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b w:val="0"/>
                      <w:bCs w:val="0"/>
                      <w:color w:val="FF0000"/>
                      <w:kern w:val="2"/>
                      <w:sz w:val="21"/>
                      <w:szCs w:val="21"/>
                      <w:highlight w:val="none"/>
                      <w:lang w:val="en-US" w:eastAsia="zh-CN" w:bidi="ar-SA"/>
                    </w:rPr>
                    <w:t>0.05</w:t>
                  </w:r>
                </w:p>
              </w:tc>
              <w:tc>
                <w:tcPr>
                  <w:tcW w:w="848" w:type="pct"/>
                  <w:tcBorders>
                    <w:tl2br w:val="nil"/>
                    <w:tr2bl w:val="nil"/>
                  </w:tcBorders>
                  <w:noWrap w:val="0"/>
                  <w:vAlign w:val="center"/>
                </w:tcPr>
                <w:p w14:paraId="0D4496EA">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eastAsia="宋体" w:cs="Times New Roman"/>
                      <w:b w:val="0"/>
                      <w:bCs w:val="0"/>
                      <w:color w:val="FF0000"/>
                      <w:kern w:val="0"/>
                      <w:sz w:val="21"/>
                      <w:szCs w:val="21"/>
                      <w:highlight w:val="none"/>
                      <w:lang w:val="en-US" w:eastAsia="zh-CN" w:bidi="ar-SA"/>
                    </w:rPr>
                    <w:t>0.005</w:t>
                  </w:r>
                </w:p>
              </w:tc>
              <w:tc>
                <w:tcPr>
                  <w:tcW w:w="688" w:type="pct"/>
                  <w:tcBorders>
                    <w:tl2br w:val="nil"/>
                    <w:tr2bl w:val="nil"/>
                  </w:tcBorders>
                  <w:noWrap w:val="0"/>
                  <w:vAlign w:val="center"/>
                </w:tcPr>
                <w:p w14:paraId="75E5B65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b w:val="0"/>
                      <w:bCs w:val="0"/>
                      <w:color w:val="FF0000"/>
                      <w:kern w:val="2"/>
                      <w:sz w:val="21"/>
                      <w:szCs w:val="21"/>
                      <w:highlight w:val="none"/>
                      <w:lang w:val="en-US" w:eastAsia="zh-CN" w:bidi="ar-SA"/>
                    </w:rPr>
                    <w:t>0</w:t>
                  </w:r>
                </w:p>
              </w:tc>
              <w:tc>
                <w:tcPr>
                  <w:tcW w:w="685" w:type="pct"/>
                  <w:tcBorders>
                    <w:tl2br w:val="nil"/>
                    <w:tr2bl w:val="nil"/>
                  </w:tcBorders>
                  <w:noWrap w:val="0"/>
                  <w:vAlign w:val="center"/>
                </w:tcPr>
                <w:p w14:paraId="50D12C31">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eastAsia="宋体" w:cs="Times New Roman"/>
                      <w:b w:val="0"/>
                      <w:bCs w:val="0"/>
                      <w:color w:val="FF0000"/>
                      <w:kern w:val="0"/>
                      <w:sz w:val="21"/>
                      <w:szCs w:val="21"/>
                      <w:highlight w:val="none"/>
                      <w:lang w:val="en-US" w:eastAsia="zh-CN" w:bidi="ar-SA"/>
                    </w:rPr>
                    <w:t>0.045</w:t>
                  </w:r>
                </w:p>
              </w:tc>
            </w:tr>
            <w:tr w14:paraId="7FE820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1370" w:type="pct"/>
                  <w:tcBorders>
                    <w:tl2br w:val="nil"/>
                    <w:tr2bl w:val="nil"/>
                  </w:tcBorders>
                  <w:noWrap w:val="0"/>
                  <w:vAlign w:val="center"/>
                </w:tcPr>
                <w:p w14:paraId="7AEC03CF">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合计</w:t>
                  </w:r>
                </w:p>
              </w:tc>
              <w:tc>
                <w:tcPr>
                  <w:tcW w:w="681" w:type="pct"/>
                  <w:tcBorders>
                    <w:tl2br w:val="nil"/>
                    <w:tr2bl w:val="nil"/>
                  </w:tcBorders>
                  <w:noWrap w:val="0"/>
                  <w:vAlign w:val="center"/>
                </w:tcPr>
                <w:p w14:paraId="6684FF53">
                  <w:pPr>
                    <w:keepNext w:val="0"/>
                    <w:keepLines w:val="0"/>
                    <w:widowControl/>
                    <w:suppressLineNumbers w:val="0"/>
                    <w:jc w:val="center"/>
                    <w:textAlignment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7.2125</w:t>
                  </w:r>
                </w:p>
              </w:tc>
              <w:tc>
                <w:tcPr>
                  <w:tcW w:w="727" w:type="pct"/>
                  <w:tcBorders>
                    <w:tl2br w:val="nil"/>
                    <w:tr2bl w:val="nil"/>
                  </w:tcBorders>
                  <w:noWrap w:val="0"/>
                  <w:vAlign w:val="center"/>
                </w:tcPr>
                <w:p w14:paraId="362DCD6E">
                  <w:pPr>
                    <w:keepNext w:val="0"/>
                    <w:keepLines w:val="0"/>
                    <w:widowControl/>
                    <w:suppressLineNumbers w:val="0"/>
                    <w:jc w:val="center"/>
                    <w:textAlignment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0.05</w:t>
                  </w:r>
                </w:p>
              </w:tc>
              <w:tc>
                <w:tcPr>
                  <w:tcW w:w="848" w:type="pct"/>
                  <w:tcBorders>
                    <w:tl2br w:val="nil"/>
                    <w:tr2bl w:val="nil"/>
                  </w:tcBorders>
                  <w:noWrap w:val="0"/>
                  <w:vAlign w:val="center"/>
                </w:tcPr>
                <w:p w14:paraId="6800031E">
                  <w:pPr>
                    <w:keepNext w:val="0"/>
                    <w:keepLines w:val="0"/>
                    <w:widowControl/>
                    <w:suppressLineNumbers w:val="0"/>
                    <w:jc w:val="center"/>
                    <w:textAlignment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3</w:t>
                  </w:r>
                  <w:r>
                    <w:rPr>
                      <w:rFonts w:hint="eastAsia" w:cs="Times New Roman"/>
                      <w:b w:val="0"/>
                      <w:bCs w:val="0"/>
                      <w:color w:val="FF0000"/>
                      <w:kern w:val="2"/>
                      <w:sz w:val="21"/>
                      <w:szCs w:val="21"/>
                      <w:highlight w:val="none"/>
                      <w:lang w:val="en-US" w:eastAsia="zh-CN" w:bidi="ar-SA"/>
                    </w:rPr>
                    <w:t>.605</w:t>
                  </w:r>
                </w:p>
              </w:tc>
              <w:tc>
                <w:tcPr>
                  <w:tcW w:w="688" w:type="pct"/>
                  <w:tcBorders>
                    <w:tl2br w:val="nil"/>
                    <w:tr2bl w:val="nil"/>
                  </w:tcBorders>
                  <w:noWrap w:val="0"/>
                  <w:vAlign w:val="center"/>
                </w:tcPr>
                <w:p w14:paraId="6BA43894">
                  <w:pPr>
                    <w:keepNext w:val="0"/>
                    <w:keepLines w:val="0"/>
                    <w:widowControl/>
                    <w:suppressLineNumbers w:val="0"/>
                    <w:jc w:val="center"/>
                    <w:textAlignment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0</w:t>
                  </w:r>
                  <w:r>
                    <w:rPr>
                      <w:rFonts w:hint="eastAsia" w:cs="Times New Roman"/>
                      <w:b w:val="0"/>
                      <w:bCs w:val="0"/>
                      <w:color w:val="FF0000"/>
                      <w:kern w:val="2"/>
                      <w:sz w:val="21"/>
                      <w:szCs w:val="21"/>
                      <w:highlight w:val="none"/>
                      <w:lang w:val="en-US" w:eastAsia="zh-CN" w:bidi="ar-SA"/>
                    </w:rPr>
                    <w:t>.05</w:t>
                  </w:r>
                </w:p>
              </w:tc>
              <w:tc>
                <w:tcPr>
                  <w:tcW w:w="685" w:type="pct"/>
                  <w:tcBorders>
                    <w:tl2br w:val="nil"/>
                    <w:tr2bl w:val="nil"/>
                  </w:tcBorders>
                  <w:noWrap w:val="0"/>
                  <w:vAlign w:val="center"/>
                </w:tcPr>
                <w:p w14:paraId="56FAB6EA">
                  <w:pPr>
                    <w:keepNext w:val="0"/>
                    <w:keepLines w:val="0"/>
                    <w:widowControl/>
                    <w:suppressLineNumbers w:val="0"/>
                    <w:jc w:val="center"/>
                    <w:textAlignment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3.5875</w:t>
                  </w:r>
                </w:p>
              </w:tc>
            </w:tr>
          </w:tbl>
          <w:p w14:paraId="743BAC3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object>
                <v:shape id="_x0000_i1025" o:spt="75" type="#_x0000_t75" style="height:208.15pt;width:399.5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18A9E09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color w:val="FF0000"/>
                <w:spacing w:val="0"/>
                <w:szCs w:val="21"/>
                <w:lang w:val="en-US" w:eastAsia="zh-CN"/>
              </w:rPr>
            </w:pPr>
            <w:commentRangeStart w:id="14"/>
            <w:commentRangeStart w:id="15"/>
            <w:r>
              <w:rPr>
                <w:rFonts w:ascii="Times New Roman" w:hAnsi="Times New Roman" w:eastAsia="宋体" w:cs="Times New Roman"/>
                <w:b/>
                <w:color w:val="FF0000"/>
                <w:spacing w:val="0"/>
                <w:szCs w:val="21"/>
              </w:rPr>
              <w:t>图</w:t>
            </w:r>
            <w:commentRangeEnd w:id="14"/>
            <w:r>
              <w:commentReference w:id="14"/>
            </w:r>
            <w:commentRangeEnd w:id="15"/>
            <w:r>
              <w:commentReference w:id="15"/>
            </w:r>
            <w:r>
              <w:rPr>
                <w:rFonts w:hint="eastAsia" w:cs="Times New Roman"/>
                <w:b/>
                <w:color w:val="FF0000"/>
                <w:spacing w:val="0"/>
                <w:szCs w:val="21"/>
                <w:lang w:val="en-US" w:eastAsia="zh-CN"/>
              </w:rPr>
              <w:t xml:space="preserve">2-1 </w:t>
            </w:r>
            <w:r>
              <w:rPr>
                <w:rFonts w:ascii="Times New Roman" w:hAnsi="Times New Roman" w:eastAsia="宋体" w:cs="Times New Roman"/>
                <w:b/>
                <w:color w:val="FF0000"/>
                <w:spacing w:val="0"/>
                <w:szCs w:val="21"/>
              </w:rPr>
              <w:t xml:space="preserve"> 本项目水平衡图</w:t>
            </w:r>
            <w:r>
              <w:rPr>
                <w:rFonts w:hint="eastAsia" w:cs="Times New Roman"/>
                <w:b/>
                <w:color w:val="FF0000"/>
                <w:spacing w:val="0"/>
                <w:szCs w:val="21"/>
                <w:lang w:val="en-US" w:eastAsia="zh-CN"/>
              </w:rPr>
              <w:t xml:space="preserve">  </w:t>
            </w:r>
            <w:r>
              <w:rPr>
                <w:rFonts w:ascii="Times New Roman" w:hAnsi="Times New Roman" w:eastAsia="宋体" w:cs="Times New Roman"/>
                <w:b/>
                <w:color w:val="FF0000"/>
                <w:spacing w:val="0"/>
                <w:szCs w:val="21"/>
              </w:rPr>
              <w:t>（t/</w:t>
            </w:r>
            <w:r>
              <w:rPr>
                <w:rFonts w:hint="eastAsia" w:ascii="Times New Roman" w:hAnsi="Times New Roman" w:eastAsia="宋体" w:cs="Times New Roman"/>
                <w:b/>
                <w:color w:val="FF0000"/>
                <w:spacing w:val="0"/>
                <w:szCs w:val="21"/>
                <w:lang w:val="en-US" w:eastAsia="zh-CN"/>
              </w:rPr>
              <w:t>d</w:t>
            </w:r>
            <w:r>
              <w:rPr>
                <w:rFonts w:ascii="Times New Roman" w:hAnsi="Times New Roman" w:eastAsia="宋体" w:cs="Times New Roman"/>
                <w:b/>
                <w:color w:val="FF0000"/>
                <w:spacing w:val="0"/>
                <w:szCs w:val="21"/>
              </w:rPr>
              <w:t>）</w:t>
            </w:r>
          </w:p>
          <w:p w14:paraId="7B73131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FF0000"/>
                <w:sz w:val="24"/>
                <w:szCs w:val="24"/>
                <w:lang w:val="en-US" w:eastAsia="zh-CN"/>
              </w:rPr>
            </w:pPr>
            <w:commentRangeStart w:id="16"/>
            <w:r>
              <w:rPr>
                <w:rFonts w:hint="eastAsia" w:cs="Times New Roman"/>
                <w:b/>
                <w:bCs/>
                <w:color w:val="FF0000"/>
                <w:sz w:val="24"/>
                <w:szCs w:val="24"/>
                <w:lang w:val="en-US" w:eastAsia="zh-CN"/>
              </w:rPr>
              <w:t>十一、</w:t>
            </w:r>
            <w:commentRangeEnd w:id="16"/>
            <w:r>
              <w:commentReference w:id="16"/>
            </w:r>
            <w:r>
              <w:rPr>
                <w:rFonts w:hint="eastAsia" w:ascii="Times New Roman" w:hAnsi="Times New Roman" w:eastAsia="宋体" w:cs="Times New Roman"/>
                <w:b/>
                <w:bCs/>
                <w:color w:val="FF0000"/>
                <w:sz w:val="24"/>
                <w:szCs w:val="24"/>
                <w:lang w:val="en-US" w:eastAsia="zh-CN"/>
              </w:rPr>
              <w:t>厂区总平面布置</w:t>
            </w:r>
          </w:p>
          <w:p w14:paraId="00F00F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t>项目所用地为一栋租赁厂房。</w:t>
            </w:r>
          </w:p>
          <w:p w14:paraId="3F7472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FF0000"/>
                <w:sz w:val="24"/>
                <w:szCs w:val="24"/>
                <w:lang w:val="en-US" w:eastAsia="zh-CN"/>
              </w:rPr>
              <w:t>根据</w:t>
            </w:r>
            <w:r>
              <w:rPr>
                <w:rFonts w:hint="eastAsia" w:cs="Times New Roman"/>
                <w:b w:val="0"/>
                <w:bCs w:val="0"/>
                <w:color w:val="FF0000"/>
                <w:sz w:val="24"/>
                <w:szCs w:val="24"/>
                <w:lang w:val="en-US" w:eastAsia="zh-CN"/>
              </w:rPr>
              <w:t>现场踏勘</w:t>
            </w:r>
            <w:r>
              <w:rPr>
                <w:rFonts w:hint="default" w:ascii="Times New Roman" w:hAnsi="Times New Roman" w:eastAsia="宋体" w:cs="Times New Roman"/>
                <w:b w:val="0"/>
                <w:bCs w:val="0"/>
                <w:color w:val="FF0000"/>
                <w:sz w:val="24"/>
                <w:szCs w:val="24"/>
                <w:lang w:val="en-US" w:eastAsia="zh-CN"/>
              </w:rPr>
              <w:t>，项目</w:t>
            </w:r>
            <w:r>
              <w:rPr>
                <w:rFonts w:hint="eastAsia" w:cs="Times New Roman"/>
                <w:color w:val="FF0000"/>
                <w:sz w:val="24"/>
                <w:lang w:val="en-US" w:eastAsia="zh-CN"/>
              </w:rPr>
              <w:t>目前</w:t>
            </w:r>
            <w:r>
              <w:rPr>
                <w:rFonts w:hint="eastAsia" w:ascii="Times New Roman" w:hAnsi="Times New Roman" w:eastAsia="宋体" w:cs="Times New Roman"/>
                <w:color w:val="FF0000"/>
                <w:sz w:val="24"/>
                <w:lang w:val="en-US" w:eastAsia="zh-CN"/>
              </w:rPr>
              <w:t>一楼用于生产退热贴、冰凉贴、穴位压力刺激贴、创可贴、晕车贴、三伏贴、通气鼻贴，二楼</w:t>
            </w:r>
            <w:r>
              <w:rPr>
                <w:rFonts w:hint="eastAsia" w:cs="Times New Roman"/>
                <w:color w:val="FF0000"/>
                <w:sz w:val="24"/>
                <w:lang w:val="en-US" w:eastAsia="zh-CN"/>
              </w:rPr>
              <w:t>为</w:t>
            </w:r>
            <w:r>
              <w:rPr>
                <w:rFonts w:hint="eastAsia" w:ascii="Times New Roman" w:hAnsi="Times New Roman" w:eastAsia="宋体" w:cs="Times New Roman"/>
                <w:color w:val="FF0000"/>
                <w:sz w:val="24"/>
                <w:lang w:val="en-US" w:eastAsia="zh-CN"/>
              </w:rPr>
              <w:t>10万级的标准净化车间自动生产线，用于生产医用硅酮疤痕凝胶、重组胶原蛋白贴、医用透明质酸钠敷贴、壳聚糖止血粉及生理性海盐鼻腔喷雾。实验室建于二楼，原料存储区、产品存储区及固废间建与一楼。</w:t>
            </w:r>
          </w:p>
        </w:tc>
      </w:tr>
      <w:tr w14:paraId="4DD3C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2" w:hRule="atLeast"/>
          <w:jc w:val="center"/>
        </w:trPr>
        <w:tc>
          <w:tcPr>
            <w:tcW w:w="803" w:type="dxa"/>
            <w:noWrap w:val="0"/>
            <w:vAlign w:val="center"/>
          </w:tcPr>
          <w:p w14:paraId="54A3E546">
            <w:pPr>
              <w:pStyle w:val="20"/>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257" w:type="dxa"/>
            <w:noWrap w:val="0"/>
            <w:vAlign w:val="top"/>
          </w:tcPr>
          <w:p w14:paraId="7D22C0EC">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b/>
                <w:bCs/>
                <w:color w:val="auto"/>
                <w:sz w:val="24"/>
                <w:szCs w:val="24"/>
                <w:highlight w:val="none"/>
                <w:lang w:eastAsia="zh-CN"/>
              </w:rPr>
            </w:pPr>
            <w:r>
              <w:rPr>
                <w:rFonts w:hint="eastAsia"/>
                <w:b/>
                <w:bCs/>
                <w:color w:val="auto"/>
                <w:sz w:val="24"/>
                <w:szCs w:val="24"/>
                <w:highlight w:val="none"/>
                <w:lang w:val="en-US" w:eastAsia="zh-CN"/>
              </w:rPr>
              <w:t>一、</w:t>
            </w:r>
            <w:r>
              <w:rPr>
                <w:rFonts w:hint="eastAsia"/>
                <w:b/>
                <w:bCs/>
                <w:color w:val="auto"/>
                <w:sz w:val="24"/>
                <w:szCs w:val="24"/>
                <w:highlight w:val="none"/>
                <w:lang w:eastAsia="zh-CN"/>
              </w:rPr>
              <w:t>工艺流程</w:t>
            </w:r>
          </w:p>
          <w:p w14:paraId="256981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FF0000"/>
                <w:sz w:val="24"/>
                <w:szCs w:val="21"/>
                <w:lang w:val="en-US" w:eastAsia="zh-CN"/>
              </w:rPr>
            </w:pPr>
            <w:commentRangeStart w:id="17"/>
            <w:r>
              <w:rPr>
                <w:rFonts w:hint="eastAsia" w:cs="Times New Roman"/>
                <w:b w:val="0"/>
                <w:bCs/>
                <w:color w:val="FF0000"/>
                <w:sz w:val="24"/>
                <w:szCs w:val="21"/>
                <w:lang w:val="en-US" w:eastAsia="zh-CN"/>
              </w:rPr>
              <w:t>1</w:t>
            </w:r>
            <w:r>
              <w:rPr>
                <w:rFonts w:hint="eastAsia" w:ascii="Times New Roman" w:hAnsi="Times New Roman" w:eastAsia="宋体" w:cs="Times New Roman"/>
                <w:b w:val="0"/>
                <w:bCs/>
                <w:color w:val="FF0000"/>
                <w:sz w:val="24"/>
                <w:szCs w:val="21"/>
                <w:lang w:val="en-US" w:eastAsia="zh-CN"/>
              </w:rPr>
              <w:t>、</w:t>
            </w:r>
            <w:commentRangeEnd w:id="17"/>
            <w:r>
              <w:commentReference w:id="17"/>
            </w:r>
            <w:r>
              <w:rPr>
                <w:rFonts w:hint="eastAsia" w:ascii="Times New Roman" w:hAnsi="Times New Roman" w:eastAsia="宋体" w:cs="Times New Roman"/>
                <w:b w:val="0"/>
                <w:bCs/>
                <w:color w:val="FF0000"/>
                <w:sz w:val="24"/>
                <w:szCs w:val="21"/>
                <w:lang w:val="en-US" w:eastAsia="zh-CN"/>
              </w:rPr>
              <w:t>施工期工艺流程及产排污环节</w:t>
            </w:r>
          </w:p>
          <w:p w14:paraId="46F672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FF0000"/>
                <w:sz w:val="24"/>
                <w:szCs w:val="21"/>
                <w:lang w:val="en-US" w:eastAsia="zh-CN"/>
              </w:rPr>
            </w:pPr>
            <w:r>
              <w:rPr>
                <w:rFonts w:hint="eastAsia" w:ascii="Times New Roman" w:hAnsi="Times New Roman" w:eastAsia="宋体" w:cs="Times New Roman"/>
                <w:b w:val="0"/>
                <w:bCs/>
                <w:color w:val="FF0000"/>
                <w:sz w:val="24"/>
                <w:szCs w:val="21"/>
                <w:lang w:val="en-US" w:eastAsia="zh-CN"/>
              </w:rPr>
              <w:t>本项目租赁现有场地作为生产厂房，施工期仅需安装设备，污染物为</w:t>
            </w:r>
            <w:r>
              <w:rPr>
                <w:rFonts w:hint="eastAsia" w:ascii="Times New Roman" w:hAnsi="Times New Roman" w:eastAsia="宋体" w:cs="Times New Roman"/>
                <w:b w:val="0"/>
                <w:bCs/>
                <w:color w:val="FF0000"/>
                <w:spacing w:val="0"/>
                <w:sz w:val="24"/>
                <w:szCs w:val="24"/>
                <w:lang w:val="en-US" w:eastAsia="zh-CN"/>
              </w:rPr>
              <w:t>新增生产设备进场、安装、施工及设备搬运安装产生的少量粉尘以及安装施工产生的噪声</w:t>
            </w:r>
            <w:r>
              <w:rPr>
                <w:rFonts w:hint="eastAsia" w:ascii="Times New Roman" w:hAnsi="Times New Roman" w:eastAsia="宋体" w:cs="Times New Roman"/>
                <w:b w:val="0"/>
                <w:bCs/>
                <w:color w:val="FF0000"/>
                <w:sz w:val="24"/>
                <w:szCs w:val="21"/>
                <w:lang w:val="en-US" w:eastAsia="zh-CN"/>
              </w:rPr>
              <w:t>。</w:t>
            </w:r>
          </w:p>
          <w:p w14:paraId="0B9DBA39">
            <w:pPr>
              <w:keepNext w:val="0"/>
              <w:keepLines w:val="0"/>
              <w:suppressLineNumbers w:val="0"/>
              <w:tabs>
                <w:tab w:val="left" w:pos="3375"/>
              </w:tabs>
              <w:spacing w:before="0" w:beforeAutospacing="0" w:after="0" w:afterAutospacing="0" w:line="360" w:lineRule="auto"/>
              <w:ind w:left="0" w:right="0" w:firstLine="480" w:firstLineChars="200"/>
              <w:jc w:val="center"/>
              <w:rPr>
                <w:rFonts w:hint="eastAsia" w:ascii="Times New Roman" w:hAnsi="Times New Roman" w:eastAsia="Times New Roman" w:cs="Times New Roman"/>
                <w:color w:val="FF0000"/>
                <w:sz w:val="24"/>
                <w:highlight w:val="none"/>
              </w:rPr>
            </w:pPr>
            <w:r>
              <w:rPr>
                <w:rFonts w:hint="eastAsia" w:ascii="Times New Roman" w:hAnsi="Times New Roman" w:eastAsia="Times New Roman" w:cs="Times New Roman"/>
                <w:color w:val="FF0000"/>
                <w:sz w:val="24"/>
                <w:highlight w:val="none"/>
              </w:rPr>
              <w:object>
                <v:shape id="_x0000_i1026" o:spt="75" type="#_x0000_t75" style="height:76.5pt;width:156.05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1A114889">
            <w:pPr>
              <w:keepNext w:val="0"/>
              <w:keepLines w:val="0"/>
              <w:pageBreakBefore w:val="0"/>
              <w:widowControl w:val="0"/>
              <w:suppressLineNumbers w:val="0"/>
              <w:tabs>
                <w:tab w:val="left" w:pos="3375"/>
              </w:tabs>
              <w:kinsoku/>
              <w:wordWrap/>
              <w:overflowPunct/>
              <w:topLinePunct w:val="0"/>
              <w:autoSpaceDE/>
              <w:autoSpaceDN/>
              <w:bidi w:val="0"/>
              <w:adjustRightInd/>
              <w:snapToGrid/>
              <w:spacing w:before="0" w:beforeLines="0" w:beforeAutospacing="0" w:afterAutospacing="0" w:line="360" w:lineRule="auto"/>
              <w:ind w:left="0" w:right="0" w:firstLine="420" w:firstLineChars="200"/>
              <w:jc w:val="center"/>
              <w:textAlignment w:val="auto"/>
              <w:rPr>
                <w:rFonts w:hint="eastAsia" w:ascii="Times New Roman" w:hAnsi="Times New Roman" w:eastAsia="Times New Roman" w:cs="Times New Roman"/>
                <w:b/>
                <w:bCs/>
                <w:color w:val="FF0000"/>
                <w:szCs w:val="21"/>
                <w:highlight w:val="none"/>
              </w:rPr>
            </w:pPr>
            <w:r>
              <w:rPr>
                <w:rFonts w:hint="eastAsia" w:ascii="Times New Roman" w:hAnsi="Times New Roman" w:eastAsia="Times New Roman" w:cs="Times New Roman"/>
                <w:b/>
                <w:bCs/>
                <w:color w:val="FF0000"/>
                <w:szCs w:val="21"/>
                <w:highlight w:val="none"/>
              </w:rPr>
              <w:t>图2-</w:t>
            </w:r>
            <w:r>
              <w:rPr>
                <w:rFonts w:hint="eastAsia" w:eastAsia="Times New Roman" w:cs="Times New Roman"/>
                <w:b/>
                <w:bCs/>
                <w:color w:val="FF0000"/>
                <w:szCs w:val="21"/>
                <w:highlight w:val="none"/>
                <w:lang w:val="en-US" w:eastAsia="zh-CN"/>
              </w:rPr>
              <w:t>2</w:t>
            </w:r>
            <w:r>
              <w:rPr>
                <w:rFonts w:hint="eastAsia" w:ascii="Times New Roman" w:hAnsi="Times New Roman" w:eastAsia="Times New Roman" w:cs="Times New Roman"/>
                <w:b/>
                <w:bCs/>
                <w:color w:val="FF0000"/>
                <w:szCs w:val="21"/>
                <w:highlight w:val="none"/>
              </w:rPr>
              <w:t xml:space="preserve">  施工期工艺流程及产污图</w:t>
            </w:r>
          </w:p>
          <w:p w14:paraId="06A77D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1"/>
                <w:lang w:val="en-US" w:eastAsia="zh-CN"/>
              </w:rPr>
            </w:pPr>
            <w:commentRangeStart w:id="18"/>
            <w:r>
              <w:rPr>
                <w:rFonts w:hint="eastAsia" w:cs="Times New Roman"/>
                <w:b w:val="0"/>
                <w:bCs/>
                <w:color w:val="auto"/>
                <w:sz w:val="24"/>
                <w:szCs w:val="21"/>
                <w:lang w:val="en-US" w:eastAsia="zh-CN"/>
              </w:rPr>
              <w:t>2</w:t>
            </w:r>
            <w:r>
              <w:rPr>
                <w:rFonts w:hint="eastAsia" w:ascii="Times New Roman" w:hAnsi="Times New Roman" w:eastAsia="宋体" w:cs="Times New Roman"/>
                <w:b w:val="0"/>
                <w:bCs/>
                <w:color w:val="auto"/>
                <w:sz w:val="24"/>
                <w:szCs w:val="21"/>
                <w:lang w:val="en-US" w:eastAsia="zh-CN"/>
              </w:rPr>
              <w:t>、营</w:t>
            </w:r>
            <w:commentRangeEnd w:id="18"/>
            <w:r>
              <w:commentReference w:id="18"/>
            </w:r>
            <w:r>
              <w:rPr>
                <w:rFonts w:hint="eastAsia" w:ascii="Times New Roman" w:hAnsi="Times New Roman" w:eastAsia="宋体" w:cs="Times New Roman"/>
                <w:b w:val="0"/>
                <w:bCs/>
                <w:color w:val="auto"/>
                <w:sz w:val="24"/>
                <w:szCs w:val="21"/>
                <w:lang w:val="en-US" w:eastAsia="zh-CN"/>
              </w:rPr>
              <w:t>运期工艺流程及产排污环节</w:t>
            </w:r>
          </w:p>
          <w:p w14:paraId="222F23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1"/>
                <w:lang w:val="en-US" w:eastAsia="zh-CN"/>
              </w:rPr>
            </w:pPr>
            <w:r>
              <w:rPr>
                <w:rFonts w:hint="eastAsia" w:cs="Times New Roman"/>
                <w:b w:val="0"/>
                <w:bCs/>
                <w:color w:val="auto"/>
                <w:sz w:val="24"/>
                <w:szCs w:val="21"/>
                <w:lang w:val="en-US" w:eastAsia="zh-CN"/>
              </w:rPr>
              <w:t>1）</w:t>
            </w:r>
            <w:r>
              <w:rPr>
                <w:rFonts w:hint="eastAsia" w:ascii="Times New Roman" w:hAnsi="Times New Roman" w:eastAsia="宋体" w:cs="Times New Roman"/>
                <w:b w:val="0"/>
                <w:bCs/>
                <w:color w:val="auto"/>
                <w:sz w:val="24"/>
                <w:szCs w:val="21"/>
                <w:lang w:val="en-US" w:eastAsia="zh-CN"/>
              </w:rPr>
              <w:t>医用退热贴</w:t>
            </w:r>
          </w:p>
          <w:p w14:paraId="0AD83FA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object>
                <v:shape id="_x0000_i1027" o:spt="75" type="#_x0000_t75" style="height:128.3pt;width:401.6pt;" o:ole="t" filled="f" o:preferrelative="t" stroked="f" coordsize="21600,21600">
                  <v:path/>
                  <v:fill on="f" focussize="0,0"/>
                  <v:stroke on="f"/>
                  <v:imagedata r:id="rId16" o:title=""/>
                  <o:lock v:ext="edit" aspectratio="f"/>
                  <w10:wrap type="none"/>
                  <w10:anchorlock/>
                </v:shape>
                <o:OLEObject Type="Embed" ProgID="Visio.Drawing.11" ShapeID="_x0000_i1027" DrawAspect="Content" ObjectID="_1468075727" r:id="rId15">
                  <o:LockedField>false</o:LockedField>
                </o:OLEObject>
              </w:object>
            </w:r>
          </w:p>
          <w:p w14:paraId="6AC516FF">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eastAsia" w:cs="Times New Roman"/>
                <w:bCs/>
                <w:color w:val="auto"/>
                <w:sz w:val="24"/>
                <w:szCs w:val="21"/>
                <w:lang w:val="en-US" w:eastAsia="zh-CN"/>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图2-</w:t>
            </w:r>
            <w:r>
              <w:rPr>
                <w:rFonts w:hint="eastAsia" w:cs="Times New Roman"/>
                <w:b/>
                <w:bCs/>
                <w:snapToGrid w:val="0"/>
                <w:color w:val="auto"/>
                <w:spacing w:val="4"/>
                <w:kern w:val="18"/>
                <w:sz w:val="21"/>
                <w:szCs w:val="21"/>
                <w:highlight w:val="none"/>
                <w:shd w:val="clear" w:color="auto" w:fill="auto"/>
                <w:lang w:val="en-US" w:eastAsia="zh-CN" w:bidi="ar-SA"/>
              </w:rPr>
              <w:t>3</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 xml:space="preserve">  医用退热贴</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工艺流程</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及产污环节</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图</w:t>
            </w:r>
          </w:p>
          <w:p w14:paraId="152E10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1"/>
                <w:lang w:val="en-US" w:eastAsia="zh-CN"/>
              </w:rPr>
            </w:pPr>
            <w:r>
              <w:rPr>
                <w:rFonts w:hint="eastAsia" w:cs="Times New Roman"/>
                <w:b w:val="0"/>
                <w:bCs/>
                <w:color w:val="auto"/>
                <w:sz w:val="24"/>
                <w:szCs w:val="21"/>
                <w:lang w:val="en-US" w:eastAsia="zh-CN"/>
              </w:rPr>
              <w:t>2）</w:t>
            </w:r>
            <w:r>
              <w:rPr>
                <w:rFonts w:hint="eastAsia" w:ascii="Times New Roman" w:hAnsi="Times New Roman" w:eastAsia="宋体" w:cs="Times New Roman"/>
                <w:b w:val="0"/>
                <w:bCs/>
                <w:color w:val="auto"/>
                <w:sz w:val="24"/>
                <w:szCs w:val="21"/>
                <w:lang w:val="en-US" w:eastAsia="zh-CN"/>
              </w:rPr>
              <w:t>冰凉贴</w:t>
            </w:r>
          </w:p>
          <w:p w14:paraId="6C5EE00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object>
                <v:shape id="_x0000_i1028" o:spt="75" type="#_x0000_t75" style="height:128.15pt;width:401.85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14:paraId="7310D4F4">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eastAsia" w:cs="Times New Roman"/>
                <w:bCs/>
                <w:color w:val="auto"/>
                <w:sz w:val="24"/>
                <w:szCs w:val="21"/>
                <w:lang w:val="en-US" w:eastAsia="zh-CN"/>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图2-</w:t>
            </w:r>
            <w:r>
              <w:rPr>
                <w:rFonts w:hint="eastAsia" w:cs="Times New Roman"/>
                <w:b/>
                <w:bCs/>
                <w:snapToGrid w:val="0"/>
                <w:color w:val="auto"/>
                <w:spacing w:val="4"/>
                <w:kern w:val="18"/>
                <w:sz w:val="21"/>
                <w:szCs w:val="21"/>
                <w:highlight w:val="none"/>
                <w:shd w:val="clear" w:color="auto" w:fill="auto"/>
                <w:lang w:val="en-US" w:eastAsia="zh-CN" w:bidi="ar-SA"/>
              </w:rPr>
              <w:t>4</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 xml:space="preserve">  冰凉贴</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工艺流程</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及产污环节</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图</w:t>
            </w:r>
          </w:p>
          <w:p w14:paraId="68EED8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1"/>
                <w:lang w:val="en-US" w:eastAsia="zh-CN"/>
              </w:rPr>
            </w:pPr>
            <w:r>
              <w:rPr>
                <w:rFonts w:hint="eastAsia" w:cs="Times New Roman"/>
                <w:bCs/>
                <w:color w:val="auto"/>
                <w:sz w:val="24"/>
                <w:szCs w:val="21"/>
                <w:lang w:val="en-US" w:eastAsia="zh-CN"/>
              </w:rPr>
              <w:t>3）</w:t>
            </w:r>
            <w:r>
              <w:rPr>
                <w:rFonts w:hint="eastAsia" w:ascii="Times New Roman" w:hAnsi="Times New Roman" w:eastAsia="宋体" w:cs="Times New Roman"/>
                <w:bCs/>
                <w:color w:val="auto"/>
                <w:sz w:val="24"/>
                <w:szCs w:val="21"/>
                <w:lang w:val="en-US" w:eastAsia="zh-CN"/>
              </w:rPr>
              <w:t>生理性海水喷雾</w:t>
            </w:r>
          </w:p>
          <w:p w14:paraId="2F7621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bCs/>
                <w:color w:val="auto"/>
                <w:sz w:val="24"/>
                <w:szCs w:val="21"/>
                <w:lang w:val="en-US" w:eastAsia="zh-CN"/>
              </w:rPr>
            </w:pPr>
            <w:r>
              <w:rPr>
                <w:rFonts w:hint="default" w:ascii="Times New Roman" w:hAnsi="Times New Roman" w:eastAsia="宋体" w:cs="Times New Roman"/>
                <w:bCs/>
                <w:color w:val="auto"/>
                <w:sz w:val="24"/>
                <w:szCs w:val="21"/>
                <w:lang w:val="en-US" w:eastAsia="zh-CN"/>
              </w:rPr>
              <w:object>
                <v:shape id="_x0000_i1029" o:spt="75" type="#_x0000_t75" style="height:89.25pt;width:275.25pt;" o:ole="t" filled="f" o:preferrelative="t" stroked="f" coordsize="21600,21600">
                  <v:path/>
                  <v:fill on="f" focussize="0,0"/>
                  <v:stroke on="f"/>
                  <v:imagedata r:id="rId20" o:title=""/>
                  <o:lock v:ext="edit" aspectratio="f"/>
                  <w10:wrap type="none"/>
                  <w10:anchorlock/>
                </v:shape>
                <o:OLEObject Type="Embed" ProgID="Visio.Drawing.11" ShapeID="_x0000_i1029" DrawAspect="Content" ObjectID="_1468075729" r:id="rId19">
                  <o:LockedField>false</o:LockedField>
                </o:OLEObject>
              </w:object>
            </w:r>
          </w:p>
          <w:p w14:paraId="6B1F036B">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图2-</w:t>
            </w:r>
            <w:r>
              <w:rPr>
                <w:rFonts w:hint="eastAsia" w:cs="Times New Roman"/>
                <w:b/>
                <w:bCs/>
                <w:snapToGrid w:val="0"/>
                <w:color w:val="auto"/>
                <w:spacing w:val="4"/>
                <w:kern w:val="18"/>
                <w:sz w:val="21"/>
                <w:szCs w:val="21"/>
                <w:highlight w:val="none"/>
                <w:shd w:val="clear" w:color="auto" w:fill="auto"/>
                <w:lang w:val="en-US" w:eastAsia="zh-CN" w:bidi="ar-SA"/>
              </w:rPr>
              <w:t>5</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 xml:space="preserve">  生理性海水喷雾</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工艺流程</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及产污环节</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图</w:t>
            </w:r>
          </w:p>
          <w:p w14:paraId="7FE11EE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配置与灌装皆在十万级净化区域内完成。</w:t>
            </w:r>
          </w:p>
          <w:p w14:paraId="09B2E3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1"/>
                <w:lang w:val="en-US" w:eastAsia="zh-CN"/>
              </w:rPr>
            </w:pPr>
            <w:r>
              <w:rPr>
                <w:rFonts w:hint="eastAsia" w:cs="Times New Roman"/>
                <w:bCs/>
                <w:color w:val="auto"/>
                <w:sz w:val="24"/>
                <w:szCs w:val="21"/>
                <w:lang w:val="en-US" w:eastAsia="zh-CN"/>
              </w:rPr>
              <w:t>4）</w:t>
            </w:r>
            <w:r>
              <w:rPr>
                <w:rFonts w:hint="eastAsia"/>
                <w:color w:val="auto"/>
                <w:sz w:val="24"/>
                <w:szCs w:val="24"/>
                <w:lang w:bidi="ar"/>
              </w:rPr>
              <w:t>医用硅酮疤痕凝胶</w:t>
            </w:r>
          </w:p>
          <w:p w14:paraId="59CF80D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bCs/>
                <w:color w:val="auto"/>
                <w:sz w:val="24"/>
                <w:szCs w:val="21"/>
                <w:lang w:val="en-US" w:eastAsia="zh-CN"/>
              </w:rPr>
            </w:pPr>
            <w:r>
              <w:rPr>
                <w:rFonts w:hint="default" w:ascii="Times New Roman" w:hAnsi="Times New Roman" w:eastAsia="宋体" w:cs="Times New Roman"/>
                <w:bCs/>
                <w:color w:val="auto"/>
                <w:sz w:val="24"/>
                <w:szCs w:val="21"/>
                <w:lang w:val="en-US" w:eastAsia="zh-CN"/>
              </w:rPr>
              <w:object>
                <v:shape id="_x0000_i1030" o:spt="75" type="#_x0000_t75" style="height:92.25pt;width:318pt;" o:ole="t" filled="f" o:preferrelative="t" stroked="f" coordsize="21600,21600">
                  <v:path/>
                  <v:fill on="f" focussize="0,0"/>
                  <v:stroke on="f"/>
                  <v:imagedata r:id="rId22" o:title=""/>
                  <o:lock v:ext="edit" aspectratio="f"/>
                  <w10:wrap type="none"/>
                  <w10:anchorlock/>
                </v:shape>
                <o:OLEObject Type="Embed" ProgID="Visio.Drawing.11" ShapeID="_x0000_i1030" DrawAspect="Content" ObjectID="_1468075730" r:id="rId21">
                  <o:LockedField>false</o:LockedField>
                </o:OLEObject>
              </w:object>
            </w:r>
          </w:p>
          <w:p w14:paraId="59374849">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图2-</w:t>
            </w:r>
            <w:r>
              <w:rPr>
                <w:rFonts w:hint="eastAsia" w:cs="Times New Roman"/>
                <w:b/>
                <w:bCs/>
                <w:snapToGrid w:val="0"/>
                <w:color w:val="auto"/>
                <w:spacing w:val="4"/>
                <w:kern w:val="18"/>
                <w:sz w:val="21"/>
                <w:szCs w:val="21"/>
                <w:highlight w:val="none"/>
                <w:shd w:val="clear" w:color="auto" w:fill="auto"/>
                <w:lang w:val="en-US" w:eastAsia="zh-CN" w:bidi="ar-SA"/>
              </w:rPr>
              <w:t>6</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 xml:space="preserve">  医用硅酮疤痕凝胶</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工艺流程</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及产污环节</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图</w:t>
            </w:r>
          </w:p>
          <w:p w14:paraId="1FC732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配置与灌装皆在十万级净化区域内完成。</w:t>
            </w:r>
          </w:p>
          <w:p w14:paraId="4A34E55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s="Times New Roman"/>
                <w:b/>
                <w:bCs w:val="0"/>
                <w:color w:val="auto"/>
                <w:sz w:val="24"/>
                <w:szCs w:val="21"/>
                <w:lang w:val="en-US" w:eastAsia="zh-CN"/>
              </w:rPr>
            </w:pPr>
            <w:r>
              <w:rPr>
                <w:rFonts w:hint="eastAsia" w:cs="Times New Roman"/>
                <w:b/>
                <w:bCs w:val="0"/>
                <w:color w:val="auto"/>
                <w:sz w:val="24"/>
                <w:szCs w:val="21"/>
                <w:lang w:val="en-US" w:eastAsia="zh-CN"/>
              </w:rPr>
              <w:t>以上产品部分工艺说明</w:t>
            </w:r>
          </w:p>
          <w:p w14:paraId="2CE589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val="0"/>
                <w:bCs/>
                <w:color w:val="auto"/>
                <w:sz w:val="24"/>
                <w:szCs w:val="21"/>
                <w:lang w:val="en-US" w:eastAsia="zh-CN"/>
              </w:rPr>
              <w:t>①配粉：按照配方表依次叠加的方法将粉类原料装入PVC袋中混合备用；按定量量配好份数，记为混合粉</w:t>
            </w:r>
            <w:r>
              <w:rPr>
                <w:rFonts w:hint="eastAsia" w:cs="Times New Roman"/>
                <w:b w:val="0"/>
                <w:bCs/>
                <w:color w:val="auto"/>
                <w:sz w:val="24"/>
                <w:szCs w:val="21"/>
                <w:lang w:val="en-US" w:eastAsia="zh-CN"/>
              </w:rPr>
              <w:t>，</w:t>
            </w:r>
            <w:r>
              <w:rPr>
                <w:rFonts w:hint="eastAsia" w:ascii="Times New Roman" w:hAnsi="Times New Roman" w:eastAsia="宋体" w:cs="Times New Roman"/>
                <w:b w:val="0"/>
                <w:bCs/>
                <w:color w:val="auto"/>
                <w:sz w:val="24"/>
                <w:szCs w:val="21"/>
                <w:lang w:val="en-US" w:eastAsia="zh-CN"/>
              </w:rPr>
              <w:t>配粉</w:t>
            </w:r>
            <w:r>
              <w:rPr>
                <w:rFonts w:hint="eastAsia" w:ascii="Times New Roman" w:eastAsia="宋体"/>
                <w:b w:val="0"/>
                <w:bCs w:val="0"/>
                <w:color w:val="auto"/>
                <w:sz w:val="24"/>
                <w:szCs w:val="24"/>
                <w:lang w:eastAsia="zh-CN"/>
              </w:rPr>
              <w:t>过程中会产生</w:t>
            </w:r>
            <w:r>
              <w:rPr>
                <w:rFonts w:hint="eastAsia" w:ascii="Times New Roman" w:eastAsia="宋体"/>
                <w:b w:val="0"/>
                <w:bCs w:val="0"/>
                <w:color w:val="auto"/>
                <w:sz w:val="24"/>
                <w:szCs w:val="24"/>
                <w:lang w:val="en-US" w:eastAsia="zh-CN"/>
              </w:rPr>
              <w:t>颗粒物</w:t>
            </w:r>
            <w:r>
              <w:rPr>
                <w:rFonts w:hint="eastAsia" w:ascii="Times New Roman" w:hAnsi="Times New Roman" w:eastAsia="宋体" w:cs="Times New Roman"/>
                <w:b w:val="0"/>
                <w:bCs/>
                <w:color w:val="auto"/>
                <w:sz w:val="24"/>
                <w:szCs w:val="21"/>
                <w:lang w:val="en-US" w:eastAsia="zh-CN"/>
              </w:rPr>
              <w:t>。</w:t>
            </w:r>
          </w:p>
          <w:p w14:paraId="52C284FB">
            <w:pPr>
              <w:pStyle w:val="37"/>
              <w:keepNext w:val="0"/>
              <w:keepLines w:val="0"/>
              <w:pageBreakBefore w:val="0"/>
              <w:widowControl w:val="0"/>
              <w:kinsoku/>
              <w:wordWrap/>
              <w:overflowPunct/>
              <w:topLinePunct w:val="0"/>
              <w:bidi w:val="0"/>
              <w:adjustRightInd w:val="0"/>
              <w:spacing w:before="0" w:after="0" w:line="360" w:lineRule="auto"/>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②配水：按配方表以及生产数量要求，称好相应水的质量；依次往搅拌锅中添加酒石酸、分散液、作用剂、增粘剂等，同时搅拌均匀。称为配比水。</w:t>
            </w:r>
          </w:p>
          <w:p w14:paraId="0BB877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val="0"/>
                <w:bCs/>
                <w:color w:val="auto"/>
                <w:sz w:val="24"/>
                <w:szCs w:val="21"/>
                <w:lang w:val="en-US" w:eastAsia="zh-CN"/>
              </w:rPr>
              <w:t>③制浆：将定量的甘油放入搅拌锅中，加入混合粉，同时用搅拌棍不停搅拌；将搅拌锅安装在搅拌机上，在常温下使用搅拌机继续搅拌，直到搅拌均匀，至无颗粒状粉团为止</w:t>
            </w:r>
            <w:r>
              <w:rPr>
                <w:rFonts w:hint="eastAsia" w:cs="Times New Roman"/>
                <w:b w:val="0"/>
                <w:bCs/>
                <w:color w:val="auto"/>
                <w:sz w:val="24"/>
                <w:szCs w:val="21"/>
                <w:lang w:val="en-US" w:eastAsia="zh-CN"/>
              </w:rPr>
              <w:t>，</w:t>
            </w:r>
            <w:r>
              <w:rPr>
                <w:rFonts w:hint="eastAsia" w:ascii="Times New Roman" w:hAnsi="Times New Roman" w:eastAsia="宋体" w:cs="Times New Roman"/>
                <w:b w:val="0"/>
                <w:bCs/>
                <w:color w:val="auto"/>
                <w:sz w:val="24"/>
                <w:szCs w:val="21"/>
                <w:lang w:val="en-US" w:eastAsia="zh-CN"/>
              </w:rPr>
              <w:t>制浆</w:t>
            </w:r>
            <w:r>
              <w:rPr>
                <w:rFonts w:hint="eastAsia" w:ascii="Times New Roman" w:eastAsia="宋体"/>
                <w:b w:val="0"/>
                <w:bCs w:val="0"/>
                <w:color w:val="auto"/>
                <w:sz w:val="24"/>
                <w:szCs w:val="24"/>
                <w:lang w:eastAsia="zh-CN"/>
              </w:rPr>
              <w:t>过程中会产生</w:t>
            </w:r>
            <w:r>
              <w:rPr>
                <w:rFonts w:hint="eastAsia" w:ascii="Times New Roman" w:eastAsia="宋体"/>
                <w:b w:val="0"/>
                <w:bCs w:val="0"/>
                <w:color w:val="auto"/>
                <w:sz w:val="24"/>
                <w:szCs w:val="24"/>
                <w:lang w:val="en-US" w:eastAsia="zh-CN"/>
              </w:rPr>
              <w:t>噪声</w:t>
            </w:r>
            <w:r>
              <w:rPr>
                <w:rFonts w:hint="eastAsia" w:ascii="Times New Roman" w:hAnsi="Times New Roman" w:eastAsia="宋体" w:cs="Times New Roman"/>
                <w:b w:val="0"/>
                <w:bCs/>
                <w:color w:val="auto"/>
                <w:sz w:val="24"/>
                <w:szCs w:val="21"/>
                <w:lang w:val="en-US" w:eastAsia="zh-CN"/>
              </w:rPr>
              <w:t>。</w:t>
            </w:r>
          </w:p>
          <w:p w14:paraId="0B470C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FF0000"/>
                <w:sz w:val="24"/>
                <w:szCs w:val="21"/>
                <w:lang w:val="en-US" w:eastAsia="zh-CN"/>
              </w:rPr>
            </w:pPr>
            <w:commentRangeStart w:id="19"/>
            <w:r>
              <w:rPr>
                <w:rFonts w:hint="eastAsia" w:ascii="Times New Roman" w:hAnsi="Times New Roman" w:eastAsia="宋体" w:cs="Times New Roman"/>
                <w:b w:val="0"/>
                <w:bCs/>
                <w:color w:val="FF0000"/>
                <w:sz w:val="24"/>
                <w:szCs w:val="21"/>
                <w:lang w:val="en-US" w:eastAsia="zh-CN"/>
              </w:rPr>
              <w:t>④</w:t>
            </w:r>
            <w:commentRangeEnd w:id="19"/>
            <w:r>
              <w:commentReference w:id="19"/>
            </w:r>
            <w:r>
              <w:rPr>
                <w:rFonts w:hint="eastAsia" w:ascii="Times New Roman" w:hAnsi="Times New Roman" w:eastAsia="宋体" w:cs="Times New Roman"/>
                <w:b w:val="0"/>
                <w:bCs/>
                <w:color w:val="FF0000"/>
                <w:sz w:val="24"/>
                <w:szCs w:val="21"/>
                <w:lang w:val="en-US" w:eastAsia="zh-CN"/>
              </w:rPr>
              <w:t>涂布固化：将已经涂布好的胶体进行常温固化，根据根据产品及天气的特点，将固化室的空调及除湿机进行调节，涂布固化</w:t>
            </w:r>
            <w:r>
              <w:rPr>
                <w:rFonts w:hint="eastAsia" w:ascii="Times New Roman" w:eastAsia="宋体"/>
                <w:b w:val="0"/>
                <w:bCs w:val="0"/>
                <w:color w:val="FF0000"/>
                <w:sz w:val="24"/>
                <w:szCs w:val="24"/>
                <w:lang w:eastAsia="zh-CN"/>
              </w:rPr>
              <w:t>过程中会产生</w:t>
            </w:r>
            <w:r>
              <w:rPr>
                <w:rFonts w:hint="eastAsia" w:ascii="Times New Roman" w:eastAsia="宋体"/>
                <w:b w:val="0"/>
                <w:bCs w:val="0"/>
                <w:color w:val="FF0000"/>
                <w:sz w:val="24"/>
                <w:szCs w:val="24"/>
                <w:lang w:val="en-US" w:eastAsia="zh-CN"/>
              </w:rPr>
              <w:t>有机废气</w:t>
            </w:r>
            <w:r>
              <w:rPr>
                <w:rFonts w:hint="eastAsia" w:ascii="Times New Roman" w:hAnsi="Times New Roman" w:eastAsia="宋体" w:cs="Times New Roman"/>
                <w:b w:val="0"/>
                <w:bCs/>
                <w:color w:val="FF0000"/>
                <w:sz w:val="24"/>
                <w:szCs w:val="21"/>
                <w:lang w:val="en-US" w:eastAsia="zh-CN"/>
              </w:rPr>
              <w:t>。</w:t>
            </w:r>
          </w:p>
          <w:p w14:paraId="3823E7E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FF0000"/>
                <w:sz w:val="24"/>
                <w:szCs w:val="21"/>
                <w:lang w:val="en-US" w:eastAsia="zh-CN"/>
              </w:rPr>
            </w:pPr>
            <w:r>
              <w:rPr>
                <w:rFonts w:hint="eastAsia" w:ascii="Times New Roman" w:hAnsi="Times New Roman" w:eastAsia="宋体" w:cs="Times New Roman"/>
                <w:b w:val="0"/>
                <w:bCs/>
                <w:color w:val="FF0000"/>
                <w:sz w:val="24"/>
                <w:szCs w:val="21"/>
                <w:lang w:val="en-US" w:eastAsia="zh-CN"/>
              </w:rPr>
              <w:t>1、空调的调节：一般需使用空调的遥控器进行调节，先按开关键，将温度调节在30℃，空调制热的时候，方向朝地下约45度，左右摇摆，风力使用加强风，时间多少参见下表；</w:t>
            </w:r>
          </w:p>
          <w:p w14:paraId="3433FE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FF0000"/>
                <w:sz w:val="24"/>
                <w:szCs w:val="21"/>
                <w:lang w:val="en-US" w:eastAsia="zh-CN"/>
              </w:rPr>
            </w:pPr>
            <w:r>
              <w:rPr>
                <w:rFonts w:hint="eastAsia" w:ascii="Times New Roman" w:hAnsi="Times New Roman" w:eastAsia="宋体" w:cs="Times New Roman"/>
                <w:b w:val="0"/>
                <w:bCs/>
                <w:color w:val="FF0000"/>
                <w:sz w:val="24"/>
                <w:szCs w:val="21"/>
                <w:lang w:val="en-US" w:eastAsia="zh-CN"/>
              </w:rPr>
              <w:t>2、除湿机的调节：先按开关键，调节除湿开机时间，关机时间，核对时间表，具体操作见除湿机使用说明书，湿度及除湿时间参见下表。</w:t>
            </w:r>
          </w:p>
          <w:tbl>
            <w:tblPr>
              <w:tblStyle w:val="25"/>
              <w:tblW w:w="7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1045"/>
              <w:gridCol w:w="1079"/>
              <w:gridCol w:w="1011"/>
              <w:gridCol w:w="1011"/>
              <w:gridCol w:w="1134"/>
              <w:gridCol w:w="1103"/>
            </w:tblGrid>
            <w:tr w14:paraId="442C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79" w:type="dxa"/>
                  <w:vMerge w:val="restart"/>
                  <w:tcBorders>
                    <w:tl2br w:val="single" w:color="auto" w:sz="4" w:space="0"/>
                  </w:tcBorders>
                  <w:shd w:val="clear" w:color="auto" w:fill="auto"/>
                  <w:noWrap w:val="0"/>
                  <w:vAlign w:val="top"/>
                </w:tcPr>
                <w:p w14:paraId="2AEC0706">
                  <w:pPr>
                    <w:ind w:firstLine="843" w:firstLineChars="400"/>
                    <w:jc w:val="left"/>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mc:AlternateContent>
                      <mc:Choice Requires="wps">
                        <w:drawing>
                          <wp:anchor distT="0" distB="0" distL="114300" distR="114300" simplePos="0" relativeHeight="251660288" behindDoc="0" locked="0" layoutInCell="1" allowOverlap="1">
                            <wp:simplePos x="0" y="0"/>
                            <wp:positionH relativeFrom="column">
                              <wp:posOffset>-44450</wp:posOffset>
                            </wp:positionH>
                            <wp:positionV relativeFrom="paragraph">
                              <wp:posOffset>5715</wp:posOffset>
                            </wp:positionV>
                            <wp:extent cx="988695" cy="247015"/>
                            <wp:effectExtent l="1270" t="4445" r="19685" b="15240"/>
                            <wp:wrapNone/>
                            <wp:docPr id="8" name="直接连接符 8"/>
                            <wp:cNvGraphicFramePr/>
                            <a:graphic xmlns:a="http://schemas.openxmlformats.org/drawingml/2006/main">
                              <a:graphicData uri="http://schemas.microsoft.com/office/word/2010/wordprocessingShape">
                                <wps:wsp>
                                  <wps:cNvCnPr/>
                                  <wps:spPr>
                                    <a:xfrm>
                                      <a:off x="0" y="0"/>
                                      <a:ext cx="988695" cy="2470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5pt;margin-top:0.45pt;height:19.45pt;width:77.85pt;z-index:251660288;mso-width-relative:page;mso-height-relative:page;" filled="f" stroked="t" coordsize="21600,21600" o:gfxdata="UEsDBAoAAAAAAIdO4kAAAAAAAAAAAAAAAAAEAAAAZHJzL1BLAwQUAAAACACHTuJAePAGVdYAAAAG&#10;AQAADwAAAGRycy9kb3ducmV2LnhtbE2PvU7DQBCEeyTe4bRINFFyToKIY7xOAbijIYDSbnwb28K3&#10;5/guP/D0XKpQjmY0802+OttOHXnwrROE6SQBxVI500qN8PlRjlNQPpAY6pwwwg97WBW3Nzllxp3k&#10;nY/rUKtYIj4jhCaEPtPaVw1b8hPXs0Rv5wZLIcqh1magUyy3nZ4lyaO21EpcaKjn54ar7/XBIvjy&#10;i/fl76gaJZt57Xi2f3l7JcT7u2nyBCrwOVzDcMGP6FBEpq07iPGqQxgv4pWAsAR1cR/SBagtwnyZ&#10;gi5y/R+/+ANQSwMEFAAAAAgAh07iQHJ2hYP3AQAA6AMAAA4AAABkcnMvZTJvRG9jLnhtbK1TS44T&#10;MRDdI3EHy3vSSUSGTCudWUwYNggiwRyg4nZ3W/JPLiedXIILILGDFUv23GaGY0zZHTIwbLKgF+6y&#10;6/m53nN5cbU3mu1kQOVsxSejMWfSClcr21b89uPNizlnGMHWoJ2VFT9I5FfL588WvS/l1HVO1zIw&#10;IrFY9r7iXYy+LAoUnTSAI+elpWTjgoFI09AWdYCe2I0upuPxRdG7UPvghESk1dWQ5EfGcA6haxol&#10;5MqJrZE2DqxBaogkCTvlkS9ztU0jRXzfNCgj0xUnpTGPdAjFmzQWywWUbQDfKXEsAc4p4YkmA8rS&#10;oSeqFURg26D+oTJKBIeuiSPhTDEIyY6Qisn4iTcfOvAyayGr0Z9Mx/9HK97t1oGpuuJ07RYMXfj9&#10;5x93n77++vmFxvvv39g8mdR7LAl7bdfhOEO/Dknxvgkm/UkL22djDydj5T4yQYuX8/nF5YwzQanp&#10;y1fjySxxFo+bfcD4RjrDUlBxrWzSDSXs3mIcoL8haVlb1hPrbJo4gZqwocun0HgSgrbNe9FpVd8o&#10;rdMODO3mWge2g9QI+TuW8BcsHbIC7AZcTiUYlJ2E+rWtWTx4ssjSy+CpBCNrzrSkh5SijIyg9DlI&#10;Uq8tmZCcHbxM0cbVB7qQrQ+q7ciJSa4yZagBsmXHZk0d9uc8Mz0+0O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PAGVdYAAAAGAQAADwAAAAAAAAABACAAAAAiAAAAZHJzL2Rvd25yZXYueG1sUEsB&#10;AhQAFAAAAAgAh07iQHJ2hYP3AQAA6AMAAA4AAAAAAAAAAQAgAAAAJQEAAGRycy9lMm9Eb2MueG1s&#10;UEsFBgAAAAAGAAYAWQEAAI4FAAAAAA==&#10;">
                            <v:fill on="f" focussize="0,0"/>
                            <v:stroke color="#000000" joinstyle="round"/>
                            <v:imagedata o:title=""/>
                            <o:lock v:ext="edit" aspectratio="f"/>
                          </v:line>
                        </w:pict>
                      </mc:Fallback>
                    </mc:AlternateContent>
                  </w:r>
                  <w:r>
                    <w:rPr>
                      <w:rFonts w:hint="default" w:ascii="Times New Roman" w:hAnsi="Times New Roman" w:cs="Times New Roman"/>
                      <w:b/>
                      <w:bCs/>
                      <w:color w:val="FF0000"/>
                      <w:sz w:val="21"/>
                      <w:szCs w:val="21"/>
                    </w:rPr>
                    <w:t>湿度</w:t>
                  </w:r>
                </w:p>
                <w:p w14:paraId="4C5F64D2">
                  <w:pPr>
                    <w:ind w:firstLine="738" w:firstLineChars="350"/>
                    <w:jc w:val="left"/>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调节</w:t>
                  </w:r>
                </w:p>
                <w:p w14:paraId="2E4D933C">
                  <w:pPr>
                    <w:jc w:val="left"/>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室内温度</w:t>
                  </w:r>
                </w:p>
              </w:tc>
              <w:tc>
                <w:tcPr>
                  <w:tcW w:w="2124" w:type="dxa"/>
                  <w:gridSpan w:val="2"/>
                  <w:shd w:val="clear" w:color="auto" w:fill="auto"/>
                  <w:noWrap w:val="0"/>
                  <w:vAlign w:val="center"/>
                </w:tcPr>
                <w:p w14:paraId="45F85207">
                  <w:pPr>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50以下</w:t>
                  </w:r>
                </w:p>
              </w:tc>
              <w:tc>
                <w:tcPr>
                  <w:tcW w:w="2022" w:type="dxa"/>
                  <w:gridSpan w:val="2"/>
                  <w:shd w:val="clear" w:color="auto" w:fill="auto"/>
                  <w:noWrap w:val="0"/>
                  <w:vAlign w:val="center"/>
                </w:tcPr>
                <w:p w14:paraId="2F98A160">
                  <w:pPr>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50-70</w:t>
                  </w:r>
                </w:p>
              </w:tc>
              <w:tc>
                <w:tcPr>
                  <w:tcW w:w="2237" w:type="dxa"/>
                  <w:gridSpan w:val="2"/>
                  <w:shd w:val="clear" w:color="auto" w:fill="auto"/>
                  <w:noWrap w:val="0"/>
                  <w:vAlign w:val="center"/>
                </w:tcPr>
                <w:p w14:paraId="5F062010">
                  <w:pPr>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70以上</w:t>
                  </w:r>
                </w:p>
              </w:tc>
            </w:tr>
            <w:tr w14:paraId="30347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579" w:type="dxa"/>
                  <w:vMerge w:val="continue"/>
                  <w:tcBorders>
                    <w:tl2br w:val="single" w:color="auto" w:sz="4" w:space="0"/>
                  </w:tcBorders>
                  <w:shd w:val="clear" w:color="auto" w:fill="auto"/>
                  <w:noWrap w:val="0"/>
                  <w:vAlign w:val="top"/>
                </w:tcPr>
                <w:p w14:paraId="56614AF8">
                  <w:pPr>
                    <w:ind w:firstLine="843" w:firstLineChars="400"/>
                    <w:jc w:val="left"/>
                    <w:rPr>
                      <w:rFonts w:hint="default" w:ascii="Times New Roman" w:hAnsi="Times New Roman" w:cs="Times New Roman"/>
                      <w:b/>
                      <w:bCs/>
                      <w:color w:val="FF0000"/>
                      <w:sz w:val="21"/>
                      <w:szCs w:val="21"/>
                    </w:rPr>
                  </w:pPr>
                </w:p>
              </w:tc>
              <w:tc>
                <w:tcPr>
                  <w:tcW w:w="1045" w:type="dxa"/>
                  <w:shd w:val="clear" w:color="auto" w:fill="auto"/>
                  <w:noWrap w:val="0"/>
                  <w:vAlign w:val="center"/>
                </w:tcPr>
                <w:p w14:paraId="0A7BDEB6">
                  <w:pPr>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湿度</w:t>
                  </w:r>
                </w:p>
              </w:tc>
              <w:tc>
                <w:tcPr>
                  <w:tcW w:w="1079" w:type="dxa"/>
                  <w:shd w:val="clear" w:color="auto" w:fill="auto"/>
                  <w:noWrap w:val="0"/>
                  <w:vAlign w:val="center"/>
                </w:tcPr>
                <w:p w14:paraId="5350D75A">
                  <w:pPr>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时间</w:t>
                  </w:r>
                </w:p>
              </w:tc>
              <w:tc>
                <w:tcPr>
                  <w:tcW w:w="1011" w:type="dxa"/>
                  <w:shd w:val="clear" w:color="auto" w:fill="auto"/>
                  <w:noWrap w:val="0"/>
                  <w:vAlign w:val="center"/>
                </w:tcPr>
                <w:p w14:paraId="6BC08688">
                  <w:pPr>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湿度</w:t>
                  </w:r>
                </w:p>
              </w:tc>
              <w:tc>
                <w:tcPr>
                  <w:tcW w:w="1011" w:type="dxa"/>
                  <w:shd w:val="clear" w:color="auto" w:fill="auto"/>
                  <w:noWrap w:val="0"/>
                  <w:vAlign w:val="center"/>
                </w:tcPr>
                <w:p w14:paraId="38C38CA1">
                  <w:pPr>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时间</w:t>
                  </w:r>
                </w:p>
              </w:tc>
              <w:tc>
                <w:tcPr>
                  <w:tcW w:w="1134" w:type="dxa"/>
                  <w:shd w:val="clear" w:color="auto" w:fill="auto"/>
                  <w:noWrap w:val="0"/>
                  <w:vAlign w:val="center"/>
                </w:tcPr>
                <w:p w14:paraId="52262EDA">
                  <w:pPr>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湿度</w:t>
                  </w:r>
                </w:p>
              </w:tc>
              <w:tc>
                <w:tcPr>
                  <w:tcW w:w="1103" w:type="dxa"/>
                  <w:shd w:val="clear" w:color="auto" w:fill="auto"/>
                  <w:noWrap w:val="0"/>
                  <w:vAlign w:val="center"/>
                </w:tcPr>
                <w:p w14:paraId="5EB3F1B7">
                  <w:pPr>
                    <w:jc w:val="center"/>
                    <w:rPr>
                      <w:rFonts w:hint="default" w:ascii="Times New Roman" w:hAnsi="Times New Roman" w:cs="Times New Roman"/>
                      <w:b/>
                      <w:bCs/>
                      <w:color w:val="FF0000"/>
                      <w:sz w:val="21"/>
                      <w:szCs w:val="21"/>
                    </w:rPr>
                  </w:pPr>
                  <w:r>
                    <w:rPr>
                      <w:rFonts w:hint="default" w:ascii="Times New Roman" w:hAnsi="Times New Roman" w:cs="Times New Roman"/>
                      <w:b/>
                      <w:bCs/>
                      <w:color w:val="FF0000"/>
                      <w:sz w:val="21"/>
                      <w:szCs w:val="21"/>
                    </w:rPr>
                    <w:t>时间</w:t>
                  </w:r>
                </w:p>
              </w:tc>
            </w:tr>
            <w:tr w14:paraId="38FE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579" w:type="dxa"/>
                  <w:noWrap w:val="0"/>
                  <w:vAlign w:val="top"/>
                </w:tcPr>
                <w:p w14:paraId="3314B67E">
                  <w:pPr>
                    <w:jc w:val="both"/>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10℃以下</w:t>
                  </w:r>
                </w:p>
              </w:tc>
              <w:tc>
                <w:tcPr>
                  <w:tcW w:w="1045" w:type="dxa"/>
                  <w:noWrap w:val="0"/>
                  <w:vAlign w:val="center"/>
                </w:tcPr>
                <w:p w14:paraId="66060043">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68</w:t>
                  </w:r>
                </w:p>
              </w:tc>
              <w:tc>
                <w:tcPr>
                  <w:tcW w:w="1079" w:type="dxa"/>
                  <w:noWrap w:val="0"/>
                  <w:vAlign w:val="center"/>
                </w:tcPr>
                <w:p w14:paraId="37E989A6">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6h</w:t>
                  </w:r>
                </w:p>
              </w:tc>
              <w:tc>
                <w:tcPr>
                  <w:tcW w:w="1011" w:type="dxa"/>
                  <w:noWrap w:val="0"/>
                  <w:vAlign w:val="center"/>
                </w:tcPr>
                <w:p w14:paraId="32F4DA8A">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68</w:t>
                  </w:r>
                </w:p>
              </w:tc>
              <w:tc>
                <w:tcPr>
                  <w:tcW w:w="1011" w:type="dxa"/>
                  <w:noWrap w:val="0"/>
                  <w:vAlign w:val="center"/>
                </w:tcPr>
                <w:p w14:paraId="662C648D">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7h</w:t>
                  </w:r>
                </w:p>
              </w:tc>
              <w:tc>
                <w:tcPr>
                  <w:tcW w:w="1134" w:type="dxa"/>
                  <w:noWrap w:val="0"/>
                  <w:vAlign w:val="center"/>
                </w:tcPr>
                <w:p w14:paraId="17C0AF8E">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65</w:t>
                  </w:r>
                </w:p>
              </w:tc>
              <w:tc>
                <w:tcPr>
                  <w:tcW w:w="1103" w:type="dxa"/>
                  <w:noWrap w:val="0"/>
                  <w:vAlign w:val="center"/>
                </w:tcPr>
                <w:p w14:paraId="37B2B98E">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7h</w:t>
                  </w:r>
                </w:p>
              </w:tc>
            </w:tr>
            <w:tr w14:paraId="6D57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579" w:type="dxa"/>
                  <w:noWrap w:val="0"/>
                  <w:vAlign w:val="top"/>
                </w:tcPr>
                <w:p w14:paraId="0EAA6811">
                  <w:pPr>
                    <w:jc w:val="both"/>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10-15℃</w:t>
                  </w:r>
                </w:p>
              </w:tc>
              <w:tc>
                <w:tcPr>
                  <w:tcW w:w="1045" w:type="dxa"/>
                  <w:noWrap w:val="0"/>
                  <w:vAlign w:val="center"/>
                </w:tcPr>
                <w:p w14:paraId="2856D2AF">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68</w:t>
                  </w:r>
                </w:p>
              </w:tc>
              <w:tc>
                <w:tcPr>
                  <w:tcW w:w="1079" w:type="dxa"/>
                  <w:noWrap w:val="0"/>
                  <w:vAlign w:val="center"/>
                </w:tcPr>
                <w:p w14:paraId="2E5D257B">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5h</w:t>
                  </w:r>
                </w:p>
              </w:tc>
              <w:tc>
                <w:tcPr>
                  <w:tcW w:w="1011" w:type="dxa"/>
                  <w:noWrap w:val="0"/>
                  <w:vAlign w:val="center"/>
                </w:tcPr>
                <w:p w14:paraId="45E64F79">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68</w:t>
                  </w:r>
                </w:p>
              </w:tc>
              <w:tc>
                <w:tcPr>
                  <w:tcW w:w="1011" w:type="dxa"/>
                  <w:noWrap w:val="0"/>
                  <w:vAlign w:val="center"/>
                </w:tcPr>
                <w:p w14:paraId="77D05A4F">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6h</w:t>
                  </w:r>
                </w:p>
              </w:tc>
              <w:tc>
                <w:tcPr>
                  <w:tcW w:w="1134" w:type="dxa"/>
                  <w:noWrap w:val="0"/>
                  <w:vAlign w:val="center"/>
                </w:tcPr>
                <w:p w14:paraId="409366AD">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66</w:t>
                  </w:r>
                </w:p>
              </w:tc>
              <w:tc>
                <w:tcPr>
                  <w:tcW w:w="1103" w:type="dxa"/>
                  <w:noWrap w:val="0"/>
                  <w:vAlign w:val="center"/>
                </w:tcPr>
                <w:p w14:paraId="4EAB172F">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7h</w:t>
                  </w:r>
                </w:p>
              </w:tc>
            </w:tr>
            <w:tr w14:paraId="05AA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4" w:hRule="atLeast"/>
              </w:trPr>
              <w:tc>
                <w:tcPr>
                  <w:tcW w:w="1579" w:type="dxa"/>
                  <w:noWrap w:val="0"/>
                  <w:vAlign w:val="top"/>
                </w:tcPr>
                <w:p w14:paraId="2A55BFD4">
                  <w:pPr>
                    <w:jc w:val="both"/>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15-20℃</w:t>
                  </w:r>
                </w:p>
              </w:tc>
              <w:tc>
                <w:tcPr>
                  <w:tcW w:w="1045" w:type="dxa"/>
                  <w:noWrap w:val="0"/>
                  <w:vAlign w:val="center"/>
                </w:tcPr>
                <w:p w14:paraId="322C2D8F">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68</w:t>
                  </w:r>
                </w:p>
              </w:tc>
              <w:tc>
                <w:tcPr>
                  <w:tcW w:w="1079" w:type="dxa"/>
                  <w:noWrap w:val="0"/>
                  <w:vAlign w:val="center"/>
                </w:tcPr>
                <w:p w14:paraId="324F0B12">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4h</w:t>
                  </w:r>
                </w:p>
              </w:tc>
              <w:tc>
                <w:tcPr>
                  <w:tcW w:w="1011" w:type="dxa"/>
                  <w:noWrap w:val="0"/>
                  <w:vAlign w:val="center"/>
                </w:tcPr>
                <w:p w14:paraId="6CEF33D8">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68</w:t>
                  </w:r>
                </w:p>
              </w:tc>
              <w:tc>
                <w:tcPr>
                  <w:tcW w:w="1011" w:type="dxa"/>
                  <w:noWrap w:val="0"/>
                  <w:vAlign w:val="center"/>
                </w:tcPr>
                <w:p w14:paraId="0BF0379A">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5h</w:t>
                  </w:r>
                </w:p>
              </w:tc>
              <w:tc>
                <w:tcPr>
                  <w:tcW w:w="1134" w:type="dxa"/>
                  <w:noWrap w:val="0"/>
                  <w:vAlign w:val="center"/>
                </w:tcPr>
                <w:p w14:paraId="0174AE9A">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67</w:t>
                  </w:r>
                </w:p>
              </w:tc>
              <w:tc>
                <w:tcPr>
                  <w:tcW w:w="1103" w:type="dxa"/>
                  <w:noWrap w:val="0"/>
                  <w:vAlign w:val="center"/>
                </w:tcPr>
                <w:p w14:paraId="49C444CC">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6h</w:t>
                  </w:r>
                </w:p>
              </w:tc>
            </w:tr>
            <w:tr w14:paraId="3F34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579" w:type="dxa"/>
                  <w:noWrap w:val="0"/>
                  <w:vAlign w:val="top"/>
                </w:tcPr>
                <w:p w14:paraId="19250B24">
                  <w:pPr>
                    <w:jc w:val="both"/>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20-25℃</w:t>
                  </w:r>
                </w:p>
              </w:tc>
              <w:tc>
                <w:tcPr>
                  <w:tcW w:w="1045" w:type="dxa"/>
                  <w:noWrap w:val="0"/>
                  <w:vAlign w:val="center"/>
                </w:tcPr>
                <w:p w14:paraId="3E9009FF">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70</w:t>
                  </w:r>
                </w:p>
              </w:tc>
              <w:tc>
                <w:tcPr>
                  <w:tcW w:w="1079" w:type="dxa"/>
                  <w:noWrap w:val="0"/>
                  <w:vAlign w:val="center"/>
                </w:tcPr>
                <w:p w14:paraId="333994D5">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4h</w:t>
                  </w:r>
                </w:p>
              </w:tc>
              <w:tc>
                <w:tcPr>
                  <w:tcW w:w="1011" w:type="dxa"/>
                  <w:noWrap w:val="0"/>
                  <w:vAlign w:val="center"/>
                </w:tcPr>
                <w:p w14:paraId="56AC21AF">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68</w:t>
                  </w:r>
                </w:p>
              </w:tc>
              <w:tc>
                <w:tcPr>
                  <w:tcW w:w="1011" w:type="dxa"/>
                  <w:noWrap w:val="0"/>
                  <w:vAlign w:val="center"/>
                </w:tcPr>
                <w:p w14:paraId="0A7BC4CC">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4h</w:t>
                  </w:r>
                </w:p>
              </w:tc>
              <w:tc>
                <w:tcPr>
                  <w:tcW w:w="1134" w:type="dxa"/>
                  <w:noWrap w:val="0"/>
                  <w:vAlign w:val="center"/>
                </w:tcPr>
                <w:p w14:paraId="5ACCE42B">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68</w:t>
                  </w:r>
                </w:p>
              </w:tc>
              <w:tc>
                <w:tcPr>
                  <w:tcW w:w="1103" w:type="dxa"/>
                  <w:noWrap w:val="0"/>
                  <w:vAlign w:val="center"/>
                </w:tcPr>
                <w:p w14:paraId="5ECBE6BB">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5h</w:t>
                  </w:r>
                </w:p>
              </w:tc>
            </w:tr>
            <w:tr w14:paraId="295B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579" w:type="dxa"/>
                  <w:noWrap w:val="0"/>
                  <w:vAlign w:val="top"/>
                </w:tcPr>
                <w:p w14:paraId="2C04947B">
                  <w:pPr>
                    <w:jc w:val="both"/>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25-30℃</w:t>
                  </w:r>
                </w:p>
              </w:tc>
              <w:tc>
                <w:tcPr>
                  <w:tcW w:w="1045" w:type="dxa"/>
                  <w:noWrap w:val="0"/>
                  <w:vAlign w:val="center"/>
                </w:tcPr>
                <w:p w14:paraId="12F880E2">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70</w:t>
                  </w:r>
                </w:p>
              </w:tc>
              <w:tc>
                <w:tcPr>
                  <w:tcW w:w="1079" w:type="dxa"/>
                  <w:noWrap w:val="0"/>
                  <w:vAlign w:val="center"/>
                </w:tcPr>
                <w:p w14:paraId="11879C6D">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4h</w:t>
                  </w:r>
                </w:p>
              </w:tc>
              <w:tc>
                <w:tcPr>
                  <w:tcW w:w="1011" w:type="dxa"/>
                  <w:noWrap w:val="0"/>
                  <w:vAlign w:val="center"/>
                </w:tcPr>
                <w:p w14:paraId="1B70BCE5">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68</w:t>
                  </w:r>
                </w:p>
              </w:tc>
              <w:tc>
                <w:tcPr>
                  <w:tcW w:w="1011" w:type="dxa"/>
                  <w:noWrap w:val="0"/>
                  <w:vAlign w:val="center"/>
                </w:tcPr>
                <w:p w14:paraId="5AC4433D">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4h</w:t>
                  </w:r>
                </w:p>
              </w:tc>
              <w:tc>
                <w:tcPr>
                  <w:tcW w:w="1134" w:type="dxa"/>
                  <w:noWrap w:val="0"/>
                  <w:vAlign w:val="center"/>
                </w:tcPr>
                <w:p w14:paraId="0284FC34">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68</w:t>
                  </w:r>
                </w:p>
              </w:tc>
              <w:tc>
                <w:tcPr>
                  <w:tcW w:w="1103" w:type="dxa"/>
                  <w:noWrap w:val="0"/>
                  <w:vAlign w:val="center"/>
                </w:tcPr>
                <w:p w14:paraId="4D5A5B5F">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4h</w:t>
                  </w:r>
                </w:p>
              </w:tc>
            </w:tr>
            <w:tr w14:paraId="3170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79" w:type="dxa"/>
                  <w:noWrap w:val="0"/>
                  <w:vAlign w:val="top"/>
                </w:tcPr>
                <w:p w14:paraId="61CEF8CF">
                  <w:pPr>
                    <w:jc w:val="both"/>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30℃以上</w:t>
                  </w:r>
                </w:p>
              </w:tc>
              <w:tc>
                <w:tcPr>
                  <w:tcW w:w="1045" w:type="dxa"/>
                  <w:noWrap w:val="0"/>
                  <w:vAlign w:val="center"/>
                </w:tcPr>
                <w:p w14:paraId="6D9B3904">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72</w:t>
                  </w:r>
                </w:p>
              </w:tc>
              <w:tc>
                <w:tcPr>
                  <w:tcW w:w="1079" w:type="dxa"/>
                  <w:noWrap w:val="0"/>
                  <w:vAlign w:val="center"/>
                </w:tcPr>
                <w:p w14:paraId="34637834">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4h</w:t>
                  </w:r>
                </w:p>
              </w:tc>
              <w:tc>
                <w:tcPr>
                  <w:tcW w:w="1011" w:type="dxa"/>
                  <w:noWrap w:val="0"/>
                  <w:vAlign w:val="center"/>
                </w:tcPr>
                <w:p w14:paraId="2E194193">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68</w:t>
                  </w:r>
                </w:p>
              </w:tc>
              <w:tc>
                <w:tcPr>
                  <w:tcW w:w="1011" w:type="dxa"/>
                  <w:noWrap w:val="0"/>
                  <w:vAlign w:val="center"/>
                </w:tcPr>
                <w:p w14:paraId="46A5C76F">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4h</w:t>
                  </w:r>
                </w:p>
              </w:tc>
              <w:tc>
                <w:tcPr>
                  <w:tcW w:w="1134" w:type="dxa"/>
                  <w:noWrap w:val="0"/>
                  <w:vAlign w:val="center"/>
                </w:tcPr>
                <w:p w14:paraId="5D10C28F">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68</w:t>
                  </w:r>
                </w:p>
              </w:tc>
              <w:tc>
                <w:tcPr>
                  <w:tcW w:w="1103" w:type="dxa"/>
                  <w:noWrap w:val="0"/>
                  <w:vAlign w:val="center"/>
                </w:tcPr>
                <w:p w14:paraId="7E298FAB">
                  <w:pPr>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4h</w:t>
                  </w:r>
                </w:p>
              </w:tc>
            </w:tr>
          </w:tbl>
          <w:p w14:paraId="58DE99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val="0"/>
                <w:bCs/>
                <w:color w:val="auto"/>
                <w:sz w:val="24"/>
                <w:szCs w:val="21"/>
                <w:lang w:val="en-US" w:eastAsia="zh-CN"/>
              </w:rPr>
              <w:t>⑤</w:t>
            </w:r>
            <w:r>
              <w:rPr>
                <w:rFonts w:hint="eastAsia" w:cs="Times New Roman"/>
                <w:b w:val="0"/>
                <w:bCs/>
                <w:color w:val="auto"/>
                <w:sz w:val="24"/>
                <w:szCs w:val="21"/>
                <w:lang w:val="en-US" w:eastAsia="zh-CN"/>
              </w:rPr>
              <w:t>分切</w:t>
            </w:r>
            <w:r>
              <w:rPr>
                <w:rFonts w:hint="eastAsia" w:ascii="Times New Roman" w:hAnsi="Times New Roman" w:eastAsia="宋体" w:cs="Times New Roman"/>
                <w:b w:val="0"/>
                <w:bCs/>
                <w:color w:val="auto"/>
                <w:sz w:val="24"/>
                <w:szCs w:val="21"/>
                <w:lang w:val="en-US" w:eastAsia="zh-CN"/>
              </w:rPr>
              <w:t>：</w:t>
            </w:r>
            <w:r>
              <w:rPr>
                <w:rFonts w:hint="eastAsia" w:cs="Times New Roman"/>
                <w:b w:val="0"/>
                <w:bCs/>
                <w:color w:val="auto"/>
                <w:sz w:val="24"/>
                <w:szCs w:val="21"/>
                <w:lang w:val="en-US" w:eastAsia="zh-CN"/>
              </w:rPr>
              <w:t>将涂料完成的无纺布按规格要求进行分切。</w:t>
            </w:r>
          </w:p>
          <w:p w14:paraId="2334D5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s="Times New Roman"/>
                <w:bCs/>
                <w:color w:val="FF0000"/>
                <w:sz w:val="24"/>
                <w:szCs w:val="21"/>
                <w:lang w:val="en-US" w:eastAsia="zh-CN"/>
              </w:rPr>
            </w:pPr>
            <w:commentRangeStart w:id="20"/>
            <w:r>
              <w:rPr>
                <w:rFonts w:hint="eastAsia" w:cs="Times New Roman"/>
                <w:b w:val="0"/>
                <w:bCs/>
                <w:color w:val="FF0000"/>
                <w:sz w:val="24"/>
                <w:szCs w:val="21"/>
                <w:lang w:val="en-US" w:eastAsia="zh-CN"/>
              </w:rPr>
              <w:t>⑥消毒</w:t>
            </w:r>
            <w:commentRangeEnd w:id="20"/>
            <w:r>
              <w:commentReference w:id="20"/>
            </w:r>
            <w:r>
              <w:rPr>
                <w:rFonts w:hint="eastAsia" w:cs="Times New Roman"/>
                <w:b w:val="0"/>
                <w:bCs/>
                <w:color w:val="FF0000"/>
                <w:sz w:val="24"/>
                <w:szCs w:val="21"/>
                <w:lang w:val="en-US" w:eastAsia="zh-CN"/>
              </w:rPr>
              <w:t>：采用擦拭消毒的方式对生产环境、设备与器具进行消毒，采用的消毒剂为：1%新洁尔灭溶液和医用75%酒精。两者交替使用，每月更换一次，每天进行一次消毒。</w:t>
            </w:r>
          </w:p>
          <w:p w14:paraId="725056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1"/>
                <w:lang w:val="en-US" w:eastAsia="zh-CN"/>
              </w:rPr>
            </w:pPr>
            <w:r>
              <w:rPr>
                <w:rFonts w:hint="eastAsia" w:cs="Times New Roman"/>
                <w:bCs/>
                <w:color w:val="auto"/>
                <w:sz w:val="24"/>
                <w:szCs w:val="21"/>
                <w:lang w:val="en-US" w:eastAsia="zh-CN"/>
              </w:rPr>
              <w:t>5</w:t>
            </w:r>
            <w:r>
              <w:rPr>
                <w:rFonts w:hint="eastAsia" w:ascii="Times New Roman" w:hAnsi="Times New Roman" w:eastAsia="宋体" w:cs="Times New Roman"/>
                <w:bCs/>
                <w:color w:val="auto"/>
                <w:sz w:val="24"/>
                <w:szCs w:val="21"/>
                <w:lang w:val="en-US" w:eastAsia="zh-CN"/>
              </w:rPr>
              <w:t>）晕车贴生产工艺流程</w:t>
            </w:r>
          </w:p>
          <w:p w14:paraId="2F9F7EE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cs="Times New Roman"/>
                <w:b/>
                <w:bCs w:val="0"/>
                <w:color w:val="auto"/>
                <w:sz w:val="24"/>
                <w:szCs w:val="21"/>
                <w:lang w:val="en-US" w:eastAsia="zh-CN"/>
              </w:rPr>
            </w:pPr>
            <w:r>
              <w:rPr>
                <w:rFonts w:hint="default" w:cs="Times New Roman"/>
                <w:b/>
                <w:bCs w:val="0"/>
                <w:color w:val="auto"/>
                <w:sz w:val="24"/>
                <w:szCs w:val="21"/>
                <w:lang w:val="en-US" w:eastAsia="zh-CN"/>
              </w:rPr>
              <w:object>
                <v:shape id="_x0000_i1031" o:spt="75" type="#_x0000_t75" style="height:347.25pt;width:202.5pt;" o:ole="t" filled="f" o:preferrelative="t" stroked="f" coordsize="21600,21600">
                  <v:path/>
                  <v:fill on="f" focussize="0,0"/>
                  <v:stroke on="f"/>
                  <v:imagedata r:id="rId24" o:title=""/>
                  <o:lock v:ext="edit" aspectratio="f"/>
                  <w10:wrap type="none"/>
                  <w10:anchorlock/>
                </v:shape>
                <o:OLEObject Type="Embed" ProgID="Visio.Drawing.11" ShapeID="_x0000_i1031" DrawAspect="Content" ObjectID="_1468075731" r:id="rId23">
                  <o:LockedField>false</o:LockedField>
                </o:OLEObject>
              </w:object>
            </w:r>
          </w:p>
          <w:p w14:paraId="2B2D5505">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图2-</w:t>
            </w:r>
            <w:r>
              <w:rPr>
                <w:rFonts w:hint="eastAsia" w:cs="Times New Roman"/>
                <w:b/>
                <w:bCs/>
                <w:snapToGrid w:val="0"/>
                <w:color w:val="auto"/>
                <w:spacing w:val="4"/>
                <w:kern w:val="18"/>
                <w:sz w:val="21"/>
                <w:szCs w:val="21"/>
                <w:highlight w:val="none"/>
                <w:shd w:val="clear" w:color="auto" w:fill="auto"/>
                <w:lang w:val="en-US" w:eastAsia="zh-CN" w:bidi="ar-SA"/>
              </w:rPr>
              <w:t>7</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 xml:space="preserve">  晕车贴</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工艺流程</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及产污环节</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图</w:t>
            </w:r>
          </w:p>
          <w:p w14:paraId="68855F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lang w:val="en-US" w:eastAsia="zh-CN"/>
              </w:rPr>
            </w:pPr>
            <w:r>
              <w:rPr>
                <w:rFonts w:hint="eastAsia" w:cs="Times New Roman"/>
                <w:b w:val="0"/>
                <w:bCs/>
                <w:color w:val="auto"/>
                <w:sz w:val="24"/>
                <w:szCs w:val="21"/>
                <w:lang w:val="en-US" w:eastAsia="zh-CN"/>
              </w:rPr>
              <w:t>6）</w:t>
            </w:r>
            <w:r>
              <w:rPr>
                <w:rFonts w:hint="eastAsia" w:ascii="宋体" w:hAnsi="宋体" w:eastAsia="宋体" w:cs="Times New Roman"/>
                <w:b w:val="0"/>
                <w:bCs/>
                <w:color w:val="auto"/>
                <w:sz w:val="24"/>
                <w:szCs w:val="24"/>
                <w:lang w:val="en-US" w:eastAsia="zh-CN"/>
              </w:rPr>
              <w:t>穴位压力刺激贴</w:t>
            </w:r>
            <w:r>
              <w:rPr>
                <w:rFonts w:hint="eastAsia" w:ascii="宋体" w:hAnsi="宋体"/>
                <w:b w:val="0"/>
                <w:bCs/>
                <w:color w:val="auto"/>
                <w:sz w:val="24"/>
                <w:szCs w:val="24"/>
              </w:rPr>
              <w:t>工艺</w:t>
            </w:r>
            <w:r>
              <w:rPr>
                <w:rFonts w:hint="eastAsia" w:ascii="宋体" w:hAnsi="宋体"/>
                <w:b w:val="0"/>
                <w:bCs/>
                <w:color w:val="auto"/>
                <w:sz w:val="24"/>
                <w:szCs w:val="24"/>
                <w:lang w:val="en-US" w:eastAsia="zh-CN"/>
              </w:rPr>
              <w:t>流程说明</w:t>
            </w:r>
          </w:p>
          <w:p w14:paraId="0C52B0FE">
            <w:pPr>
              <w:spacing w:line="360" w:lineRule="auto"/>
              <w:ind w:firstLine="480" w:firstLineChars="200"/>
              <w:jc w:val="center"/>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val="0"/>
                <w:bCs/>
                <w:color w:val="auto"/>
                <w:sz w:val="24"/>
                <w:szCs w:val="21"/>
                <w:lang w:val="en-US" w:eastAsia="zh-CN"/>
              </w:rPr>
              <w:object>
                <v:shape id="_x0000_i1032" o:spt="75" type="#_x0000_t75" style="height:347.25pt;width:202.5pt;" o:ole="t" filled="f" o:preferrelative="t" stroked="f" coordsize="21600,21600">
                  <v:path/>
                  <v:fill on="f" focussize="0,0"/>
                  <v:stroke on="f"/>
                  <v:imagedata r:id="rId26" o:title=""/>
                  <o:lock v:ext="edit" aspectratio="f"/>
                  <w10:wrap type="none"/>
                  <w10:anchorlock/>
                </v:shape>
                <o:OLEObject Type="Embed" ProgID="Visio.Drawing.11" ShapeID="_x0000_i1032" DrawAspect="Content" ObjectID="_1468075732" r:id="rId25">
                  <o:LockedField>false</o:LockedField>
                </o:OLEObject>
              </w:object>
            </w:r>
          </w:p>
          <w:p w14:paraId="4EB34046">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图2-</w:t>
            </w:r>
            <w:r>
              <w:rPr>
                <w:rFonts w:hint="eastAsia" w:cs="Times New Roman"/>
                <w:b/>
                <w:bCs/>
                <w:snapToGrid w:val="0"/>
                <w:color w:val="auto"/>
                <w:spacing w:val="4"/>
                <w:kern w:val="18"/>
                <w:sz w:val="21"/>
                <w:szCs w:val="21"/>
                <w:highlight w:val="none"/>
                <w:shd w:val="clear" w:color="auto" w:fill="auto"/>
                <w:lang w:val="en-US" w:eastAsia="zh-CN" w:bidi="ar-SA"/>
              </w:rPr>
              <w:t>8</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 xml:space="preserve">  穴位压力刺激贴</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工艺流程</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及产污环节</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图</w:t>
            </w:r>
          </w:p>
          <w:p w14:paraId="0C2A693B">
            <w:pPr>
              <w:spacing w:line="360" w:lineRule="auto"/>
              <w:ind w:firstLine="482" w:firstLineChars="200"/>
              <w:rPr>
                <w:rFonts w:hint="default" w:ascii="宋体" w:hAnsi="宋体" w:eastAsia="宋体"/>
                <w:b/>
                <w:bCs/>
                <w:color w:val="auto"/>
                <w:sz w:val="24"/>
                <w:szCs w:val="24"/>
                <w:lang w:val="en-US" w:eastAsia="zh-CN"/>
              </w:rPr>
            </w:pPr>
            <w:r>
              <w:rPr>
                <w:rFonts w:hint="eastAsia" w:ascii="宋体" w:hAnsi="宋体" w:cs="宋体"/>
                <w:b/>
                <w:bCs/>
                <w:color w:val="auto"/>
                <w:sz w:val="24"/>
                <w:szCs w:val="24"/>
              </w:rPr>
              <w:t>晕车贴</w:t>
            </w:r>
            <w:r>
              <w:rPr>
                <w:rFonts w:hint="eastAsia" w:ascii="宋体" w:hAnsi="宋体" w:cs="宋体"/>
                <w:b/>
                <w:bCs/>
                <w:color w:val="auto"/>
                <w:sz w:val="24"/>
                <w:szCs w:val="24"/>
                <w:lang w:val="en-US" w:eastAsia="zh-CN"/>
              </w:rPr>
              <w:t>及</w:t>
            </w:r>
            <w:r>
              <w:rPr>
                <w:rFonts w:hint="eastAsia" w:ascii="宋体" w:hAnsi="宋体" w:eastAsia="宋体" w:cs="Times New Roman"/>
                <w:b/>
                <w:bCs/>
                <w:color w:val="auto"/>
                <w:sz w:val="24"/>
                <w:szCs w:val="24"/>
                <w:lang w:val="en-US" w:eastAsia="zh-CN"/>
              </w:rPr>
              <w:t>穴位压力刺激贴</w:t>
            </w:r>
            <w:r>
              <w:rPr>
                <w:rFonts w:hint="eastAsia" w:ascii="宋体" w:hAnsi="宋体"/>
                <w:b/>
                <w:bCs/>
                <w:color w:val="auto"/>
                <w:sz w:val="24"/>
                <w:szCs w:val="24"/>
              </w:rPr>
              <w:t>工艺</w:t>
            </w:r>
            <w:r>
              <w:rPr>
                <w:rFonts w:hint="eastAsia" w:ascii="宋体" w:hAnsi="宋体"/>
                <w:b/>
                <w:bCs/>
                <w:color w:val="auto"/>
                <w:sz w:val="24"/>
                <w:szCs w:val="24"/>
                <w:lang w:val="en-US" w:eastAsia="zh-CN"/>
              </w:rPr>
              <w:t>流程说明（生产工艺</w:t>
            </w:r>
            <w:r>
              <w:rPr>
                <w:rFonts w:hint="eastAsia" w:ascii="Times New Roman" w:hAnsi="Times New Roman" w:cs="Times New Roman"/>
                <w:b/>
                <w:bCs/>
                <w:color w:val="auto"/>
                <w:sz w:val="24"/>
                <w:szCs w:val="24"/>
                <w:lang w:val="en-US" w:eastAsia="zh-CN"/>
              </w:rPr>
              <w:t>相同</w:t>
            </w:r>
            <w:r>
              <w:rPr>
                <w:rFonts w:hint="eastAsia" w:ascii="宋体" w:hAnsi="宋体"/>
                <w:b/>
                <w:bCs/>
                <w:color w:val="auto"/>
                <w:sz w:val="24"/>
                <w:szCs w:val="24"/>
                <w:lang w:val="en-US" w:eastAsia="zh-CN"/>
              </w:rPr>
              <w:t>）</w:t>
            </w:r>
          </w:p>
          <w:p w14:paraId="73913CBD">
            <w:pPr>
              <w:pStyle w:val="80"/>
              <w:numPr>
                <w:ilvl w:val="0"/>
                <w:numId w:val="0"/>
              </w:numPr>
              <w:spacing w:line="360" w:lineRule="auto"/>
              <w:ind w:left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1、制胶</w:t>
            </w:r>
          </w:p>
          <w:p w14:paraId="33C93BC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将定量</w:t>
            </w:r>
            <w:r>
              <w:rPr>
                <w:rFonts w:hint="default" w:ascii="Times New Roman" w:hAnsi="Times New Roman" w:cs="Times New Roman"/>
                <w:color w:val="auto"/>
                <w:sz w:val="24"/>
                <w:szCs w:val="24"/>
                <w:lang w:val="en-US" w:eastAsia="zh-CN"/>
              </w:rPr>
              <w:t>热熔胶</w:t>
            </w:r>
            <w:r>
              <w:rPr>
                <w:rFonts w:hint="default" w:ascii="Times New Roman" w:hAnsi="Times New Roman" w:cs="Times New Roman"/>
                <w:color w:val="auto"/>
                <w:sz w:val="24"/>
                <w:szCs w:val="24"/>
              </w:rPr>
              <w:t>放入搅拌锅中，</w:t>
            </w:r>
            <w:r>
              <w:rPr>
                <w:rFonts w:hint="default" w:ascii="Times New Roman" w:hAnsi="Times New Roman" w:cs="Times New Roman"/>
                <w:color w:val="auto"/>
                <w:sz w:val="24"/>
                <w:szCs w:val="24"/>
                <w:lang w:val="en-US" w:eastAsia="zh-CN"/>
              </w:rPr>
              <w:t>采用电加热融化</w:t>
            </w:r>
            <w:r>
              <w:rPr>
                <w:rFonts w:hint="default" w:ascii="Times New Roman" w:hAnsi="Times New Roman" w:cs="Times New Roman"/>
                <w:color w:val="auto"/>
                <w:sz w:val="24"/>
                <w:szCs w:val="24"/>
              </w:rPr>
              <w:t>同时不停地搅拌</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之后</w:t>
            </w:r>
            <w:r>
              <w:rPr>
                <w:rFonts w:hint="default" w:ascii="Times New Roman" w:hAnsi="Times New Roman" w:cs="Times New Roman"/>
                <w:color w:val="auto"/>
                <w:sz w:val="24"/>
                <w:szCs w:val="24"/>
              </w:rPr>
              <w:t>将搅拌锅安装在搅拌机上，使用搅拌机继续搅拌，直到搅拌均匀至为止</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已经搅拌好的胶体倒入真空搅拌机中，加入相对应质量的配比水，开真空，搅拌</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混合好的胶状物倒入抽真空机器中，再次进行抽真空处理</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有机废气</w:t>
            </w:r>
            <w:r>
              <w:rPr>
                <w:rFonts w:hint="default" w:ascii="Times New Roman" w:hAnsi="Times New Roman" w:cs="Times New Roman"/>
                <w:color w:val="FF0000"/>
                <w:sz w:val="24"/>
                <w:szCs w:val="24"/>
              </w:rPr>
              <w:t>。</w:t>
            </w:r>
          </w:p>
          <w:p w14:paraId="10408F5B">
            <w:pPr>
              <w:pStyle w:val="80"/>
              <w:numPr>
                <w:ilvl w:val="0"/>
                <w:numId w:val="0"/>
              </w:numPr>
              <w:spacing w:line="360" w:lineRule="auto"/>
              <w:ind w:lef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涂布</w:t>
            </w:r>
          </w:p>
          <w:p w14:paraId="395F27E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将已经抽真空处理好的胶体置入涂布机内，按生产指令要求进行涂布作业</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噪声</w:t>
            </w:r>
            <w:r>
              <w:rPr>
                <w:rFonts w:hint="default" w:ascii="Times New Roman" w:hAnsi="Times New Roman" w:cs="Times New Roman"/>
                <w:color w:val="auto"/>
                <w:sz w:val="24"/>
                <w:szCs w:val="24"/>
              </w:rPr>
              <w:t>。</w:t>
            </w:r>
          </w:p>
          <w:p w14:paraId="21E1DFD4">
            <w:pPr>
              <w:pStyle w:val="80"/>
              <w:numPr>
                <w:ilvl w:val="0"/>
                <w:numId w:val="0"/>
              </w:numPr>
              <w:spacing w:line="360" w:lineRule="auto"/>
              <w:ind w:lef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裁片</w:t>
            </w:r>
          </w:p>
          <w:p w14:paraId="1067F5AB">
            <w:pPr>
              <w:pStyle w:val="80"/>
              <w:spacing w:line="360" w:lineRule="auto"/>
              <w:ind w:left="0" w:lef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使用激光机将涂布的胶体进行裁剪，形状根据客户需要而定</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固废及噪声</w:t>
            </w:r>
            <w:r>
              <w:rPr>
                <w:rFonts w:hint="default" w:ascii="Times New Roman" w:hAnsi="Times New Roman" w:cs="Times New Roman"/>
                <w:color w:val="auto"/>
                <w:sz w:val="24"/>
                <w:szCs w:val="24"/>
              </w:rPr>
              <w:t>。</w:t>
            </w:r>
          </w:p>
          <w:p w14:paraId="52054B3F">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内包：将固化好的胶体装入规定的包装内袋中，用封口机封口，需要打码的，安装打码轮</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w:t>
            </w:r>
            <w:r>
              <w:rPr>
                <w:rFonts w:hint="default" w:ascii="Times New Roman" w:hAnsi="Times New Roman" w:cs="Times New Roman"/>
                <w:color w:val="auto"/>
                <w:sz w:val="24"/>
                <w:szCs w:val="24"/>
              </w:rPr>
              <w:t>。</w:t>
            </w:r>
          </w:p>
          <w:p w14:paraId="7E57E0D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外包：使用喷码机将产品批号、生产日期、有效期至日期喷好。将内包好的产品及说明书按规定装入包装中</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固废及有机废气</w:t>
            </w:r>
            <w:r>
              <w:rPr>
                <w:rFonts w:hint="default" w:ascii="Times New Roman" w:hAnsi="Times New Roman" w:cs="Times New Roman"/>
                <w:color w:val="auto"/>
                <w:sz w:val="24"/>
                <w:szCs w:val="24"/>
              </w:rPr>
              <w:t>。</w:t>
            </w:r>
          </w:p>
          <w:p w14:paraId="2502019C">
            <w:pPr>
              <w:pStyle w:val="80"/>
              <w:numPr>
                <w:ilvl w:val="0"/>
                <w:numId w:val="0"/>
              </w:numPr>
              <w:spacing w:line="360" w:lineRule="auto"/>
              <w:ind w:leftChars="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覆膜</w:t>
            </w:r>
          </w:p>
          <w:p w14:paraId="137E327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按要求整齐叠好产品，使用热缩膜套好，进覆膜机覆膜</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w:t>
            </w:r>
            <w:r>
              <w:rPr>
                <w:rFonts w:hint="default" w:ascii="Times New Roman" w:hAnsi="Times New Roman" w:cs="Times New Roman"/>
                <w:color w:val="auto"/>
                <w:sz w:val="24"/>
                <w:szCs w:val="24"/>
              </w:rPr>
              <w:t>。</w:t>
            </w:r>
          </w:p>
          <w:p w14:paraId="1636048D">
            <w:pPr>
              <w:pStyle w:val="80"/>
              <w:numPr>
                <w:ilvl w:val="0"/>
                <w:numId w:val="0"/>
              </w:numPr>
              <w:spacing w:line="360" w:lineRule="auto"/>
              <w:ind w:leftChars="0" w:firstLine="480" w:firstLineChars="200"/>
              <w:rPr>
                <w:rFonts w:ascii="宋体" w:hAnsi="宋体"/>
                <w:color w:val="auto"/>
                <w:sz w:val="24"/>
                <w:szCs w:val="24"/>
              </w:rPr>
            </w:pP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装</w:t>
            </w:r>
            <w:r>
              <w:rPr>
                <w:rFonts w:hint="eastAsia" w:ascii="宋体" w:hAnsi="宋体"/>
                <w:color w:val="auto"/>
                <w:sz w:val="24"/>
                <w:szCs w:val="24"/>
              </w:rPr>
              <w:t>箱入库</w:t>
            </w:r>
          </w:p>
          <w:p w14:paraId="058A2305">
            <w:pPr>
              <w:spacing w:line="360" w:lineRule="auto"/>
              <w:ind w:firstLine="480" w:firstLineChars="200"/>
              <w:rPr>
                <w:rFonts w:ascii="宋体" w:hAnsi="宋体"/>
                <w:color w:val="auto"/>
                <w:sz w:val="24"/>
                <w:szCs w:val="24"/>
              </w:rPr>
            </w:pPr>
            <w:r>
              <w:rPr>
                <w:rFonts w:hint="eastAsia" w:ascii="宋体" w:hAnsi="宋体"/>
                <w:color w:val="auto"/>
                <w:sz w:val="24"/>
                <w:szCs w:val="24"/>
              </w:rPr>
              <w:t>将覆膜好的产品装入外箱，并核对数量。厂检报告、合格证一起放入外箱后用胶布封箱，打好包装带入库。</w:t>
            </w:r>
          </w:p>
          <w:p w14:paraId="32FCD87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1"/>
                <w:lang w:val="en-US" w:eastAsia="zh-CN"/>
              </w:rPr>
            </w:pPr>
            <w:r>
              <w:rPr>
                <w:rFonts w:hint="eastAsia" w:cs="Times New Roman"/>
                <w:b/>
                <w:bCs w:val="0"/>
                <w:color w:val="auto"/>
                <w:sz w:val="24"/>
                <w:szCs w:val="21"/>
                <w:lang w:val="en-US" w:eastAsia="zh-CN"/>
              </w:rPr>
              <w:t>7）</w:t>
            </w:r>
            <w:r>
              <w:rPr>
                <w:rFonts w:hint="eastAsia" w:ascii="宋体" w:hAnsi="宋体" w:eastAsia="宋体" w:cs="Times New Roman"/>
                <w:b/>
                <w:bCs/>
                <w:color w:val="auto"/>
                <w:sz w:val="24"/>
                <w:szCs w:val="24"/>
                <w:lang w:val="en-US" w:eastAsia="zh-CN"/>
              </w:rPr>
              <w:t>通气鼻贴工艺</w:t>
            </w:r>
            <w:r>
              <w:rPr>
                <w:rFonts w:hint="eastAsia" w:ascii="宋体" w:hAnsi="宋体"/>
                <w:b/>
                <w:bCs/>
                <w:color w:val="auto"/>
                <w:sz w:val="24"/>
                <w:szCs w:val="24"/>
                <w:lang w:val="en-US" w:eastAsia="zh-CN"/>
              </w:rPr>
              <w:t>流程说明</w:t>
            </w:r>
          </w:p>
          <w:p w14:paraId="2767BF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val="0"/>
                <w:bCs/>
                <w:color w:val="auto"/>
                <w:sz w:val="24"/>
                <w:szCs w:val="21"/>
                <w:lang w:val="en-US" w:eastAsia="zh-CN"/>
              </w:rPr>
              <w:object>
                <v:shape id="_x0000_i1033" o:spt="75" type="#_x0000_t75" style="height:348pt;width:189pt;" o:ole="t" filled="f" o:preferrelative="t" stroked="f" coordsize="21600,21600">
                  <v:path/>
                  <v:fill on="f" focussize="0,0"/>
                  <v:stroke on="f"/>
                  <v:imagedata r:id="rId28" o:title=""/>
                  <o:lock v:ext="edit" aspectratio="f"/>
                  <w10:wrap type="none"/>
                  <w10:anchorlock/>
                </v:shape>
                <o:OLEObject Type="Embed" ProgID="Visio.Drawing.11" ShapeID="_x0000_i1033" DrawAspect="Content" ObjectID="_1468075733" r:id="rId27">
                  <o:LockedField>false</o:LockedField>
                </o:OLEObject>
              </w:object>
            </w:r>
          </w:p>
          <w:p w14:paraId="75901503">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图2-</w:t>
            </w:r>
            <w:r>
              <w:rPr>
                <w:rFonts w:hint="eastAsia" w:cs="Times New Roman"/>
                <w:b/>
                <w:bCs/>
                <w:snapToGrid w:val="0"/>
                <w:color w:val="auto"/>
                <w:spacing w:val="4"/>
                <w:kern w:val="18"/>
                <w:sz w:val="21"/>
                <w:szCs w:val="21"/>
                <w:highlight w:val="none"/>
                <w:shd w:val="clear" w:color="auto" w:fill="auto"/>
                <w:lang w:val="en-US" w:eastAsia="zh-CN" w:bidi="ar-SA"/>
              </w:rPr>
              <w:t>9</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 xml:space="preserve">  通气鼻贴</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工艺流程</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及产污环节</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图</w:t>
            </w:r>
          </w:p>
          <w:p w14:paraId="352E37F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pPr>
            <w:r>
              <w:rPr>
                <w:rFonts w:hint="eastAsia" w:cs="Times New Roman"/>
                <w:b/>
                <w:bCs w:val="0"/>
                <w:color w:val="auto"/>
                <w:sz w:val="24"/>
                <w:szCs w:val="21"/>
                <w:lang w:val="en-US" w:eastAsia="zh-CN"/>
              </w:rPr>
              <w:t>8）</w:t>
            </w:r>
            <w:r>
              <w:rPr>
                <w:rFonts w:hint="eastAsia" w:ascii="宋体" w:hAnsi="宋体" w:eastAsia="宋体" w:cs="Times New Roman"/>
                <w:b/>
                <w:bCs/>
                <w:color w:val="auto"/>
                <w:sz w:val="24"/>
                <w:szCs w:val="24"/>
                <w:lang w:val="en-US" w:eastAsia="zh-CN"/>
              </w:rPr>
              <w:t>创可贴工艺</w:t>
            </w:r>
            <w:r>
              <w:rPr>
                <w:rFonts w:hint="eastAsia" w:ascii="宋体" w:hAnsi="宋体"/>
                <w:b/>
                <w:bCs/>
                <w:color w:val="auto"/>
                <w:sz w:val="24"/>
                <w:szCs w:val="24"/>
                <w:lang w:val="en-US" w:eastAsia="zh-CN"/>
              </w:rPr>
              <w:t>流程说明</w:t>
            </w:r>
          </w:p>
          <w:p w14:paraId="6C07CD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val="0"/>
                <w:bCs/>
                <w:color w:val="auto"/>
                <w:sz w:val="24"/>
                <w:szCs w:val="21"/>
                <w:lang w:val="en-US" w:eastAsia="zh-CN"/>
              </w:rPr>
              <w:object>
                <v:shape id="_x0000_i1034" o:spt="75" type="#_x0000_t75" style="height:348pt;width:189pt;" o:ole="t" filled="f" o:preferrelative="t" stroked="f" coordsize="21600,21600">
                  <v:path/>
                  <v:fill on="f" focussize="0,0"/>
                  <v:stroke on="f"/>
                  <v:imagedata r:id="rId30" o:title=""/>
                  <o:lock v:ext="edit" aspectratio="f"/>
                  <w10:wrap type="none"/>
                  <w10:anchorlock/>
                </v:shape>
                <o:OLEObject Type="Embed" ProgID="Visio.Drawing.11" ShapeID="_x0000_i1034" DrawAspect="Content" ObjectID="_1468075734" r:id="rId29">
                  <o:LockedField>false</o:LockedField>
                </o:OLEObject>
              </w:object>
            </w:r>
          </w:p>
          <w:p w14:paraId="228683AC">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图2-</w:t>
            </w:r>
            <w:r>
              <w:rPr>
                <w:rFonts w:hint="eastAsia" w:cs="Times New Roman"/>
                <w:b/>
                <w:bCs/>
                <w:snapToGrid w:val="0"/>
                <w:color w:val="auto"/>
                <w:spacing w:val="4"/>
                <w:kern w:val="18"/>
                <w:sz w:val="21"/>
                <w:szCs w:val="21"/>
                <w:highlight w:val="none"/>
                <w:shd w:val="clear" w:color="auto" w:fill="auto"/>
                <w:lang w:val="en-US" w:eastAsia="zh-CN" w:bidi="ar-SA"/>
              </w:rPr>
              <w:t>10</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 xml:space="preserve">  创可贴</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工艺流程</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及产污环节</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图</w:t>
            </w:r>
          </w:p>
          <w:p w14:paraId="36DED453">
            <w:pPr>
              <w:spacing w:line="360" w:lineRule="auto"/>
              <w:ind w:firstLine="482" w:firstLineChars="200"/>
              <w:rPr>
                <w:rFonts w:hint="default" w:ascii="宋体" w:hAnsi="宋体" w:eastAsia="宋体"/>
                <w:b/>
                <w:bCs/>
                <w:color w:val="auto"/>
                <w:sz w:val="24"/>
                <w:szCs w:val="24"/>
                <w:lang w:val="en-US" w:eastAsia="zh-CN"/>
              </w:rPr>
            </w:pPr>
            <w:r>
              <w:rPr>
                <w:rFonts w:hint="eastAsia" w:ascii="宋体" w:hAnsi="宋体" w:eastAsia="宋体" w:cs="Times New Roman"/>
                <w:b/>
                <w:bCs/>
                <w:color w:val="auto"/>
                <w:sz w:val="24"/>
                <w:szCs w:val="24"/>
                <w:lang w:val="en-US" w:eastAsia="zh-CN"/>
              </w:rPr>
              <w:t>通气鼻贴及创可贴工</w:t>
            </w:r>
            <w:r>
              <w:rPr>
                <w:rFonts w:hint="eastAsia" w:ascii="宋体" w:hAnsi="宋体"/>
                <w:b/>
                <w:bCs/>
                <w:color w:val="auto"/>
                <w:sz w:val="24"/>
                <w:szCs w:val="24"/>
              </w:rPr>
              <w:t>艺</w:t>
            </w:r>
            <w:r>
              <w:rPr>
                <w:rFonts w:hint="eastAsia" w:ascii="宋体" w:hAnsi="宋体"/>
                <w:b/>
                <w:bCs/>
                <w:color w:val="auto"/>
                <w:sz w:val="24"/>
                <w:szCs w:val="24"/>
                <w:lang w:val="en-US" w:eastAsia="zh-CN"/>
              </w:rPr>
              <w:t>流程说明（生产工艺</w:t>
            </w:r>
            <w:r>
              <w:rPr>
                <w:rFonts w:hint="eastAsia" w:ascii="Times New Roman" w:hAnsi="Times New Roman" w:cs="Times New Roman"/>
                <w:b/>
                <w:bCs/>
                <w:color w:val="auto"/>
                <w:sz w:val="24"/>
                <w:szCs w:val="24"/>
                <w:lang w:val="en-US" w:eastAsia="zh-CN"/>
              </w:rPr>
              <w:t>相同</w:t>
            </w:r>
            <w:r>
              <w:rPr>
                <w:rFonts w:hint="eastAsia" w:ascii="宋体" w:hAnsi="宋体"/>
                <w:b/>
                <w:bCs/>
                <w:color w:val="auto"/>
                <w:sz w:val="24"/>
                <w:szCs w:val="24"/>
                <w:lang w:val="en-US" w:eastAsia="zh-CN"/>
              </w:rPr>
              <w:t>）</w:t>
            </w:r>
          </w:p>
          <w:p w14:paraId="687F626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1、领料</w:t>
            </w:r>
          </w:p>
          <w:p w14:paraId="7AFE6AA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根据产品订单需求，制定生产指令，计算出生产所需原材料数量。领取原材料。</w:t>
            </w:r>
          </w:p>
          <w:p w14:paraId="1119FB1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2、上机</w:t>
            </w:r>
          </w:p>
          <w:p w14:paraId="5A8A8B1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把各个原材料手动拉到需要对准的位置，对齐后方可开机。开机时由慢到快，调好各个部位原材料，再正常运行</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噪声</w:t>
            </w:r>
            <w:r>
              <w:rPr>
                <w:rFonts w:hint="default" w:ascii="Times New Roman" w:hAnsi="Times New Roman" w:cs="Times New Roman"/>
                <w:color w:val="auto"/>
                <w:sz w:val="24"/>
                <w:szCs w:val="24"/>
              </w:rPr>
              <w:t>。</w:t>
            </w:r>
          </w:p>
          <w:p w14:paraId="08900646">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3、复合、冲片</w:t>
            </w:r>
          </w:p>
          <w:p w14:paraId="0F756F8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调节机器上有五个螺旋调节器，方向分别都一样。紧螺旋（上紧螺丝）往机器前面转，则材料往自己对面移；相反往机器后面松螺旋，原材料则往自己站推，松紧看材料落差所需要距离即可，若未对齐先用手动（即减少次品率）</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固废及噪声</w:t>
            </w:r>
            <w:r>
              <w:rPr>
                <w:rFonts w:hint="default" w:ascii="Times New Roman" w:hAnsi="Times New Roman" w:cs="Times New Roman"/>
                <w:color w:val="auto"/>
                <w:sz w:val="24"/>
                <w:szCs w:val="24"/>
              </w:rPr>
              <w:t>。</w:t>
            </w:r>
          </w:p>
          <w:p w14:paraId="622F8D9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4、内包装</w:t>
            </w:r>
          </w:p>
          <w:p w14:paraId="6A2BC96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将冲片后的半成品，手动折叠好产品按标准数量装入产品对应的中盒里</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操作前组长必须核对半成品与盒是否属于同一产品，操作过程需经常检查核对，确保内容物与盒保持一致，避免混装出现品质事故。确保产品按规定装入纸盒后，放入产品对应的说明书后封好盖</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w:t>
            </w:r>
            <w:r>
              <w:rPr>
                <w:rFonts w:hint="default" w:ascii="Times New Roman" w:hAnsi="Times New Roman" w:cs="Times New Roman"/>
                <w:color w:val="auto"/>
                <w:sz w:val="24"/>
                <w:szCs w:val="24"/>
              </w:rPr>
              <w:t>。</w:t>
            </w:r>
          </w:p>
          <w:p w14:paraId="488D7F3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6、喷码</w:t>
            </w:r>
          </w:p>
          <w:p w14:paraId="3EBF5996">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将要喷码的产品材料放置于喷码区，喷码员按照《打码记录表》的内容与要喷码产品作核对，核对无误后，按打码内容进行调机，组长和喷码员及在线QC都要复核无误后，喷码工作才可以开始，并经常抽查喷码情况。完成该批次的喷码后在《记录表》上签名确定。按规定每隔三天对喷头进行清洗，每隔一个星期对喷码机进行清洁维护</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有机废气</w:t>
            </w:r>
            <w:r>
              <w:rPr>
                <w:rFonts w:hint="default" w:ascii="Times New Roman" w:hAnsi="Times New Roman" w:cs="Times New Roman"/>
                <w:color w:val="auto"/>
                <w:sz w:val="24"/>
                <w:szCs w:val="24"/>
              </w:rPr>
              <w:t>。</w:t>
            </w:r>
          </w:p>
          <w:p w14:paraId="3AC0E75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7、套膜</w:t>
            </w:r>
          </w:p>
          <w:p w14:paraId="342D577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规定把备好的热收缩膜套到规定数量的装盒产品上，将套膜后的产品放入已经达到收缩条件的热收缩机的输送带上，产品经一定温度热收缩后，膜会紧紧收附于产品上，过程中要不断检查品质，确保收缩效果良好</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w:t>
            </w:r>
            <w:r>
              <w:rPr>
                <w:rFonts w:hint="default" w:ascii="Times New Roman" w:hAnsi="Times New Roman" w:cs="Times New Roman"/>
                <w:color w:val="auto"/>
                <w:sz w:val="24"/>
                <w:szCs w:val="24"/>
              </w:rPr>
              <w:t>。</w:t>
            </w:r>
          </w:p>
          <w:p w14:paraId="74FD0368">
            <w:pPr>
              <w:adjustRightInd/>
              <w:spacing w:line="360" w:lineRule="auto"/>
              <w:ind w:firstLine="480" w:firstLineChars="200"/>
              <w:rPr>
                <w:color w:val="auto"/>
                <w:sz w:val="24"/>
                <w:szCs w:val="24"/>
              </w:rPr>
            </w:pPr>
            <w:r>
              <w:rPr>
                <w:rFonts w:hint="eastAsia"/>
                <w:color w:val="auto"/>
                <w:sz w:val="24"/>
                <w:szCs w:val="24"/>
              </w:rPr>
              <w:t>6、</w:t>
            </w:r>
            <w:r>
              <w:rPr>
                <w:rFonts w:hint="eastAsia"/>
                <w:color w:val="auto"/>
                <w:sz w:val="24"/>
                <w:szCs w:val="24"/>
                <w:lang w:val="en-US" w:eastAsia="zh-CN"/>
              </w:rPr>
              <w:t>抽</w:t>
            </w:r>
            <w:r>
              <w:rPr>
                <w:rFonts w:hint="eastAsia"/>
                <w:color w:val="auto"/>
                <w:sz w:val="24"/>
                <w:szCs w:val="24"/>
              </w:rPr>
              <w:t>检</w:t>
            </w:r>
          </w:p>
          <w:p w14:paraId="4634BC04">
            <w:pPr>
              <w:adjustRightInd/>
              <w:spacing w:line="360" w:lineRule="auto"/>
              <w:ind w:firstLine="480" w:firstLineChars="200"/>
              <w:rPr>
                <w:rFonts w:hint="default" w:ascii="Times New Roman" w:hAnsi="Times New Roman" w:cs="Times New Roman"/>
                <w:color w:val="auto"/>
                <w:sz w:val="24"/>
                <w:szCs w:val="24"/>
              </w:rPr>
            </w:pPr>
            <w:r>
              <w:rPr>
                <w:rFonts w:hint="eastAsia"/>
                <w:color w:val="auto"/>
                <w:sz w:val="24"/>
                <w:szCs w:val="24"/>
              </w:rPr>
              <w:t>按出厂检验要求，对成品</w:t>
            </w:r>
            <w:r>
              <w:rPr>
                <w:rFonts w:hint="eastAsia"/>
                <w:color w:val="auto"/>
                <w:sz w:val="24"/>
                <w:szCs w:val="24"/>
                <w:lang w:val="en-US" w:eastAsia="zh-CN"/>
              </w:rPr>
              <w:t>进行抽</w:t>
            </w:r>
            <w:r>
              <w:rPr>
                <w:rFonts w:hint="eastAsia"/>
                <w:color w:val="auto"/>
                <w:sz w:val="24"/>
                <w:szCs w:val="24"/>
              </w:rPr>
              <w:t>检</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w:t>
            </w:r>
            <w:r>
              <w:rPr>
                <w:rFonts w:hint="eastAsia"/>
                <w:color w:val="auto"/>
                <w:sz w:val="24"/>
                <w:szCs w:val="24"/>
              </w:rPr>
              <w:t>。</w:t>
            </w:r>
          </w:p>
          <w:p w14:paraId="48F65548">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8、装箱、入库</w:t>
            </w:r>
          </w:p>
          <w:p w14:paraId="76FE5FA0">
            <w:pPr>
              <w:spacing w:line="360" w:lineRule="auto"/>
              <w:ind w:firstLine="480" w:firstLineChars="200"/>
              <w:rPr>
                <w:rFonts w:hint="eastAsia" w:cs="Times New Roman"/>
                <w:b/>
                <w:bCs w:val="0"/>
                <w:color w:val="auto"/>
                <w:sz w:val="24"/>
                <w:szCs w:val="21"/>
                <w:lang w:val="en-US" w:eastAsia="zh-CN"/>
              </w:rPr>
            </w:pPr>
            <w:r>
              <w:rPr>
                <w:rFonts w:hint="default" w:ascii="Times New Roman" w:hAnsi="Times New Roman" w:cs="Times New Roman"/>
                <w:color w:val="auto"/>
                <w:sz w:val="24"/>
                <w:szCs w:val="24"/>
              </w:rPr>
              <w:t>将合格产品登记批号、数量、品名后办理入库手续，按区域放置，标识清楚，注意防潮、防霉、防污染和防混淆。</w:t>
            </w:r>
          </w:p>
          <w:p w14:paraId="5A9DCCF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szCs w:val="24"/>
              </w:rPr>
            </w:pPr>
            <w:r>
              <w:rPr>
                <w:rFonts w:hint="eastAsia" w:cs="Times New Roman"/>
                <w:b/>
                <w:bCs w:val="0"/>
                <w:color w:val="auto"/>
                <w:sz w:val="24"/>
                <w:szCs w:val="21"/>
                <w:lang w:val="en-US" w:eastAsia="zh-CN"/>
              </w:rPr>
              <w:t>9）</w:t>
            </w:r>
            <w:r>
              <w:rPr>
                <w:rFonts w:hint="eastAsia" w:ascii="宋体" w:hAnsi="宋体" w:eastAsia="宋体" w:cs="Times New Roman"/>
                <w:b/>
                <w:bCs/>
                <w:color w:val="auto"/>
                <w:sz w:val="24"/>
                <w:szCs w:val="24"/>
                <w:lang w:val="en-US" w:eastAsia="zh-CN"/>
              </w:rPr>
              <w:t>重组胶原蛋白贴工艺</w:t>
            </w:r>
            <w:r>
              <w:rPr>
                <w:rFonts w:hint="eastAsia" w:ascii="宋体" w:hAnsi="宋体"/>
                <w:b/>
                <w:bCs/>
                <w:color w:val="auto"/>
                <w:sz w:val="24"/>
                <w:szCs w:val="24"/>
                <w:lang w:val="en-US" w:eastAsia="zh-CN"/>
              </w:rPr>
              <w:t>流程说明</w:t>
            </w:r>
          </w:p>
          <w:p w14:paraId="7C7722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val="0"/>
                <w:bCs/>
                <w:color w:val="auto"/>
                <w:sz w:val="24"/>
                <w:szCs w:val="21"/>
                <w:lang w:val="en-US" w:eastAsia="zh-CN"/>
              </w:rPr>
              <w:object>
                <v:shape id="_x0000_i1035" o:spt="75" type="#_x0000_t75" style="height:294.75pt;width:203.25pt;" o:ole="t" filled="f" o:preferrelative="t" stroked="f" coordsize="21600,21600">
                  <v:path/>
                  <v:fill on="f" focussize="0,0"/>
                  <v:stroke on="f"/>
                  <v:imagedata r:id="rId32" o:title=""/>
                  <o:lock v:ext="edit" aspectratio="f"/>
                  <w10:wrap type="none"/>
                  <w10:anchorlock/>
                </v:shape>
                <o:OLEObject Type="Embed" ProgID="Visio.Drawing.11" ShapeID="_x0000_i1035" DrawAspect="Content" ObjectID="_1468075735" r:id="rId31">
                  <o:LockedField>false</o:LockedField>
                </o:OLEObject>
              </w:object>
            </w:r>
          </w:p>
          <w:p w14:paraId="07FAE31E">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图2-</w:t>
            </w:r>
            <w:r>
              <w:rPr>
                <w:rFonts w:hint="eastAsia" w:cs="Times New Roman"/>
                <w:b/>
                <w:bCs/>
                <w:snapToGrid w:val="0"/>
                <w:color w:val="auto"/>
                <w:spacing w:val="4"/>
                <w:kern w:val="18"/>
                <w:sz w:val="21"/>
                <w:szCs w:val="21"/>
                <w:highlight w:val="none"/>
                <w:shd w:val="clear" w:color="auto" w:fill="auto"/>
                <w:lang w:val="en-US" w:eastAsia="zh-CN" w:bidi="ar-SA"/>
              </w:rPr>
              <w:t>11</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 xml:space="preserve">  重组胶原蛋白贴</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工艺流程</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及产污环节</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图</w:t>
            </w:r>
          </w:p>
          <w:p w14:paraId="6EDE52E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szCs w:val="24"/>
              </w:rPr>
            </w:pPr>
            <w:r>
              <w:rPr>
                <w:rFonts w:hint="eastAsia" w:cs="Times New Roman"/>
                <w:b/>
                <w:bCs w:val="0"/>
                <w:color w:val="auto"/>
                <w:sz w:val="24"/>
                <w:szCs w:val="21"/>
                <w:lang w:val="en-US" w:eastAsia="zh-CN"/>
              </w:rPr>
              <w:t>10）</w:t>
            </w:r>
            <w:r>
              <w:rPr>
                <w:rFonts w:hint="eastAsia" w:ascii="宋体" w:hAnsi="宋体" w:eastAsia="宋体" w:cs="Times New Roman"/>
                <w:b/>
                <w:bCs/>
                <w:color w:val="auto"/>
                <w:sz w:val="24"/>
                <w:szCs w:val="24"/>
                <w:lang w:val="en-US" w:eastAsia="zh-CN"/>
              </w:rPr>
              <w:t>医用透明质酸钠敷贴工艺</w:t>
            </w:r>
            <w:r>
              <w:rPr>
                <w:rFonts w:hint="eastAsia" w:ascii="宋体" w:hAnsi="宋体"/>
                <w:b/>
                <w:bCs/>
                <w:color w:val="auto"/>
                <w:sz w:val="24"/>
                <w:szCs w:val="24"/>
                <w:lang w:val="en-US" w:eastAsia="zh-CN"/>
              </w:rPr>
              <w:t>流程说明</w:t>
            </w:r>
          </w:p>
          <w:p w14:paraId="74C6ED4F">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pP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object>
                <v:shape id="_x0000_i1036" o:spt="75" type="#_x0000_t75" style="height:285.75pt;width:216.8pt;" o:ole="t" filled="f" o:preferrelative="t" stroked="f" coordsize="21600,21600">
                  <v:path/>
                  <v:fill on="f" focussize="0,0"/>
                  <v:stroke on="f"/>
                  <v:imagedata r:id="rId34" o:title=""/>
                  <o:lock v:ext="edit" aspectratio="f"/>
                  <w10:wrap type="none"/>
                  <w10:anchorlock/>
                </v:shape>
                <o:OLEObject Type="Embed" ProgID="Visio.Drawing.11" ShapeID="_x0000_i1036" DrawAspect="Content" ObjectID="_1468075736" r:id="rId33">
                  <o:LockedField>false</o:LockedField>
                </o:OLEObject>
              </w:object>
            </w:r>
          </w:p>
          <w:p w14:paraId="4F111676">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图2-</w:t>
            </w:r>
            <w:r>
              <w:rPr>
                <w:rFonts w:hint="eastAsia" w:cs="Times New Roman"/>
                <w:b/>
                <w:bCs/>
                <w:snapToGrid w:val="0"/>
                <w:color w:val="auto"/>
                <w:spacing w:val="4"/>
                <w:kern w:val="18"/>
                <w:sz w:val="21"/>
                <w:szCs w:val="21"/>
                <w:highlight w:val="none"/>
                <w:shd w:val="clear" w:color="auto" w:fill="auto"/>
                <w:lang w:val="en-US" w:eastAsia="zh-CN" w:bidi="ar-SA"/>
              </w:rPr>
              <w:t>12</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 xml:space="preserve">  医用透明质酸钠敷贴</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工艺流程</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及产污环节</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图</w:t>
            </w:r>
          </w:p>
          <w:p w14:paraId="2692ED6B">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重组胶原蛋白贴</w:t>
            </w:r>
            <w:r>
              <w:rPr>
                <w:rFonts w:hint="default" w:ascii="Times New Roman" w:hAnsi="Times New Roman" w:cs="Times New Roman"/>
                <w:b/>
                <w:bCs/>
                <w:color w:val="auto"/>
                <w:sz w:val="24"/>
                <w:szCs w:val="24"/>
                <w:lang w:val="en-US" w:eastAsia="zh-CN"/>
              </w:rPr>
              <w:t>及</w:t>
            </w:r>
            <w:r>
              <w:rPr>
                <w:rFonts w:hint="default" w:ascii="Times New Roman" w:hAnsi="Times New Roman" w:eastAsia="宋体" w:cs="Times New Roman"/>
                <w:b/>
                <w:bCs/>
                <w:color w:val="auto"/>
                <w:sz w:val="24"/>
                <w:szCs w:val="24"/>
                <w:lang w:val="en-US" w:eastAsia="zh-CN"/>
              </w:rPr>
              <w:t>医用透明质酸钠敷贴</w:t>
            </w:r>
            <w:r>
              <w:rPr>
                <w:rFonts w:hint="default" w:ascii="Times New Roman" w:hAnsi="Times New Roman" w:cs="Times New Roman"/>
                <w:b/>
                <w:bCs/>
                <w:color w:val="auto"/>
                <w:sz w:val="24"/>
                <w:szCs w:val="24"/>
              </w:rPr>
              <w:t>工艺</w:t>
            </w:r>
            <w:r>
              <w:rPr>
                <w:rFonts w:hint="default" w:ascii="Times New Roman" w:hAnsi="Times New Roman" w:cs="Times New Roman"/>
                <w:b/>
                <w:bCs/>
                <w:color w:val="auto"/>
                <w:sz w:val="24"/>
                <w:szCs w:val="24"/>
                <w:lang w:val="en-US" w:eastAsia="zh-CN"/>
              </w:rPr>
              <w:t>流程说明（生产工艺</w:t>
            </w:r>
            <w:r>
              <w:rPr>
                <w:rFonts w:hint="eastAsia" w:ascii="Times New Roman" w:hAnsi="Times New Roman" w:cs="Times New Roman"/>
                <w:b/>
                <w:bCs/>
                <w:color w:val="auto"/>
                <w:sz w:val="24"/>
                <w:szCs w:val="24"/>
                <w:lang w:val="en-US" w:eastAsia="zh-CN"/>
              </w:rPr>
              <w:t>相同</w:t>
            </w:r>
            <w:r>
              <w:rPr>
                <w:rFonts w:hint="default" w:ascii="Times New Roman" w:hAnsi="Times New Roman" w:cs="Times New Roman"/>
                <w:b/>
                <w:bCs/>
                <w:color w:val="auto"/>
                <w:sz w:val="24"/>
                <w:szCs w:val="24"/>
                <w:lang w:val="en-US" w:eastAsia="zh-CN"/>
              </w:rPr>
              <w:t>）</w:t>
            </w:r>
          </w:p>
          <w:p w14:paraId="1EBE2803">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1、浸泡</w:t>
            </w:r>
          </w:p>
          <w:p w14:paraId="45519053">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按照批生产指令，把原材料卡波姆加纯化水浸泡溶解</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有机废气</w:t>
            </w:r>
            <w:r>
              <w:rPr>
                <w:rFonts w:hint="default" w:ascii="Times New Roman" w:hAnsi="Times New Roman" w:cs="Times New Roman"/>
                <w:color w:val="auto"/>
                <w:sz w:val="24"/>
                <w:szCs w:val="24"/>
              </w:rPr>
              <w:t>。</w:t>
            </w:r>
          </w:p>
          <w:p w14:paraId="315B6A15">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2、凝胶配制</w:t>
            </w:r>
          </w:p>
          <w:p w14:paraId="7162BB3F">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把领来的料按照配方比例放入真空搅拌锅，设置好搅拌温度、时间进行配制</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有机废气</w:t>
            </w:r>
            <w:r>
              <w:rPr>
                <w:rFonts w:hint="default" w:ascii="Times New Roman" w:hAnsi="Times New Roman" w:cs="Times New Roman"/>
                <w:color w:val="auto"/>
                <w:sz w:val="24"/>
                <w:szCs w:val="24"/>
              </w:rPr>
              <w:t>。</w:t>
            </w:r>
          </w:p>
          <w:p w14:paraId="1C4DB866">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3、灌装</w:t>
            </w:r>
          </w:p>
          <w:p w14:paraId="7DE4D77F">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配制好的凝胶经过输送管道传送至敷贴灌装机灌装</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有机废气</w:t>
            </w:r>
            <w:r>
              <w:rPr>
                <w:rFonts w:hint="default" w:ascii="Times New Roman" w:hAnsi="Times New Roman" w:cs="Times New Roman"/>
                <w:color w:val="auto"/>
                <w:sz w:val="24"/>
                <w:szCs w:val="24"/>
              </w:rPr>
              <w:t>。</w:t>
            </w:r>
          </w:p>
          <w:p w14:paraId="74B6D019">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4、外包</w:t>
            </w:r>
          </w:p>
          <w:p w14:paraId="08885F3E">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使用喷码机将产品批号、生产日期、有效期至日期喷好。将灌装内包好的产品及说明书按规定装入包装中</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固废及有机废气</w:t>
            </w:r>
            <w:r>
              <w:rPr>
                <w:rFonts w:hint="default" w:ascii="Times New Roman" w:hAnsi="Times New Roman" w:cs="Times New Roman"/>
                <w:color w:val="auto"/>
                <w:sz w:val="24"/>
                <w:szCs w:val="24"/>
              </w:rPr>
              <w:t>。</w:t>
            </w:r>
          </w:p>
          <w:p w14:paraId="1976A28B">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5、成品检验</w:t>
            </w:r>
          </w:p>
          <w:p w14:paraId="2BCD5C77">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按照产品出厂检验要求，根据成品检验操作规程进行检验</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w:t>
            </w:r>
            <w:r>
              <w:rPr>
                <w:rFonts w:hint="default" w:ascii="Times New Roman" w:hAnsi="Times New Roman" w:cs="Times New Roman"/>
                <w:color w:val="auto"/>
                <w:sz w:val="24"/>
                <w:szCs w:val="24"/>
              </w:rPr>
              <w:t>。</w:t>
            </w:r>
          </w:p>
          <w:p w14:paraId="25196A9C">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6、成品入库</w:t>
            </w:r>
          </w:p>
          <w:p w14:paraId="5D685D65">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将合格产品登记批号、数量、品名后办理入库手续，按区域放置，标识清楚，注意防潮、防霉、防污染和防混淆。</w:t>
            </w:r>
          </w:p>
          <w:p w14:paraId="1844F79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szCs w:val="24"/>
              </w:rPr>
            </w:pPr>
            <w:r>
              <w:rPr>
                <w:rFonts w:hint="eastAsia" w:cs="Times New Roman"/>
                <w:b/>
                <w:bCs w:val="0"/>
                <w:color w:val="auto"/>
                <w:sz w:val="24"/>
                <w:szCs w:val="21"/>
                <w:lang w:val="en-US" w:eastAsia="zh-CN"/>
              </w:rPr>
              <w:t>11）</w:t>
            </w:r>
            <w:r>
              <w:rPr>
                <w:rFonts w:hint="eastAsia" w:ascii="宋体" w:hAnsi="宋体" w:eastAsia="宋体" w:cs="Times New Roman"/>
                <w:b/>
                <w:bCs/>
                <w:color w:val="auto"/>
                <w:sz w:val="24"/>
                <w:szCs w:val="24"/>
                <w:lang w:val="en-US" w:eastAsia="zh-CN"/>
              </w:rPr>
              <w:t>壳聚糖工艺</w:t>
            </w:r>
            <w:r>
              <w:rPr>
                <w:rFonts w:hint="eastAsia" w:ascii="宋体" w:hAnsi="宋体"/>
                <w:b/>
                <w:bCs/>
                <w:color w:val="auto"/>
                <w:sz w:val="24"/>
                <w:szCs w:val="24"/>
                <w:lang w:val="en-US" w:eastAsia="zh-CN"/>
              </w:rPr>
              <w:t>流程说明</w:t>
            </w:r>
          </w:p>
          <w:p w14:paraId="0BCCF00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val="0"/>
                <w:color w:val="auto"/>
                <w:sz w:val="24"/>
                <w:szCs w:val="21"/>
                <w:lang w:val="en-US" w:eastAsia="zh-CN"/>
              </w:rPr>
            </w:pPr>
            <w:r>
              <w:rPr>
                <w:rFonts w:hint="eastAsia" w:ascii="Times New Roman" w:hAnsi="Times New Roman" w:eastAsia="宋体" w:cs="Times New Roman"/>
                <w:b/>
                <w:bCs w:val="0"/>
                <w:color w:val="auto"/>
                <w:sz w:val="24"/>
                <w:szCs w:val="21"/>
                <w:lang w:val="en-US" w:eastAsia="zh-CN"/>
              </w:rPr>
              <w:object>
                <v:shape id="_x0000_i1037" o:spt="75" type="#_x0000_t75" style="height:241.55pt;width:166.55pt;" o:ole="t" filled="f" o:preferrelative="t" stroked="f" coordsize="21600,21600">
                  <v:path/>
                  <v:fill on="f" focussize="0,0"/>
                  <v:stroke on="f"/>
                  <v:imagedata r:id="rId36" o:title=""/>
                  <o:lock v:ext="edit" aspectratio="f"/>
                  <w10:wrap type="none"/>
                  <w10:anchorlock/>
                </v:shape>
                <o:OLEObject Type="Embed" ProgID="Visio.Drawing.11" ShapeID="_x0000_i1037" DrawAspect="Content" ObjectID="_1468075737" r:id="rId35">
                  <o:LockedField>false</o:LockedField>
                </o:OLEObject>
              </w:object>
            </w:r>
          </w:p>
          <w:p w14:paraId="57A17841">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图2-</w:t>
            </w:r>
            <w:r>
              <w:rPr>
                <w:rFonts w:hint="eastAsia" w:cs="Times New Roman"/>
                <w:b/>
                <w:bCs/>
                <w:snapToGrid w:val="0"/>
                <w:color w:val="auto"/>
                <w:spacing w:val="4"/>
                <w:kern w:val="18"/>
                <w:sz w:val="21"/>
                <w:szCs w:val="21"/>
                <w:highlight w:val="none"/>
                <w:shd w:val="clear" w:color="auto" w:fill="auto"/>
                <w:lang w:val="en-US" w:eastAsia="zh-CN" w:bidi="ar-SA"/>
              </w:rPr>
              <w:t>13</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 xml:space="preserve">  壳聚糖</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工艺流程</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及产污环节</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图</w:t>
            </w:r>
          </w:p>
          <w:p w14:paraId="4220E0E7">
            <w:pPr>
              <w:adjustRightInd/>
              <w:spacing w:line="360" w:lineRule="auto"/>
              <w:ind w:firstLine="482" w:firstLineChars="200"/>
              <w:rPr>
                <w:rFonts w:hint="eastAsia" w:ascii="宋体" w:hAnsi="宋体" w:eastAsia="宋体" w:cs="Times New Roman"/>
                <w:b/>
                <w:bCs/>
                <w:color w:val="auto"/>
                <w:sz w:val="24"/>
                <w:szCs w:val="24"/>
                <w:lang w:eastAsia="zh-CN"/>
              </w:rPr>
            </w:pPr>
            <w:r>
              <w:rPr>
                <w:rFonts w:hint="eastAsia" w:ascii="宋体" w:hAnsi="宋体" w:eastAsia="宋体" w:cs="Times New Roman"/>
                <w:b/>
                <w:bCs/>
                <w:color w:val="auto"/>
                <w:sz w:val="24"/>
                <w:szCs w:val="24"/>
              </w:rPr>
              <w:t>壳聚糖止血粉生产工艺</w:t>
            </w:r>
            <w:r>
              <w:rPr>
                <w:rFonts w:hint="eastAsia" w:ascii="宋体" w:hAnsi="宋体" w:eastAsia="宋体" w:cs="Times New Roman"/>
                <w:b/>
                <w:bCs/>
                <w:color w:val="auto"/>
                <w:sz w:val="24"/>
                <w:szCs w:val="24"/>
                <w:lang w:val="en-US" w:eastAsia="zh-CN"/>
              </w:rPr>
              <w:t>说明</w:t>
            </w:r>
          </w:p>
          <w:p w14:paraId="043D8110">
            <w:pPr>
              <w:adjustRightInd/>
              <w:spacing w:line="360" w:lineRule="auto"/>
              <w:ind w:firstLine="480" w:firstLineChars="200"/>
              <w:rPr>
                <w:rFonts w:ascii="宋体" w:hAnsi="宋体"/>
                <w:color w:val="auto"/>
                <w:sz w:val="24"/>
                <w:szCs w:val="24"/>
              </w:rPr>
            </w:pPr>
            <w:r>
              <w:rPr>
                <w:rFonts w:hint="eastAsia" w:ascii="宋体" w:hAnsi="宋体"/>
                <w:color w:val="auto"/>
                <w:sz w:val="24"/>
                <w:szCs w:val="24"/>
              </w:rPr>
              <w:t>1、内包</w:t>
            </w:r>
          </w:p>
          <w:p w14:paraId="3EF39DE6">
            <w:pPr>
              <w:adjustRightInd/>
              <w:spacing w:line="360" w:lineRule="auto"/>
              <w:ind w:firstLine="480" w:firstLineChars="200"/>
              <w:rPr>
                <w:rFonts w:hint="eastAsia" w:ascii="宋体" w:hAnsi="宋体"/>
                <w:color w:val="auto"/>
                <w:sz w:val="24"/>
                <w:szCs w:val="24"/>
              </w:rPr>
            </w:pPr>
            <w:r>
              <w:rPr>
                <w:rFonts w:hint="eastAsia" w:ascii="宋体" w:hAnsi="宋体"/>
                <w:color w:val="auto"/>
                <w:sz w:val="24"/>
                <w:szCs w:val="24"/>
              </w:rPr>
              <w:t>在灌装旋盖机上设置好灌装参数后进行止血粉灌装，完成旋盖后，贴标机同时工作对瓶装产品进行贴标打码</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w:t>
            </w:r>
            <w:r>
              <w:rPr>
                <w:rFonts w:hint="eastAsia" w:ascii="宋体" w:hAnsi="宋体"/>
                <w:color w:val="auto"/>
                <w:sz w:val="24"/>
                <w:szCs w:val="24"/>
              </w:rPr>
              <w:t>。</w:t>
            </w:r>
          </w:p>
          <w:p w14:paraId="6C13F42B">
            <w:pPr>
              <w:adjustRightInd/>
              <w:spacing w:line="360" w:lineRule="auto"/>
              <w:ind w:firstLine="480" w:firstLineChars="200"/>
              <w:rPr>
                <w:rFonts w:ascii="宋体" w:hAnsi="宋体"/>
                <w:color w:val="auto"/>
                <w:sz w:val="24"/>
                <w:szCs w:val="24"/>
              </w:rPr>
            </w:pPr>
            <w:r>
              <w:rPr>
                <w:rFonts w:hint="eastAsia" w:ascii="宋体" w:hAnsi="宋体"/>
                <w:color w:val="auto"/>
                <w:sz w:val="24"/>
                <w:szCs w:val="24"/>
              </w:rPr>
              <w:t>2、外包</w:t>
            </w:r>
          </w:p>
          <w:p w14:paraId="52F293BD">
            <w:pPr>
              <w:adjustRightInd/>
              <w:spacing w:line="360" w:lineRule="auto"/>
              <w:ind w:firstLine="480" w:firstLineChars="200"/>
              <w:rPr>
                <w:rFonts w:hint="eastAsia" w:ascii="宋体" w:hAnsi="宋体"/>
                <w:color w:val="auto"/>
                <w:sz w:val="24"/>
                <w:szCs w:val="24"/>
              </w:rPr>
            </w:pPr>
            <w:r>
              <w:rPr>
                <w:rFonts w:hint="eastAsia" w:ascii="宋体" w:hAnsi="宋体"/>
                <w:color w:val="auto"/>
                <w:sz w:val="24"/>
                <w:szCs w:val="24"/>
              </w:rPr>
              <w:t>使用喷码机将产品批号、生产日期、有效期至日期喷好。将内包好的产品及说明书按规定装入包装中</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固废及有机废气</w:t>
            </w:r>
            <w:r>
              <w:rPr>
                <w:rFonts w:hint="eastAsia" w:ascii="宋体" w:hAnsi="宋体"/>
                <w:color w:val="auto"/>
                <w:sz w:val="24"/>
                <w:szCs w:val="24"/>
              </w:rPr>
              <w:t>。</w:t>
            </w:r>
          </w:p>
          <w:p w14:paraId="4DB1448D">
            <w:pPr>
              <w:adjustRightInd/>
              <w:spacing w:line="360" w:lineRule="auto"/>
              <w:ind w:firstLine="480" w:firstLineChars="200"/>
              <w:rPr>
                <w:rFonts w:ascii="宋体" w:hAnsi="宋体"/>
                <w:color w:val="auto"/>
                <w:sz w:val="24"/>
                <w:szCs w:val="24"/>
              </w:rPr>
            </w:pPr>
            <w:r>
              <w:rPr>
                <w:rFonts w:hint="eastAsia" w:ascii="宋体" w:hAnsi="宋体"/>
                <w:color w:val="auto"/>
                <w:sz w:val="24"/>
                <w:szCs w:val="24"/>
              </w:rPr>
              <w:t>3、委托灭菌/电子束灭菌</w:t>
            </w:r>
          </w:p>
          <w:p w14:paraId="33052F46">
            <w:pPr>
              <w:adjustRightInd/>
              <w:spacing w:line="360" w:lineRule="auto"/>
              <w:ind w:firstLine="480" w:firstLineChars="200"/>
              <w:rPr>
                <w:rFonts w:hint="eastAsia" w:ascii="宋体" w:hAnsi="宋体"/>
                <w:color w:val="auto"/>
                <w:sz w:val="24"/>
                <w:szCs w:val="24"/>
              </w:rPr>
            </w:pPr>
            <w:r>
              <w:rPr>
                <w:rFonts w:hint="eastAsia" w:ascii="宋体" w:hAnsi="宋体"/>
                <w:color w:val="auto"/>
                <w:sz w:val="24"/>
                <w:szCs w:val="24"/>
              </w:rPr>
              <w:t>委托第三方进行辐照灭菌。</w:t>
            </w:r>
          </w:p>
          <w:p w14:paraId="40290E28">
            <w:pPr>
              <w:adjustRightInd/>
              <w:spacing w:line="360" w:lineRule="auto"/>
              <w:ind w:firstLine="480" w:firstLineChars="200"/>
              <w:rPr>
                <w:rFonts w:ascii="宋体" w:hAnsi="宋体"/>
                <w:color w:val="auto"/>
                <w:sz w:val="24"/>
                <w:szCs w:val="24"/>
              </w:rPr>
            </w:pPr>
            <w:r>
              <w:rPr>
                <w:rFonts w:hint="eastAsia" w:ascii="宋体" w:hAnsi="宋体"/>
                <w:color w:val="auto"/>
                <w:sz w:val="24"/>
                <w:szCs w:val="24"/>
              </w:rPr>
              <w:t>4、成品检验</w:t>
            </w:r>
          </w:p>
          <w:p w14:paraId="26AB2C82">
            <w:pPr>
              <w:adjustRightInd/>
              <w:spacing w:line="360" w:lineRule="auto"/>
              <w:ind w:firstLine="480" w:firstLineChars="200"/>
              <w:rPr>
                <w:rFonts w:hint="eastAsia" w:ascii="宋体" w:hAnsi="宋体"/>
                <w:color w:val="auto"/>
                <w:sz w:val="24"/>
                <w:szCs w:val="24"/>
              </w:rPr>
            </w:pPr>
            <w:r>
              <w:rPr>
                <w:rFonts w:hint="eastAsia" w:ascii="宋体" w:hAnsi="宋体"/>
                <w:color w:val="auto"/>
                <w:sz w:val="24"/>
                <w:szCs w:val="24"/>
              </w:rPr>
              <w:t>按照产品出厂检验要求，根据成品检验操作规程进行检验</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w:t>
            </w:r>
            <w:r>
              <w:rPr>
                <w:rFonts w:hint="eastAsia" w:ascii="宋体" w:hAnsi="宋体"/>
                <w:color w:val="auto"/>
                <w:sz w:val="24"/>
                <w:szCs w:val="24"/>
              </w:rPr>
              <w:t>。</w:t>
            </w:r>
          </w:p>
          <w:p w14:paraId="1D52A4A2">
            <w:pPr>
              <w:adjustRightInd/>
              <w:spacing w:line="360" w:lineRule="auto"/>
              <w:ind w:firstLine="480" w:firstLineChars="200"/>
              <w:rPr>
                <w:rFonts w:ascii="宋体" w:hAnsi="宋体"/>
                <w:color w:val="auto"/>
                <w:sz w:val="24"/>
                <w:szCs w:val="24"/>
              </w:rPr>
            </w:pPr>
            <w:r>
              <w:rPr>
                <w:rFonts w:hint="eastAsia" w:ascii="宋体" w:hAnsi="宋体"/>
                <w:color w:val="auto"/>
                <w:sz w:val="24"/>
                <w:szCs w:val="24"/>
              </w:rPr>
              <w:t>5、成品入库</w:t>
            </w:r>
          </w:p>
          <w:p w14:paraId="56A0D1F8">
            <w:pPr>
              <w:adjustRightInd/>
              <w:spacing w:line="360" w:lineRule="auto"/>
              <w:ind w:firstLine="480" w:firstLineChars="200"/>
              <w:rPr>
                <w:rFonts w:hint="eastAsia"/>
                <w:color w:val="auto"/>
                <w:sz w:val="24"/>
                <w:szCs w:val="24"/>
              </w:rPr>
            </w:pPr>
            <w:r>
              <w:rPr>
                <w:rFonts w:hint="eastAsia" w:ascii="宋体" w:hAnsi="宋体"/>
                <w:color w:val="auto"/>
                <w:sz w:val="24"/>
                <w:szCs w:val="24"/>
              </w:rPr>
              <w:t>将合格产品登记批号、数量、品名后办理入库手续，按区域放置，标识清楚，注意防潮、防霉、防污染和防混淆</w:t>
            </w:r>
            <w:r>
              <w:rPr>
                <w:rFonts w:hint="eastAsia"/>
                <w:color w:val="auto"/>
                <w:sz w:val="24"/>
                <w:szCs w:val="24"/>
              </w:rPr>
              <w:t>。</w:t>
            </w:r>
          </w:p>
          <w:p w14:paraId="7E13C27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val="0"/>
                <w:color w:val="auto"/>
                <w:sz w:val="24"/>
                <w:szCs w:val="21"/>
                <w:lang w:val="en-US" w:eastAsia="zh-CN"/>
              </w:rPr>
            </w:pPr>
            <w:r>
              <w:rPr>
                <w:rFonts w:hint="eastAsia" w:cs="Times New Roman"/>
                <w:b/>
                <w:bCs w:val="0"/>
                <w:color w:val="auto"/>
                <w:sz w:val="24"/>
                <w:szCs w:val="21"/>
                <w:lang w:val="en-US" w:eastAsia="zh-CN"/>
              </w:rPr>
              <w:t>12）</w:t>
            </w:r>
            <w:r>
              <w:rPr>
                <w:rFonts w:hint="eastAsia" w:ascii="宋体" w:hAnsi="宋体" w:eastAsia="宋体" w:cs="Times New Roman"/>
                <w:b/>
                <w:bCs/>
                <w:color w:val="auto"/>
                <w:sz w:val="24"/>
                <w:szCs w:val="24"/>
                <w:lang w:val="en-US" w:eastAsia="zh-CN"/>
              </w:rPr>
              <w:t>三伏贴工艺</w:t>
            </w:r>
            <w:r>
              <w:rPr>
                <w:rFonts w:hint="eastAsia" w:ascii="宋体" w:hAnsi="宋体"/>
                <w:b/>
                <w:bCs/>
                <w:color w:val="auto"/>
                <w:sz w:val="24"/>
                <w:szCs w:val="24"/>
                <w:lang w:val="en-US" w:eastAsia="zh-CN"/>
              </w:rPr>
              <w:t>流程说明</w:t>
            </w:r>
          </w:p>
          <w:p w14:paraId="26D2FCC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Times New Roman" w:hAnsi="Times New Roman" w:eastAsia="宋体" w:cs="Times New Roman"/>
                <w:b/>
                <w:bCs w:val="0"/>
                <w:color w:val="auto"/>
                <w:sz w:val="24"/>
                <w:szCs w:val="21"/>
                <w:lang w:val="en-US" w:eastAsia="zh-CN"/>
              </w:rPr>
            </w:pPr>
            <w:r>
              <w:rPr>
                <w:rFonts w:hint="eastAsia" w:ascii="Times New Roman" w:hAnsi="Times New Roman" w:eastAsia="宋体" w:cs="Times New Roman"/>
                <w:b/>
                <w:bCs w:val="0"/>
                <w:color w:val="auto"/>
                <w:sz w:val="24"/>
                <w:szCs w:val="21"/>
                <w:lang w:val="en-US" w:eastAsia="zh-CN"/>
              </w:rPr>
              <w:object>
                <v:shape id="_x0000_i1038" o:spt="75" type="#_x0000_t75" style="height:288.2pt;width:152.4pt;" o:ole="t" filled="f" o:preferrelative="t" stroked="f" coordsize="21600,21600">
                  <v:path/>
                  <v:fill on="f" focussize="0,0"/>
                  <v:stroke on="f"/>
                  <v:imagedata r:id="rId38" o:title=""/>
                  <o:lock v:ext="edit" aspectratio="f"/>
                  <w10:wrap type="none"/>
                  <w10:anchorlock/>
                </v:shape>
                <o:OLEObject Type="Embed" ProgID="Visio.Drawing.11" ShapeID="_x0000_i1038" DrawAspect="Content" ObjectID="_1468075738" r:id="rId37">
                  <o:LockedField>false</o:LockedField>
                </o:OLEObject>
              </w:object>
            </w:r>
          </w:p>
          <w:p w14:paraId="29F8E938">
            <w:pPr>
              <w:keepNext w:val="0"/>
              <w:keepLines w:val="0"/>
              <w:pageBreakBefore w:val="0"/>
              <w:widowControl w:val="0"/>
              <w:kinsoku/>
              <w:wordWrap/>
              <w:overflowPunct/>
              <w:topLinePunct w:val="0"/>
              <w:autoSpaceDE/>
              <w:autoSpaceDN/>
              <w:bidi w:val="0"/>
              <w:adjustRightInd w:val="0"/>
              <w:snapToGrid w:val="0"/>
              <w:spacing w:line="360" w:lineRule="auto"/>
              <w:ind w:firstLine="438" w:firstLineChars="200"/>
              <w:jc w:val="center"/>
              <w:textAlignment w:val="auto"/>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pP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图2-</w:t>
            </w:r>
            <w:r>
              <w:rPr>
                <w:rFonts w:hint="eastAsia" w:cs="Times New Roman"/>
                <w:b/>
                <w:bCs/>
                <w:snapToGrid w:val="0"/>
                <w:color w:val="auto"/>
                <w:spacing w:val="4"/>
                <w:kern w:val="18"/>
                <w:sz w:val="21"/>
                <w:szCs w:val="21"/>
                <w:highlight w:val="none"/>
                <w:shd w:val="clear" w:color="auto" w:fill="auto"/>
                <w:lang w:val="en-US" w:eastAsia="zh-CN" w:bidi="ar-SA"/>
              </w:rPr>
              <w:t>14</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 xml:space="preserve">  三伏贴</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工艺流程</w:t>
            </w:r>
            <w:r>
              <w:rPr>
                <w:rFonts w:hint="eastAsia" w:ascii="Times New Roman" w:hAnsi="Times New Roman" w:eastAsia="宋体" w:cs="Times New Roman"/>
                <w:b/>
                <w:bCs/>
                <w:snapToGrid w:val="0"/>
                <w:color w:val="auto"/>
                <w:spacing w:val="4"/>
                <w:kern w:val="18"/>
                <w:sz w:val="21"/>
                <w:szCs w:val="21"/>
                <w:highlight w:val="none"/>
                <w:shd w:val="clear" w:color="auto" w:fill="auto"/>
                <w:lang w:val="en-US" w:eastAsia="zh-CN" w:bidi="ar-SA"/>
              </w:rPr>
              <w:t>及产污环节</w:t>
            </w:r>
            <w:r>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t>图</w:t>
            </w:r>
          </w:p>
          <w:p w14:paraId="177E71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1、原材料准备</w:t>
            </w:r>
          </w:p>
          <w:p w14:paraId="5685DD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检查产品的要求，需生产的数量，并计算出需要原材料数量。</w:t>
            </w:r>
          </w:p>
          <w:p w14:paraId="527501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2、涂布分切</w:t>
            </w:r>
          </w:p>
          <w:p w14:paraId="65E6AD4E">
            <w:pPr>
              <w:pStyle w:val="8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将胶体置入涂布机内，按生产指令要求进行涂布作业，使用激光机将涂布的胶体进行裁剪，形状根据客户需要而定</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固废及噪声</w:t>
            </w:r>
            <w:r>
              <w:rPr>
                <w:rFonts w:hint="default" w:ascii="Times New Roman" w:hAnsi="Times New Roman" w:cs="Times New Roman"/>
                <w:color w:val="auto"/>
                <w:sz w:val="24"/>
                <w:szCs w:val="24"/>
              </w:rPr>
              <w:t>。</w:t>
            </w:r>
          </w:p>
          <w:p w14:paraId="40A1F2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3、复合冲片</w:t>
            </w:r>
          </w:p>
          <w:p w14:paraId="09577B5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检查设备正常后开机复合操作，将复合后交合整齐的产品按规格进行冲片，半成品成型要求整齐、无皱褶、无偏差，大小尺寸统一</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噪声</w:t>
            </w:r>
            <w:r>
              <w:rPr>
                <w:rFonts w:hint="default" w:ascii="Times New Roman" w:hAnsi="Times New Roman" w:cs="Times New Roman"/>
                <w:color w:val="auto"/>
                <w:sz w:val="24"/>
                <w:szCs w:val="24"/>
              </w:rPr>
              <w:t>。</w:t>
            </w:r>
          </w:p>
          <w:p w14:paraId="2C67C2B3">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4、过程检验</w:t>
            </w:r>
          </w:p>
          <w:p w14:paraId="5C09EA89">
            <w:pPr>
              <w:adjustRightInd/>
              <w:spacing w:line="360" w:lineRule="auto"/>
              <w:ind w:firstLine="480" w:firstLineChars="20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rPr>
              <w:t>生产过程中，对各工序半成品做性能指标检验</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w:t>
            </w:r>
          </w:p>
          <w:p w14:paraId="787CED83">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5、产品包装</w:t>
            </w:r>
          </w:p>
          <w:p w14:paraId="1DED5BA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内包：将半成品装内袋中，用封口机封口，需要打码的，安装打码轮</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w:t>
            </w:r>
            <w:r>
              <w:rPr>
                <w:rFonts w:hint="default" w:ascii="Times New Roman" w:hAnsi="Times New Roman" w:cs="Times New Roman"/>
                <w:color w:val="auto"/>
                <w:sz w:val="24"/>
                <w:szCs w:val="24"/>
              </w:rPr>
              <w:t>。</w:t>
            </w:r>
          </w:p>
          <w:p w14:paraId="716BA923">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外包：使用喷码机将产品批号、生产日期、有效期至日期喷好。将内包好的产品及说明书按规定装入包装中</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固废及有机废气</w:t>
            </w:r>
            <w:r>
              <w:rPr>
                <w:rFonts w:hint="default" w:ascii="Times New Roman" w:hAnsi="Times New Roman" w:cs="Times New Roman"/>
                <w:color w:val="auto"/>
                <w:sz w:val="24"/>
                <w:szCs w:val="24"/>
              </w:rPr>
              <w:t>。</w:t>
            </w:r>
          </w:p>
          <w:p w14:paraId="1F596136">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6、成品检验</w:t>
            </w:r>
          </w:p>
          <w:p w14:paraId="7B7F2429">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按出厂检验要求，对成品做成品检验</w:t>
            </w:r>
            <w:r>
              <w:rPr>
                <w:rFonts w:hint="eastAsia" w:cs="Times New Roman"/>
                <w:color w:val="auto"/>
                <w:sz w:val="24"/>
                <w:szCs w:val="24"/>
                <w:lang w:eastAsia="zh-CN"/>
              </w:rPr>
              <w:t>，</w:t>
            </w:r>
            <w:r>
              <w:rPr>
                <w:rFonts w:hint="eastAsia" w:cs="Times New Roman"/>
                <w:color w:val="FF0000"/>
                <w:sz w:val="24"/>
                <w:szCs w:val="24"/>
                <w:lang w:val="en-US" w:eastAsia="zh-CN"/>
              </w:rPr>
              <w:t>此</w:t>
            </w:r>
            <w:r>
              <w:rPr>
                <w:rFonts w:hint="eastAsia" w:ascii="Times New Roman" w:eastAsia="宋体"/>
                <w:b w:val="0"/>
                <w:bCs w:val="0"/>
                <w:color w:val="FF0000"/>
                <w:sz w:val="24"/>
                <w:szCs w:val="24"/>
                <w:lang w:eastAsia="zh-CN"/>
              </w:rPr>
              <w:t>过程中会产生</w:t>
            </w:r>
            <w:r>
              <w:rPr>
                <w:rFonts w:hint="eastAsia"/>
                <w:b w:val="0"/>
                <w:bCs w:val="0"/>
                <w:color w:val="FF0000"/>
                <w:sz w:val="24"/>
                <w:szCs w:val="24"/>
                <w:lang w:val="en-US" w:eastAsia="zh-CN"/>
              </w:rPr>
              <w:t>固废</w:t>
            </w:r>
            <w:r>
              <w:rPr>
                <w:rFonts w:hint="default" w:ascii="Times New Roman" w:hAnsi="Times New Roman" w:cs="Times New Roman"/>
                <w:color w:val="auto"/>
                <w:sz w:val="24"/>
                <w:szCs w:val="24"/>
              </w:rPr>
              <w:t>。</w:t>
            </w:r>
          </w:p>
          <w:p w14:paraId="1F2B7565">
            <w:pPr>
              <w:adjustRightInd/>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7、成品入库</w:t>
            </w:r>
          </w:p>
          <w:p w14:paraId="6BB573F9">
            <w:pPr>
              <w:adjustRightInd/>
              <w:spacing w:line="360" w:lineRule="auto"/>
              <w:ind w:firstLine="480" w:firstLineChars="200"/>
              <w:rPr>
                <w:rFonts w:hint="default" w:ascii="Times New Roman" w:hAnsi="Times New Roman" w:eastAsia="宋体" w:cs="Times New Roman"/>
                <w:b/>
                <w:bCs/>
                <w:snapToGrid w:val="0"/>
                <w:color w:val="auto"/>
                <w:spacing w:val="4"/>
                <w:kern w:val="18"/>
                <w:sz w:val="21"/>
                <w:szCs w:val="21"/>
                <w:highlight w:val="none"/>
                <w:shd w:val="clear" w:color="auto" w:fill="auto"/>
                <w:lang w:val="en-US" w:eastAsia="zh-CN" w:bidi="ar-SA"/>
              </w:rPr>
            </w:pPr>
            <w:r>
              <w:rPr>
                <w:rFonts w:hint="default" w:ascii="Times New Roman" w:hAnsi="Times New Roman" w:cs="Times New Roman"/>
                <w:color w:val="auto"/>
                <w:sz w:val="24"/>
                <w:szCs w:val="24"/>
              </w:rPr>
              <w:t>将合格产品登记批号、数量、品名后办理入库手续，按区域放置，标识清楚，注意防潮、防霉、防污染和防混淆。</w:t>
            </w:r>
          </w:p>
          <w:p w14:paraId="3960BDA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1"/>
                <w:lang w:val="en-US" w:eastAsia="zh-CN"/>
              </w:rPr>
            </w:pPr>
            <w:r>
              <w:rPr>
                <w:rFonts w:hint="default" w:ascii="Times New Roman" w:hAnsi="Times New Roman" w:cs="Times New Roman"/>
                <w:b/>
                <w:bCs w:val="0"/>
                <w:color w:val="auto"/>
                <w:sz w:val="24"/>
                <w:szCs w:val="21"/>
                <w:lang w:val="en-US" w:eastAsia="zh-CN"/>
              </w:rPr>
              <w:t>3、</w:t>
            </w:r>
            <w:r>
              <w:rPr>
                <w:rFonts w:hint="default" w:ascii="Times New Roman" w:hAnsi="Times New Roman" w:eastAsia="宋体" w:cs="Times New Roman"/>
                <w:b/>
                <w:bCs w:val="0"/>
                <w:color w:val="auto"/>
                <w:sz w:val="24"/>
                <w:szCs w:val="21"/>
                <w:lang w:val="en-US" w:eastAsia="zh-CN"/>
              </w:rPr>
              <w:t>纯水制备工艺</w:t>
            </w:r>
          </w:p>
          <w:p w14:paraId="055F3391">
            <w:pPr>
              <w:pStyle w:val="37"/>
              <w:keepNext w:val="0"/>
              <w:keepLines w:val="0"/>
              <w:pageBreakBefore w:val="0"/>
              <w:widowControl w:val="0"/>
              <w:kinsoku/>
              <w:wordWrap/>
              <w:overflowPunct/>
              <w:topLinePunct w:val="0"/>
              <w:bidi w:val="0"/>
              <w:adjustRightInd w:val="0"/>
              <w:spacing w:before="0" w:after="0" w:line="360" w:lineRule="auto"/>
              <w:ind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本项目采用RO膜制备纯水，自来水进入纯水机后，先经过石英砂和活性炭的过滤，再通过RO膜制成纯水。</w:t>
            </w:r>
          </w:p>
          <w:p w14:paraId="32C2AF29">
            <w:pPr>
              <w:pStyle w:val="17"/>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INCLUDEPICTURE \d "http://www.volchy.com/d/file/chanpin/daxinggongchengchunshuishebei/2017-04-08/8e9b952694681c56875ed6af8aa3e520.jpg" \* MERGEFORMATINET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drawing>
                <wp:inline distT="0" distB="0" distL="114300" distR="114300">
                  <wp:extent cx="3513455" cy="1705610"/>
                  <wp:effectExtent l="0" t="0" r="10795" b="8890"/>
                  <wp:docPr id="19" name="图片 24" descr="http://www.volchy.com/d/file/chanpin/daxinggongchengchunshuishebei/2017-04-08/8e9b952694681c56875ed6af8aa3e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http://www.volchy.com/d/file/chanpin/daxinggongchengchunshuishebei/2017-04-08/8e9b952694681c56875ed6af8aa3e520.jpg"/>
                          <pic:cNvPicPr>
                            <a:picLocks noChangeAspect="1"/>
                          </pic:cNvPicPr>
                        </pic:nvPicPr>
                        <pic:blipFill>
                          <a:blip r:embed="rId39" r:link="rId40"/>
                          <a:stretch>
                            <a:fillRect/>
                          </a:stretch>
                        </pic:blipFill>
                        <pic:spPr>
                          <a:xfrm>
                            <a:off x="0" y="0"/>
                            <a:ext cx="3513455" cy="1705610"/>
                          </a:xfrm>
                          <a:prstGeom prst="rect">
                            <a:avLst/>
                          </a:prstGeom>
                          <a:noFill/>
                          <a:ln>
                            <a:noFill/>
                          </a:ln>
                        </pic:spPr>
                      </pic:pic>
                    </a:graphicData>
                  </a:graphic>
                </wp:inline>
              </w:drawing>
            </w:r>
            <w:r>
              <w:rPr>
                <w:rFonts w:hint="eastAsia" w:ascii="Times New Roman" w:hAnsi="Times New Roman" w:eastAsia="宋体" w:cs="Times New Roman"/>
                <w:color w:val="auto"/>
                <w:sz w:val="24"/>
                <w:szCs w:val="24"/>
                <w:lang w:val="en-US" w:eastAsia="zh-CN"/>
              </w:rPr>
              <w:fldChar w:fldCharType="end"/>
            </w:r>
          </w:p>
          <w:p w14:paraId="45C3416C">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val="0"/>
                <w:bCs/>
                <w:color w:val="auto"/>
                <w:spacing w:val="0"/>
                <w:sz w:val="24"/>
                <w:szCs w:val="24"/>
                <w:lang w:val="en-US" w:eastAsia="zh-CN"/>
              </w:rPr>
            </w:pPr>
            <w:r>
              <w:rPr>
                <w:rFonts w:hint="eastAsia" w:ascii="Times New Roman" w:hAnsi="Times New Roman" w:eastAsia="宋体" w:cs="Times New Roman"/>
                <w:b/>
                <w:bCs/>
                <w:color w:val="auto"/>
                <w:sz w:val="21"/>
                <w:szCs w:val="21"/>
                <w:lang w:val="en-US" w:eastAsia="zh-CN"/>
              </w:rPr>
              <w:t>图</w:t>
            </w:r>
            <w:r>
              <w:rPr>
                <w:rFonts w:hint="eastAsia"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 xml:space="preserve">15 </w:t>
            </w:r>
            <w:r>
              <w:rPr>
                <w:rFonts w:hint="eastAsia" w:ascii="Times New Roman" w:hAnsi="Times New Roman" w:eastAsia="宋体" w:cs="Times New Roman"/>
                <w:b/>
                <w:bCs/>
                <w:color w:val="auto"/>
                <w:sz w:val="21"/>
                <w:szCs w:val="21"/>
                <w:lang w:val="en-US" w:eastAsia="zh-CN"/>
              </w:rPr>
              <w:t xml:space="preserve"> 纯水制备工艺图</w:t>
            </w:r>
          </w:p>
          <w:p w14:paraId="30908FD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1"/>
                <w:lang w:val="en-US" w:eastAsia="zh-CN"/>
              </w:rPr>
            </w:pPr>
            <w:r>
              <w:rPr>
                <w:rFonts w:hint="eastAsia" w:cs="Times New Roman"/>
                <w:b/>
                <w:bCs w:val="0"/>
                <w:color w:val="auto"/>
                <w:sz w:val="24"/>
                <w:szCs w:val="21"/>
                <w:lang w:val="en-US" w:eastAsia="zh-CN"/>
              </w:rPr>
              <w:t>4、</w:t>
            </w:r>
            <w:r>
              <w:rPr>
                <w:rFonts w:hint="default" w:ascii="Times New Roman" w:hAnsi="Times New Roman" w:eastAsia="宋体" w:cs="Times New Roman"/>
                <w:b/>
                <w:bCs w:val="0"/>
                <w:color w:val="auto"/>
                <w:sz w:val="24"/>
                <w:szCs w:val="21"/>
                <w:lang w:val="en-US" w:eastAsia="zh-CN"/>
              </w:rPr>
              <w:t>产品</w:t>
            </w:r>
            <w:r>
              <w:rPr>
                <w:rFonts w:hint="default" w:ascii="Times New Roman" w:hAnsi="Times New Roman" w:cs="Times New Roman"/>
                <w:b/>
                <w:bCs w:val="0"/>
                <w:color w:val="auto"/>
                <w:sz w:val="24"/>
                <w:szCs w:val="21"/>
                <w:lang w:val="en-US" w:eastAsia="zh-CN"/>
              </w:rPr>
              <w:t>检测</w:t>
            </w:r>
            <w:r>
              <w:rPr>
                <w:rFonts w:hint="default" w:ascii="Times New Roman" w:hAnsi="Times New Roman" w:eastAsia="宋体" w:cs="Times New Roman"/>
                <w:b/>
                <w:bCs w:val="0"/>
                <w:color w:val="auto"/>
                <w:sz w:val="24"/>
                <w:szCs w:val="21"/>
                <w:lang w:val="en-US" w:eastAsia="zh-CN"/>
              </w:rPr>
              <w:t>方法</w:t>
            </w:r>
          </w:p>
          <w:p w14:paraId="168E0A0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1"/>
                <w:lang w:val="en-US" w:eastAsia="zh-CN"/>
              </w:rPr>
            </w:pPr>
            <w:r>
              <w:rPr>
                <w:rFonts w:hint="default" w:ascii="Times New Roman" w:hAnsi="Times New Roman" w:cs="Times New Roman"/>
                <w:b/>
                <w:bCs w:val="0"/>
                <w:color w:val="auto"/>
                <w:sz w:val="24"/>
                <w:szCs w:val="21"/>
                <w:lang w:val="en-US" w:eastAsia="zh-CN"/>
              </w:rPr>
              <w:t>1）</w:t>
            </w:r>
            <w:r>
              <w:rPr>
                <w:rFonts w:hint="default" w:ascii="Times New Roman" w:hAnsi="Times New Roman" w:eastAsia="宋体" w:cs="Times New Roman"/>
                <w:b/>
                <w:bCs w:val="0"/>
                <w:color w:val="auto"/>
                <w:sz w:val="24"/>
                <w:szCs w:val="21"/>
                <w:lang w:val="en-US" w:eastAsia="zh-CN"/>
              </w:rPr>
              <w:t>医用退热</w:t>
            </w:r>
            <w:r>
              <w:rPr>
                <w:rFonts w:hint="eastAsia" w:cs="Times New Roman"/>
                <w:b/>
                <w:bCs w:val="0"/>
                <w:color w:val="auto"/>
                <w:sz w:val="24"/>
                <w:szCs w:val="21"/>
                <w:lang w:val="en-US" w:eastAsia="zh-CN"/>
              </w:rPr>
              <w:t>/冰凉</w:t>
            </w:r>
            <w:r>
              <w:rPr>
                <w:rFonts w:hint="default" w:ascii="Times New Roman" w:hAnsi="Times New Roman" w:eastAsia="宋体" w:cs="Times New Roman"/>
                <w:b/>
                <w:bCs w:val="0"/>
                <w:color w:val="auto"/>
                <w:sz w:val="24"/>
                <w:szCs w:val="21"/>
                <w:lang w:val="en-US" w:eastAsia="zh-CN"/>
              </w:rPr>
              <w:t>贴：</w:t>
            </w:r>
          </w:p>
          <w:p w14:paraId="3F83591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医用退热贴需进行</w:t>
            </w:r>
            <w:r>
              <w:rPr>
                <w:rFonts w:hint="default" w:ascii="Times New Roman" w:hAnsi="Times New Roman" w:eastAsia="宋体" w:cs="Times New Roman"/>
                <w:color w:val="auto"/>
                <w:sz w:val="24"/>
                <w:szCs w:val="24"/>
              </w:rPr>
              <w:t>粘着力</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剥离强度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耐热性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耐寒性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密封性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PH值</w:t>
            </w:r>
            <w:r>
              <w:rPr>
                <w:rFonts w:hint="default" w:ascii="Times New Roman" w:hAnsi="Times New Roman" w:eastAsia="宋体" w:cs="Times New Roman"/>
                <w:color w:val="auto"/>
                <w:sz w:val="24"/>
                <w:szCs w:val="24"/>
                <w:lang w:eastAsia="zh-CN"/>
              </w:rPr>
              <w:t>的检验，主要采用物理方法进行检验，不使用化学试剂。</w:t>
            </w:r>
          </w:p>
          <w:p w14:paraId="091C81D6">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eastAsia="宋体" w:cs="Times New Roman"/>
                <w:b/>
                <w:bCs/>
                <w:color w:val="auto"/>
                <w:sz w:val="24"/>
                <w:szCs w:val="21"/>
                <w:lang w:val="en-US" w:eastAsia="zh-CN"/>
              </w:rPr>
              <w:t>生理性海水喷雾：</w:t>
            </w:r>
          </w:p>
          <w:p w14:paraId="74F75501">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b w:val="0"/>
                <w:bCs/>
                <w:color w:val="auto"/>
                <w:spacing w:val="-6"/>
                <w:sz w:val="24"/>
                <w:szCs w:val="21"/>
                <w:lang w:val="en-US" w:eastAsia="zh-CN"/>
              </w:rPr>
            </w:pPr>
            <w:r>
              <w:rPr>
                <w:rFonts w:hint="default" w:ascii="Times New Roman" w:hAnsi="Times New Roman" w:eastAsia="宋体" w:cs="Times New Roman"/>
                <w:b w:val="0"/>
                <w:bCs/>
                <w:color w:val="auto"/>
                <w:spacing w:val="-6"/>
                <w:sz w:val="24"/>
                <w:szCs w:val="21"/>
                <w:lang w:val="en-US" w:eastAsia="zh-CN"/>
              </w:rPr>
              <w:t>生理性海水喷雾需进行</w:t>
            </w:r>
            <w:r>
              <w:rPr>
                <w:rFonts w:hint="default" w:ascii="Times New Roman" w:hAnsi="Times New Roman" w:cs="Times New Roman"/>
                <w:b w:val="0"/>
                <w:bCs/>
                <w:color w:val="auto"/>
                <w:spacing w:val="-6"/>
                <w:sz w:val="24"/>
                <w:szCs w:val="21"/>
                <w:lang w:val="en-US" w:eastAsia="zh-CN"/>
              </w:rPr>
              <w:t>p</w:t>
            </w:r>
            <w:r>
              <w:rPr>
                <w:rFonts w:hint="default" w:ascii="Times New Roman" w:hAnsi="Times New Roman" w:eastAsia="宋体" w:cs="Times New Roman"/>
                <w:b w:val="0"/>
                <w:bCs/>
                <w:color w:val="auto"/>
                <w:spacing w:val="-6"/>
                <w:sz w:val="24"/>
                <w:szCs w:val="21"/>
                <w:lang w:val="en-US" w:eastAsia="zh-CN"/>
              </w:rPr>
              <w:t>H值、重金属含量、砷含量、氯化钠含量的检验。</w:t>
            </w:r>
          </w:p>
          <w:p w14:paraId="295A93F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lang w:val="en-US" w:eastAsia="zh-CN"/>
              </w:rPr>
            </w:pPr>
            <w:r>
              <w:rPr>
                <w:rFonts w:hint="default" w:ascii="Times New Roman" w:hAnsi="Times New Roman" w:eastAsia="宋体" w:cs="Times New Roman"/>
                <w:b w:val="0"/>
                <w:bCs/>
                <w:color w:val="auto"/>
                <w:sz w:val="24"/>
                <w:szCs w:val="21"/>
                <w:lang w:val="en-US" w:eastAsia="zh-CN"/>
              </w:rPr>
              <w:t>A、重金属含量的检验：</w:t>
            </w:r>
          </w:p>
          <w:p w14:paraId="56DD2E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lang w:val="en-US" w:eastAsia="zh-CN"/>
              </w:rPr>
            </w:pPr>
            <w:r>
              <w:rPr>
                <w:rFonts w:hint="default" w:ascii="Times New Roman" w:hAnsi="Times New Roman" w:cs="Times New Roman"/>
                <w:b w:val="0"/>
                <w:bCs/>
                <w:color w:val="auto"/>
                <w:sz w:val="24"/>
                <w:szCs w:val="21"/>
                <w:lang w:val="en-US" w:eastAsia="zh-CN"/>
              </w:rPr>
              <w:t>标准铅溶液的制备：称取硝酸铅0.1599g，置1000mL量瓶中，加硝酸50mL和水50mL溶解后，用水稀释至刻度，摇匀，作为贮备液</w:t>
            </w:r>
          </w:p>
          <w:p w14:paraId="5CD21C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sz w:val="24"/>
                <w:szCs w:val="21"/>
                <w:lang w:val="en-US" w:eastAsia="zh-CN"/>
              </w:rPr>
            </w:pPr>
            <w:r>
              <w:rPr>
                <w:rFonts w:hint="default" w:ascii="Times New Roman" w:hAnsi="Times New Roman" w:cs="Times New Roman"/>
                <w:b w:val="0"/>
                <w:bCs/>
                <w:color w:val="auto"/>
                <w:sz w:val="24"/>
                <w:szCs w:val="21"/>
                <w:lang w:val="en-US" w:eastAsia="zh-CN"/>
              </w:rPr>
              <w:t>量取贮备液10mL，置100mL量瓶中，加水稀释至刻度，摇匀即得。</w:t>
            </w:r>
          </w:p>
          <w:p w14:paraId="1240EE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lang w:val="en-US" w:eastAsia="zh-CN"/>
              </w:rPr>
            </w:pPr>
            <w:r>
              <w:rPr>
                <w:rFonts w:hint="default" w:ascii="Times New Roman" w:hAnsi="Times New Roman" w:cs="Times New Roman"/>
                <w:b w:val="0"/>
                <w:bCs/>
                <w:color w:val="auto"/>
                <w:sz w:val="24"/>
                <w:szCs w:val="21"/>
                <w:lang w:val="en-US" w:eastAsia="zh-CN"/>
              </w:rPr>
              <w:t>检验：</w:t>
            </w:r>
            <w:r>
              <w:rPr>
                <w:rFonts w:hint="default" w:ascii="Times New Roman" w:hAnsi="Times New Roman" w:eastAsia="宋体" w:cs="Times New Roman"/>
                <w:b w:val="0"/>
                <w:bCs/>
                <w:color w:val="auto"/>
                <w:sz w:val="24"/>
                <w:szCs w:val="21"/>
                <w:lang w:val="en-US" w:eastAsia="zh-CN"/>
              </w:rPr>
              <w:t>取25ml纳氏比色管三支，甲管中加标准铅溶液一定量与醋酸盐缓冲液（pH3.5）2ml后，加水或各品种项下规定的溶剂稀释成25ml，乙管中加入按各品种项下规定的方法制成的供试品溶液25ml，丙管中加入与乙管相同重量的供试品，加配制供试品溶液的溶剂适量使溶解，再加与甲管相同量的标准铅溶液与醋酸盐缓冲液（pH3.5）2ml后，用溶剂稀释成25ml；若供试品溶液带颜色，可在甲管中滴加少量的稀焦糖溶液或其他无干扰的有色溶液，使之与乙管、丙管一致；再在甲、乙、丙三管中分别加硫代乙酰胺试液各2ml，摇匀，放置2分钟，同置白纸上，自上向下透视，当丙管中显出的颜色不浅于甲管时，乙管中显示的颜色与甲管比较，不得更深。</w:t>
            </w:r>
          </w:p>
          <w:p w14:paraId="7B4E948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1"/>
                <w:lang w:val="en-US" w:eastAsia="zh-CN"/>
              </w:rPr>
            </w:pPr>
            <w:r>
              <w:rPr>
                <w:rFonts w:hint="default" w:ascii="Times New Roman" w:hAnsi="Times New Roman" w:cs="Times New Roman"/>
                <w:b/>
                <w:bCs w:val="0"/>
                <w:color w:val="auto"/>
                <w:sz w:val="24"/>
                <w:szCs w:val="21"/>
                <w:lang w:val="en-US" w:eastAsia="zh-CN"/>
              </w:rPr>
              <w:t>3）</w:t>
            </w:r>
            <w:r>
              <w:rPr>
                <w:rFonts w:hint="eastAsia" w:ascii="Times New Roman" w:hAnsi="Times New Roman" w:eastAsia="宋体" w:cs="Times New Roman"/>
                <w:b/>
                <w:bCs w:val="0"/>
                <w:color w:val="auto"/>
                <w:sz w:val="24"/>
                <w:szCs w:val="21"/>
                <w:lang w:val="en-US" w:eastAsia="zh-CN"/>
              </w:rPr>
              <w:t>医用硅酮疤痕凝胶</w:t>
            </w:r>
            <w:r>
              <w:rPr>
                <w:rFonts w:hint="default" w:ascii="Times New Roman" w:hAnsi="Times New Roman" w:eastAsia="宋体" w:cs="Times New Roman"/>
                <w:b/>
                <w:bCs w:val="0"/>
                <w:color w:val="auto"/>
                <w:sz w:val="24"/>
                <w:szCs w:val="21"/>
                <w:lang w:val="en-US" w:eastAsia="zh-CN"/>
              </w:rPr>
              <w:t>：</w:t>
            </w:r>
          </w:p>
          <w:p w14:paraId="05CDC49A">
            <w:pPr>
              <w:keepNext w:val="0"/>
              <w:keepLines w:val="0"/>
              <w:pageBreakBefore w:val="0"/>
              <w:widowControl w:val="0"/>
              <w:kinsoku/>
              <w:wordWrap/>
              <w:overflowPunct/>
              <w:topLinePunct w:val="0"/>
              <w:autoSpaceDE/>
              <w:autoSpaceDN/>
              <w:bidi w:val="0"/>
              <w:adjustRightInd w:val="0"/>
              <w:snapToGrid w:val="0"/>
              <w:spacing w:line="360" w:lineRule="auto"/>
              <w:ind w:firstLine="436" w:firstLineChars="200"/>
              <w:textAlignment w:val="auto"/>
              <w:rPr>
                <w:rFonts w:hint="default" w:ascii="Times New Roman" w:hAnsi="Times New Roman" w:eastAsia="宋体" w:cs="Times New Roman"/>
                <w:b w:val="0"/>
                <w:bCs/>
                <w:color w:val="auto"/>
                <w:spacing w:val="-11"/>
                <w:sz w:val="24"/>
                <w:szCs w:val="21"/>
                <w:lang w:val="en-US" w:eastAsia="zh-CN"/>
              </w:rPr>
            </w:pPr>
            <w:r>
              <w:rPr>
                <w:rFonts w:hint="eastAsia" w:ascii="Times New Roman" w:hAnsi="Times New Roman" w:eastAsia="宋体" w:cs="Times New Roman"/>
                <w:b w:val="0"/>
                <w:bCs/>
                <w:color w:val="auto"/>
                <w:spacing w:val="-11"/>
                <w:sz w:val="24"/>
                <w:szCs w:val="21"/>
                <w:lang w:val="en-US" w:eastAsia="zh-CN"/>
              </w:rPr>
              <w:t>医用硅酮疤痕凝胶</w:t>
            </w:r>
            <w:r>
              <w:rPr>
                <w:rFonts w:hint="default" w:ascii="Times New Roman" w:hAnsi="Times New Roman" w:eastAsia="宋体" w:cs="Times New Roman"/>
                <w:b w:val="0"/>
                <w:bCs/>
                <w:color w:val="auto"/>
                <w:spacing w:val="-11"/>
                <w:sz w:val="24"/>
                <w:szCs w:val="21"/>
                <w:lang w:val="en-US" w:eastAsia="zh-CN"/>
              </w:rPr>
              <w:t>需对成分、保湿性、重金属含量、微生物含量、PH值进行检验。</w:t>
            </w:r>
          </w:p>
          <w:p w14:paraId="28B43B2E">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A、保湿性的检验：</w:t>
            </w:r>
          </w:p>
          <w:p w14:paraId="72BC61C7">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取精密称重的10g硅酮凝胶敷料，均匀涂抹在90mm口径平皿中，将平皿放入37±1℃恒温培养箱中，取掉上盖，放置24h，取出样品进行称量，看减少量是否符合要求。</w:t>
            </w:r>
          </w:p>
          <w:p w14:paraId="6D0167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B、成分的测定：</w:t>
            </w:r>
          </w:p>
          <w:p w14:paraId="70F900B6">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a）取硅酮凝胶敷料0.5g，置玵涡中，加硫酸0.5ml与硝酸0.5ml，缓缓炽灼，即形成白色纤维状物，最后遗留白色残渣，即符合规定。</w:t>
            </w:r>
          </w:p>
          <w:p w14:paraId="574F3E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C、重金属含量的测定：同上。</w:t>
            </w:r>
          </w:p>
          <w:p w14:paraId="02DF95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lang w:val="en-US" w:eastAsia="zh-CN"/>
              </w:rPr>
            </w:pPr>
            <w:r>
              <w:rPr>
                <w:rFonts w:hint="default" w:ascii="Times New Roman" w:hAnsi="Times New Roman" w:eastAsia="宋体" w:cs="Times New Roman"/>
                <w:b w:val="0"/>
                <w:bCs/>
                <w:color w:val="auto"/>
                <w:sz w:val="24"/>
                <w:szCs w:val="21"/>
                <w:lang w:val="en-US" w:eastAsia="zh-CN"/>
              </w:rPr>
              <w:t>D、微生物含量的测定：</w:t>
            </w:r>
          </w:p>
          <w:p w14:paraId="1C23BD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1"/>
                <w:lang w:val="en-US" w:eastAsia="zh-CN"/>
              </w:rPr>
            </w:pPr>
            <w:r>
              <w:rPr>
                <w:rFonts w:hint="default" w:ascii="Times New Roman" w:hAnsi="Times New Roman" w:eastAsia="宋体" w:cs="Times New Roman"/>
                <w:b w:val="0"/>
                <w:bCs/>
                <w:color w:val="auto"/>
                <w:sz w:val="24"/>
                <w:szCs w:val="21"/>
                <w:lang w:val="en-US" w:eastAsia="zh-CN"/>
              </w:rPr>
              <w:t>采用《一次性使用卫生用品卫生标准》GB15979-2002附录B中所述方法进行检测。</w:t>
            </w:r>
          </w:p>
          <w:p w14:paraId="79ACF9A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4）</w:t>
            </w:r>
            <w:r>
              <w:rPr>
                <w:rFonts w:hint="default" w:ascii="Times New Roman" w:hAnsi="Times New Roman" w:cs="Times New Roman"/>
                <w:b/>
                <w:bCs w:val="0"/>
                <w:color w:val="auto"/>
                <w:sz w:val="24"/>
                <w:szCs w:val="24"/>
              </w:rPr>
              <w:t>重组胶原蛋白贴</w:t>
            </w:r>
            <w:r>
              <w:rPr>
                <w:rFonts w:hint="default" w:ascii="Times New Roman" w:hAnsi="Times New Roman" w:eastAsia="宋体" w:cs="Times New Roman"/>
                <w:b/>
                <w:bCs/>
                <w:color w:val="auto"/>
                <w:sz w:val="24"/>
                <w:szCs w:val="21"/>
                <w:lang w:val="en-US" w:eastAsia="zh-CN"/>
              </w:rPr>
              <w:t>：</w:t>
            </w:r>
          </w:p>
          <w:p w14:paraId="1CE0AD58">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b w:val="0"/>
                <w:bCs/>
                <w:color w:val="auto"/>
                <w:spacing w:val="-6"/>
                <w:sz w:val="24"/>
                <w:szCs w:val="24"/>
                <w:lang w:val="en-US" w:eastAsia="zh-CN"/>
              </w:rPr>
              <w:t>重组胶原蛋白贴需进行外观/性状、规格尺寸、pH值、重金属含量、黏度、重组胶原蛋白的含量和微生物限度的检验。</w:t>
            </w:r>
          </w:p>
          <w:p w14:paraId="3A57D5A5">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color w:val="auto"/>
                <w:spacing w:val="-6"/>
                <w:sz w:val="24"/>
                <w:szCs w:val="24"/>
                <w:lang w:val="en-US" w:eastAsia="zh-CN"/>
              </w:rPr>
              <w:t>外观/性状</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挤出凝胶应为无色凝胶状，布面平整，无明显肉眼可见异物</w:t>
            </w:r>
            <w:r>
              <w:rPr>
                <w:rFonts w:hint="default" w:ascii="Times New Roman" w:hAnsi="Times New Roman" w:cs="Times New Roman"/>
                <w:color w:val="auto"/>
                <w:sz w:val="24"/>
                <w:szCs w:val="24"/>
                <w:lang w:eastAsia="zh-CN"/>
              </w:rPr>
              <w:t>。</w:t>
            </w:r>
          </w:p>
          <w:p w14:paraId="63D4394D">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color w:val="auto"/>
                <w:spacing w:val="-6"/>
                <w:sz w:val="24"/>
                <w:szCs w:val="24"/>
                <w:lang w:val="en-US" w:eastAsia="zh-CN"/>
              </w:rPr>
              <w:t>规格尺寸</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误差应在±10%范围内</w:t>
            </w:r>
            <w:r>
              <w:rPr>
                <w:rFonts w:hint="default" w:ascii="Times New Roman" w:hAnsi="Times New Roman" w:cs="Times New Roman"/>
                <w:color w:val="auto"/>
                <w:sz w:val="24"/>
                <w:szCs w:val="24"/>
                <w:lang w:eastAsia="zh-CN"/>
              </w:rPr>
              <w:t>。</w:t>
            </w:r>
          </w:p>
          <w:p w14:paraId="160C9D1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pH</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应在4.5～8.0</w:t>
            </w:r>
            <w:r>
              <w:rPr>
                <w:rFonts w:hint="default" w:ascii="Times New Roman" w:hAnsi="Times New Roman" w:cs="Times New Roman"/>
                <w:color w:val="auto"/>
                <w:sz w:val="24"/>
                <w:szCs w:val="24"/>
                <w:lang w:eastAsia="zh-CN"/>
              </w:rPr>
              <w:t>。</w:t>
            </w:r>
          </w:p>
          <w:p w14:paraId="6EB9C7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重金属含量的测定：不超过百万分之十</w:t>
            </w:r>
            <w:r>
              <w:rPr>
                <w:rFonts w:hint="default" w:ascii="Times New Roman" w:hAnsi="Times New Roman" w:cs="Times New Roman"/>
                <w:color w:val="auto"/>
                <w:szCs w:val="21"/>
                <w:lang w:eastAsia="zh-CN"/>
              </w:rPr>
              <w:t>，</w:t>
            </w:r>
            <w:r>
              <w:rPr>
                <w:rFonts w:hint="default" w:ascii="Times New Roman" w:hAnsi="Times New Roman" w:eastAsia="宋体" w:cs="Times New Roman"/>
                <w:color w:val="auto"/>
                <w:sz w:val="24"/>
                <w:szCs w:val="24"/>
                <w:lang w:val="en-US" w:eastAsia="zh-CN"/>
              </w:rPr>
              <w:t>测定同上。</w:t>
            </w:r>
          </w:p>
          <w:p w14:paraId="564562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黏度</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在25℃下，挤出凝胶的黏度为不小于100mPa·s</w:t>
            </w:r>
            <w:r>
              <w:rPr>
                <w:rFonts w:hint="default" w:ascii="Times New Roman" w:hAnsi="Times New Roman" w:cs="Times New Roman"/>
                <w:color w:val="auto"/>
                <w:sz w:val="24"/>
                <w:szCs w:val="24"/>
                <w:lang w:eastAsia="zh-CN"/>
              </w:rPr>
              <w:t>。</w:t>
            </w:r>
          </w:p>
          <w:p w14:paraId="234601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重组胶原蛋白的含量</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应不少于0.2%</w:t>
            </w:r>
            <w:r>
              <w:rPr>
                <w:rFonts w:hint="default" w:ascii="Times New Roman" w:hAnsi="Times New Roman" w:cs="Times New Roman"/>
                <w:color w:val="auto"/>
                <w:sz w:val="24"/>
                <w:szCs w:val="24"/>
                <w:lang w:eastAsia="zh-CN"/>
              </w:rPr>
              <w:t>。</w:t>
            </w:r>
          </w:p>
          <w:p w14:paraId="1AF613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微生物限度</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需氧菌总数≤102cfu/g，霉菌和酵母菌总数≤101cfu/g，控制菌（金黄色葡萄球菌、铜绿假单胞菌、大肠埃希菌）不得检出</w:t>
            </w:r>
            <w:r>
              <w:rPr>
                <w:rFonts w:hint="default" w:ascii="Times New Roman" w:hAnsi="Times New Roman" w:cs="Times New Roman"/>
                <w:color w:val="auto"/>
                <w:sz w:val="24"/>
                <w:szCs w:val="24"/>
                <w:lang w:eastAsia="zh-CN"/>
              </w:rPr>
              <w:t>。</w:t>
            </w:r>
          </w:p>
          <w:p w14:paraId="15FEE72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Cs w:val="19"/>
                <w:lang w:bidi="ar"/>
              </w:rPr>
            </w:pPr>
            <w:r>
              <w:rPr>
                <w:rFonts w:hint="default" w:ascii="Times New Roman" w:hAnsi="Times New Roman" w:cs="Times New Roman"/>
                <w:b/>
                <w:bCs w:val="0"/>
                <w:color w:val="auto"/>
                <w:sz w:val="24"/>
                <w:szCs w:val="21"/>
                <w:lang w:val="en-US" w:eastAsia="zh-CN"/>
              </w:rPr>
              <w:t>5）</w:t>
            </w:r>
            <w:r>
              <w:rPr>
                <w:rFonts w:hint="default" w:ascii="Times New Roman" w:hAnsi="Times New Roman" w:cs="Times New Roman"/>
                <w:b/>
                <w:bCs/>
                <w:color w:val="auto"/>
                <w:sz w:val="24"/>
                <w:szCs w:val="24"/>
                <w:lang w:bidi="ar"/>
              </w:rPr>
              <w:t>医用透明质酸钠敷贴</w:t>
            </w:r>
          </w:p>
          <w:p w14:paraId="4CA02858">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b w:val="0"/>
                <w:bCs/>
                <w:color w:val="auto"/>
                <w:spacing w:val="-6"/>
                <w:sz w:val="24"/>
                <w:szCs w:val="24"/>
                <w:lang w:val="en-US" w:eastAsia="zh-CN"/>
              </w:rPr>
              <w:t>医用透明质酸钠敷贴需进行外观/性状、规格尺寸、pH值、重金属含量、含水量和微生物限度的检验。</w:t>
            </w:r>
          </w:p>
          <w:p w14:paraId="5D395EFB">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color w:val="auto"/>
                <w:spacing w:val="-6"/>
                <w:sz w:val="24"/>
                <w:szCs w:val="24"/>
                <w:lang w:val="en-US" w:eastAsia="zh-CN"/>
              </w:rPr>
              <w:t>外观/性状</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凝胶层应为无色或微黄色凝胶状，无明显肉眼可见异物</w:t>
            </w:r>
            <w:r>
              <w:rPr>
                <w:rFonts w:hint="default" w:ascii="Times New Roman" w:hAnsi="Times New Roman" w:cs="Times New Roman"/>
                <w:color w:val="auto"/>
                <w:sz w:val="24"/>
                <w:szCs w:val="24"/>
                <w:lang w:eastAsia="zh-CN"/>
              </w:rPr>
              <w:t>。</w:t>
            </w:r>
          </w:p>
          <w:p w14:paraId="7AF80AE9">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color w:val="auto"/>
                <w:spacing w:val="-6"/>
                <w:sz w:val="24"/>
                <w:szCs w:val="24"/>
                <w:lang w:val="en-US" w:eastAsia="zh-CN"/>
              </w:rPr>
              <w:t>规格尺寸</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误差应在±10%范围内</w:t>
            </w:r>
            <w:r>
              <w:rPr>
                <w:rFonts w:hint="default" w:ascii="Times New Roman" w:hAnsi="Times New Roman" w:cs="Times New Roman"/>
                <w:color w:val="auto"/>
                <w:sz w:val="24"/>
                <w:szCs w:val="24"/>
                <w:lang w:eastAsia="zh-CN"/>
              </w:rPr>
              <w:t>。</w:t>
            </w:r>
          </w:p>
          <w:p w14:paraId="7655A4A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pH</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应在</w:t>
            </w:r>
            <w:r>
              <w:rPr>
                <w:rFonts w:hint="default" w:ascii="Times New Roman" w:hAnsi="Times New Roman" w:cs="Times New Roman"/>
                <w:color w:val="auto"/>
                <w:sz w:val="24"/>
                <w:szCs w:val="24"/>
                <w:lang w:val="en-US" w:eastAsia="zh-CN"/>
              </w:rPr>
              <w:t>5.0</w:t>
            </w:r>
            <w:r>
              <w:rPr>
                <w:rFonts w:hint="default" w:ascii="Times New Roman" w:hAnsi="Times New Roman" w:cs="Times New Roman"/>
                <w:color w:val="auto"/>
                <w:sz w:val="24"/>
                <w:szCs w:val="24"/>
              </w:rPr>
              <w:t>～8.0</w:t>
            </w:r>
            <w:r>
              <w:rPr>
                <w:rFonts w:hint="default" w:ascii="Times New Roman" w:hAnsi="Times New Roman" w:cs="Times New Roman"/>
                <w:color w:val="auto"/>
                <w:sz w:val="24"/>
                <w:szCs w:val="24"/>
                <w:lang w:eastAsia="zh-CN"/>
              </w:rPr>
              <w:t>。</w:t>
            </w:r>
          </w:p>
          <w:p w14:paraId="287CDE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重金属含量的测定：</w:t>
            </w:r>
            <w:r>
              <w:rPr>
                <w:rFonts w:hint="default" w:ascii="Times New Roman" w:hAnsi="Times New Roman" w:cs="Times New Roman"/>
                <w:color w:val="auto"/>
                <w:sz w:val="24"/>
                <w:szCs w:val="24"/>
              </w:rPr>
              <w:t>重金属含量应不大于10µg/g</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测定方法</w:t>
            </w:r>
            <w:r>
              <w:rPr>
                <w:rFonts w:hint="default" w:ascii="Times New Roman" w:hAnsi="Times New Roman" w:eastAsia="宋体" w:cs="Times New Roman"/>
                <w:color w:val="auto"/>
                <w:sz w:val="24"/>
                <w:szCs w:val="24"/>
                <w:lang w:val="en-US" w:eastAsia="zh-CN"/>
              </w:rPr>
              <w:t>同上。</w:t>
            </w:r>
          </w:p>
          <w:p w14:paraId="16DC57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含水量</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含水量应不少于40%</w:t>
            </w:r>
          </w:p>
          <w:p w14:paraId="4F6238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微生物限度</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需氧菌总数≤102cfu/g，霉菌和酵母菌总数≤101cfu/g，控制菌（金黄色葡萄球菌、铜绿假单胞菌、大肠埃希菌）不得检出</w:t>
            </w:r>
            <w:r>
              <w:rPr>
                <w:rFonts w:hint="default" w:ascii="Times New Roman" w:hAnsi="Times New Roman" w:cs="Times New Roman"/>
                <w:color w:val="auto"/>
                <w:sz w:val="24"/>
                <w:szCs w:val="24"/>
                <w:lang w:eastAsia="zh-CN"/>
              </w:rPr>
              <w:t>。</w:t>
            </w:r>
          </w:p>
          <w:p w14:paraId="0DFF504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lang w:bidi="ar"/>
              </w:rPr>
            </w:pPr>
            <w:r>
              <w:rPr>
                <w:rFonts w:hint="default" w:ascii="Times New Roman" w:hAnsi="Times New Roman" w:cs="Times New Roman"/>
                <w:b/>
                <w:bCs/>
                <w:color w:val="auto"/>
                <w:sz w:val="24"/>
                <w:szCs w:val="24"/>
                <w:lang w:val="en-US" w:eastAsia="zh-CN" w:bidi="ar"/>
              </w:rPr>
              <w:t>6）</w:t>
            </w:r>
            <w:r>
              <w:rPr>
                <w:rFonts w:hint="default" w:ascii="Times New Roman" w:hAnsi="Times New Roman" w:cs="Times New Roman"/>
                <w:b/>
                <w:bCs/>
                <w:color w:val="auto"/>
                <w:sz w:val="24"/>
                <w:szCs w:val="24"/>
                <w:lang w:bidi="ar"/>
              </w:rPr>
              <w:t>壳聚糖止血粉</w:t>
            </w:r>
          </w:p>
          <w:p w14:paraId="4F442C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6"/>
                <w:sz w:val="24"/>
                <w:szCs w:val="24"/>
                <w:lang w:val="en-US" w:eastAsia="zh-CN"/>
              </w:rPr>
            </w:pPr>
            <w:r>
              <w:rPr>
                <w:rFonts w:hint="default" w:ascii="Times New Roman" w:hAnsi="Times New Roman" w:cs="Times New Roman"/>
                <w:b w:val="0"/>
                <w:bCs w:val="0"/>
                <w:color w:val="auto"/>
                <w:sz w:val="24"/>
                <w:szCs w:val="24"/>
                <w:lang w:bidi="ar"/>
              </w:rPr>
              <w:t>壳聚糖止血粉</w:t>
            </w:r>
            <w:r>
              <w:rPr>
                <w:rFonts w:hint="default" w:ascii="Times New Roman" w:hAnsi="Times New Roman" w:eastAsia="宋体" w:cs="Times New Roman"/>
                <w:b w:val="0"/>
                <w:bCs/>
                <w:color w:val="auto"/>
                <w:spacing w:val="-6"/>
                <w:sz w:val="24"/>
                <w:szCs w:val="24"/>
                <w:lang w:val="en-US" w:eastAsia="zh-CN"/>
              </w:rPr>
              <w:t>需进行外观/性状、装量、粒度、水分、</w:t>
            </w:r>
            <w:r>
              <w:rPr>
                <w:rFonts w:hint="default" w:ascii="Times New Roman" w:hAnsi="Times New Roman" w:cs="Times New Roman"/>
                <w:color w:val="auto"/>
                <w:sz w:val="24"/>
                <w:szCs w:val="24"/>
              </w:rPr>
              <w:t>pH</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酸不溶物</w:t>
            </w:r>
            <w:r>
              <w:rPr>
                <w:rFonts w:hint="default" w:ascii="Times New Roman" w:hAnsi="Times New Roman" w:eastAsia="宋体" w:cs="Times New Roman"/>
                <w:b w:val="0"/>
                <w:bCs/>
                <w:color w:val="auto"/>
                <w:spacing w:val="-6"/>
                <w:sz w:val="24"/>
                <w:szCs w:val="24"/>
                <w:lang w:val="en-US" w:eastAsia="zh-CN"/>
              </w:rPr>
              <w:t>和</w:t>
            </w:r>
            <w:r>
              <w:rPr>
                <w:rFonts w:hint="default" w:ascii="Times New Roman" w:hAnsi="Times New Roman" w:cs="Times New Roman"/>
                <w:color w:val="auto"/>
                <w:sz w:val="24"/>
                <w:szCs w:val="24"/>
              </w:rPr>
              <w:t>重金属含量</w:t>
            </w:r>
            <w:r>
              <w:rPr>
                <w:rFonts w:hint="default" w:ascii="Times New Roman" w:hAnsi="Times New Roman" w:eastAsia="宋体" w:cs="Times New Roman"/>
                <w:b w:val="0"/>
                <w:bCs/>
                <w:color w:val="auto"/>
                <w:spacing w:val="-6"/>
                <w:sz w:val="24"/>
                <w:szCs w:val="24"/>
                <w:lang w:val="en-US" w:eastAsia="zh-CN"/>
              </w:rPr>
              <w:t>的检验。</w:t>
            </w:r>
          </w:p>
          <w:p w14:paraId="2F4377AD">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color w:val="auto"/>
                <w:spacing w:val="-6"/>
                <w:sz w:val="24"/>
                <w:szCs w:val="24"/>
                <w:lang w:val="en-US" w:eastAsia="zh-CN"/>
              </w:rPr>
              <w:t>外观/性状</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类白色或浅黄色粉末固体，无肉眼可见的异物</w:t>
            </w:r>
            <w:r>
              <w:rPr>
                <w:rFonts w:hint="default" w:ascii="Times New Roman" w:hAnsi="Times New Roman" w:cs="Times New Roman"/>
                <w:color w:val="auto"/>
                <w:sz w:val="24"/>
                <w:szCs w:val="24"/>
                <w:lang w:eastAsia="zh-CN"/>
              </w:rPr>
              <w:t>。</w:t>
            </w:r>
          </w:p>
          <w:p w14:paraId="35537B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装量</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应不低于标识装量的93%，平均装量应不小于标示量</w:t>
            </w:r>
            <w:r>
              <w:rPr>
                <w:rFonts w:hint="default" w:ascii="Times New Roman" w:hAnsi="Times New Roman" w:cs="Times New Roman"/>
                <w:color w:val="auto"/>
                <w:sz w:val="24"/>
                <w:szCs w:val="24"/>
                <w:lang w:eastAsia="zh-CN"/>
              </w:rPr>
              <w:t>。</w:t>
            </w:r>
          </w:p>
          <w:p w14:paraId="19305F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粒度</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通过六号标准筛的粉末重量，不得少于95%</w:t>
            </w:r>
            <w:r>
              <w:rPr>
                <w:rFonts w:hint="default" w:ascii="Times New Roman" w:hAnsi="Times New Roman" w:cs="Times New Roman"/>
                <w:color w:val="auto"/>
                <w:sz w:val="24"/>
                <w:szCs w:val="24"/>
                <w:lang w:eastAsia="zh-CN"/>
              </w:rPr>
              <w:t>。</w:t>
            </w:r>
          </w:p>
          <w:p w14:paraId="652767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水分</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水分不得超过15%</w:t>
            </w:r>
            <w:r>
              <w:rPr>
                <w:rFonts w:hint="default" w:ascii="Times New Roman" w:hAnsi="Times New Roman" w:cs="Times New Roman"/>
                <w:color w:val="auto"/>
                <w:sz w:val="24"/>
                <w:szCs w:val="24"/>
                <w:lang w:eastAsia="zh-CN"/>
              </w:rPr>
              <w:t>。</w:t>
            </w:r>
          </w:p>
          <w:p w14:paraId="06175C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pH</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6.5-11.5</w:t>
            </w:r>
            <w:r>
              <w:rPr>
                <w:rFonts w:hint="default" w:ascii="Times New Roman" w:hAnsi="Times New Roman" w:cs="Times New Roman"/>
                <w:color w:val="auto"/>
                <w:sz w:val="24"/>
                <w:szCs w:val="24"/>
                <w:lang w:eastAsia="zh-CN"/>
              </w:rPr>
              <w:t>。</w:t>
            </w:r>
          </w:p>
          <w:p w14:paraId="5F1203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酸不溶物</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酸不溶物小于1.0%</w:t>
            </w:r>
            <w:r>
              <w:rPr>
                <w:rFonts w:hint="default" w:ascii="Times New Roman" w:hAnsi="Times New Roman" w:cs="Times New Roman"/>
                <w:color w:val="auto"/>
                <w:sz w:val="24"/>
                <w:szCs w:val="24"/>
                <w:lang w:eastAsia="zh-CN"/>
              </w:rPr>
              <w:t>。</w:t>
            </w:r>
          </w:p>
          <w:p w14:paraId="2E96C7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重金属含量</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应不得超过百万分之十</w:t>
            </w:r>
            <w:r>
              <w:rPr>
                <w:rFonts w:hint="default" w:ascii="Times New Roman" w:hAnsi="Times New Roman" w:cs="Times New Roman"/>
                <w:color w:val="auto"/>
                <w:sz w:val="24"/>
                <w:szCs w:val="24"/>
                <w:lang w:val="en-US" w:eastAsia="zh-CN"/>
              </w:rPr>
              <w:t>测定方法</w:t>
            </w:r>
            <w:r>
              <w:rPr>
                <w:rFonts w:hint="default" w:ascii="Times New Roman" w:hAnsi="Times New Roman" w:eastAsia="宋体" w:cs="Times New Roman"/>
                <w:color w:val="auto"/>
                <w:sz w:val="24"/>
                <w:szCs w:val="24"/>
                <w:lang w:val="en-US" w:eastAsia="zh-CN"/>
              </w:rPr>
              <w:t>同上。</w:t>
            </w:r>
          </w:p>
          <w:p w14:paraId="1FEFFFF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cs="Times New Roman"/>
                <w:b/>
                <w:bCs/>
                <w:color w:val="auto"/>
                <w:sz w:val="24"/>
                <w:szCs w:val="24"/>
                <w:lang w:bidi="ar"/>
              </w:rPr>
              <w:t>穴位压力刺激贴</w:t>
            </w:r>
          </w:p>
          <w:p w14:paraId="4BB06D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bidi="ar"/>
              </w:rPr>
              <w:t>穴位压力刺激贴</w:t>
            </w:r>
            <w:r>
              <w:rPr>
                <w:rFonts w:hint="default" w:ascii="Times New Roman" w:hAnsi="Times New Roman" w:eastAsia="宋体" w:cs="Times New Roman"/>
                <w:b w:val="0"/>
                <w:bCs/>
                <w:color w:val="auto"/>
                <w:spacing w:val="-6"/>
                <w:sz w:val="24"/>
                <w:szCs w:val="24"/>
                <w:lang w:val="en-US" w:eastAsia="zh-CN"/>
              </w:rPr>
              <w:t>需进行外观/性状、</w:t>
            </w:r>
            <w:r>
              <w:rPr>
                <w:rFonts w:hint="default" w:ascii="Times New Roman" w:hAnsi="Times New Roman" w:cs="Times New Roman"/>
                <w:color w:val="auto"/>
                <w:sz w:val="24"/>
                <w:szCs w:val="24"/>
              </w:rPr>
              <w:t>规格尺寸</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剥离强度</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持粘性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耐热性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耐寒性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残留物</w:t>
            </w:r>
            <w:r>
              <w:rPr>
                <w:rFonts w:hint="default" w:ascii="Times New Roman" w:hAnsi="Times New Roman" w:cs="Times New Roman"/>
                <w:color w:val="auto"/>
                <w:sz w:val="24"/>
                <w:szCs w:val="24"/>
                <w:lang w:val="en-US" w:eastAsia="zh-CN"/>
              </w:rPr>
              <w:t>和</w:t>
            </w:r>
            <w:r>
              <w:rPr>
                <w:rFonts w:hint="default" w:ascii="Times New Roman" w:hAnsi="Times New Roman" w:cs="Times New Roman"/>
                <w:color w:val="auto"/>
                <w:sz w:val="24"/>
                <w:szCs w:val="24"/>
              </w:rPr>
              <w:t>包装密封性</w:t>
            </w:r>
            <w:r>
              <w:rPr>
                <w:rFonts w:hint="default" w:ascii="Times New Roman" w:hAnsi="Times New Roman" w:eastAsia="宋体" w:cs="Times New Roman"/>
                <w:b w:val="0"/>
                <w:bCs/>
                <w:color w:val="auto"/>
                <w:spacing w:val="-6"/>
                <w:sz w:val="24"/>
                <w:szCs w:val="24"/>
                <w:lang w:val="en-US" w:eastAsia="zh-CN"/>
              </w:rPr>
              <w:t>的检验。</w:t>
            </w:r>
          </w:p>
          <w:p w14:paraId="2129CAE4">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color w:val="auto"/>
                <w:spacing w:val="-6"/>
                <w:sz w:val="24"/>
                <w:szCs w:val="24"/>
                <w:lang w:val="en-US" w:eastAsia="zh-CN"/>
              </w:rPr>
              <w:t>外观/性状</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产品外观应平整、无异物，医用胶布应涂布均匀，无脱胶、失黏现象</w:t>
            </w:r>
            <w:r>
              <w:rPr>
                <w:rFonts w:hint="default" w:ascii="Times New Roman" w:hAnsi="Times New Roman" w:cs="Times New Roman"/>
                <w:color w:val="auto"/>
                <w:sz w:val="24"/>
                <w:szCs w:val="24"/>
                <w:lang w:eastAsia="zh-CN"/>
              </w:rPr>
              <w:t>。</w:t>
            </w:r>
          </w:p>
          <w:p w14:paraId="76330E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规格尺寸</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允许偏差为±10%</w:t>
            </w:r>
            <w:r>
              <w:rPr>
                <w:rFonts w:hint="default" w:ascii="Times New Roman" w:hAnsi="Times New Roman" w:cs="Times New Roman"/>
                <w:color w:val="auto"/>
                <w:sz w:val="24"/>
                <w:szCs w:val="24"/>
                <w:lang w:eastAsia="zh-CN"/>
              </w:rPr>
              <w:t>。</w:t>
            </w:r>
          </w:p>
          <w:p w14:paraId="4F5978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剥离强度</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医用胶布每1cm宽度所需的平均力应不小于1.0N</w:t>
            </w:r>
          </w:p>
          <w:p w14:paraId="2114DE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持粘性</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在烘箱内试验期间，贴于不锈钢板上粘贴胶布的顶端下滑应不大于2.5mm</w:t>
            </w:r>
            <w:r>
              <w:rPr>
                <w:rFonts w:hint="default" w:ascii="Times New Roman" w:hAnsi="Times New Roman" w:cs="Times New Roman"/>
                <w:color w:val="auto"/>
                <w:sz w:val="24"/>
                <w:szCs w:val="24"/>
                <w:lang w:eastAsia="zh-CN"/>
              </w:rPr>
              <w:t>。</w:t>
            </w:r>
          </w:p>
          <w:p w14:paraId="0C5FBC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耐热性</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在42℃±2℃下保持30分钟后取出，胶面应无流淌现象</w:t>
            </w:r>
            <w:r>
              <w:rPr>
                <w:rFonts w:hint="default" w:ascii="Times New Roman" w:hAnsi="Times New Roman" w:cs="Times New Roman"/>
                <w:color w:val="auto"/>
                <w:sz w:val="24"/>
                <w:szCs w:val="24"/>
                <w:lang w:eastAsia="zh-CN"/>
              </w:rPr>
              <w:t>。</w:t>
            </w:r>
          </w:p>
          <w:p w14:paraId="0FEC20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耐寒性</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在﹣1℃±1℃下保持30分钟后取出，胶面应无结冰现象</w:t>
            </w:r>
            <w:r>
              <w:rPr>
                <w:rFonts w:hint="default" w:ascii="Times New Roman" w:hAnsi="Times New Roman" w:cs="Times New Roman"/>
                <w:color w:val="auto"/>
                <w:sz w:val="24"/>
                <w:szCs w:val="24"/>
                <w:lang w:eastAsia="zh-CN"/>
              </w:rPr>
              <w:t>。</w:t>
            </w:r>
          </w:p>
          <w:p w14:paraId="797640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残留物</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产品从钢板上揭下时，不应有明显胶体物质残留</w:t>
            </w:r>
            <w:r>
              <w:rPr>
                <w:rFonts w:hint="default" w:ascii="Times New Roman" w:hAnsi="Times New Roman" w:cs="Times New Roman"/>
                <w:color w:val="auto"/>
                <w:sz w:val="24"/>
                <w:szCs w:val="24"/>
                <w:lang w:eastAsia="zh-CN"/>
              </w:rPr>
              <w:t>。</w:t>
            </w:r>
          </w:p>
          <w:p w14:paraId="1A9C9B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包装密封性</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包装应密封完好，无气泡溢出</w:t>
            </w:r>
            <w:r>
              <w:rPr>
                <w:rFonts w:hint="default" w:ascii="Times New Roman" w:hAnsi="Times New Roman" w:cs="Times New Roman"/>
                <w:color w:val="auto"/>
                <w:sz w:val="24"/>
                <w:szCs w:val="24"/>
                <w:lang w:eastAsia="zh-CN"/>
              </w:rPr>
              <w:t>。</w:t>
            </w:r>
          </w:p>
          <w:p w14:paraId="7FB79BB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8）</w:t>
            </w:r>
            <w:r>
              <w:rPr>
                <w:rFonts w:hint="default" w:ascii="Times New Roman" w:hAnsi="Times New Roman" w:cs="Times New Roman"/>
                <w:b/>
                <w:bCs/>
                <w:color w:val="auto"/>
                <w:sz w:val="24"/>
                <w:szCs w:val="24"/>
                <w:lang w:bidi="ar"/>
              </w:rPr>
              <w:t>创口贴</w:t>
            </w:r>
          </w:p>
          <w:p w14:paraId="1D57BB7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bidi="ar"/>
              </w:rPr>
              <w:t>创口贴</w:t>
            </w:r>
            <w:r>
              <w:rPr>
                <w:rFonts w:hint="default" w:ascii="Times New Roman" w:hAnsi="Times New Roman" w:eastAsia="宋体" w:cs="Times New Roman"/>
                <w:b w:val="0"/>
                <w:bCs/>
                <w:color w:val="auto"/>
                <w:spacing w:val="-6"/>
                <w:sz w:val="24"/>
                <w:szCs w:val="24"/>
                <w:lang w:val="en-US" w:eastAsia="zh-CN"/>
              </w:rPr>
              <w:t>需进行外观/性状、</w:t>
            </w:r>
            <w:r>
              <w:rPr>
                <w:rFonts w:hint="default" w:ascii="Times New Roman" w:hAnsi="Times New Roman" w:cs="Times New Roman"/>
                <w:color w:val="auto"/>
                <w:sz w:val="24"/>
                <w:szCs w:val="24"/>
              </w:rPr>
              <w:t>规格尺寸</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剥离强度</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持粘性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敷垫的吸水量</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防粘连层重量</w:t>
            </w:r>
            <w:r>
              <w:rPr>
                <w:rFonts w:hint="default" w:ascii="Times New Roman" w:hAnsi="Times New Roman" w:cs="Times New Roman"/>
                <w:color w:val="auto"/>
                <w:sz w:val="24"/>
                <w:szCs w:val="24"/>
                <w:lang w:val="en-US" w:eastAsia="zh-CN"/>
              </w:rPr>
              <w:t>和</w:t>
            </w:r>
            <w:r>
              <w:rPr>
                <w:rFonts w:hint="default" w:ascii="Times New Roman" w:hAnsi="Times New Roman" w:cs="Times New Roman"/>
                <w:color w:val="auto"/>
                <w:sz w:val="24"/>
                <w:szCs w:val="24"/>
              </w:rPr>
              <w:t>微生物指标</w:t>
            </w:r>
            <w:r>
              <w:rPr>
                <w:rFonts w:hint="default" w:ascii="Times New Roman" w:hAnsi="Times New Roman" w:eastAsia="宋体" w:cs="Times New Roman"/>
                <w:b w:val="0"/>
                <w:bCs/>
                <w:color w:val="auto"/>
                <w:spacing w:val="-6"/>
                <w:sz w:val="24"/>
                <w:szCs w:val="24"/>
                <w:lang w:val="en-US" w:eastAsia="zh-CN"/>
              </w:rPr>
              <w:t>的检验</w:t>
            </w:r>
          </w:p>
          <w:p w14:paraId="1381F9B1">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color w:val="auto"/>
                <w:spacing w:val="-6"/>
                <w:sz w:val="24"/>
                <w:szCs w:val="24"/>
                <w:lang w:val="en-US" w:eastAsia="zh-CN"/>
              </w:rPr>
              <w:t>外观/性状</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允许误差为±3mm</w:t>
            </w:r>
          </w:p>
          <w:p w14:paraId="18B8731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规格尺寸</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表面整洁，不能有褶皱存在，涂胶基材和防粘连层不得有脱离现象</w:t>
            </w:r>
          </w:p>
          <w:p w14:paraId="378DD1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剥离强度</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涂胶基材的剥离强度不低于0.5N/㎝</w:t>
            </w:r>
          </w:p>
          <w:p w14:paraId="6BF7DD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持粘性</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涂胶基材的持粘性下滑应不超过2.5mm</w:t>
            </w:r>
          </w:p>
          <w:p w14:paraId="5E11FA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敷垫的吸水量</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应不小于150%</w:t>
            </w:r>
          </w:p>
          <w:p w14:paraId="28BA89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防粘连层重量</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应在50g/㎡～80/㎡之间</w:t>
            </w:r>
          </w:p>
          <w:p w14:paraId="30D604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微生物指标</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rPr>
              <w:t>创口贴细菌菌落总数≤20cfu/g，不得检出真菌，不得检出绿脓杆菌、金黄色葡萄球菌、溶血性链球菌和大肠菌群</w:t>
            </w:r>
          </w:p>
          <w:p w14:paraId="3529306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lang w:bidi="ar"/>
              </w:rPr>
              <w:t>晕车贴</w:t>
            </w:r>
          </w:p>
          <w:p w14:paraId="725A44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lang w:bidi="ar"/>
              </w:rPr>
              <w:t>晕车贴</w:t>
            </w:r>
            <w:r>
              <w:rPr>
                <w:rFonts w:hint="default" w:ascii="Times New Roman" w:hAnsi="Times New Roman" w:eastAsia="宋体" w:cs="Times New Roman"/>
                <w:b w:val="0"/>
                <w:bCs/>
                <w:color w:val="auto"/>
                <w:spacing w:val="-6"/>
                <w:sz w:val="24"/>
                <w:szCs w:val="24"/>
                <w:lang w:val="en-US" w:eastAsia="zh-CN"/>
              </w:rPr>
              <w:t>需进行外观/性状、</w:t>
            </w:r>
            <w:r>
              <w:rPr>
                <w:rFonts w:hint="default" w:ascii="Times New Roman" w:hAnsi="Times New Roman" w:eastAsia="宋体" w:cs="Times New Roman"/>
                <w:color w:val="auto"/>
                <w:sz w:val="24"/>
                <w:szCs w:val="24"/>
                <w:lang w:val="en-US" w:eastAsia="zh-CN"/>
              </w:rPr>
              <w:t>pH</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粘着力</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剥离强度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耐热性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耐寒性</w:t>
            </w:r>
            <w:r>
              <w:rPr>
                <w:rFonts w:hint="default"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rPr>
              <w:t>残留物</w:t>
            </w:r>
            <w:r>
              <w:rPr>
                <w:rFonts w:hint="default" w:ascii="Times New Roman" w:hAnsi="Times New Roman" w:eastAsia="宋体" w:cs="Times New Roman"/>
                <w:b w:val="0"/>
                <w:bCs/>
                <w:color w:val="auto"/>
                <w:spacing w:val="-6"/>
                <w:sz w:val="24"/>
                <w:szCs w:val="24"/>
                <w:lang w:val="en-US" w:eastAsia="zh-CN"/>
              </w:rPr>
              <w:t>的检验。</w:t>
            </w:r>
          </w:p>
          <w:p w14:paraId="3F815DB7">
            <w:pPr>
              <w:keepNext w:val="0"/>
              <w:keepLines w:val="0"/>
              <w:pageBreakBefore w:val="0"/>
              <w:widowControl w:val="0"/>
              <w:kinsoku/>
              <w:wordWrap/>
              <w:overflowPunct/>
              <w:topLinePunct w:val="0"/>
              <w:autoSpaceDE/>
              <w:autoSpaceDN/>
              <w:bidi w:val="0"/>
              <w:adjustRightInd w:val="0"/>
              <w:snapToGrid w:val="0"/>
              <w:spacing w:line="360" w:lineRule="auto"/>
              <w:ind w:firstLine="456" w:firstLineChars="200"/>
              <w:textAlignment w:val="auto"/>
              <w:rPr>
                <w:rFonts w:hint="default"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b w:val="0"/>
                <w:bCs/>
                <w:color w:val="auto"/>
                <w:spacing w:val="-6"/>
                <w:sz w:val="24"/>
                <w:szCs w:val="24"/>
                <w:lang w:val="en-US" w:eastAsia="zh-CN"/>
              </w:rPr>
              <w:t>外观/性状</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产品外观胶面应涂布均匀，无缺胶现象</w:t>
            </w:r>
            <w:r>
              <w:rPr>
                <w:rFonts w:hint="default" w:ascii="Times New Roman" w:hAnsi="Times New Roman" w:eastAsia="宋体" w:cs="Times New Roman"/>
                <w:color w:val="auto"/>
                <w:sz w:val="24"/>
                <w:szCs w:val="24"/>
                <w:lang w:eastAsia="zh-CN"/>
              </w:rPr>
              <w:t>。</w:t>
            </w:r>
          </w:p>
          <w:p w14:paraId="2CE9AA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lang w:val="en-US" w:eastAsia="zh-CN"/>
              </w:rPr>
              <w:t>pH：</w:t>
            </w:r>
            <w:r>
              <w:rPr>
                <w:rFonts w:hint="default" w:ascii="Times New Roman" w:hAnsi="Times New Roman" w:eastAsia="宋体" w:cs="Times New Roman"/>
                <w:color w:val="auto"/>
                <w:sz w:val="24"/>
                <w:szCs w:val="24"/>
              </w:rPr>
              <w:t>4.0～8.5</w:t>
            </w:r>
            <w:r>
              <w:rPr>
                <w:rFonts w:hint="default" w:ascii="Times New Roman" w:hAnsi="Times New Roman" w:eastAsia="宋体" w:cs="Times New Roman"/>
                <w:color w:val="auto"/>
                <w:sz w:val="24"/>
                <w:szCs w:val="24"/>
                <w:lang w:eastAsia="zh-CN"/>
              </w:rPr>
              <w:t>。</w:t>
            </w:r>
          </w:p>
          <w:p w14:paraId="5DC7E3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rPr>
              <w:t>粘着力</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粘住1号钢球应能停留5秒</w:t>
            </w:r>
          </w:p>
          <w:p w14:paraId="0E1137D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rPr>
              <w:t>剥离强度</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应不大于1.47N</w:t>
            </w:r>
          </w:p>
          <w:p w14:paraId="206E5D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rPr>
              <w:t>耐热性</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在40℃±2℃条件下保持30min，凝胶不流失</w:t>
            </w:r>
          </w:p>
          <w:p w14:paraId="7DB55D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rPr>
              <w:t>耐寒性</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在0℃±1℃条件下保持30min，凝胶不冻结</w:t>
            </w:r>
            <w:r>
              <w:rPr>
                <w:rFonts w:hint="default" w:ascii="Times New Roman" w:hAnsi="Times New Roman" w:eastAsia="宋体" w:cs="Times New Roman"/>
                <w:color w:val="auto"/>
                <w:sz w:val="24"/>
                <w:szCs w:val="24"/>
                <w:lang w:eastAsia="zh-CN"/>
              </w:rPr>
              <w:t>。</w:t>
            </w:r>
          </w:p>
          <w:p w14:paraId="7D8D8D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rPr>
              <w:t>残留物</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产品从塑料板上揭下时，不应有明显残留胶体物质</w:t>
            </w:r>
            <w:r>
              <w:rPr>
                <w:rFonts w:hint="default" w:ascii="Times New Roman" w:hAnsi="Times New Roman" w:eastAsia="宋体" w:cs="Times New Roman"/>
                <w:color w:val="auto"/>
                <w:sz w:val="24"/>
                <w:szCs w:val="24"/>
                <w:lang w:eastAsia="zh-CN"/>
              </w:rPr>
              <w:t>。</w:t>
            </w:r>
          </w:p>
          <w:p w14:paraId="2BB872D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olor w:val="auto"/>
                <w:sz w:val="24"/>
                <w:szCs w:val="24"/>
                <w:lang w:bidi="ar"/>
              </w:rPr>
            </w:pPr>
            <w:r>
              <w:rPr>
                <w:rFonts w:hint="eastAsia" w:cs="Times New Roman"/>
                <w:b/>
                <w:bCs w:val="0"/>
                <w:color w:val="auto"/>
                <w:sz w:val="24"/>
                <w:szCs w:val="24"/>
                <w:lang w:val="en-US" w:eastAsia="zh-CN"/>
              </w:rPr>
              <w:t>10）</w:t>
            </w:r>
            <w:r>
              <w:rPr>
                <w:rFonts w:hint="eastAsia"/>
                <w:color w:val="auto"/>
                <w:sz w:val="24"/>
                <w:szCs w:val="24"/>
                <w:lang w:bidi="ar"/>
              </w:rPr>
              <w:t>三伏贴</w:t>
            </w:r>
          </w:p>
          <w:p w14:paraId="7E3F4C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6"/>
                <w:sz w:val="24"/>
                <w:szCs w:val="24"/>
                <w:lang w:val="en-US" w:eastAsia="zh-CN"/>
              </w:rPr>
            </w:pPr>
            <w:r>
              <w:rPr>
                <w:rFonts w:hint="eastAsia"/>
                <w:color w:val="auto"/>
                <w:sz w:val="24"/>
                <w:szCs w:val="24"/>
                <w:lang w:bidi="ar"/>
              </w:rPr>
              <w:t>三伏贴</w:t>
            </w:r>
            <w:r>
              <w:rPr>
                <w:rFonts w:hint="default" w:ascii="Times New Roman" w:hAnsi="Times New Roman" w:eastAsia="宋体" w:cs="Times New Roman"/>
                <w:b w:val="0"/>
                <w:bCs/>
                <w:color w:val="auto"/>
                <w:spacing w:val="-6"/>
                <w:sz w:val="24"/>
                <w:szCs w:val="24"/>
                <w:lang w:val="en-US" w:eastAsia="zh-CN"/>
              </w:rPr>
              <w:t>需进行</w:t>
            </w:r>
            <w:r>
              <w:rPr>
                <w:rFonts w:hint="eastAsia"/>
                <w:color w:val="auto"/>
                <w:sz w:val="24"/>
                <w:szCs w:val="24"/>
              </w:rPr>
              <w:t>感官</w:t>
            </w:r>
            <w:r>
              <w:rPr>
                <w:rFonts w:hint="default" w:ascii="Times New Roman" w:hAnsi="Times New Roman" w:eastAsia="宋体" w:cs="Times New Roman"/>
                <w:b w:val="0"/>
                <w:bCs/>
                <w:color w:val="auto"/>
                <w:spacing w:val="-6"/>
                <w:sz w:val="24"/>
                <w:szCs w:val="24"/>
                <w:lang w:val="en-US" w:eastAsia="zh-CN"/>
              </w:rPr>
              <w:t>、</w:t>
            </w:r>
            <w:r>
              <w:rPr>
                <w:rFonts w:hint="eastAsia"/>
                <w:color w:val="auto"/>
                <w:sz w:val="24"/>
                <w:szCs w:val="24"/>
              </w:rPr>
              <w:t>规格型号</w:t>
            </w:r>
            <w:r>
              <w:rPr>
                <w:rFonts w:hint="default" w:ascii="Times New Roman" w:hAnsi="Times New Roman" w:eastAsia="宋体" w:cs="Times New Roman"/>
                <w:color w:val="auto"/>
                <w:sz w:val="24"/>
                <w:szCs w:val="24"/>
                <w:lang w:eastAsia="zh-CN"/>
              </w:rPr>
              <w:t>、</w:t>
            </w:r>
            <w:r>
              <w:rPr>
                <w:rFonts w:hint="eastAsia"/>
                <w:color w:val="auto"/>
                <w:sz w:val="24"/>
                <w:szCs w:val="24"/>
              </w:rPr>
              <w:t>净含量及允许短缺量</w:t>
            </w:r>
            <w:r>
              <w:rPr>
                <w:rFonts w:hint="default" w:ascii="Times New Roman" w:hAnsi="Times New Roman" w:eastAsia="宋体" w:cs="Times New Roman"/>
                <w:color w:val="auto"/>
                <w:sz w:val="24"/>
                <w:szCs w:val="24"/>
                <w:lang w:eastAsia="zh-CN"/>
              </w:rPr>
              <w:t>、</w:t>
            </w:r>
            <w:r>
              <w:rPr>
                <w:rFonts w:hint="eastAsia"/>
                <w:color w:val="auto"/>
                <w:sz w:val="24"/>
                <w:szCs w:val="24"/>
              </w:rPr>
              <w:t>理化指标</w:t>
            </w:r>
            <w:r>
              <w:rPr>
                <w:rFonts w:hint="default" w:ascii="Times New Roman" w:hAnsi="Times New Roman" w:eastAsia="宋体" w:cs="Times New Roman"/>
                <w:color w:val="auto"/>
                <w:sz w:val="24"/>
                <w:szCs w:val="24"/>
                <w:lang w:val="en-US" w:eastAsia="zh-CN"/>
              </w:rPr>
              <w:t>和</w:t>
            </w:r>
            <w:r>
              <w:rPr>
                <w:rFonts w:hint="eastAsia"/>
                <w:color w:val="auto"/>
                <w:sz w:val="24"/>
                <w:szCs w:val="24"/>
              </w:rPr>
              <w:t>微生物指标</w:t>
            </w:r>
            <w:r>
              <w:rPr>
                <w:rFonts w:hint="default" w:ascii="Times New Roman" w:hAnsi="Times New Roman" w:eastAsia="宋体" w:cs="Times New Roman"/>
                <w:b w:val="0"/>
                <w:bCs/>
                <w:color w:val="auto"/>
                <w:spacing w:val="-6"/>
                <w:sz w:val="24"/>
                <w:szCs w:val="24"/>
                <w:lang w:val="en-US" w:eastAsia="zh-CN"/>
              </w:rPr>
              <w:t>的检验</w:t>
            </w:r>
            <w:r>
              <w:rPr>
                <w:rFonts w:hint="eastAsia" w:ascii="Times New Roman" w:hAnsi="Times New Roman" w:eastAsia="宋体" w:cs="Times New Roman"/>
                <w:b w:val="0"/>
                <w:bCs/>
                <w:color w:val="auto"/>
                <w:spacing w:val="-6"/>
                <w:sz w:val="24"/>
                <w:szCs w:val="24"/>
                <w:lang w:val="en-US" w:eastAsia="zh-CN"/>
              </w:rPr>
              <w:t>。</w:t>
            </w:r>
          </w:p>
          <w:p w14:paraId="4AD393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6"/>
                <w:sz w:val="24"/>
                <w:szCs w:val="24"/>
                <w:lang w:val="en-US" w:eastAsia="zh-CN"/>
              </w:rPr>
            </w:pPr>
            <w:r>
              <w:rPr>
                <w:rFonts w:hint="eastAsia"/>
                <w:color w:val="auto"/>
                <w:sz w:val="24"/>
                <w:szCs w:val="24"/>
              </w:rPr>
              <w:t>感官</w:t>
            </w:r>
            <w:r>
              <w:rPr>
                <w:rFonts w:hint="default" w:ascii="Times New Roman" w:hAnsi="Times New Roman" w:eastAsia="宋体" w:cs="Times New Roman"/>
                <w:color w:val="auto"/>
                <w:sz w:val="24"/>
                <w:szCs w:val="24"/>
                <w:lang w:val="en-US" w:eastAsia="zh-CN"/>
              </w:rPr>
              <w:t>：</w:t>
            </w:r>
            <w:r>
              <w:rPr>
                <w:rFonts w:hint="eastAsia"/>
                <w:color w:val="auto"/>
                <w:sz w:val="24"/>
                <w:szCs w:val="24"/>
              </w:rPr>
              <w:t>形态、色泽、气味、杂质应满足规定要求</w:t>
            </w:r>
            <w:r>
              <w:rPr>
                <w:rFonts w:hint="eastAsia"/>
                <w:color w:val="auto"/>
                <w:sz w:val="24"/>
                <w:szCs w:val="24"/>
                <w:lang w:eastAsia="zh-CN"/>
              </w:rPr>
              <w:t>。</w:t>
            </w:r>
          </w:p>
          <w:p w14:paraId="4AEE50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6"/>
                <w:sz w:val="24"/>
                <w:szCs w:val="24"/>
                <w:lang w:val="en-US" w:eastAsia="zh-CN"/>
              </w:rPr>
            </w:pPr>
            <w:r>
              <w:rPr>
                <w:rFonts w:hint="eastAsia"/>
                <w:color w:val="auto"/>
                <w:sz w:val="24"/>
                <w:szCs w:val="24"/>
              </w:rPr>
              <w:t>规格型号</w:t>
            </w:r>
            <w:r>
              <w:rPr>
                <w:rFonts w:hint="default" w:ascii="Times New Roman" w:hAnsi="Times New Roman" w:eastAsia="宋体" w:cs="Times New Roman"/>
                <w:color w:val="auto"/>
                <w:sz w:val="24"/>
                <w:szCs w:val="24"/>
                <w:lang w:val="en-US" w:eastAsia="zh-CN"/>
              </w:rPr>
              <w:t>：</w:t>
            </w:r>
            <w:r>
              <w:rPr>
                <w:rFonts w:hint="eastAsia"/>
                <w:color w:val="auto"/>
                <w:sz w:val="24"/>
                <w:szCs w:val="24"/>
              </w:rPr>
              <w:t>腰椎型，颈椎型，膝盖型，其他规格型号可根据产品结构要求定制</w:t>
            </w:r>
            <w:r>
              <w:rPr>
                <w:rFonts w:hint="eastAsia"/>
                <w:color w:val="auto"/>
                <w:sz w:val="24"/>
                <w:szCs w:val="24"/>
                <w:lang w:eastAsia="zh-CN"/>
              </w:rPr>
              <w:t>。</w:t>
            </w:r>
          </w:p>
          <w:p w14:paraId="039476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6"/>
                <w:sz w:val="24"/>
                <w:szCs w:val="24"/>
                <w:lang w:val="en-US" w:eastAsia="zh-CN"/>
              </w:rPr>
            </w:pPr>
            <w:r>
              <w:rPr>
                <w:rFonts w:hint="eastAsia"/>
                <w:color w:val="auto"/>
                <w:sz w:val="24"/>
                <w:szCs w:val="24"/>
              </w:rPr>
              <w:t>净含量及允许短缺量</w:t>
            </w:r>
            <w:r>
              <w:rPr>
                <w:rFonts w:hint="default" w:ascii="Times New Roman" w:hAnsi="Times New Roman" w:eastAsia="宋体" w:cs="Times New Roman"/>
                <w:color w:val="auto"/>
                <w:sz w:val="24"/>
                <w:szCs w:val="24"/>
                <w:lang w:val="en-US" w:eastAsia="zh-CN"/>
              </w:rPr>
              <w:t>：</w:t>
            </w:r>
            <w:r>
              <w:rPr>
                <w:rFonts w:hint="eastAsia"/>
                <w:color w:val="auto"/>
                <w:sz w:val="24"/>
                <w:szCs w:val="24"/>
              </w:rPr>
              <w:t>应符合《定量包装商品计量监督管理办法》的相关规定</w:t>
            </w:r>
            <w:r>
              <w:rPr>
                <w:rFonts w:hint="eastAsia"/>
                <w:color w:val="auto"/>
                <w:sz w:val="24"/>
                <w:szCs w:val="24"/>
                <w:lang w:eastAsia="zh-CN"/>
              </w:rPr>
              <w:t>。</w:t>
            </w:r>
          </w:p>
          <w:p w14:paraId="275467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6"/>
                <w:sz w:val="24"/>
                <w:szCs w:val="24"/>
                <w:lang w:val="en-US" w:eastAsia="zh-CN"/>
              </w:rPr>
            </w:pPr>
            <w:r>
              <w:rPr>
                <w:rFonts w:hint="eastAsia"/>
                <w:color w:val="auto"/>
                <w:sz w:val="24"/>
                <w:szCs w:val="24"/>
              </w:rPr>
              <w:t>理化指标</w:t>
            </w:r>
            <w:r>
              <w:rPr>
                <w:rFonts w:hint="default" w:ascii="Times New Roman" w:hAnsi="Times New Roman" w:eastAsia="宋体" w:cs="Times New Roman"/>
                <w:color w:val="auto"/>
                <w:sz w:val="24"/>
                <w:szCs w:val="24"/>
                <w:lang w:val="en-US" w:eastAsia="zh-CN"/>
              </w:rPr>
              <w:t>：</w:t>
            </w:r>
            <w:r>
              <w:rPr>
                <w:rFonts w:hint="eastAsia"/>
                <w:color w:val="auto"/>
                <w:sz w:val="24"/>
                <w:szCs w:val="24"/>
              </w:rPr>
              <w:t>应符合企标表2的要求</w:t>
            </w:r>
            <w:r>
              <w:rPr>
                <w:rFonts w:hint="eastAsia"/>
                <w:color w:val="auto"/>
                <w:sz w:val="24"/>
                <w:szCs w:val="24"/>
                <w:lang w:eastAsia="zh-CN"/>
              </w:rPr>
              <w:t>。</w:t>
            </w:r>
          </w:p>
          <w:p w14:paraId="358F61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lang w:eastAsia="zh-CN"/>
              </w:rPr>
            </w:pPr>
            <w:r>
              <w:rPr>
                <w:rFonts w:hint="eastAsia"/>
                <w:color w:val="auto"/>
                <w:sz w:val="24"/>
                <w:szCs w:val="24"/>
              </w:rPr>
              <w:t>微生物指标</w:t>
            </w:r>
            <w:r>
              <w:rPr>
                <w:rFonts w:hint="default" w:ascii="Times New Roman" w:hAnsi="Times New Roman" w:eastAsia="宋体" w:cs="Times New Roman"/>
                <w:color w:val="auto"/>
                <w:sz w:val="24"/>
                <w:szCs w:val="24"/>
                <w:lang w:val="en-US" w:eastAsia="zh-CN"/>
              </w:rPr>
              <w:t>：</w:t>
            </w:r>
            <w:r>
              <w:rPr>
                <w:rFonts w:hint="eastAsia"/>
                <w:color w:val="auto"/>
                <w:sz w:val="24"/>
                <w:szCs w:val="24"/>
              </w:rPr>
              <w:t>应符合企标表3的规定</w:t>
            </w:r>
            <w:r>
              <w:rPr>
                <w:rFonts w:hint="eastAsia"/>
                <w:color w:val="auto"/>
                <w:sz w:val="24"/>
                <w:szCs w:val="24"/>
                <w:lang w:eastAsia="zh-CN"/>
              </w:rPr>
              <w:t>。</w:t>
            </w:r>
          </w:p>
          <w:p w14:paraId="13D22E0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val="en-US" w:eastAsia="zh-CN"/>
              </w:rPr>
              <w:t>11）</w:t>
            </w:r>
            <w:r>
              <w:rPr>
                <w:rFonts w:hint="default" w:ascii="Times New Roman" w:hAnsi="Times New Roman" w:eastAsia="宋体" w:cs="Times New Roman"/>
                <w:b/>
                <w:bCs/>
                <w:color w:val="auto"/>
                <w:sz w:val="24"/>
                <w:szCs w:val="24"/>
                <w:lang w:bidi="ar"/>
              </w:rPr>
              <w:t>通气鼻贴</w:t>
            </w:r>
          </w:p>
          <w:p w14:paraId="15F7AF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lang w:bidi="ar"/>
              </w:rPr>
              <w:t>通气鼻贴</w:t>
            </w:r>
            <w:r>
              <w:rPr>
                <w:rFonts w:hint="default" w:ascii="Times New Roman" w:hAnsi="Times New Roman" w:eastAsia="宋体" w:cs="Times New Roman"/>
                <w:b w:val="0"/>
                <w:bCs/>
                <w:color w:val="auto"/>
                <w:spacing w:val="-6"/>
                <w:sz w:val="24"/>
                <w:szCs w:val="24"/>
                <w:lang w:val="en-US" w:eastAsia="zh-CN"/>
              </w:rPr>
              <w:t>需进行</w:t>
            </w:r>
            <w:r>
              <w:rPr>
                <w:rFonts w:hint="default" w:ascii="Times New Roman" w:hAnsi="Times New Roman" w:eastAsia="宋体" w:cs="Times New Roman"/>
                <w:color w:val="auto"/>
                <w:sz w:val="24"/>
                <w:szCs w:val="24"/>
              </w:rPr>
              <w:t>尺寸</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持粘性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剥离强度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剥离残留物</w:t>
            </w:r>
            <w:r>
              <w:rPr>
                <w:rFonts w:hint="default"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rPr>
              <w:t>外观</w:t>
            </w:r>
            <w:r>
              <w:rPr>
                <w:rFonts w:hint="default" w:ascii="Times New Roman" w:hAnsi="Times New Roman" w:eastAsia="宋体" w:cs="Times New Roman"/>
                <w:b w:val="0"/>
                <w:bCs/>
                <w:color w:val="auto"/>
                <w:spacing w:val="-6"/>
                <w:sz w:val="24"/>
                <w:szCs w:val="24"/>
                <w:lang w:val="en-US" w:eastAsia="zh-CN"/>
              </w:rPr>
              <w:t>的检验。</w:t>
            </w:r>
          </w:p>
          <w:p w14:paraId="773F86D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rPr>
              <w:t>尺寸</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允许偏差为±10%</w:t>
            </w:r>
            <w:r>
              <w:rPr>
                <w:rFonts w:hint="eastAsia" w:ascii="Times New Roman" w:hAnsi="Times New Roman" w:eastAsia="宋体" w:cs="Times New Roman"/>
                <w:color w:val="auto"/>
                <w:sz w:val="24"/>
                <w:szCs w:val="24"/>
                <w:lang w:eastAsia="zh-CN"/>
              </w:rPr>
              <w:t>。</w:t>
            </w:r>
          </w:p>
          <w:p w14:paraId="518555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rPr>
              <w:t>持粘性</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在烘箱内试验期间，贴于不锈钢板上粘贴胶布的顶端下滑应不大于2.5mm</w:t>
            </w:r>
            <w:r>
              <w:rPr>
                <w:rFonts w:hint="eastAsia" w:ascii="Times New Roman" w:hAnsi="Times New Roman" w:eastAsia="宋体" w:cs="Times New Roman"/>
                <w:color w:val="auto"/>
                <w:sz w:val="24"/>
                <w:szCs w:val="24"/>
                <w:lang w:eastAsia="zh-CN"/>
              </w:rPr>
              <w:t>。</w:t>
            </w:r>
          </w:p>
          <w:p w14:paraId="3640CF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rPr>
              <w:t>剥离强度</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胶带每1cm宽度所需的平均力应不小于1.0N</w:t>
            </w:r>
            <w:r>
              <w:rPr>
                <w:rFonts w:hint="eastAsia" w:ascii="Times New Roman" w:hAnsi="Times New Roman" w:eastAsia="宋体" w:cs="Times New Roman"/>
                <w:color w:val="auto"/>
                <w:sz w:val="24"/>
                <w:szCs w:val="24"/>
                <w:lang w:eastAsia="zh-CN"/>
              </w:rPr>
              <w:t>。</w:t>
            </w:r>
          </w:p>
          <w:p w14:paraId="7881825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rPr>
              <w:t>剥离残留物</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鼻贴的背贴纸剥离后，其背贴纸上不应有可见残余胶体</w:t>
            </w:r>
            <w:r>
              <w:rPr>
                <w:rFonts w:hint="eastAsia" w:ascii="Times New Roman" w:hAnsi="Times New Roman" w:eastAsia="宋体" w:cs="Times New Roman"/>
                <w:color w:val="auto"/>
                <w:sz w:val="24"/>
                <w:szCs w:val="24"/>
                <w:lang w:eastAsia="zh-CN"/>
              </w:rPr>
              <w:t>。</w:t>
            </w:r>
          </w:p>
          <w:p w14:paraId="0BDB16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pacing w:val="-6"/>
                <w:sz w:val="24"/>
                <w:szCs w:val="24"/>
                <w:lang w:val="en-US" w:eastAsia="zh-CN"/>
              </w:rPr>
            </w:pPr>
            <w:r>
              <w:rPr>
                <w:rFonts w:hint="default" w:ascii="Times New Roman" w:hAnsi="Times New Roman" w:eastAsia="宋体" w:cs="Times New Roman"/>
                <w:color w:val="auto"/>
                <w:sz w:val="24"/>
                <w:szCs w:val="24"/>
              </w:rPr>
              <w:t>外观</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表面应平整、洁净、无破损，表面材料、压力敏感胶粘剂、弹性物、基本材料、背贴纸不得有脱离现象</w:t>
            </w:r>
            <w:r>
              <w:rPr>
                <w:rFonts w:hint="eastAsia" w:ascii="Times New Roman" w:hAnsi="Times New Roman" w:eastAsia="宋体" w:cs="Times New Roman"/>
                <w:color w:val="auto"/>
                <w:sz w:val="24"/>
                <w:szCs w:val="24"/>
                <w:lang w:eastAsia="zh-CN"/>
              </w:rPr>
              <w:t>。</w:t>
            </w:r>
          </w:p>
          <w:p w14:paraId="376B6D5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val="0"/>
                <w:color w:val="auto"/>
                <w:sz w:val="24"/>
                <w:szCs w:val="21"/>
                <w:lang w:val="en-US" w:eastAsia="zh-CN"/>
              </w:rPr>
            </w:pPr>
            <w:r>
              <w:rPr>
                <w:rFonts w:hint="eastAsia" w:ascii="Times New Roman" w:hAnsi="Times New Roman" w:eastAsia="宋体" w:cs="Times New Roman"/>
                <w:b/>
                <w:bCs w:val="0"/>
                <w:color w:val="auto"/>
                <w:sz w:val="24"/>
                <w:szCs w:val="21"/>
                <w:lang w:val="en-US" w:eastAsia="zh-CN"/>
              </w:rPr>
              <w:t>5、</w:t>
            </w:r>
            <w:commentRangeStart w:id="21"/>
            <w:r>
              <w:rPr>
                <w:rFonts w:hint="eastAsia" w:ascii="Times New Roman" w:hAnsi="Times New Roman" w:eastAsia="宋体" w:cs="Times New Roman"/>
                <w:b/>
                <w:bCs w:val="0"/>
                <w:color w:val="auto"/>
                <w:sz w:val="24"/>
                <w:szCs w:val="21"/>
                <w:lang w:val="en-US" w:eastAsia="zh-CN"/>
              </w:rPr>
              <w:t>物料</w:t>
            </w:r>
            <w:commentRangeEnd w:id="21"/>
            <w:r>
              <w:commentReference w:id="21"/>
            </w:r>
            <w:r>
              <w:rPr>
                <w:rFonts w:hint="eastAsia" w:ascii="Times New Roman" w:hAnsi="Times New Roman" w:eastAsia="宋体" w:cs="Times New Roman"/>
                <w:b/>
                <w:bCs w:val="0"/>
                <w:color w:val="auto"/>
                <w:sz w:val="24"/>
                <w:szCs w:val="21"/>
                <w:lang w:val="en-US" w:eastAsia="zh-CN"/>
              </w:rPr>
              <w:t>平衡</w:t>
            </w:r>
          </w:p>
          <w:p w14:paraId="30563C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rPr>
            </w:pPr>
            <w:r>
              <w:rPr>
                <w:rFonts w:hint="eastAsia" w:ascii="Times New Roman" w:hAnsi="Times New Roman" w:eastAsia="宋体" w:cs="Times New Roman"/>
                <w:color w:val="auto"/>
                <w:sz w:val="24"/>
              </w:rPr>
              <w:t>1、生理性海水鼻腔喷雾剂物料</w:t>
            </w:r>
            <w:r>
              <w:rPr>
                <w:color w:val="auto"/>
                <w:sz w:val="24"/>
              </w:rPr>
              <w:t>平衡</w:t>
            </w:r>
            <w:r>
              <w:rPr>
                <w:rFonts w:hint="eastAsia"/>
                <w:color w:val="auto"/>
                <w:sz w:val="24"/>
              </w:rPr>
              <w:t>分析详见如下。</w:t>
            </w:r>
          </w:p>
          <w:p w14:paraId="755A59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object>
                <v:shape id="_x0000_i1039" o:spt="75" type="#_x0000_t75" style="height:57pt;width:275.25pt;" o:ole="t" filled="f" o:preferrelative="t" stroked="f" coordsize="21600,21600">
                  <v:path/>
                  <v:fill on="f" focussize="0,0"/>
                  <v:stroke on="f"/>
                  <v:imagedata r:id="rId42" o:title=""/>
                  <o:lock v:ext="edit" aspectratio="f"/>
                  <w10:wrap type="none"/>
                  <w10:anchorlock/>
                </v:shape>
                <o:OLEObject Type="Embed" ProgID="Visio.Drawing.11" ShapeID="_x0000_i1039" DrawAspect="Content" ObjectID="_1468075739" r:id="rId41">
                  <o:LockedField>false</o:LockedField>
                </o:OLEObject>
              </w:object>
            </w:r>
          </w:p>
          <w:p w14:paraId="55DDA24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ascii="宋体" w:hAnsi="宋体" w:eastAsia="宋体" w:cs="宋体"/>
                <w:b/>
                <w:color w:val="auto"/>
                <w:kern w:val="0"/>
                <w:sz w:val="21"/>
                <w:szCs w:val="21"/>
                <w:lang w:val="en-US" w:eastAsia="zh-CN" w:bidi="ar-SA"/>
              </w:rPr>
            </w:pPr>
            <w:r>
              <w:rPr>
                <w:rFonts w:hint="default" w:ascii="Times New Roman" w:hAnsi="Times New Roman" w:eastAsia="宋体" w:cs="Times New Roman"/>
                <w:b/>
                <w:color w:val="auto"/>
                <w:kern w:val="0"/>
                <w:sz w:val="21"/>
                <w:szCs w:val="21"/>
                <w:lang w:val="en-US" w:eastAsia="zh-CN" w:bidi="ar-SA"/>
              </w:rPr>
              <w:t>图</w:t>
            </w:r>
            <w:r>
              <w:rPr>
                <w:rFonts w:hint="eastAsia" w:cs="Times New Roman"/>
                <w:b/>
                <w:color w:val="auto"/>
                <w:kern w:val="0"/>
                <w:sz w:val="21"/>
                <w:szCs w:val="21"/>
                <w:lang w:val="en-US" w:eastAsia="zh-CN" w:bidi="ar-SA"/>
              </w:rPr>
              <w:t>2</w:t>
            </w:r>
            <w:r>
              <w:rPr>
                <w:rFonts w:hint="eastAsia" w:ascii="Times New Roman" w:hAnsi="Times New Roman" w:eastAsia="宋体" w:cs="Times New Roman"/>
                <w:b/>
                <w:color w:val="auto"/>
                <w:kern w:val="0"/>
                <w:sz w:val="21"/>
                <w:szCs w:val="21"/>
                <w:lang w:val="en-US" w:eastAsia="zh-CN" w:bidi="ar-SA"/>
              </w:rPr>
              <w:t>-</w:t>
            </w:r>
            <w:r>
              <w:rPr>
                <w:rFonts w:hint="eastAsia" w:cs="Times New Roman"/>
                <w:b/>
                <w:color w:val="auto"/>
                <w:kern w:val="0"/>
                <w:sz w:val="21"/>
                <w:szCs w:val="21"/>
                <w:lang w:val="en-US" w:eastAsia="zh-CN" w:bidi="ar-SA"/>
              </w:rPr>
              <w:t>16</w:t>
            </w:r>
            <w:r>
              <w:rPr>
                <w:rFonts w:hint="default" w:ascii="Times New Roman" w:hAnsi="Times New Roman" w:eastAsia="宋体" w:cs="Times New Roman"/>
                <w:b/>
                <w:color w:val="auto"/>
                <w:kern w:val="0"/>
                <w:sz w:val="21"/>
                <w:szCs w:val="21"/>
                <w:lang w:val="en-US" w:eastAsia="zh-CN" w:bidi="ar-SA"/>
              </w:rPr>
              <w:t xml:space="preserve">  项</w:t>
            </w:r>
            <w:r>
              <w:rPr>
                <w:rFonts w:hint="default" w:ascii="宋体" w:hAnsi="宋体" w:eastAsia="宋体" w:cs="宋体"/>
                <w:b/>
                <w:color w:val="auto"/>
                <w:kern w:val="0"/>
                <w:sz w:val="21"/>
                <w:szCs w:val="21"/>
                <w:lang w:val="en-US" w:eastAsia="zh-CN" w:bidi="ar-SA"/>
              </w:rPr>
              <w:t>目</w:t>
            </w:r>
            <w:r>
              <w:rPr>
                <w:rFonts w:hint="eastAsia" w:ascii="宋体" w:hAnsi="宋体" w:eastAsia="宋体" w:cs="宋体"/>
                <w:b/>
                <w:color w:val="auto"/>
                <w:kern w:val="0"/>
                <w:sz w:val="21"/>
                <w:szCs w:val="21"/>
                <w:lang w:val="en-US" w:eastAsia="zh-CN" w:bidi="ar-SA"/>
              </w:rPr>
              <w:t>生理性海水鼻腔喷雾剂物料平衡图  （单位：</w:t>
            </w:r>
            <w:r>
              <w:rPr>
                <w:rFonts w:hint="default" w:ascii="Times New Roman" w:hAnsi="Times New Roman" w:eastAsia="宋体" w:cs="Times New Roman"/>
                <w:b/>
                <w:color w:val="auto"/>
                <w:kern w:val="0"/>
                <w:sz w:val="21"/>
                <w:szCs w:val="21"/>
                <w:lang w:val="en-US" w:eastAsia="zh-CN" w:bidi="ar-SA"/>
              </w:rPr>
              <w:t>t/a）</w:t>
            </w:r>
          </w:p>
          <w:p w14:paraId="626DC8C5">
            <w:pPr>
              <w:ind w:firstLine="480" w:firstLineChars="200"/>
              <w:rPr>
                <w:rFonts w:hint="eastAsia"/>
                <w:color w:val="auto"/>
              </w:rPr>
            </w:pPr>
            <w:r>
              <w:rPr>
                <w:rFonts w:hint="eastAsia" w:ascii="宋体" w:hAnsi="宋体" w:cs="宋体"/>
                <w:color w:val="auto"/>
                <w:sz w:val="24"/>
              </w:rPr>
              <w:t>本项</w:t>
            </w:r>
            <w:r>
              <w:rPr>
                <w:rFonts w:hint="eastAsia" w:ascii="宋体" w:hAnsi="宋体" w:eastAsia="宋体" w:cs="宋体"/>
                <w:color w:val="auto"/>
                <w:sz w:val="24"/>
              </w:rPr>
              <w:t>目</w:t>
            </w:r>
            <w:r>
              <w:rPr>
                <w:rFonts w:hint="eastAsia" w:ascii="Times New Roman" w:hAnsi="Times New Roman" w:eastAsia="宋体" w:cs="Times New Roman"/>
                <w:color w:val="auto"/>
                <w:sz w:val="24"/>
              </w:rPr>
              <w:t>生理性海水鼻腔喷雾剂</w:t>
            </w:r>
            <w:r>
              <w:rPr>
                <w:rFonts w:hint="eastAsia" w:ascii="宋体" w:hAnsi="宋体" w:eastAsia="宋体" w:cs="宋体"/>
                <w:color w:val="auto"/>
                <w:sz w:val="24"/>
              </w:rPr>
              <w:t>物料平</w:t>
            </w:r>
            <w:r>
              <w:rPr>
                <w:rFonts w:hint="eastAsia" w:ascii="宋体" w:hAnsi="宋体" w:cs="宋体"/>
                <w:color w:val="auto"/>
                <w:sz w:val="24"/>
              </w:rPr>
              <w:t>衡表</w:t>
            </w:r>
            <w:r>
              <w:rPr>
                <w:color w:val="auto"/>
                <w:sz w:val="24"/>
              </w:rPr>
              <w:t>见</w:t>
            </w:r>
            <w:r>
              <w:rPr>
                <w:rFonts w:hint="eastAsia"/>
                <w:color w:val="auto"/>
                <w:sz w:val="24"/>
                <w:lang w:val="en-US" w:eastAsia="zh-CN"/>
              </w:rPr>
              <w:t>下表</w:t>
            </w:r>
            <w:r>
              <w:rPr>
                <w:rFonts w:hint="eastAsia"/>
                <w:color w:val="auto"/>
                <w:sz w:val="24"/>
              </w:rPr>
              <w:t>。</w:t>
            </w:r>
          </w:p>
          <w:p w14:paraId="0E42194A">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b/>
                <w:bCs/>
                <w:color w:val="auto"/>
                <w:sz w:val="21"/>
                <w:szCs w:val="21"/>
              </w:rPr>
            </w:pPr>
            <w:r>
              <w:rPr>
                <w:b/>
                <w:bCs/>
                <w:color w:val="auto"/>
                <w:sz w:val="21"/>
                <w:szCs w:val="21"/>
              </w:rPr>
              <w:t>表</w:t>
            </w:r>
            <w:r>
              <w:rPr>
                <w:rFonts w:hint="eastAsia"/>
                <w:b/>
                <w:bCs/>
                <w:color w:val="auto"/>
                <w:sz w:val="21"/>
                <w:szCs w:val="21"/>
              </w:rPr>
              <w:t>2-1</w:t>
            </w:r>
            <w:r>
              <w:rPr>
                <w:rFonts w:hint="eastAsia"/>
                <w:b/>
                <w:bCs/>
                <w:color w:val="auto"/>
                <w:sz w:val="21"/>
                <w:szCs w:val="21"/>
                <w:lang w:val="en-US" w:eastAsia="zh-CN"/>
              </w:rPr>
              <w:t>1</w:t>
            </w:r>
            <w:r>
              <w:rPr>
                <w:rFonts w:hint="eastAsia"/>
                <w:b/>
                <w:bCs/>
                <w:color w:val="auto"/>
                <w:sz w:val="21"/>
                <w:szCs w:val="21"/>
              </w:rPr>
              <w:t xml:space="preserve"> </w:t>
            </w:r>
            <w:r>
              <w:rPr>
                <w:rFonts w:hint="eastAsia" w:ascii="Times New Roman" w:hAnsi="Times New Roman" w:eastAsia="宋体" w:cs="Times New Roman"/>
                <w:b/>
                <w:bCs/>
                <w:color w:val="auto"/>
                <w:sz w:val="21"/>
                <w:szCs w:val="21"/>
              </w:rPr>
              <w:t xml:space="preserve"> 生理性海水鼻腔喷雾剂</w:t>
            </w:r>
            <w:r>
              <w:rPr>
                <w:rFonts w:ascii="Times New Roman" w:hAnsi="Times New Roman" w:eastAsia="宋体" w:cs="Times New Roman"/>
                <w:b/>
                <w:bCs/>
                <w:color w:val="auto"/>
                <w:sz w:val="21"/>
                <w:szCs w:val="21"/>
              </w:rPr>
              <w:t>物</w:t>
            </w:r>
            <w:r>
              <w:rPr>
                <w:b/>
                <w:bCs/>
                <w:color w:val="auto"/>
                <w:sz w:val="21"/>
                <w:szCs w:val="21"/>
              </w:rPr>
              <w:t>料平衡表</w:t>
            </w:r>
          </w:p>
          <w:tbl>
            <w:tblPr>
              <w:tblStyle w:val="24"/>
              <w:tblW w:w="496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1462"/>
              <w:gridCol w:w="750"/>
              <w:gridCol w:w="2399"/>
              <w:gridCol w:w="1470"/>
            </w:tblGrid>
            <w:tr w14:paraId="6CC4AF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109" w:type="pct"/>
                  <w:gridSpan w:val="2"/>
                  <w:tcBorders>
                    <w:bottom w:val="single" w:color="auto" w:sz="4" w:space="0"/>
                  </w:tcBorders>
                  <w:noWrap w:val="0"/>
                  <w:vAlign w:val="top"/>
                </w:tcPr>
                <w:p w14:paraId="581CE9C4">
                  <w:pPr>
                    <w:autoSpaceDE w:val="0"/>
                    <w:autoSpaceDN w:val="0"/>
                    <w:adjustRightInd w:val="0"/>
                    <w:jc w:val="center"/>
                    <w:rPr>
                      <w:b/>
                      <w:bCs/>
                      <w:color w:val="auto"/>
                      <w:szCs w:val="21"/>
                    </w:rPr>
                  </w:pPr>
                  <w:r>
                    <w:rPr>
                      <w:b/>
                      <w:bCs/>
                      <w:color w:val="auto"/>
                      <w:szCs w:val="21"/>
                    </w:rPr>
                    <w:t>投入</w:t>
                  </w:r>
                </w:p>
              </w:tc>
              <w:tc>
                <w:tcPr>
                  <w:tcW w:w="2890" w:type="pct"/>
                  <w:gridSpan w:val="3"/>
                  <w:tcBorders>
                    <w:bottom w:val="single" w:color="auto" w:sz="4" w:space="0"/>
                  </w:tcBorders>
                  <w:noWrap w:val="0"/>
                  <w:vAlign w:val="top"/>
                </w:tcPr>
                <w:p w14:paraId="0214FF7C">
                  <w:pPr>
                    <w:autoSpaceDE w:val="0"/>
                    <w:autoSpaceDN w:val="0"/>
                    <w:adjustRightInd w:val="0"/>
                    <w:jc w:val="center"/>
                    <w:rPr>
                      <w:b/>
                      <w:bCs/>
                      <w:color w:val="auto"/>
                      <w:szCs w:val="21"/>
                    </w:rPr>
                  </w:pPr>
                  <w:r>
                    <w:rPr>
                      <w:b/>
                      <w:bCs/>
                      <w:color w:val="auto"/>
                      <w:szCs w:val="21"/>
                    </w:rPr>
                    <w:t>产出</w:t>
                  </w:r>
                </w:p>
              </w:tc>
            </w:tr>
            <w:tr w14:paraId="128C4A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4" w:type="pct"/>
                  <w:tcBorders>
                    <w:top w:val="single" w:color="auto" w:sz="4" w:space="0"/>
                    <w:bottom w:val="single" w:color="auto" w:sz="4" w:space="0"/>
                  </w:tcBorders>
                  <w:noWrap w:val="0"/>
                  <w:vAlign w:val="center"/>
                </w:tcPr>
                <w:p w14:paraId="6D5C7AF0">
                  <w:pPr>
                    <w:autoSpaceDE w:val="0"/>
                    <w:autoSpaceDN w:val="0"/>
                    <w:adjustRightInd w:val="0"/>
                    <w:jc w:val="center"/>
                    <w:rPr>
                      <w:b/>
                      <w:bCs/>
                      <w:color w:val="auto"/>
                      <w:szCs w:val="21"/>
                    </w:rPr>
                  </w:pPr>
                  <w:r>
                    <w:rPr>
                      <w:b/>
                      <w:bCs/>
                      <w:color w:val="auto"/>
                      <w:szCs w:val="21"/>
                    </w:rPr>
                    <w:t>名称</w:t>
                  </w:r>
                </w:p>
              </w:tc>
              <w:tc>
                <w:tcPr>
                  <w:tcW w:w="915" w:type="pct"/>
                  <w:tcBorders>
                    <w:top w:val="single" w:color="auto" w:sz="4" w:space="0"/>
                    <w:bottom w:val="single" w:color="auto" w:sz="4" w:space="0"/>
                  </w:tcBorders>
                  <w:noWrap w:val="0"/>
                  <w:vAlign w:val="center"/>
                </w:tcPr>
                <w:p w14:paraId="15071C88">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c>
                <w:tcPr>
                  <w:tcW w:w="1970" w:type="pct"/>
                  <w:gridSpan w:val="2"/>
                  <w:tcBorders>
                    <w:top w:val="single" w:color="auto" w:sz="4" w:space="0"/>
                    <w:bottom w:val="single" w:color="auto" w:sz="4" w:space="0"/>
                  </w:tcBorders>
                  <w:noWrap w:val="0"/>
                  <w:vAlign w:val="center"/>
                </w:tcPr>
                <w:p w14:paraId="32D1E087">
                  <w:pPr>
                    <w:autoSpaceDE w:val="0"/>
                    <w:autoSpaceDN w:val="0"/>
                    <w:adjustRightInd w:val="0"/>
                    <w:jc w:val="center"/>
                    <w:rPr>
                      <w:b/>
                      <w:bCs/>
                      <w:color w:val="auto"/>
                      <w:szCs w:val="21"/>
                    </w:rPr>
                  </w:pPr>
                  <w:r>
                    <w:rPr>
                      <w:b/>
                      <w:bCs/>
                      <w:color w:val="auto"/>
                      <w:szCs w:val="21"/>
                    </w:rPr>
                    <w:t>名称</w:t>
                  </w:r>
                </w:p>
              </w:tc>
              <w:tc>
                <w:tcPr>
                  <w:tcW w:w="920" w:type="pct"/>
                  <w:tcBorders>
                    <w:top w:val="single" w:color="auto" w:sz="4" w:space="0"/>
                    <w:bottom w:val="single" w:color="auto" w:sz="4" w:space="0"/>
                  </w:tcBorders>
                  <w:noWrap w:val="0"/>
                  <w:vAlign w:val="center"/>
                </w:tcPr>
                <w:p w14:paraId="500B232B">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r>
            <w:tr w14:paraId="54776A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4" w:type="pct"/>
                  <w:tcBorders>
                    <w:top w:val="single" w:color="auto" w:sz="4" w:space="0"/>
                    <w:bottom w:val="single" w:color="auto" w:sz="4" w:space="0"/>
                  </w:tcBorders>
                  <w:noWrap w:val="0"/>
                  <w:vAlign w:val="center"/>
                </w:tcPr>
                <w:p w14:paraId="68DF49D7">
                  <w:pPr>
                    <w:autoSpaceDE w:val="0"/>
                    <w:autoSpaceDN w:val="0"/>
                    <w:adjustRightInd w:val="0"/>
                    <w:jc w:val="center"/>
                    <w:rPr>
                      <w:rFonts w:hint="eastAsia" w:eastAsia="宋体"/>
                      <w:color w:val="auto"/>
                      <w:szCs w:val="21"/>
                      <w:lang w:eastAsia="zh-CN"/>
                    </w:rPr>
                  </w:pPr>
                  <w:r>
                    <w:rPr>
                      <w:rFonts w:hint="eastAsia"/>
                      <w:color w:val="auto"/>
                      <w:szCs w:val="21"/>
                      <w:lang w:val="en-US" w:eastAsia="zh-CN"/>
                    </w:rPr>
                    <w:t>海盐</w:t>
                  </w:r>
                </w:p>
              </w:tc>
              <w:tc>
                <w:tcPr>
                  <w:tcW w:w="915" w:type="pct"/>
                  <w:tcBorders>
                    <w:top w:val="single" w:color="auto" w:sz="4" w:space="0"/>
                    <w:bottom w:val="single" w:color="auto" w:sz="4" w:space="0"/>
                  </w:tcBorders>
                  <w:noWrap w:val="0"/>
                  <w:vAlign w:val="center"/>
                </w:tcPr>
                <w:p w14:paraId="5C85B5C0">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0.3</w:t>
                  </w:r>
                </w:p>
              </w:tc>
              <w:tc>
                <w:tcPr>
                  <w:tcW w:w="469" w:type="pct"/>
                  <w:vMerge w:val="restart"/>
                  <w:tcBorders>
                    <w:top w:val="single" w:color="auto" w:sz="4" w:space="0"/>
                  </w:tcBorders>
                  <w:noWrap w:val="0"/>
                  <w:vAlign w:val="center"/>
                </w:tcPr>
                <w:p w14:paraId="1B1976B8">
                  <w:pPr>
                    <w:autoSpaceDE w:val="0"/>
                    <w:autoSpaceDN w:val="0"/>
                    <w:adjustRightInd w:val="0"/>
                    <w:jc w:val="center"/>
                    <w:rPr>
                      <w:color w:val="auto"/>
                      <w:szCs w:val="21"/>
                    </w:rPr>
                  </w:pPr>
                  <w:r>
                    <w:rPr>
                      <w:rFonts w:hint="eastAsia"/>
                      <w:color w:val="auto"/>
                      <w:szCs w:val="21"/>
                    </w:rPr>
                    <w:t>产品</w:t>
                  </w:r>
                </w:p>
              </w:tc>
              <w:tc>
                <w:tcPr>
                  <w:tcW w:w="1501" w:type="pct"/>
                  <w:vMerge w:val="restart"/>
                  <w:tcBorders>
                    <w:top w:val="single" w:color="auto" w:sz="4" w:space="0"/>
                  </w:tcBorders>
                  <w:noWrap w:val="0"/>
                  <w:vAlign w:val="center"/>
                </w:tcPr>
                <w:p w14:paraId="1B8A2630">
                  <w:pPr>
                    <w:autoSpaceDE w:val="0"/>
                    <w:autoSpaceDN w:val="0"/>
                    <w:adjustRightInd w:val="0"/>
                    <w:jc w:val="center"/>
                    <w:rPr>
                      <w:rFonts w:hint="eastAsia"/>
                      <w:color w:val="auto"/>
                      <w:szCs w:val="21"/>
                    </w:rPr>
                  </w:pPr>
                  <w:r>
                    <w:rPr>
                      <w:rFonts w:hint="eastAsia"/>
                      <w:color w:val="auto"/>
                      <w:szCs w:val="21"/>
                    </w:rPr>
                    <w:t>生理性海水鼻腔喷雾剂</w:t>
                  </w:r>
                </w:p>
              </w:tc>
              <w:tc>
                <w:tcPr>
                  <w:tcW w:w="920" w:type="pct"/>
                  <w:vMerge w:val="restart"/>
                  <w:tcBorders>
                    <w:top w:val="single" w:color="auto" w:sz="4" w:space="0"/>
                  </w:tcBorders>
                  <w:noWrap w:val="0"/>
                  <w:vAlign w:val="center"/>
                </w:tcPr>
                <w:p w14:paraId="2B2FF4A8">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300.3</w:t>
                  </w:r>
                </w:p>
              </w:tc>
            </w:tr>
            <w:tr w14:paraId="36995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194" w:type="pct"/>
                  <w:tcBorders>
                    <w:top w:val="single" w:color="auto" w:sz="4" w:space="0"/>
                    <w:bottom w:val="single" w:color="auto" w:sz="4" w:space="0"/>
                  </w:tcBorders>
                  <w:noWrap w:val="0"/>
                  <w:vAlign w:val="center"/>
                </w:tcPr>
                <w:p w14:paraId="08D90C70">
                  <w:pPr>
                    <w:autoSpaceDE w:val="0"/>
                    <w:autoSpaceDN w:val="0"/>
                    <w:adjustRightInd w:val="0"/>
                    <w:jc w:val="center"/>
                    <w:rPr>
                      <w:rFonts w:hint="eastAsia" w:eastAsia="宋体"/>
                      <w:color w:val="auto"/>
                      <w:szCs w:val="21"/>
                      <w:lang w:eastAsia="zh-CN"/>
                    </w:rPr>
                  </w:pPr>
                  <w:r>
                    <w:rPr>
                      <w:rFonts w:hint="eastAsia"/>
                      <w:color w:val="auto"/>
                      <w:szCs w:val="21"/>
                      <w:lang w:val="en-US" w:eastAsia="zh-CN"/>
                    </w:rPr>
                    <w:t>纯水</w:t>
                  </w:r>
                </w:p>
              </w:tc>
              <w:tc>
                <w:tcPr>
                  <w:tcW w:w="915" w:type="pct"/>
                  <w:tcBorders>
                    <w:top w:val="single" w:color="auto" w:sz="4" w:space="0"/>
                    <w:bottom w:val="single" w:color="auto" w:sz="4" w:space="0"/>
                  </w:tcBorders>
                  <w:noWrap w:val="0"/>
                  <w:vAlign w:val="center"/>
                </w:tcPr>
                <w:p w14:paraId="4AD537CE">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300</w:t>
                  </w:r>
                </w:p>
              </w:tc>
              <w:tc>
                <w:tcPr>
                  <w:tcW w:w="469" w:type="pct"/>
                  <w:vMerge w:val="continue"/>
                  <w:tcBorders>
                    <w:bottom w:val="single" w:color="auto" w:sz="4" w:space="0"/>
                  </w:tcBorders>
                  <w:noWrap w:val="0"/>
                  <w:vAlign w:val="center"/>
                </w:tcPr>
                <w:p w14:paraId="308B7315">
                  <w:pPr>
                    <w:autoSpaceDE w:val="0"/>
                    <w:autoSpaceDN w:val="0"/>
                    <w:adjustRightInd w:val="0"/>
                    <w:jc w:val="center"/>
                    <w:rPr>
                      <w:color w:val="auto"/>
                      <w:szCs w:val="21"/>
                    </w:rPr>
                  </w:pPr>
                </w:p>
              </w:tc>
              <w:tc>
                <w:tcPr>
                  <w:tcW w:w="1501" w:type="pct"/>
                  <w:vMerge w:val="continue"/>
                  <w:tcBorders>
                    <w:bottom w:val="single" w:color="auto" w:sz="4" w:space="0"/>
                  </w:tcBorders>
                  <w:noWrap w:val="0"/>
                  <w:vAlign w:val="center"/>
                </w:tcPr>
                <w:p w14:paraId="4289E742">
                  <w:pPr>
                    <w:autoSpaceDE w:val="0"/>
                    <w:autoSpaceDN w:val="0"/>
                    <w:adjustRightInd w:val="0"/>
                    <w:jc w:val="center"/>
                    <w:rPr>
                      <w:rFonts w:hint="eastAsia"/>
                      <w:color w:val="auto"/>
                      <w:szCs w:val="21"/>
                    </w:rPr>
                  </w:pPr>
                </w:p>
              </w:tc>
              <w:tc>
                <w:tcPr>
                  <w:tcW w:w="920" w:type="pct"/>
                  <w:vMerge w:val="continue"/>
                  <w:tcBorders>
                    <w:bottom w:val="single" w:color="auto" w:sz="4" w:space="0"/>
                  </w:tcBorders>
                  <w:noWrap w:val="0"/>
                  <w:vAlign w:val="center"/>
                </w:tcPr>
                <w:p w14:paraId="5673C011">
                  <w:pPr>
                    <w:autoSpaceDE w:val="0"/>
                    <w:autoSpaceDN w:val="0"/>
                    <w:adjustRightInd w:val="0"/>
                    <w:jc w:val="center"/>
                    <w:rPr>
                      <w:color w:val="auto"/>
                      <w:szCs w:val="21"/>
                    </w:rPr>
                  </w:pPr>
                </w:p>
              </w:tc>
            </w:tr>
            <w:tr w14:paraId="1DF81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4" w:type="pct"/>
                  <w:tcBorders>
                    <w:top w:val="single" w:color="auto" w:sz="4" w:space="0"/>
                    <w:bottom w:val="single" w:color="auto" w:sz="12" w:space="0"/>
                  </w:tcBorders>
                  <w:noWrap w:val="0"/>
                  <w:vAlign w:val="center"/>
                </w:tcPr>
                <w:p w14:paraId="116DCD99">
                  <w:pPr>
                    <w:pStyle w:val="83"/>
                    <w:spacing w:line="240" w:lineRule="auto"/>
                    <w:ind w:firstLine="0" w:firstLineChars="0"/>
                    <w:jc w:val="center"/>
                    <w:textAlignment w:val="baseline"/>
                    <w:rPr>
                      <w:rStyle w:val="84"/>
                      <w:color w:val="auto"/>
                      <w:kern w:val="0"/>
                      <w:sz w:val="21"/>
                      <w:szCs w:val="21"/>
                    </w:rPr>
                  </w:pPr>
                  <w:r>
                    <w:rPr>
                      <w:rStyle w:val="84"/>
                      <w:color w:val="auto"/>
                      <w:kern w:val="0"/>
                      <w:sz w:val="21"/>
                      <w:szCs w:val="21"/>
                    </w:rPr>
                    <w:t>合计</w:t>
                  </w:r>
                </w:p>
              </w:tc>
              <w:tc>
                <w:tcPr>
                  <w:tcW w:w="915" w:type="pct"/>
                  <w:tcBorders>
                    <w:top w:val="single" w:color="auto" w:sz="4" w:space="0"/>
                    <w:bottom w:val="single" w:color="auto" w:sz="12" w:space="0"/>
                  </w:tcBorders>
                  <w:noWrap w:val="0"/>
                  <w:vAlign w:val="center"/>
                </w:tcPr>
                <w:p w14:paraId="0AC0D0AC">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300.3</w:t>
                  </w:r>
                </w:p>
              </w:tc>
              <w:tc>
                <w:tcPr>
                  <w:tcW w:w="1970" w:type="pct"/>
                  <w:gridSpan w:val="2"/>
                  <w:tcBorders>
                    <w:top w:val="single" w:color="auto" w:sz="4" w:space="0"/>
                    <w:bottom w:val="single" w:color="auto" w:sz="12" w:space="0"/>
                  </w:tcBorders>
                  <w:noWrap w:val="0"/>
                  <w:vAlign w:val="center"/>
                </w:tcPr>
                <w:p w14:paraId="4B5EC5AF">
                  <w:pPr>
                    <w:pStyle w:val="83"/>
                    <w:spacing w:line="240" w:lineRule="auto"/>
                    <w:ind w:firstLine="0" w:firstLineChars="0"/>
                    <w:jc w:val="center"/>
                    <w:textAlignment w:val="baseline"/>
                    <w:rPr>
                      <w:color w:val="auto"/>
                      <w:szCs w:val="21"/>
                    </w:rPr>
                  </w:pPr>
                  <w:r>
                    <w:rPr>
                      <w:rStyle w:val="84"/>
                      <w:color w:val="auto"/>
                      <w:kern w:val="0"/>
                      <w:sz w:val="21"/>
                      <w:szCs w:val="21"/>
                    </w:rPr>
                    <w:t>合计</w:t>
                  </w:r>
                </w:p>
              </w:tc>
              <w:tc>
                <w:tcPr>
                  <w:tcW w:w="920" w:type="pct"/>
                  <w:tcBorders>
                    <w:top w:val="single" w:color="auto" w:sz="4" w:space="0"/>
                    <w:bottom w:val="single" w:color="auto" w:sz="12" w:space="0"/>
                  </w:tcBorders>
                  <w:noWrap w:val="0"/>
                  <w:vAlign w:val="center"/>
                </w:tcPr>
                <w:p w14:paraId="6C278617">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300.3</w:t>
                  </w:r>
                </w:p>
              </w:tc>
            </w:tr>
          </w:tbl>
          <w:p w14:paraId="0C061D2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rPr>
            </w:pP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rPr>
              <w:t>医用退热贴</w:t>
            </w:r>
            <w:r>
              <w:rPr>
                <w:rFonts w:hint="eastAsia" w:ascii="Times New Roman" w:hAnsi="Times New Roman" w:eastAsia="宋体" w:cs="Times New Roman"/>
                <w:color w:val="auto"/>
                <w:sz w:val="24"/>
              </w:rPr>
              <w:t>物料</w:t>
            </w:r>
            <w:r>
              <w:rPr>
                <w:color w:val="auto"/>
                <w:sz w:val="24"/>
              </w:rPr>
              <w:t>平衡</w:t>
            </w:r>
            <w:r>
              <w:rPr>
                <w:rFonts w:hint="eastAsia"/>
                <w:color w:val="auto"/>
                <w:sz w:val="24"/>
              </w:rPr>
              <w:t>分析详见如下。</w:t>
            </w:r>
          </w:p>
          <w:p w14:paraId="1009FC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rPr>
            </w:pPr>
            <w:r>
              <w:rPr>
                <w:rFonts w:hint="eastAsia"/>
                <w:color w:val="FF0000"/>
                <w:sz w:val="24"/>
                <w:lang w:val="en-US" w:eastAsia="zh-CN"/>
              </w:rPr>
              <w:t>因配粉工序颗粒物产生量较少，本工艺的物料平衡单位以kg来统计。</w:t>
            </w:r>
          </w:p>
          <w:p w14:paraId="2FEF172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object>
                <v:shape id="_x0000_i1040" o:spt="75" type="#_x0000_t75" style="height:106.3pt;width:401.6pt;" o:ole="t" filled="f" o:preferrelative="t" stroked="f" coordsize="21600,21600">
                  <v:path/>
                  <v:fill on="f" focussize="0,0"/>
                  <v:stroke on="f"/>
                  <v:imagedata r:id="rId44" o:title=""/>
                  <o:lock v:ext="edit" aspectratio="f"/>
                  <w10:wrap type="none"/>
                  <w10:anchorlock/>
                </v:shape>
                <o:OLEObject Type="Embed" ProgID="Visio.Drawing.11" ShapeID="_x0000_i1040" DrawAspect="Content" ObjectID="_1468075740" r:id="rId43">
                  <o:LockedField>false</o:LockedField>
                </o:OLEObject>
              </w:object>
            </w:r>
          </w:p>
          <w:p w14:paraId="29E1183C">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hAnsi="宋体" w:cs="宋体"/>
                <w:b/>
                <w:bCs/>
                <w:color w:val="auto"/>
                <w:szCs w:val="21"/>
              </w:rPr>
            </w:pPr>
            <w:r>
              <w:rPr>
                <w:rFonts w:ascii="Times New Roman"/>
                <w:b/>
                <w:bCs/>
                <w:color w:val="auto"/>
                <w:szCs w:val="21"/>
              </w:rPr>
              <w:t>图</w:t>
            </w:r>
            <w:r>
              <w:rPr>
                <w:rFonts w:hint="eastAsia" w:ascii="Times New Roman"/>
                <w:b/>
                <w:bCs/>
                <w:color w:val="auto"/>
                <w:szCs w:val="21"/>
              </w:rPr>
              <w:t>2</w:t>
            </w:r>
            <w:r>
              <w:rPr>
                <w:rFonts w:ascii="Times New Roman"/>
                <w:b/>
                <w:bCs/>
                <w:color w:val="auto"/>
                <w:szCs w:val="21"/>
              </w:rPr>
              <w:t>-</w:t>
            </w:r>
            <w:r>
              <w:rPr>
                <w:rFonts w:hint="eastAsia"/>
                <w:b/>
                <w:bCs/>
                <w:color w:val="auto"/>
                <w:szCs w:val="21"/>
                <w:lang w:val="en-US" w:eastAsia="zh-CN"/>
              </w:rPr>
              <w:t>17</w:t>
            </w:r>
            <w:r>
              <w:rPr>
                <w:rFonts w:hint="eastAsia" w:ascii="Times New Roman"/>
                <w:b/>
                <w:bCs/>
                <w:color w:val="auto"/>
                <w:szCs w:val="21"/>
              </w:rPr>
              <w:t xml:space="preserve"> </w:t>
            </w:r>
            <w:r>
              <w:rPr>
                <w:rFonts w:ascii="Times New Roman"/>
                <w:b/>
                <w:bCs/>
                <w:color w:val="auto"/>
                <w:szCs w:val="21"/>
              </w:rPr>
              <w:t xml:space="preserve"> </w:t>
            </w:r>
            <w:r>
              <w:rPr>
                <w:rFonts w:hint="eastAsia" w:ascii="宋体" w:hAnsi="宋体" w:eastAsia="宋体" w:cs="宋体"/>
                <w:b/>
                <w:bCs/>
                <w:color w:val="auto"/>
                <w:szCs w:val="21"/>
              </w:rPr>
              <w:t>项</w:t>
            </w:r>
            <w:r>
              <w:rPr>
                <w:rFonts w:hint="eastAsia" w:ascii="Times New Roman" w:hAnsi="宋体" w:eastAsia="宋体" w:cs="宋体"/>
                <w:b/>
                <w:bCs/>
                <w:color w:val="auto"/>
                <w:szCs w:val="21"/>
              </w:rPr>
              <w:t>目</w:t>
            </w:r>
            <w:r>
              <w:rPr>
                <w:rFonts w:hint="eastAsia" w:ascii="Times New Roman" w:hAnsi="宋体" w:eastAsia="宋体" w:cs="宋体"/>
                <w:b/>
                <w:bCs/>
                <w:color w:val="auto"/>
                <w:szCs w:val="21"/>
                <w:lang w:val="en-US"/>
              </w:rPr>
              <w:t>医用退热贴</w:t>
            </w:r>
            <w:r>
              <w:rPr>
                <w:rFonts w:hint="eastAsia" w:ascii="Times New Roman" w:hAnsi="宋体" w:eastAsia="宋体" w:cs="宋体"/>
                <w:b/>
                <w:bCs/>
                <w:color w:val="auto"/>
                <w:szCs w:val="21"/>
              </w:rPr>
              <w:t>物</w:t>
            </w:r>
            <w:r>
              <w:rPr>
                <w:rFonts w:hint="eastAsia" w:ascii="宋体" w:hAnsi="宋体" w:eastAsia="宋体" w:cs="宋体"/>
                <w:b/>
                <w:bCs/>
                <w:color w:val="auto"/>
                <w:szCs w:val="21"/>
              </w:rPr>
              <w:t>料</w:t>
            </w:r>
            <w:r>
              <w:rPr>
                <w:rFonts w:hint="eastAsia" w:hAnsi="宋体" w:cs="宋体"/>
                <w:b/>
                <w:bCs/>
                <w:color w:val="auto"/>
                <w:szCs w:val="21"/>
              </w:rPr>
              <w:t>平衡图  （单位：</w:t>
            </w:r>
            <w:r>
              <w:rPr>
                <w:rFonts w:hint="eastAsia" w:hAnsi="宋体" w:cs="宋体"/>
                <w:b/>
                <w:bCs/>
                <w:color w:val="auto"/>
                <w:szCs w:val="21"/>
                <w:lang w:val="en-US" w:eastAsia="zh-CN"/>
              </w:rPr>
              <w:t>kg</w:t>
            </w:r>
            <w:r>
              <w:rPr>
                <w:rFonts w:hint="eastAsia" w:hAnsi="宋体" w:cs="宋体"/>
                <w:b/>
                <w:bCs/>
                <w:color w:val="auto"/>
                <w:szCs w:val="21"/>
              </w:rPr>
              <w:t>/a）</w:t>
            </w:r>
          </w:p>
          <w:p w14:paraId="506ADDD2">
            <w:pPr>
              <w:ind w:firstLine="480" w:firstLineChars="200"/>
              <w:rPr>
                <w:rFonts w:hint="eastAsia" w:ascii="宋体" w:hAnsi="宋体" w:eastAsia="宋体" w:cs="宋体"/>
                <w:color w:val="auto"/>
                <w:sz w:val="24"/>
                <w:lang w:val="en-US" w:eastAsia="zh-CN"/>
              </w:rPr>
            </w:pPr>
            <w:r>
              <w:rPr>
                <w:rFonts w:hint="eastAsia" w:ascii="宋体" w:hAnsi="宋体" w:cs="宋体"/>
                <w:color w:val="auto"/>
                <w:sz w:val="24"/>
              </w:rPr>
              <w:t>本项</w:t>
            </w:r>
            <w:r>
              <w:rPr>
                <w:rFonts w:hint="eastAsia" w:ascii="宋体" w:hAnsi="宋体" w:eastAsia="宋体" w:cs="宋体"/>
                <w:color w:val="auto"/>
                <w:sz w:val="24"/>
              </w:rPr>
              <w:t>目</w:t>
            </w:r>
            <w:r>
              <w:rPr>
                <w:rFonts w:hint="eastAsia" w:ascii="宋体" w:hAnsi="宋体" w:eastAsia="宋体" w:cs="宋体"/>
                <w:color w:val="auto"/>
                <w:sz w:val="24"/>
                <w:lang w:val="en-US"/>
              </w:rPr>
              <w:t>医用退热贴</w:t>
            </w:r>
            <w:r>
              <w:rPr>
                <w:rFonts w:hint="eastAsia" w:ascii="宋体" w:hAnsi="宋体" w:eastAsia="宋体" w:cs="宋体"/>
                <w:color w:val="auto"/>
                <w:sz w:val="24"/>
              </w:rPr>
              <w:t>物料平衡表见</w:t>
            </w:r>
            <w:r>
              <w:rPr>
                <w:rFonts w:hint="eastAsia" w:ascii="宋体" w:hAnsi="宋体" w:eastAsia="宋体" w:cs="宋体"/>
                <w:color w:val="auto"/>
                <w:sz w:val="24"/>
                <w:lang w:val="en-US" w:eastAsia="zh-CN"/>
              </w:rPr>
              <w:t>下表</w:t>
            </w:r>
            <w:r>
              <w:rPr>
                <w:rFonts w:hint="eastAsia" w:ascii="宋体" w:hAnsi="宋体" w:eastAsia="宋体" w:cs="宋体"/>
                <w:color w:val="auto"/>
                <w:sz w:val="24"/>
              </w:rPr>
              <w:t>。</w:t>
            </w:r>
          </w:p>
          <w:p w14:paraId="4F64D459">
            <w:pPr>
              <w:pStyle w:val="10"/>
              <w:spacing w:before="0" w:after="0" w:line="240" w:lineRule="auto"/>
              <w:ind w:right="0"/>
              <w:jc w:val="center"/>
              <w:rPr>
                <w:b/>
                <w:bCs/>
                <w:color w:val="auto"/>
                <w:sz w:val="21"/>
                <w:szCs w:val="21"/>
              </w:rPr>
            </w:pPr>
            <w:r>
              <w:rPr>
                <w:b/>
                <w:bCs/>
                <w:color w:val="auto"/>
                <w:sz w:val="21"/>
                <w:szCs w:val="21"/>
              </w:rPr>
              <w:t>表</w:t>
            </w:r>
            <w:r>
              <w:rPr>
                <w:rFonts w:hint="eastAsia"/>
                <w:b/>
                <w:bCs/>
                <w:color w:val="auto"/>
                <w:sz w:val="21"/>
                <w:szCs w:val="21"/>
              </w:rPr>
              <w:t>2-1</w:t>
            </w:r>
            <w:r>
              <w:rPr>
                <w:rFonts w:hint="eastAsia"/>
                <w:b/>
                <w:bCs/>
                <w:color w:val="auto"/>
                <w:sz w:val="21"/>
                <w:szCs w:val="21"/>
                <w:lang w:val="en-US" w:eastAsia="zh-CN"/>
              </w:rPr>
              <w:t>2</w:t>
            </w:r>
            <w:r>
              <w:rPr>
                <w:rFonts w:hint="eastAsia"/>
                <w:b/>
                <w:bCs/>
                <w:color w:val="auto"/>
                <w:sz w:val="21"/>
                <w:szCs w:val="21"/>
              </w:rPr>
              <w:t xml:space="preserve">  </w:t>
            </w:r>
            <w:r>
              <w:rPr>
                <w:rFonts w:hint="eastAsia" w:ascii="Times New Roman" w:hAnsi="Times New Roman" w:eastAsia="宋体" w:cs="Times New Roman"/>
                <w:b/>
                <w:bCs/>
                <w:color w:val="auto"/>
                <w:sz w:val="21"/>
                <w:szCs w:val="21"/>
                <w:lang w:val="en-US"/>
              </w:rPr>
              <w:t>医用退热贴</w:t>
            </w:r>
            <w:r>
              <w:rPr>
                <w:rFonts w:ascii="Times New Roman" w:hAnsi="Times New Roman" w:eastAsia="宋体" w:cs="Times New Roman"/>
                <w:b/>
                <w:bCs/>
                <w:color w:val="auto"/>
                <w:sz w:val="21"/>
                <w:szCs w:val="21"/>
              </w:rPr>
              <w:t>物</w:t>
            </w:r>
            <w:r>
              <w:rPr>
                <w:b/>
                <w:bCs/>
                <w:color w:val="auto"/>
                <w:sz w:val="21"/>
                <w:szCs w:val="21"/>
              </w:rPr>
              <w:t>料平衡表</w:t>
            </w:r>
          </w:p>
          <w:tbl>
            <w:tblPr>
              <w:tblStyle w:val="24"/>
              <w:tblW w:w="496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1354"/>
              <w:gridCol w:w="1114"/>
              <w:gridCol w:w="1853"/>
              <w:gridCol w:w="1470"/>
            </w:tblGrid>
            <w:tr w14:paraId="64D3D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223" w:type="pct"/>
                  <w:gridSpan w:val="2"/>
                  <w:tcBorders>
                    <w:bottom w:val="single" w:color="auto" w:sz="4" w:space="0"/>
                  </w:tcBorders>
                  <w:noWrap w:val="0"/>
                  <w:vAlign w:val="top"/>
                </w:tcPr>
                <w:p w14:paraId="598C8E6A">
                  <w:pPr>
                    <w:autoSpaceDE w:val="0"/>
                    <w:autoSpaceDN w:val="0"/>
                    <w:adjustRightInd w:val="0"/>
                    <w:jc w:val="center"/>
                    <w:rPr>
                      <w:b/>
                      <w:bCs/>
                      <w:color w:val="auto"/>
                      <w:szCs w:val="21"/>
                    </w:rPr>
                  </w:pPr>
                  <w:r>
                    <w:rPr>
                      <w:b/>
                      <w:bCs/>
                      <w:color w:val="auto"/>
                      <w:szCs w:val="21"/>
                    </w:rPr>
                    <w:t>投入</w:t>
                  </w:r>
                </w:p>
              </w:tc>
              <w:tc>
                <w:tcPr>
                  <w:tcW w:w="2776" w:type="pct"/>
                  <w:gridSpan w:val="3"/>
                  <w:tcBorders>
                    <w:bottom w:val="single" w:color="auto" w:sz="4" w:space="0"/>
                  </w:tcBorders>
                  <w:noWrap w:val="0"/>
                  <w:vAlign w:val="top"/>
                </w:tcPr>
                <w:p w14:paraId="171393AF">
                  <w:pPr>
                    <w:autoSpaceDE w:val="0"/>
                    <w:autoSpaceDN w:val="0"/>
                    <w:adjustRightInd w:val="0"/>
                    <w:jc w:val="center"/>
                    <w:rPr>
                      <w:b/>
                      <w:bCs/>
                      <w:color w:val="auto"/>
                      <w:szCs w:val="21"/>
                    </w:rPr>
                  </w:pPr>
                  <w:r>
                    <w:rPr>
                      <w:b/>
                      <w:bCs/>
                      <w:color w:val="auto"/>
                      <w:szCs w:val="21"/>
                    </w:rPr>
                    <w:t>产出</w:t>
                  </w:r>
                </w:p>
              </w:tc>
            </w:tr>
            <w:tr w14:paraId="3A276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pct"/>
                  <w:tcBorders>
                    <w:top w:val="single" w:color="auto" w:sz="4" w:space="0"/>
                    <w:bottom w:val="single" w:color="auto" w:sz="4" w:space="0"/>
                  </w:tcBorders>
                  <w:noWrap w:val="0"/>
                  <w:vAlign w:val="center"/>
                </w:tcPr>
                <w:p w14:paraId="462B643B">
                  <w:pPr>
                    <w:autoSpaceDE w:val="0"/>
                    <w:autoSpaceDN w:val="0"/>
                    <w:adjustRightInd w:val="0"/>
                    <w:jc w:val="center"/>
                    <w:rPr>
                      <w:b/>
                      <w:bCs/>
                      <w:color w:val="auto"/>
                      <w:szCs w:val="21"/>
                    </w:rPr>
                  </w:pPr>
                  <w:r>
                    <w:rPr>
                      <w:b/>
                      <w:bCs/>
                      <w:color w:val="auto"/>
                      <w:szCs w:val="21"/>
                    </w:rPr>
                    <w:t>名称</w:t>
                  </w:r>
                </w:p>
              </w:tc>
              <w:tc>
                <w:tcPr>
                  <w:tcW w:w="847" w:type="pct"/>
                  <w:tcBorders>
                    <w:top w:val="single" w:color="auto" w:sz="4" w:space="0"/>
                    <w:bottom w:val="single" w:color="auto" w:sz="4" w:space="0"/>
                  </w:tcBorders>
                  <w:noWrap w:val="0"/>
                  <w:vAlign w:val="center"/>
                </w:tcPr>
                <w:p w14:paraId="165D9443">
                  <w:pPr>
                    <w:autoSpaceDE w:val="0"/>
                    <w:autoSpaceDN w:val="0"/>
                    <w:adjustRightInd w:val="0"/>
                    <w:jc w:val="center"/>
                    <w:rPr>
                      <w:b/>
                      <w:bCs/>
                      <w:color w:val="auto"/>
                      <w:szCs w:val="21"/>
                    </w:rPr>
                  </w:pPr>
                  <w:r>
                    <w:rPr>
                      <w:b/>
                      <w:bCs/>
                      <w:color w:val="auto"/>
                      <w:szCs w:val="21"/>
                    </w:rPr>
                    <w:t>数量（</w:t>
                  </w:r>
                  <w:r>
                    <w:rPr>
                      <w:rFonts w:hint="eastAsia"/>
                      <w:b/>
                      <w:bCs/>
                      <w:color w:val="auto"/>
                      <w:szCs w:val="21"/>
                      <w:lang w:val="en-US" w:eastAsia="zh-CN"/>
                    </w:rPr>
                    <w:t>kg</w:t>
                  </w:r>
                  <w:r>
                    <w:rPr>
                      <w:b/>
                      <w:bCs/>
                      <w:color w:val="auto"/>
                      <w:szCs w:val="21"/>
                    </w:rPr>
                    <w:t>/</w:t>
                  </w:r>
                  <w:r>
                    <w:rPr>
                      <w:rFonts w:hint="eastAsia"/>
                      <w:b/>
                      <w:bCs/>
                      <w:color w:val="auto"/>
                      <w:szCs w:val="21"/>
                    </w:rPr>
                    <w:t>a</w:t>
                  </w:r>
                  <w:r>
                    <w:rPr>
                      <w:b/>
                      <w:bCs/>
                      <w:color w:val="auto"/>
                      <w:szCs w:val="21"/>
                    </w:rPr>
                    <w:t>）</w:t>
                  </w:r>
                </w:p>
              </w:tc>
              <w:tc>
                <w:tcPr>
                  <w:tcW w:w="1856" w:type="pct"/>
                  <w:gridSpan w:val="2"/>
                  <w:tcBorders>
                    <w:top w:val="single" w:color="auto" w:sz="4" w:space="0"/>
                    <w:bottom w:val="single" w:color="auto" w:sz="4" w:space="0"/>
                  </w:tcBorders>
                  <w:noWrap w:val="0"/>
                  <w:vAlign w:val="center"/>
                </w:tcPr>
                <w:p w14:paraId="1C4E9677">
                  <w:pPr>
                    <w:autoSpaceDE w:val="0"/>
                    <w:autoSpaceDN w:val="0"/>
                    <w:adjustRightInd w:val="0"/>
                    <w:jc w:val="center"/>
                    <w:rPr>
                      <w:b/>
                      <w:bCs/>
                      <w:color w:val="auto"/>
                      <w:szCs w:val="21"/>
                    </w:rPr>
                  </w:pPr>
                  <w:r>
                    <w:rPr>
                      <w:b/>
                      <w:bCs/>
                      <w:color w:val="auto"/>
                      <w:szCs w:val="21"/>
                    </w:rPr>
                    <w:t>名称</w:t>
                  </w:r>
                </w:p>
              </w:tc>
              <w:tc>
                <w:tcPr>
                  <w:tcW w:w="920" w:type="pct"/>
                  <w:tcBorders>
                    <w:top w:val="single" w:color="auto" w:sz="4" w:space="0"/>
                    <w:bottom w:val="single" w:color="auto" w:sz="4" w:space="0"/>
                  </w:tcBorders>
                  <w:noWrap w:val="0"/>
                  <w:vAlign w:val="center"/>
                </w:tcPr>
                <w:p w14:paraId="23F7F14A">
                  <w:pPr>
                    <w:autoSpaceDE w:val="0"/>
                    <w:autoSpaceDN w:val="0"/>
                    <w:adjustRightInd w:val="0"/>
                    <w:jc w:val="center"/>
                    <w:rPr>
                      <w:b/>
                      <w:bCs/>
                      <w:color w:val="auto"/>
                      <w:szCs w:val="21"/>
                    </w:rPr>
                  </w:pPr>
                  <w:r>
                    <w:rPr>
                      <w:b/>
                      <w:bCs/>
                      <w:color w:val="auto"/>
                      <w:szCs w:val="21"/>
                    </w:rPr>
                    <w:t>数量（</w:t>
                  </w:r>
                  <w:r>
                    <w:rPr>
                      <w:rFonts w:hint="eastAsia"/>
                      <w:b/>
                      <w:bCs/>
                      <w:color w:val="auto"/>
                      <w:szCs w:val="21"/>
                      <w:lang w:val="en-US" w:eastAsia="zh-CN"/>
                    </w:rPr>
                    <w:t>kg</w:t>
                  </w:r>
                  <w:r>
                    <w:rPr>
                      <w:b/>
                      <w:bCs/>
                      <w:color w:val="auto"/>
                      <w:szCs w:val="21"/>
                    </w:rPr>
                    <w:t>/</w:t>
                  </w:r>
                  <w:r>
                    <w:rPr>
                      <w:rFonts w:hint="eastAsia"/>
                      <w:b/>
                      <w:bCs/>
                      <w:color w:val="auto"/>
                      <w:szCs w:val="21"/>
                    </w:rPr>
                    <w:t>a</w:t>
                  </w:r>
                  <w:r>
                    <w:rPr>
                      <w:b/>
                      <w:bCs/>
                      <w:color w:val="auto"/>
                      <w:szCs w:val="21"/>
                    </w:rPr>
                    <w:t>）</w:t>
                  </w:r>
                </w:p>
              </w:tc>
            </w:tr>
            <w:tr w14:paraId="02BC5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pct"/>
                  <w:tcBorders>
                    <w:top w:val="single" w:color="auto" w:sz="4" w:space="0"/>
                    <w:bottom w:val="single" w:color="auto" w:sz="4" w:space="0"/>
                  </w:tcBorders>
                  <w:noWrap w:val="0"/>
                  <w:vAlign w:val="center"/>
                </w:tcPr>
                <w:p w14:paraId="1DD7F6E2">
                  <w:pPr>
                    <w:snapToGrid w:val="0"/>
                    <w:spacing w:line="240" w:lineRule="auto"/>
                    <w:jc w:val="center"/>
                    <w:textAlignment w:val="auto"/>
                    <w:rPr>
                      <w:color w:val="auto"/>
                      <w:szCs w:val="21"/>
                    </w:rPr>
                  </w:pPr>
                  <w:r>
                    <w:rPr>
                      <w:rFonts w:hint="eastAsia"/>
                      <w:bCs/>
                      <w:color w:val="auto"/>
                      <w:szCs w:val="21"/>
                    </w:rPr>
                    <w:t>聚丙烯酸钠</w:t>
                  </w:r>
                </w:p>
              </w:tc>
              <w:tc>
                <w:tcPr>
                  <w:tcW w:w="847" w:type="pct"/>
                  <w:tcBorders>
                    <w:top w:val="single" w:color="auto" w:sz="4" w:space="0"/>
                    <w:bottom w:val="single" w:color="auto" w:sz="4" w:space="0"/>
                  </w:tcBorders>
                  <w:noWrap w:val="0"/>
                  <w:vAlign w:val="center"/>
                </w:tcPr>
                <w:p w14:paraId="11FB8D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rPr>
                  </w:pPr>
                  <w:r>
                    <w:rPr>
                      <w:rFonts w:hint="eastAsia" w:ascii="Times New Roman" w:hAnsi="Times New Roman" w:eastAsia="宋体" w:cs="Times New Roman"/>
                      <w:b w:val="0"/>
                      <w:bCs w:val="0"/>
                      <w:color w:val="auto"/>
                      <w:sz w:val="21"/>
                      <w:szCs w:val="21"/>
                      <w:vertAlign w:val="baseline"/>
                      <w:lang w:val="en-US" w:eastAsia="zh-CN"/>
                    </w:rPr>
                    <w:t>200</w:t>
                  </w:r>
                  <w:r>
                    <w:rPr>
                      <w:rFonts w:hint="eastAsia" w:cs="Times New Roman"/>
                      <w:b w:val="0"/>
                      <w:bCs w:val="0"/>
                      <w:color w:val="auto"/>
                      <w:sz w:val="21"/>
                      <w:szCs w:val="21"/>
                      <w:vertAlign w:val="baseline"/>
                      <w:lang w:val="en-US" w:eastAsia="zh-CN"/>
                    </w:rPr>
                    <w:t>000</w:t>
                  </w:r>
                </w:p>
              </w:tc>
              <w:tc>
                <w:tcPr>
                  <w:tcW w:w="697" w:type="pct"/>
                  <w:tcBorders>
                    <w:top w:val="single" w:color="auto" w:sz="4" w:space="0"/>
                    <w:bottom w:val="single" w:color="auto" w:sz="4" w:space="0"/>
                  </w:tcBorders>
                  <w:noWrap w:val="0"/>
                  <w:vAlign w:val="center"/>
                </w:tcPr>
                <w:p w14:paraId="3ED91223">
                  <w:pPr>
                    <w:autoSpaceDE w:val="0"/>
                    <w:autoSpaceDN w:val="0"/>
                    <w:adjustRightInd w:val="0"/>
                    <w:jc w:val="center"/>
                    <w:rPr>
                      <w:color w:val="auto"/>
                      <w:szCs w:val="21"/>
                    </w:rPr>
                  </w:pPr>
                  <w:r>
                    <w:rPr>
                      <w:rFonts w:hint="eastAsia"/>
                      <w:color w:val="auto"/>
                      <w:szCs w:val="21"/>
                    </w:rPr>
                    <w:t>产品</w:t>
                  </w:r>
                </w:p>
              </w:tc>
              <w:tc>
                <w:tcPr>
                  <w:tcW w:w="1159" w:type="pct"/>
                  <w:tcBorders>
                    <w:top w:val="single" w:color="auto" w:sz="4" w:space="0"/>
                    <w:bottom w:val="single" w:color="auto" w:sz="4" w:space="0"/>
                  </w:tcBorders>
                  <w:noWrap w:val="0"/>
                  <w:vAlign w:val="center"/>
                </w:tcPr>
                <w:p w14:paraId="41B30B4A">
                  <w:pPr>
                    <w:autoSpaceDE w:val="0"/>
                    <w:autoSpaceDN w:val="0"/>
                    <w:adjustRightInd w:val="0"/>
                    <w:jc w:val="center"/>
                    <w:rPr>
                      <w:rFonts w:hint="eastAsia"/>
                      <w:color w:val="auto"/>
                      <w:szCs w:val="21"/>
                      <w:lang w:val="en-US" w:eastAsia="zh-CN"/>
                    </w:rPr>
                  </w:pPr>
                  <w:r>
                    <w:rPr>
                      <w:rFonts w:hint="eastAsia"/>
                      <w:color w:val="auto"/>
                      <w:szCs w:val="21"/>
                      <w:lang w:val="en-US" w:eastAsia="zh-CN"/>
                    </w:rPr>
                    <w:t>医用退热贴</w:t>
                  </w:r>
                </w:p>
              </w:tc>
              <w:tc>
                <w:tcPr>
                  <w:tcW w:w="920" w:type="pct"/>
                  <w:tcBorders>
                    <w:top w:val="single" w:color="auto" w:sz="4" w:space="0"/>
                    <w:bottom w:val="single" w:color="auto" w:sz="4" w:space="0"/>
                  </w:tcBorders>
                  <w:noWrap w:val="0"/>
                  <w:vAlign w:val="center"/>
                </w:tcPr>
                <w:p w14:paraId="2B70556E">
                  <w:pPr>
                    <w:autoSpaceDE w:val="0"/>
                    <w:autoSpaceDN w:val="0"/>
                    <w:adjustRightInd w:val="0"/>
                    <w:jc w:val="center"/>
                    <w:rPr>
                      <w:rFonts w:hint="default"/>
                      <w:color w:val="auto"/>
                      <w:szCs w:val="21"/>
                      <w:lang w:val="en-US" w:eastAsia="zh-CN"/>
                    </w:rPr>
                  </w:pPr>
                  <w:r>
                    <w:rPr>
                      <w:rFonts w:hint="default"/>
                      <w:color w:val="auto"/>
                      <w:szCs w:val="21"/>
                      <w:lang w:val="zh-CN" w:eastAsia="zh-CN"/>
                    </w:rPr>
                    <w:t>720</w:t>
                  </w:r>
                  <w:r>
                    <w:rPr>
                      <w:rFonts w:hint="eastAsia"/>
                      <w:color w:val="auto"/>
                      <w:szCs w:val="21"/>
                      <w:lang w:val="en-US" w:eastAsia="zh-CN"/>
                    </w:rPr>
                    <w:t>54</w:t>
                  </w:r>
                  <w:r>
                    <w:rPr>
                      <w:rFonts w:hint="default"/>
                      <w:color w:val="auto"/>
                      <w:szCs w:val="21"/>
                      <w:lang w:val="zh-CN" w:eastAsia="zh-CN"/>
                    </w:rPr>
                    <w:t>3.164</w:t>
                  </w:r>
                </w:p>
              </w:tc>
            </w:tr>
            <w:tr w14:paraId="3CA26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75" w:type="pct"/>
                  <w:tcBorders>
                    <w:top w:val="single" w:color="auto" w:sz="4" w:space="0"/>
                    <w:bottom w:val="single" w:color="auto" w:sz="4" w:space="0"/>
                  </w:tcBorders>
                  <w:noWrap w:val="0"/>
                  <w:vAlign w:val="center"/>
                </w:tcPr>
                <w:p w14:paraId="5596B87E">
                  <w:pPr>
                    <w:snapToGrid w:val="0"/>
                    <w:spacing w:line="240" w:lineRule="auto"/>
                    <w:jc w:val="center"/>
                    <w:textAlignment w:val="auto"/>
                    <w:rPr>
                      <w:color w:val="auto"/>
                      <w:szCs w:val="21"/>
                    </w:rPr>
                  </w:pPr>
                  <w:r>
                    <w:rPr>
                      <w:rFonts w:hint="eastAsia"/>
                      <w:bCs/>
                      <w:color w:val="auto"/>
                      <w:szCs w:val="21"/>
                    </w:rPr>
                    <w:t>二羟基氨基乙酸铝</w:t>
                  </w:r>
                </w:p>
              </w:tc>
              <w:tc>
                <w:tcPr>
                  <w:tcW w:w="847" w:type="pct"/>
                  <w:tcBorders>
                    <w:top w:val="single" w:color="auto" w:sz="4" w:space="0"/>
                    <w:bottom w:val="single" w:color="auto" w:sz="4" w:space="0"/>
                  </w:tcBorders>
                  <w:noWrap w:val="0"/>
                  <w:vAlign w:val="center"/>
                </w:tcPr>
                <w:p w14:paraId="015364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rPr>
                  </w:pPr>
                  <w:r>
                    <w:rPr>
                      <w:rFonts w:hint="eastAsia" w:ascii="Times New Roman" w:hAnsi="Times New Roman" w:eastAsia="宋体" w:cs="Times New Roman"/>
                      <w:b w:val="0"/>
                      <w:bCs w:val="0"/>
                      <w:color w:val="auto"/>
                      <w:sz w:val="21"/>
                      <w:szCs w:val="21"/>
                      <w:vertAlign w:val="baseline"/>
                      <w:lang w:val="en-US" w:eastAsia="zh-CN"/>
                    </w:rPr>
                    <w:t>110</w:t>
                  </w:r>
                  <w:r>
                    <w:rPr>
                      <w:rFonts w:hint="eastAsia" w:cs="Times New Roman"/>
                      <w:b w:val="0"/>
                      <w:bCs w:val="0"/>
                      <w:color w:val="auto"/>
                      <w:sz w:val="21"/>
                      <w:szCs w:val="21"/>
                      <w:vertAlign w:val="baseline"/>
                      <w:lang w:val="en-US" w:eastAsia="zh-CN"/>
                    </w:rPr>
                    <w:t>000</w:t>
                  </w:r>
                </w:p>
              </w:tc>
              <w:tc>
                <w:tcPr>
                  <w:tcW w:w="697" w:type="pct"/>
                  <w:tcBorders>
                    <w:top w:val="single" w:color="auto" w:sz="4" w:space="0"/>
                    <w:bottom w:val="single" w:color="auto" w:sz="4" w:space="0"/>
                  </w:tcBorders>
                  <w:noWrap w:val="0"/>
                  <w:vAlign w:val="center"/>
                </w:tcPr>
                <w:p w14:paraId="07EB8DA5">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涂布分切</w:t>
                  </w:r>
                </w:p>
              </w:tc>
              <w:tc>
                <w:tcPr>
                  <w:tcW w:w="1159" w:type="pct"/>
                  <w:tcBorders>
                    <w:top w:val="single" w:color="auto" w:sz="4" w:space="0"/>
                    <w:bottom w:val="single" w:color="auto" w:sz="4" w:space="0"/>
                  </w:tcBorders>
                  <w:noWrap w:val="0"/>
                  <w:vAlign w:val="center"/>
                </w:tcPr>
                <w:p w14:paraId="62F0AF34">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边角料</w:t>
                  </w:r>
                </w:p>
              </w:tc>
              <w:tc>
                <w:tcPr>
                  <w:tcW w:w="920" w:type="pct"/>
                  <w:tcBorders>
                    <w:top w:val="single" w:color="auto" w:sz="4" w:space="0"/>
                    <w:bottom w:val="single" w:color="auto" w:sz="4" w:space="0"/>
                  </w:tcBorders>
                  <w:noWrap w:val="0"/>
                  <w:vAlign w:val="center"/>
                </w:tcPr>
                <w:p w14:paraId="6CB3921B">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12000</w:t>
                  </w:r>
                </w:p>
              </w:tc>
            </w:tr>
            <w:tr w14:paraId="5A49D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75" w:type="pct"/>
                  <w:tcBorders>
                    <w:top w:val="single" w:color="auto" w:sz="4" w:space="0"/>
                    <w:bottom w:val="single" w:color="auto" w:sz="4" w:space="0"/>
                  </w:tcBorders>
                  <w:noWrap w:val="0"/>
                  <w:vAlign w:val="center"/>
                </w:tcPr>
                <w:p w14:paraId="2E2C2B17">
                  <w:pPr>
                    <w:snapToGrid w:val="0"/>
                    <w:spacing w:line="240" w:lineRule="auto"/>
                    <w:jc w:val="center"/>
                    <w:textAlignment w:val="auto"/>
                    <w:rPr>
                      <w:rFonts w:hint="eastAsia"/>
                      <w:color w:val="auto"/>
                      <w:szCs w:val="21"/>
                    </w:rPr>
                  </w:pPr>
                  <w:r>
                    <w:rPr>
                      <w:rFonts w:hint="eastAsia"/>
                      <w:color w:val="auto"/>
                      <w:szCs w:val="21"/>
                    </w:rPr>
                    <w:t>纯水</w:t>
                  </w:r>
                </w:p>
              </w:tc>
              <w:tc>
                <w:tcPr>
                  <w:tcW w:w="847" w:type="pct"/>
                  <w:tcBorders>
                    <w:top w:val="single" w:color="auto" w:sz="4" w:space="0"/>
                    <w:bottom w:val="single" w:color="auto" w:sz="4" w:space="0"/>
                  </w:tcBorders>
                  <w:noWrap w:val="0"/>
                  <w:vAlign w:val="center"/>
                </w:tcPr>
                <w:p w14:paraId="0AB145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rPr>
                  </w:pPr>
                  <w:r>
                    <w:rPr>
                      <w:rFonts w:hint="eastAsia" w:ascii="Times New Roman" w:hAnsi="Times New Roman" w:eastAsia="宋体" w:cs="Times New Roman"/>
                      <w:b w:val="0"/>
                      <w:bCs w:val="0"/>
                      <w:color w:val="auto"/>
                      <w:sz w:val="21"/>
                      <w:szCs w:val="21"/>
                      <w:vertAlign w:val="baseline"/>
                      <w:lang w:val="en-US" w:eastAsia="zh-CN"/>
                    </w:rPr>
                    <w:t>250</w:t>
                  </w:r>
                  <w:r>
                    <w:rPr>
                      <w:rFonts w:hint="eastAsia" w:cs="Times New Roman"/>
                      <w:b w:val="0"/>
                      <w:bCs w:val="0"/>
                      <w:color w:val="auto"/>
                      <w:sz w:val="21"/>
                      <w:szCs w:val="21"/>
                      <w:vertAlign w:val="baseline"/>
                      <w:lang w:val="en-US" w:eastAsia="zh-CN"/>
                    </w:rPr>
                    <w:t>000</w:t>
                  </w:r>
                </w:p>
              </w:tc>
              <w:tc>
                <w:tcPr>
                  <w:tcW w:w="697" w:type="pct"/>
                  <w:tcBorders>
                    <w:top w:val="single" w:color="auto" w:sz="4" w:space="0"/>
                  </w:tcBorders>
                  <w:noWrap w:val="0"/>
                  <w:vAlign w:val="center"/>
                </w:tcPr>
                <w:p w14:paraId="2CFED9EB">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生产过程</w:t>
                  </w:r>
                </w:p>
              </w:tc>
              <w:tc>
                <w:tcPr>
                  <w:tcW w:w="1159" w:type="pct"/>
                  <w:tcBorders>
                    <w:top w:val="single" w:color="auto" w:sz="4" w:space="0"/>
                  </w:tcBorders>
                  <w:noWrap w:val="0"/>
                  <w:vAlign w:val="center"/>
                </w:tcPr>
                <w:p w14:paraId="1465ADFC">
                  <w:pPr>
                    <w:autoSpaceDE w:val="0"/>
                    <w:autoSpaceDN w:val="0"/>
                    <w:adjustRightInd w:val="0"/>
                    <w:jc w:val="center"/>
                    <w:rPr>
                      <w:rFonts w:hint="default"/>
                      <w:color w:val="auto"/>
                      <w:szCs w:val="21"/>
                      <w:lang w:val="en-US" w:eastAsia="zh-CN"/>
                    </w:rPr>
                  </w:pPr>
                  <w:r>
                    <w:rPr>
                      <w:rFonts w:hint="eastAsia"/>
                      <w:color w:val="auto"/>
                      <w:szCs w:val="21"/>
                      <w:lang w:val="en-US" w:eastAsia="zh-CN"/>
                    </w:rPr>
                    <w:t>非甲烷总烃</w:t>
                  </w:r>
                </w:p>
              </w:tc>
              <w:tc>
                <w:tcPr>
                  <w:tcW w:w="920" w:type="pct"/>
                  <w:tcBorders>
                    <w:top w:val="single" w:color="auto" w:sz="4" w:space="0"/>
                  </w:tcBorders>
                  <w:noWrap w:val="0"/>
                  <w:vAlign w:val="center"/>
                </w:tcPr>
                <w:p w14:paraId="41E4B6C5">
                  <w:pPr>
                    <w:autoSpaceDE w:val="0"/>
                    <w:autoSpaceDN w:val="0"/>
                    <w:adjustRightInd w:val="0"/>
                    <w:jc w:val="center"/>
                    <w:rPr>
                      <w:rFonts w:hint="default"/>
                      <w:color w:val="auto"/>
                      <w:szCs w:val="21"/>
                      <w:lang w:val="en-US" w:eastAsia="zh-CN"/>
                    </w:rPr>
                  </w:pPr>
                  <w:r>
                    <w:rPr>
                      <w:rFonts w:hint="eastAsia"/>
                      <w:color w:val="auto"/>
                      <w:szCs w:val="21"/>
                      <w:lang w:val="en-US" w:eastAsia="zh-CN"/>
                    </w:rPr>
                    <w:t>455</w:t>
                  </w:r>
                </w:p>
              </w:tc>
            </w:tr>
            <w:tr w14:paraId="2D390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375" w:type="pct"/>
                  <w:tcBorders>
                    <w:top w:val="single" w:color="auto" w:sz="4" w:space="0"/>
                    <w:bottom w:val="single" w:color="auto" w:sz="4" w:space="0"/>
                  </w:tcBorders>
                  <w:noWrap w:val="0"/>
                  <w:vAlign w:val="center"/>
                </w:tcPr>
                <w:p w14:paraId="37865D0D">
                  <w:pPr>
                    <w:snapToGrid w:val="0"/>
                    <w:spacing w:line="240" w:lineRule="auto"/>
                    <w:jc w:val="center"/>
                    <w:textAlignment w:val="auto"/>
                    <w:rPr>
                      <w:rStyle w:val="84"/>
                      <w:rFonts w:hint="default" w:cs="宋体"/>
                      <w:color w:val="auto"/>
                      <w:kern w:val="0"/>
                      <w:sz w:val="21"/>
                      <w:szCs w:val="21"/>
                    </w:rPr>
                  </w:pPr>
                  <w:r>
                    <w:rPr>
                      <w:rFonts w:hint="eastAsia"/>
                      <w:bCs/>
                      <w:color w:val="auto"/>
                      <w:szCs w:val="21"/>
                    </w:rPr>
                    <w:t>EDTA二钠盐</w:t>
                  </w:r>
                </w:p>
              </w:tc>
              <w:tc>
                <w:tcPr>
                  <w:tcW w:w="847" w:type="pct"/>
                  <w:tcBorders>
                    <w:top w:val="single" w:color="auto" w:sz="4" w:space="0"/>
                    <w:bottom w:val="single" w:color="auto" w:sz="4" w:space="0"/>
                  </w:tcBorders>
                  <w:noWrap w:val="0"/>
                  <w:vAlign w:val="center"/>
                </w:tcPr>
                <w:p w14:paraId="2898F0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rPr>
                  </w:pPr>
                  <w:r>
                    <w:rPr>
                      <w:rFonts w:hint="eastAsia" w:ascii="Times New Roman" w:hAnsi="Times New Roman" w:eastAsia="宋体" w:cs="Times New Roman"/>
                      <w:b w:val="0"/>
                      <w:bCs w:val="0"/>
                      <w:color w:val="auto"/>
                      <w:sz w:val="21"/>
                      <w:szCs w:val="21"/>
                      <w:vertAlign w:val="baseline"/>
                      <w:lang w:val="en-US" w:eastAsia="zh-CN"/>
                    </w:rPr>
                    <w:t>8</w:t>
                  </w:r>
                  <w:r>
                    <w:rPr>
                      <w:rFonts w:hint="eastAsia" w:cs="Times New Roman"/>
                      <w:b w:val="0"/>
                      <w:bCs w:val="0"/>
                      <w:color w:val="auto"/>
                      <w:sz w:val="21"/>
                      <w:szCs w:val="21"/>
                      <w:vertAlign w:val="baseline"/>
                      <w:lang w:val="en-US" w:eastAsia="zh-CN"/>
                    </w:rPr>
                    <w:t>000</w:t>
                  </w:r>
                </w:p>
              </w:tc>
              <w:tc>
                <w:tcPr>
                  <w:tcW w:w="697" w:type="pct"/>
                  <w:noWrap w:val="0"/>
                  <w:vAlign w:val="center"/>
                </w:tcPr>
                <w:p w14:paraId="648AE4B6">
                  <w:pPr>
                    <w:autoSpaceDE w:val="0"/>
                    <w:autoSpaceDN w:val="0"/>
                    <w:adjustRightInd w:val="0"/>
                    <w:jc w:val="center"/>
                    <w:rPr>
                      <w:rFonts w:hint="default" w:eastAsia="宋体"/>
                      <w:color w:val="FF0000"/>
                      <w:szCs w:val="21"/>
                      <w:lang w:val="en-US" w:eastAsia="zh-CN"/>
                    </w:rPr>
                  </w:pPr>
                  <w:commentRangeStart w:id="22"/>
                  <w:r>
                    <w:rPr>
                      <w:rFonts w:hint="eastAsia"/>
                      <w:color w:val="FF0000"/>
                      <w:szCs w:val="21"/>
                      <w:lang w:val="en-US" w:eastAsia="zh-CN"/>
                    </w:rPr>
                    <w:t>配粉</w:t>
                  </w:r>
                  <w:commentRangeEnd w:id="22"/>
                  <w:r>
                    <w:commentReference w:id="22"/>
                  </w:r>
                  <w:r>
                    <w:rPr>
                      <w:rFonts w:hint="eastAsia"/>
                      <w:color w:val="FF0000"/>
                      <w:szCs w:val="21"/>
                      <w:lang w:val="en-US" w:eastAsia="zh-CN"/>
                    </w:rPr>
                    <w:t>过程</w:t>
                  </w:r>
                </w:p>
              </w:tc>
              <w:tc>
                <w:tcPr>
                  <w:tcW w:w="1159" w:type="pct"/>
                  <w:noWrap w:val="0"/>
                  <w:vAlign w:val="center"/>
                </w:tcPr>
                <w:p w14:paraId="42B09C2D">
                  <w:pPr>
                    <w:autoSpaceDE w:val="0"/>
                    <w:autoSpaceDN w:val="0"/>
                    <w:adjustRightInd w:val="0"/>
                    <w:jc w:val="center"/>
                    <w:rPr>
                      <w:rFonts w:hint="default"/>
                      <w:color w:val="FF0000"/>
                      <w:szCs w:val="21"/>
                      <w:lang w:val="en-US" w:eastAsia="zh-CN"/>
                    </w:rPr>
                  </w:pPr>
                  <w:r>
                    <w:rPr>
                      <w:rFonts w:hint="eastAsia"/>
                      <w:color w:val="FF0000"/>
                      <w:szCs w:val="21"/>
                      <w:lang w:val="en-US" w:eastAsia="zh-CN"/>
                    </w:rPr>
                    <w:t>颗粒物</w:t>
                  </w:r>
                </w:p>
              </w:tc>
              <w:tc>
                <w:tcPr>
                  <w:tcW w:w="920" w:type="pct"/>
                  <w:noWrap w:val="0"/>
                  <w:vAlign w:val="center"/>
                </w:tcPr>
                <w:p w14:paraId="2CF2C879">
                  <w:pPr>
                    <w:autoSpaceDE w:val="0"/>
                    <w:autoSpaceDN w:val="0"/>
                    <w:adjustRightInd w:val="0"/>
                    <w:jc w:val="center"/>
                    <w:rPr>
                      <w:rFonts w:hint="default"/>
                      <w:color w:val="FF0000"/>
                      <w:szCs w:val="21"/>
                      <w:lang w:val="en-US" w:eastAsia="zh-CN"/>
                    </w:rPr>
                  </w:pPr>
                  <w:r>
                    <w:rPr>
                      <w:rFonts w:hint="eastAsia"/>
                      <w:color w:val="FF0000"/>
                      <w:szCs w:val="21"/>
                      <w:lang w:val="en-US" w:eastAsia="zh-CN"/>
                    </w:rPr>
                    <w:t>1.836</w:t>
                  </w:r>
                </w:p>
              </w:tc>
            </w:tr>
            <w:tr w14:paraId="14EE74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375" w:type="pct"/>
                  <w:tcBorders>
                    <w:top w:val="single" w:color="auto" w:sz="4" w:space="0"/>
                    <w:bottom w:val="single" w:color="auto" w:sz="4" w:space="0"/>
                  </w:tcBorders>
                  <w:noWrap w:val="0"/>
                  <w:vAlign w:val="center"/>
                </w:tcPr>
                <w:p w14:paraId="2B6791D6">
                  <w:pPr>
                    <w:snapToGrid w:val="0"/>
                    <w:spacing w:line="240" w:lineRule="auto"/>
                    <w:jc w:val="center"/>
                    <w:textAlignment w:val="auto"/>
                    <w:rPr>
                      <w:rStyle w:val="84"/>
                      <w:rFonts w:hint="default" w:cs="宋体"/>
                      <w:color w:val="auto"/>
                      <w:kern w:val="0"/>
                      <w:sz w:val="21"/>
                      <w:szCs w:val="21"/>
                    </w:rPr>
                  </w:pPr>
                  <w:r>
                    <w:rPr>
                      <w:rFonts w:hint="eastAsia"/>
                      <w:bCs/>
                      <w:color w:val="auto"/>
                      <w:szCs w:val="21"/>
                    </w:rPr>
                    <w:t>酒石酸</w:t>
                  </w:r>
                </w:p>
              </w:tc>
              <w:tc>
                <w:tcPr>
                  <w:tcW w:w="847" w:type="pct"/>
                  <w:tcBorders>
                    <w:top w:val="single" w:color="auto" w:sz="4" w:space="0"/>
                    <w:bottom w:val="single" w:color="auto" w:sz="4" w:space="0"/>
                  </w:tcBorders>
                  <w:noWrap w:val="0"/>
                  <w:vAlign w:val="center"/>
                </w:tcPr>
                <w:p w14:paraId="0EB106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rPr>
                  </w:pPr>
                  <w:r>
                    <w:rPr>
                      <w:rFonts w:hint="eastAsia" w:ascii="Times New Roman" w:hAnsi="Times New Roman" w:eastAsia="宋体" w:cs="Times New Roman"/>
                      <w:b w:val="0"/>
                      <w:bCs w:val="0"/>
                      <w:color w:val="auto"/>
                      <w:sz w:val="21"/>
                      <w:szCs w:val="21"/>
                      <w:vertAlign w:val="baseline"/>
                      <w:lang w:val="en-US" w:eastAsia="zh-CN"/>
                    </w:rPr>
                    <w:t>5</w:t>
                  </w:r>
                  <w:r>
                    <w:rPr>
                      <w:rFonts w:hint="eastAsia" w:cs="Times New Roman"/>
                      <w:b w:val="0"/>
                      <w:bCs w:val="0"/>
                      <w:color w:val="auto"/>
                      <w:sz w:val="21"/>
                      <w:szCs w:val="21"/>
                      <w:vertAlign w:val="baseline"/>
                      <w:lang w:val="en-US" w:eastAsia="zh-CN"/>
                    </w:rPr>
                    <w:t>000</w:t>
                  </w:r>
                </w:p>
              </w:tc>
              <w:tc>
                <w:tcPr>
                  <w:tcW w:w="2776" w:type="pct"/>
                  <w:gridSpan w:val="3"/>
                  <w:vMerge w:val="restart"/>
                  <w:noWrap w:val="0"/>
                  <w:vAlign w:val="center"/>
                </w:tcPr>
                <w:p w14:paraId="1262E650">
                  <w:pPr>
                    <w:autoSpaceDE w:val="0"/>
                    <w:autoSpaceDN w:val="0"/>
                    <w:adjustRightInd w:val="0"/>
                    <w:jc w:val="center"/>
                    <w:rPr>
                      <w:rFonts w:hint="eastAsia"/>
                      <w:color w:val="auto"/>
                      <w:szCs w:val="21"/>
                    </w:rPr>
                  </w:pPr>
                  <w:r>
                    <w:rPr>
                      <w:rFonts w:hint="eastAsia"/>
                      <w:color w:val="auto"/>
                      <w:szCs w:val="21"/>
                      <w:lang w:val="en-US" w:eastAsia="zh-CN"/>
                    </w:rPr>
                    <w:t>/</w:t>
                  </w:r>
                </w:p>
              </w:tc>
            </w:tr>
            <w:tr w14:paraId="27E95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375" w:type="pct"/>
                  <w:tcBorders>
                    <w:top w:val="single" w:color="auto" w:sz="4" w:space="0"/>
                    <w:bottom w:val="single" w:color="auto" w:sz="4" w:space="0"/>
                  </w:tcBorders>
                  <w:noWrap w:val="0"/>
                  <w:vAlign w:val="center"/>
                </w:tcPr>
                <w:p w14:paraId="61C90753">
                  <w:pPr>
                    <w:snapToGrid w:val="0"/>
                    <w:spacing w:line="240" w:lineRule="auto"/>
                    <w:jc w:val="center"/>
                    <w:textAlignment w:val="auto"/>
                    <w:rPr>
                      <w:rStyle w:val="84"/>
                      <w:rFonts w:cs="宋体"/>
                      <w:color w:val="auto"/>
                      <w:kern w:val="0"/>
                      <w:sz w:val="21"/>
                      <w:szCs w:val="21"/>
                    </w:rPr>
                  </w:pPr>
                  <w:r>
                    <w:rPr>
                      <w:rFonts w:hint="eastAsia"/>
                      <w:bCs/>
                      <w:color w:val="auto"/>
                      <w:szCs w:val="21"/>
                    </w:rPr>
                    <w:t>聚乙烯吡咯烷酮</w:t>
                  </w:r>
                </w:p>
              </w:tc>
              <w:tc>
                <w:tcPr>
                  <w:tcW w:w="847" w:type="pct"/>
                  <w:tcBorders>
                    <w:top w:val="single" w:color="auto" w:sz="4" w:space="0"/>
                    <w:bottom w:val="single" w:color="auto" w:sz="4" w:space="0"/>
                  </w:tcBorders>
                  <w:noWrap w:val="0"/>
                  <w:vAlign w:val="center"/>
                </w:tcPr>
                <w:p w14:paraId="036F35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4"/>
                      <w:rFonts w:hint="default" w:cs="宋体"/>
                      <w:color w:val="auto"/>
                      <w:kern w:val="0"/>
                      <w:sz w:val="21"/>
                      <w:szCs w:val="21"/>
                      <w:lang w:val="en-US"/>
                    </w:rPr>
                  </w:pPr>
                  <w:r>
                    <w:rPr>
                      <w:rFonts w:hint="eastAsia" w:ascii="Times New Roman" w:hAnsi="Times New Roman" w:eastAsia="宋体" w:cs="Times New Roman"/>
                      <w:b w:val="0"/>
                      <w:bCs w:val="0"/>
                      <w:color w:val="auto"/>
                      <w:sz w:val="21"/>
                      <w:szCs w:val="21"/>
                      <w:vertAlign w:val="baseline"/>
                      <w:lang w:val="en-US" w:eastAsia="zh-CN"/>
                    </w:rPr>
                    <w:t>130</w:t>
                  </w:r>
                  <w:r>
                    <w:rPr>
                      <w:rFonts w:hint="eastAsia" w:cs="Times New Roman"/>
                      <w:b w:val="0"/>
                      <w:bCs w:val="0"/>
                      <w:color w:val="auto"/>
                      <w:sz w:val="21"/>
                      <w:szCs w:val="21"/>
                      <w:vertAlign w:val="baseline"/>
                      <w:lang w:val="en-US" w:eastAsia="zh-CN"/>
                    </w:rPr>
                    <w:t>000</w:t>
                  </w:r>
                </w:p>
              </w:tc>
              <w:tc>
                <w:tcPr>
                  <w:tcW w:w="2776" w:type="pct"/>
                  <w:gridSpan w:val="3"/>
                  <w:vMerge w:val="continue"/>
                  <w:noWrap w:val="0"/>
                  <w:vAlign w:val="center"/>
                </w:tcPr>
                <w:p w14:paraId="09AB0217">
                  <w:pPr>
                    <w:autoSpaceDE w:val="0"/>
                    <w:autoSpaceDN w:val="0"/>
                    <w:adjustRightInd w:val="0"/>
                    <w:jc w:val="center"/>
                    <w:rPr>
                      <w:rFonts w:hint="eastAsia"/>
                      <w:color w:val="auto"/>
                      <w:szCs w:val="21"/>
                    </w:rPr>
                  </w:pPr>
                </w:p>
              </w:tc>
            </w:tr>
            <w:tr w14:paraId="16984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375" w:type="pct"/>
                  <w:tcBorders>
                    <w:top w:val="single" w:color="auto" w:sz="4" w:space="0"/>
                    <w:bottom w:val="single" w:color="auto" w:sz="4" w:space="0"/>
                  </w:tcBorders>
                  <w:noWrap w:val="0"/>
                  <w:vAlign w:val="center"/>
                </w:tcPr>
                <w:p w14:paraId="79F0EB51">
                  <w:pPr>
                    <w:snapToGrid w:val="0"/>
                    <w:spacing w:line="240" w:lineRule="auto"/>
                    <w:jc w:val="center"/>
                    <w:textAlignment w:val="auto"/>
                    <w:rPr>
                      <w:rStyle w:val="84"/>
                      <w:rFonts w:cs="宋体"/>
                      <w:color w:val="auto"/>
                      <w:kern w:val="0"/>
                      <w:sz w:val="21"/>
                      <w:szCs w:val="21"/>
                    </w:rPr>
                  </w:pPr>
                  <w:r>
                    <w:rPr>
                      <w:rFonts w:hint="eastAsia"/>
                      <w:bCs/>
                      <w:color w:val="auto"/>
                      <w:szCs w:val="21"/>
                    </w:rPr>
                    <w:t>甘油</w:t>
                  </w:r>
                </w:p>
              </w:tc>
              <w:tc>
                <w:tcPr>
                  <w:tcW w:w="847" w:type="pct"/>
                  <w:tcBorders>
                    <w:top w:val="single" w:color="auto" w:sz="4" w:space="0"/>
                    <w:bottom w:val="single" w:color="auto" w:sz="4" w:space="0"/>
                  </w:tcBorders>
                  <w:noWrap w:val="0"/>
                  <w:vAlign w:val="center"/>
                </w:tcPr>
                <w:p w14:paraId="173158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4"/>
                      <w:rFonts w:hint="default" w:cs="宋体"/>
                      <w:color w:val="auto"/>
                      <w:kern w:val="0"/>
                      <w:sz w:val="21"/>
                      <w:szCs w:val="21"/>
                      <w:lang w:val="en-US"/>
                    </w:rPr>
                  </w:pPr>
                  <w:r>
                    <w:rPr>
                      <w:rFonts w:hint="eastAsia" w:ascii="Times New Roman" w:hAnsi="Times New Roman" w:eastAsia="宋体" w:cs="Times New Roman"/>
                      <w:b w:val="0"/>
                      <w:bCs w:val="0"/>
                      <w:color w:val="auto"/>
                      <w:sz w:val="21"/>
                      <w:szCs w:val="21"/>
                      <w:vertAlign w:val="baseline"/>
                      <w:lang w:val="en-US" w:eastAsia="zh-CN"/>
                    </w:rPr>
                    <w:t>10</w:t>
                  </w:r>
                  <w:r>
                    <w:rPr>
                      <w:rFonts w:hint="eastAsia" w:cs="Times New Roman"/>
                      <w:b w:val="0"/>
                      <w:bCs w:val="0"/>
                      <w:color w:val="auto"/>
                      <w:sz w:val="21"/>
                      <w:szCs w:val="21"/>
                      <w:vertAlign w:val="baseline"/>
                      <w:lang w:val="en-US" w:eastAsia="zh-CN"/>
                    </w:rPr>
                    <w:t>000</w:t>
                  </w:r>
                </w:p>
              </w:tc>
              <w:tc>
                <w:tcPr>
                  <w:tcW w:w="2776" w:type="pct"/>
                  <w:gridSpan w:val="3"/>
                  <w:vMerge w:val="continue"/>
                  <w:noWrap w:val="0"/>
                  <w:vAlign w:val="center"/>
                </w:tcPr>
                <w:p w14:paraId="5CDA57D9">
                  <w:pPr>
                    <w:autoSpaceDE w:val="0"/>
                    <w:autoSpaceDN w:val="0"/>
                    <w:adjustRightInd w:val="0"/>
                    <w:jc w:val="center"/>
                    <w:rPr>
                      <w:rFonts w:hint="eastAsia"/>
                      <w:color w:val="auto"/>
                      <w:szCs w:val="21"/>
                    </w:rPr>
                  </w:pPr>
                </w:p>
              </w:tc>
            </w:tr>
            <w:tr w14:paraId="3E31F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375" w:type="pct"/>
                  <w:tcBorders>
                    <w:top w:val="single" w:color="auto" w:sz="4" w:space="0"/>
                    <w:bottom w:val="single" w:color="auto" w:sz="4" w:space="0"/>
                  </w:tcBorders>
                  <w:noWrap w:val="0"/>
                  <w:vAlign w:val="center"/>
                </w:tcPr>
                <w:p w14:paraId="10FAA2C8">
                  <w:pPr>
                    <w:snapToGrid w:val="0"/>
                    <w:spacing w:line="240" w:lineRule="auto"/>
                    <w:jc w:val="center"/>
                    <w:textAlignment w:val="auto"/>
                    <w:rPr>
                      <w:rStyle w:val="84"/>
                      <w:rFonts w:cs="宋体"/>
                      <w:color w:val="auto"/>
                      <w:kern w:val="0"/>
                      <w:sz w:val="21"/>
                      <w:szCs w:val="21"/>
                    </w:rPr>
                  </w:pPr>
                  <w:r>
                    <w:rPr>
                      <w:rFonts w:hint="eastAsia"/>
                      <w:bCs/>
                      <w:color w:val="auto"/>
                      <w:szCs w:val="21"/>
                    </w:rPr>
                    <w:t>无纺布</w:t>
                  </w:r>
                </w:p>
              </w:tc>
              <w:tc>
                <w:tcPr>
                  <w:tcW w:w="847" w:type="pct"/>
                  <w:tcBorders>
                    <w:top w:val="single" w:color="auto" w:sz="4" w:space="0"/>
                    <w:bottom w:val="single" w:color="auto" w:sz="4" w:space="0"/>
                  </w:tcBorders>
                  <w:noWrap w:val="0"/>
                  <w:vAlign w:val="center"/>
                </w:tcPr>
                <w:p w14:paraId="53165F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4"/>
                      <w:rFonts w:hint="default" w:cs="宋体"/>
                      <w:color w:val="auto"/>
                      <w:kern w:val="0"/>
                      <w:sz w:val="21"/>
                      <w:szCs w:val="21"/>
                      <w:lang w:val="en-US"/>
                    </w:rPr>
                  </w:pPr>
                  <w:r>
                    <w:rPr>
                      <w:rFonts w:hint="eastAsia" w:cs="Times New Roman"/>
                      <w:b w:val="0"/>
                      <w:bCs w:val="0"/>
                      <w:color w:val="auto"/>
                      <w:sz w:val="21"/>
                      <w:szCs w:val="21"/>
                      <w:vertAlign w:val="baseline"/>
                      <w:lang w:val="en-US" w:eastAsia="zh-CN"/>
                    </w:rPr>
                    <w:t>20000</w:t>
                  </w:r>
                </w:p>
              </w:tc>
              <w:tc>
                <w:tcPr>
                  <w:tcW w:w="2776" w:type="pct"/>
                  <w:gridSpan w:val="3"/>
                  <w:vMerge w:val="continue"/>
                  <w:tcBorders>
                    <w:bottom w:val="single" w:color="auto" w:sz="4" w:space="0"/>
                  </w:tcBorders>
                  <w:noWrap w:val="0"/>
                  <w:vAlign w:val="center"/>
                </w:tcPr>
                <w:p w14:paraId="7798C25C">
                  <w:pPr>
                    <w:autoSpaceDE w:val="0"/>
                    <w:autoSpaceDN w:val="0"/>
                    <w:adjustRightInd w:val="0"/>
                    <w:jc w:val="center"/>
                    <w:rPr>
                      <w:rFonts w:hint="eastAsia"/>
                      <w:color w:val="auto"/>
                      <w:szCs w:val="21"/>
                    </w:rPr>
                  </w:pPr>
                </w:p>
              </w:tc>
            </w:tr>
            <w:tr w14:paraId="019AB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pct"/>
                  <w:tcBorders>
                    <w:top w:val="single" w:color="auto" w:sz="4" w:space="0"/>
                    <w:bottom w:val="single" w:color="auto" w:sz="12" w:space="0"/>
                  </w:tcBorders>
                  <w:noWrap w:val="0"/>
                  <w:vAlign w:val="center"/>
                </w:tcPr>
                <w:p w14:paraId="59E83B4A">
                  <w:pPr>
                    <w:pStyle w:val="83"/>
                    <w:spacing w:line="240" w:lineRule="auto"/>
                    <w:ind w:firstLine="0" w:firstLineChars="0"/>
                    <w:jc w:val="center"/>
                    <w:textAlignment w:val="baseline"/>
                    <w:rPr>
                      <w:rStyle w:val="84"/>
                      <w:color w:val="auto"/>
                      <w:kern w:val="0"/>
                      <w:sz w:val="21"/>
                      <w:szCs w:val="21"/>
                    </w:rPr>
                  </w:pPr>
                  <w:r>
                    <w:rPr>
                      <w:rStyle w:val="84"/>
                      <w:color w:val="auto"/>
                      <w:kern w:val="0"/>
                      <w:sz w:val="21"/>
                      <w:szCs w:val="21"/>
                    </w:rPr>
                    <w:t>合计</w:t>
                  </w:r>
                </w:p>
              </w:tc>
              <w:tc>
                <w:tcPr>
                  <w:tcW w:w="847" w:type="pct"/>
                  <w:tcBorders>
                    <w:top w:val="single" w:color="auto" w:sz="4" w:space="0"/>
                    <w:bottom w:val="single" w:color="auto" w:sz="12" w:space="0"/>
                  </w:tcBorders>
                  <w:noWrap w:val="0"/>
                  <w:vAlign w:val="center"/>
                </w:tcPr>
                <w:p w14:paraId="116F3C8F">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733000</w:t>
                  </w:r>
                </w:p>
              </w:tc>
              <w:tc>
                <w:tcPr>
                  <w:tcW w:w="1856" w:type="pct"/>
                  <w:gridSpan w:val="2"/>
                  <w:tcBorders>
                    <w:top w:val="single" w:color="auto" w:sz="4" w:space="0"/>
                    <w:bottom w:val="single" w:color="auto" w:sz="12" w:space="0"/>
                  </w:tcBorders>
                  <w:noWrap w:val="0"/>
                  <w:vAlign w:val="center"/>
                </w:tcPr>
                <w:p w14:paraId="1D0F9532">
                  <w:pPr>
                    <w:pStyle w:val="83"/>
                    <w:spacing w:line="240" w:lineRule="auto"/>
                    <w:ind w:firstLine="0" w:firstLineChars="0"/>
                    <w:jc w:val="center"/>
                    <w:textAlignment w:val="baseline"/>
                    <w:rPr>
                      <w:color w:val="auto"/>
                      <w:szCs w:val="21"/>
                    </w:rPr>
                  </w:pPr>
                  <w:r>
                    <w:rPr>
                      <w:rStyle w:val="84"/>
                      <w:color w:val="auto"/>
                      <w:kern w:val="0"/>
                      <w:sz w:val="21"/>
                      <w:szCs w:val="21"/>
                    </w:rPr>
                    <w:t>合计</w:t>
                  </w:r>
                </w:p>
              </w:tc>
              <w:tc>
                <w:tcPr>
                  <w:tcW w:w="920" w:type="pct"/>
                  <w:tcBorders>
                    <w:top w:val="single" w:color="auto" w:sz="4" w:space="0"/>
                    <w:bottom w:val="single" w:color="auto" w:sz="12" w:space="0"/>
                  </w:tcBorders>
                  <w:noWrap w:val="0"/>
                  <w:vAlign w:val="center"/>
                </w:tcPr>
                <w:p w14:paraId="4C0F13D7">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733000</w:t>
                  </w:r>
                </w:p>
              </w:tc>
            </w:tr>
          </w:tbl>
          <w:p w14:paraId="41B23D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rPr>
            </w:pP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rPr>
              <w:t>、</w:t>
            </w:r>
            <w:r>
              <w:rPr>
                <w:rFonts w:hint="eastAsia"/>
                <w:color w:val="auto"/>
                <w:sz w:val="24"/>
              </w:rPr>
              <w:t>医用硅酮疤痕凝胶</w:t>
            </w:r>
            <w:r>
              <w:rPr>
                <w:rFonts w:hint="eastAsia" w:ascii="Times New Roman" w:hAnsi="Times New Roman" w:eastAsia="宋体" w:cs="Times New Roman"/>
                <w:color w:val="auto"/>
                <w:sz w:val="24"/>
              </w:rPr>
              <w:t>物料</w:t>
            </w:r>
            <w:r>
              <w:rPr>
                <w:color w:val="auto"/>
                <w:sz w:val="24"/>
              </w:rPr>
              <w:t>平衡</w:t>
            </w:r>
            <w:r>
              <w:rPr>
                <w:rFonts w:hint="eastAsia"/>
                <w:color w:val="auto"/>
                <w:sz w:val="24"/>
              </w:rPr>
              <w:t>分析详见如下。</w:t>
            </w:r>
          </w:p>
          <w:p w14:paraId="0B6B8A09">
            <w:pPr>
              <w:pStyle w:val="55"/>
              <w:autoSpaceDE/>
              <w:autoSpaceDN/>
              <w:adjustRightInd/>
              <w:snapToGrid/>
              <w:spacing w:before="120" w:afterLines="0"/>
              <w:rPr>
                <w:rFonts w:ascii="Times New Roman"/>
                <w:color w:val="auto"/>
                <w:szCs w:val="21"/>
              </w:rPr>
            </w:pPr>
            <w:r>
              <w:rPr>
                <w:rFonts w:ascii="Times New Roman"/>
                <w:color w:val="auto"/>
                <w:szCs w:val="21"/>
              </w:rPr>
              <w:object>
                <v:shape id="_x0000_i1041" o:spt="75" type="#_x0000_t75" style="height:80.95pt;width:323.5pt;" o:ole="t" filled="f" o:preferrelative="t" stroked="f" coordsize="21600,21600">
                  <v:path/>
                  <v:fill on="f" focussize="0,0"/>
                  <v:stroke on="f"/>
                  <v:imagedata r:id="rId46" o:title=""/>
                  <o:lock v:ext="edit" aspectratio="f"/>
                  <w10:wrap type="none"/>
                  <w10:anchorlock/>
                </v:shape>
                <o:OLEObject Type="Embed" ProgID="Visio.Drawing.11" ShapeID="_x0000_i1041" DrawAspect="Content" ObjectID="_1468075741" r:id="rId45">
                  <o:LockedField>false</o:LockedField>
                </o:OLEObject>
              </w:object>
            </w:r>
          </w:p>
          <w:p w14:paraId="4B908D60">
            <w:pPr>
              <w:pStyle w:val="55"/>
              <w:autoSpaceDE/>
              <w:autoSpaceDN/>
              <w:adjustRightInd/>
              <w:snapToGrid/>
              <w:spacing w:before="120" w:afterLines="0"/>
              <w:rPr>
                <w:rFonts w:hint="default" w:ascii="Times New Roman" w:hAnsi="Times New Roman" w:cs="Times New Roman"/>
                <w:color w:val="auto"/>
                <w:szCs w:val="21"/>
              </w:rPr>
            </w:pPr>
            <w:r>
              <w:rPr>
                <w:rFonts w:hint="default" w:ascii="Times New Roman" w:hAnsi="Times New Roman" w:cs="Times New Roman"/>
                <w:color w:val="auto"/>
                <w:szCs w:val="21"/>
              </w:rPr>
              <w:t>图2-</w:t>
            </w:r>
            <w:r>
              <w:rPr>
                <w:rFonts w:hint="eastAsia" w:ascii="Times New Roman" w:cs="Times New Roman"/>
                <w:color w:val="auto"/>
                <w:szCs w:val="21"/>
                <w:lang w:val="en-US" w:eastAsia="zh-CN"/>
              </w:rPr>
              <w:t>4</w:t>
            </w:r>
            <w:r>
              <w:rPr>
                <w:rFonts w:hint="default" w:ascii="Times New Roman" w:hAnsi="Times New Roman" w:cs="Times New Roman"/>
                <w:color w:val="auto"/>
                <w:szCs w:val="21"/>
              </w:rPr>
              <w:t xml:space="preserve">  项目</w:t>
            </w:r>
            <w:r>
              <w:rPr>
                <w:rFonts w:hint="eastAsia" w:ascii="Times New Roman" w:hAnsi="Times New Roman" w:cs="Times New Roman"/>
                <w:color w:val="auto"/>
                <w:szCs w:val="21"/>
              </w:rPr>
              <w:t>医用硅酮疤痕凝胶</w:t>
            </w:r>
            <w:r>
              <w:rPr>
                <w:rFonts w:hint="default" w:ascii="Times New Roman" w:hAnsi="Times New Roman" w:eastAsia="宋体" w:cs="Times New Roman"/>
                <w:color w:val="auto"/>
                <w:szCs w:val="21"/>
              </w:rPr>
              <w:t>物料</w:t>
            </w:r>
            <w:r>
              <w:rPr>
                <w:rFonts w:hint="default" w:ascii="Times New Roman" w:hAnsi="Times New Roman" w:cs="Times New Roman"/>
                <w:color w:val="auto"/>
                <w:szCs w:val="21"/>
              </w:rPr>
              <w:t>平衡图  （单位：t/a）</w:t>
            </w:r>
          </w:p>
          <w:p w14:paraId="4D3E5DF2">
            <w:pPr>
              <w:ind w:firstLine="480" w:firstLineChars="200"/>
              <w:rPr>
                <w:rFonts w:hint="eastAsia"/>
                <w:color w:val="auto"/>
              </w:rPr>
            </w:pPr>
            <w:r>
              <w:rPr>
                <w:rFonts w:hint="eastAsia" w:ascii="宋体" w:hAnsi="宋体" w:cs="宋体"/>
                <w:color w:val="auto"/>
                <w:sz w:val="24"/>
              </w:rPr>
              <w:t>本项</w:t>
            </w:r>
            <w:r>
              <w:rPr>
                <w:rFonts w:hint="eastAsia" w:ascii="宋体" w:hAnsi="宋体" w:eastAsia="宋体" w:cs="宋体"/>
                <w:color w:val="auto"/>
                <w:sz w:val="24"/>
              </w:rPr>
              <w:t>目医用硅酮疤痕凝胶物料平</w:t>
            </w:r>
            <w:r>
              <w:rPr>
                <w:rFonts w:hint="eastAsia" w:ascii="宋体" w:hAnsi="宋体" w:cs="宋体"/>
                <w:color w:val="auto"/>
                <w:sz w:val="24"/>
              </w:rPr>
              <w:t>衡表</w:t>
            </w:r>
            <w:r>
              <w:rPr>
                <w:color w:val="auto"/>
                <w:sz w:val="24"/>
              </w:rPr>
              <w:t>见</w:t>
            </w:r>
            <w:r>
              <w:rPr>
                <w:rFonts w:hint="eastAsia"/>
                <w:color w:val="auto"/>
                <w:sz w:val="24"/>
                <w:lang w:val="en-US" w:eastAsia="zh-CN"/>
              </w:rPr>
              <w:t>下表</w:t>
            </w:r>
            <w:r>
              <w:rPr>
                <w:rFonts w:hint="eastAsia"/>
                <w:color w:val="auto"/>
                <w:sz w:val="24"/>
              </w:rPr>
              <w:t>。</w:t>
            </w:r>
          </w:p>
          <w:p w14:paraId="5718C841">
            <w:pPr>
              <w:pStyle w:val="10"/>
              <w:spacing w:before="0" w:after="0" w:line="240" w:lineRule="auto"/>
              <w:ind w:right="0"/>
              <w:jc w:val="center"/>
              <w:rPr>
                <w:b/>
                <w:bCs/>
                <w:color w:val="auto"/>
                <w:sz w:val="21"/>
                <w:szCs w:val="21"/>
              </w:rPr>
            </w:pPr>
            <w:r>
              <w:rPr>
                <w:b/>
                <w:bCs/>
                <w:color w:val="auto"/>
                <w:sz w:val="21"/>
                <w:szCs w:val="21"/>
              </w:rPr>
              <w:t>表</w:t>
            </w:r>
            <w:r>
              <w:rPr>
                <w:rFonts w:hint="eastAsia"/>
                <w:b/>
                <w:bCs/>
                <w:color w:val="auto"/>
                <w:sz w:val="21"/>
                <w:szCs w:val="21"/>
              </w:rPr>
              <w:t>2-</w:t>
            </w:r>
            <w:r>
              <w:rPr>
                <w:rFonts w:hint="eastAsia"/>
                <w:b/>
                <w:bCs/>
                <w:color w:val="auto"/>
                <w:sz w:val="21"/>
                <w:szCs w:val="21"/>
                <w:lang w:val="en-US" w:eastAsia="zh-CN"/>
              </w:rPr>
              <w:t>13</w:t>
            </w:r>
            <w:r>
              <w:rPr>
                <w:rFonts w:hint="eastAsia"/>
                <w:b/>
                <w:bCs/>
                <w:color w:val="auto"/>
                <w:sz w:val="21"/>
                <w:szCs w:val="21"/>
              </w:rPr>
              <w:t xml:space="preserve">  </w:t>
            </w:r>
            <w:r>
              <w:rPr>
                <w:rFonts w:hint="eastAsia" w:ascii="Times New Roman" w:hAnsi="Times New Roman" w:eastAsia="宋体" w:cs="Times New Roman"/>
                <w:b/>
                <w:color w:val="auto"/>
                <w:kern w:val="0"/>
                <w:sz w:val="21"/>
                <w:szCs w:val="21"/>
                <w:lang w:val="en-US" w:eastAsia="zh-CN" w:bidi="ar-SA"/>
              </w:rPr>
              <w:t>医用硅酮疤痕凝胶物料平</w:t>
            </w:r>
            <w:r>
              <w:rPr>
                <w:b/>
                <w:bCs/>
                <w:color w:val="auto"/>
                <w:sz w:val="21"/>
                <w:szCs w:val="21"/>
              </w:rPr>
              <w:t>衡表</w:t>
            </w:r>
          </w:p>
          <w:tbl>
            <w:tblPr>
              <w:tblStyle w:val="24"/>
              <w:tblW w:w="496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1146"/>
              <w:gridCol w:w="1068"/>
              <w:gridCol w:w="1908"/>
              <w:gridCol w:w="1461"/>
            </w:tblGrid>
            <w:tr w14:paraId="6C7795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223" w:type="pct"/>
                  <w:gridSpan w:val="2"/>
                  <w:tcBorders>
                    <w:bottom w:val="single" w:color="auto" w:sz="4" w:space="0"/>
                  </w:tcBorders>
                  <w:noWrap w:val="0"/>
                  <w:vAlign w:val="top"/>
                </w:tcPr>
                <w:p w14:paraId="7B0DEE80">
                  <w:pPr>
                    <w:autoSpaceDE w:val="0"/>
                    <w:autoSpaceDN w:val="0"/>
                    <w:adjustRightInd w:val="0"/>
                    <w:jc w:val="center"/>
                    <w:rPr>
                      <w:b/>
                      <w:bCs/>
                      <w:color w:val="auto"/>
                      <w:szCs w:val="21"/>
                    </w:rPr>
                  </w:pPr>
                  <w:r>
                    <w:rPr>
                      <w:b/>
                      <w:bCs/>
                      <w:color w:val="auto"/>
                      <w:szCs w:val="21"/>
                    </w:rPr>
                    <w:t>投入</w:t>
                  </w:r>
                </w:p>
              </w:tc>
              <w:tc>
                <w:tcPr>
                  <w:tcW w:w="2776" w:type="pct"/>
                  <w:gridSpan w:val="3"/>
                  <w:tcBorders>
                    <w:bottom w:val="single" w:color="auto" w:sz="4" w:space="0"/>
                  </w:tcBorders>
                  <w:noWrap w:val="0"/>
                  <w:vAlign w:val="top"/>
                </w:tcPr>
                <w:p w14:paraId="6C2211EB">
                  <w:pPr>
                    <w:autoSpaceDE w:val="0"/>
                    <w:autoSpaceDN w:val="0"/>
                    <w:adjustRightInd w:val="0"/>
                    <w:jc w:val="center"/>
                    <w:rPr>
                      <w:b/>
                      <w:bCs/>
                      <w:color w:val="auto"/>
                      <w:szCs w:val="21"/>
                    </w:rPr>
                  </w:pPr>
                  <w:r>
                    <w:rPr>
                      <w:b/>
                      <w:bCs/>
                      <w:color w:val="auto"/>
                      <w:szCs w:val="21"/>
                    </w:rPr>
                    <w:t>产出</w:t>
                  </w:r>
                </w:p>
              </w:tc>
            </w:tr>
            <w:tr w14:paraId="5705B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21E509B1">
                  <w:pPr>
                    <w:autoSpaceDE w:val="0"/>
                    <w:autoSpaceDN w:val="0"/>
                    <w:adjustRightInd w:val="0"/>
                    <w:jc w:val="center"/>
                    <w:rPr>
                      <w:b/>
                      <w:bCs/>
                      <w:color w:val="auto"/>
                      <w:szCs w:val="21"/>
                    </w:rPr>
                  </w:pPr>
                  <w:r>
                    <w:rPr>
                      <w:b/>
                      <w:bCs/>
                      <w:color w:val="auto"/>
                      <w:szCs w:val="21"/>
                    </w:rPr>
                    <w:t>名称</w:t>
                  </w:r>
                </w:p>
              </w:tc>
              <w:tc>
                <w:tcPr>
                  <w:tcW w:w="717" w:type="pct"/>
                  <w:tcBorders>
                    <w:top w:val="single" w:color="auto" w:sz="4" w:space="0"/>
                    <w:bottom w:val="single" w:color="auto" w:sz="4" w:space="0"/>
                  </w:tcBorders>
                  <w:noWrap w:val="0"/>
                  <w:vAlign w:val="center"/>
                </w:tcPr>
                <w:p w14:paraId="6B3F47E6">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c>
                <w:tcPr>
                  <w:tcW w:w="1862" w:type="pct"/>
                  <w:gridSpan w:val="2"/>
                  <w:tcBorders>
                    <w:top w:val="single" w:color="auto" w:sz="4" w:space="0"/>
                    <w:bottom w:val="single" w:color="auto" w:sz="4" w:space="0"/>
                  </w:tcBorders>
                  <w:noWrap w:val="0"/>
                  <w:vAlign w:val="center"/>
                </w:tcPr>
                <w:p w14:paraId="04EE08FE">
                  <w:pPr>
                    <w:autoSpaceDE w:val="0"/>
                    <w:autoSpaceDN w:val="0"/>
                    <w:adjustRightInd w:val="0"/>
                    <w:jc w:val="center"/>
                    <w:rPr>
                      <w:b/>
                      <w:bCs/>
                      <w:color w:val="auto"/>
                      <w:szCs w:val="21"/>
                    </w:rPr>
                  </w:pPr>
                  <w:r>
                    <w:rPr>
                      <w:b/>
                      <w:bCs/>
                      <w:color w:val="auto"/>
                      <w:szCs w:val="21"/>
                    </w:rPr>
                    <w:t>名称</w:t>
                  </w:r>
                </w:p>
              </w:tc>
              <w:tc>
                <w:tcPr>
                  <w:tcW w:w="914" w:type="pct"/>
                  <w:tcBorders>
                    <w:top w:val="single" w:color="auto" w:sz="4" w:space="0"/>
                    <w:bottom w:val="single" w:color="auto" w:sz="4" w:space="0"/>
                  </w:tcBorders>
                  <w:noWrap w:val="0"/>
                  <w:vAlign w:val="center"/>
                </w:tcPr>
                <w:p w14:paraId="4D76D577">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r>
            <w:tr w14:paraId="5878B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3CEC5226">
                  <w:pPr>
                    <w:snapToGrid w:val="0"/>
                    <w:spacing w:line="240" w:lineRule="auto"/>
                    <w:jc w:val="center"/>
                    <w:textAlignment w:val="auto"/>
                    <w:rPr>
                      <w:color w:val="auto"/>
                      <w:szCs w:val="21"/>
                    </w:rPr>
                  </w:pPr>
                  <w:r>
                    <w:rPr>
                      <w:rFonts w:hint="eastAsia"/>
                      <w:color w:val="auto"/>
                      <w:szCs w:val="21"/>
                    </w:rPr>
                    <w:t>高粘度聚二甲基硅氧烷</w:t>
                  </w:r>
                </w:p>
              </w:tc>
              <w:tc>
                <w:tcPr>
                  <w:tcW w:w="717" w:type="pct"/>
                  <w:tcBorders>
                    <w:top w:val="single" w:color="auto" w:sz="4" w:space="0"/>
                    <w:bottom w:val="single" w:color="auto" w:sz="4" w:space="0"/>
                  </w:tcBorders>
                  <w:noWrap w:val="0"/>
                  <w:vAlign w:val="center"/>
                </w:tcPr>
                <w:p w14:paraId="6B7678A1">
                  <w:pPr>
                    <w:autoSpaceDE w:val="0"/>
                    <w:autoSpaceDN w:val="0"/>
                    <w:adjustRightInd w:val="0"/>
                    <w:jc w:val="center"/>
                    <w:rPr>
                      <w:rFonts w:hint="eastAsia" w:eastAsia="宋体"/>
                      <w:color w:val="auto"/>
                      <w:szCs w:val="21"/>
                      <w:lang w:eastAsia="zh-CN"/>
                    </w:rPr>
                  </w:pPr>
                  <w:r>
                    <w:rPr>
                      <w:rFonts w:hint="eastAsia"/>
                      <w:color w:val="auto"/>
                      <w:szCs w:val="21"/>
                      <w:lang w:val="en-US" w:eastAsia="zh-CN"/>
                    </w:rPr>
                    <w:t>4</w:t>
                  </w:r>
                </w:p>
              </w:tc>
              <w:tc>
                <w:tcPr>
                  <w:tcW w:w="668" w:type="pct"/>
                  <w:tcBorders>
                    <w:top w:val="single" w:color="auto" w:sz="4" w:space="0"/>
                    <w:bottom w:val="single" w:color="auto" w:sz="4" w:space="0"/>
                  </w:tcBorders>
                  <w:noWrap w:val="0"/>
                  <w:vAlign w:val="center"/>
                </w:tcPr>
                <w:p w14:paraId="3EC1B1C9">
                  <w:pPr>
                    <w:autoSpaceDE w:val="0"/>
                    <w:autoSpaceDN w:val="0"/>
                    <w:adjustRightInd w:val="0"/>
                    <w:jc w:val="center"/>
                    <w:rPr>
                      <w:color w:val="auto"/>
                      <w:szCs w:val="21"/>
                    </w:rPr>
                  </w:pPr>
                  <w:r>
                    <w:rPr>
                      <w:rFonts w:hint="eastAsia"/>
                      <w:color w:val="auto"/>
                      <w:szCs w:val="21"/>
                    </w:rPr>
                    <w:t>产品</w:t>
                  </w:r>
                </w:p>
              </w:tc>
              <w:tc>
                <w:tcPr>
                  <w:tcW w:w="1194" w:type="pct"/>
                  <w:tcBorders>
                    <w:top w:val="single" w:color="auto" w:sz="4" w:space="0"/>
                    <w:bottom w:val="single" w:color="auto" w:sz="4" w:space="0"/>
                  </w:tcBorders>
                  <w:noWrap w:val="0"/>
                  <w:vAlign w:val="center"/>
                </w:tcPr>
                <w:p w14:paraId="187E5943">
                  <w:pPr>
                    <w:autoSpaceDE w:val="0"/>
                    <w:autoSpaceDN w:val="0"/>
                    <w:adjustRightInd w:val="0"/>
                    <w:jc w:val="center"/>
                    <w:rPr>
                      <w:rFonts w:hint="eastAsia"/>
                      <w:color w:val="auto"/>
                      <w:szCs w:val="21"/>
                    </w:rPr>
                  </w:pPr>
                  <w:r>
                    <w:rPr>
                      <w:rFonts w:hint="eastAsia"/>
                      <w:color w:val="auto"/>
                      <w:szCs w:val="19"/>
                      <w:lang w:bidi="ar"/>
                    </w:rPr>
                    <w:t>医用硅酮疤痕凝胶</w:t>
                  </w:r>
                </w:p>
              </w:tc>
              <w:tc>
                <w:tcPr>
                  <w:tcW w:w="914" w:type="pct"/>
                  <w:tcBorders>
                    <w:top w:val="single" w:color="auto" w:sz="4" w:space="0"/>
                    <w:bottom w:val="single" w:color="auto" w:sz="4" w:space="0"/>
                  </w:tcBorders>
                  <w:noWrap w:val="0"/>
                  <w:vAlign w:val="center"/>
                </w:tcPr>
                <w:p w14:paraId="125E50AF">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9.99</w:t>
                  </w:r>
                </w:p>
              </w:tc>
            </w:tr>
            <w:tr w14:paraId="51348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3DA99A2D">
                  <w:pPr>
                    <w:snapToGrid w:val="0"/>
                    <w:spacing w:line="240" w:lineRule="auto"/>
                    <w:jc w:val="center"/>
                    <w:textAlignment w:val="auto"/>
                    <w:rPr>
                      <w:color w:val="auto"/>
                      <w:szCs w:val="21"/>
                    </w:rPr>
                  </w:pPr>
                  <w:r>
                    <w:rPr>
                      <w:rFonts w:hint="eastAsia"/>
                      <w:color w:val="auto"/>
                      <w:szCs w:val="21"/>
                    </w:rPr>
                    <w:t>低粘度聚二甲硅氧烷</w:t>
                  </w:r>
                </w:p>
              </w:tc>
              <w:tc>
                <w:tcPr>
                  <w:tcW w:w="717" w:type="pct"/>
                  <w:tcBorders>
                    <w:top w:val="single" w:color="auto" w:sz="4" w:space="0"/>
                    <w:bottom w:val="single" w:color="auto" w:sz="4" w:space="0"/>
                  </w:tcBorders>
                  <w:noWrap w:val="0"/>
                  <w:vAlign w:val="center"/>
                </w:tcPr>
                <w:p w14:paraId="5761E909">
                  <w:pPr>
                    <w:autoSpaceDE w:val="0"/>
                    <w:autoSpaceDN w:val="0"/>
                    <w:adjustRightInd w:val="0"/>
                    <w:jc w:val="center"/>
                    <w:rPr>
                      <w:rFonts w:hint="eastAsia" w:eastAsia="宋体"/>
                      <w:color w:val="auto"/>
                      <w:szCs w:val="21"/>
                      <w:lang w:eastAsia="zh-CN"/>
                    </w:rPr>
                  </w:pPr>
                  <w:r>
                    <w:rPr>
                      <w:rFonts w:hint="eastAsia"/>
                      <w:color w:val="auto"/>
                      <w:szCs w:val="21"/>
                      <w:lang w:val="en-US" w:eastAsia="zh-CN"/>
                    </w:rPr>
                    <w:t>4</w:t>
                  </w:r>
                </w:p>
              </w:tc>
              <w:tc>
                <w:tcPr>
                  <w:tcW w:w="668" w:type="pct"/>
                  <w:tcBorders>
                    <w:top w:val="single" w:color="auto" w:sz="4" w:space="0"/>
                  </w:tcBorders>
                  <w:noWrap w:val="0"/>
                  <w:vAlign w:val="center"/>
                </w:tcPr>
                <w:p w14:paraId="34197CAB">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生产过程</w:t>
                  </w:r>
                </w:p>
              </w:tc>
              <w:tc>
                <w:tcPr>
                  <w:tcW w:w="1194" w:type="pct"/>
                  <w:tcBorders>
                    <w:top w:val="single" w:color="auto" w:sz="4" w:space="0"/>
                  </w:tcBorders>
                  <w:noWrap w:val="0"/>
                  <w:vAlign w:val="center"/>
                </w:tcPr>
                <w:p w14:paraId="432388A7">
                  <w:pPr>
                    <w:autoSpaceDE w:val="0"/>
                    <w:autoSpaceDN w:val="0"/>
                    <w:adjustRightInd w:val="0"/>
                    <w:jc w:val="center"/>
                    <w:rPr>
                      <w:rFonts w:hint="default"/>
                      <w:color w:val="auto"/>
                      <w:szCs w:val="21"/>
                      <w:lang w:val="en-US" w:eastAsia="zh-CN"/>
                    </w:rPr>
                  </w:pPr>
                  <w:r>
                    <w:rPr>
                      <w:rFonts w:hint="eastAsia"/>
                      <w:color w:val="auto"/>
                      <w:szCs w:val="21"/>
                      <w:lang w:val="en-US" w:eastAsia="zh-CN"/>
                    </w:rPr>
                    <w:t>非甲烷总烃</w:t>
                  </w:r>
                </w:p>
              </w:tc>
              <w:tc>
                <w:tcPr>
                  <w:tcW w:w="914" w:type="pct"/>
                  <w:tcBorders>
                    <w:top w:val="single" w:color="auto" w:sz="4" w:space="0"/>
                  </w:tcBorders>
                  <w:noWrap w:val="0"/>
                  <w:vAlign w:val="center"/>
                </w:tcPr>
                <w:p w14:paraId="56AC8CCA">
                  <w:pPr>
                    <w:autoSpaceDE w:val="0"/>
                    <w:autoSpaceDN w:val="0"/>
                    <w:adjustRightInd w:val="0"/>
                    <w:jc w:val="center"/>
                    <w:rPr>
                      <w:rFonts w:hint="default"/>
                      <w:color w:val="auto"/>
                      <w:szCs w:val="21"/>
                      <w:lang w:val="en-US" w:eastAsia="zh-CN"/>
                    </w:rPr>
                  </w:pPr>
                  <w:r>
                    <w:rPr>
                      <w:rFonts w:hint="eastAsia"/>
                      <w:color w:val="auto"/>
                      <w:szCs w:val="21"/>
                      <w:lang w:val="en-US" w:eastAsia="zh-CN"/>
                    </w:rPr>
                    <w:t>0.01</w:t>
                  </w:r>
                </w:p>
              </w:tc>
            </w:tr>
            <w:tr w14:paraId="03A78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24E32FD3">
                  <w:pPr>
                    <w:snapToGrid w:val="0"/>
                    <w:spacing w:line="240" w:lineRule="auto"/>
                    <w:jc w:val="center"/>
                    <w:textAlignment w:val="auto"/>
                    <w:rPr>
                      <w:rFonts w:hint="eastAsia"/>
                      <w:color w:val="auto"/>
                      <w:szCs w:val="21"/>
                    </w:rPr>
                  </w:pPr>
                  <w:r>
                    <w:rPr>
                      <w:rFonts w:hint="eastAsia"/>
                      <w:color w:val="auto"/>
                      <w:szCs w:val="21"/>
                    </w:rPr>
                    <w:t>六甲基二硅氧烷</w:t>
                  </w:r>
                </w:p>
              </w:tc>
              <w:tc>
                <w:tcPr>
                  <w:tcW w:w="717" w:type="pct"/>
                  <w:tcBorders>
                    <w:top w:val="single" w:color="auto" w:sz="4" w:space="0"/>
                    <w:bottom w:val="single" w:color="auto" w:sz="4" w:space="0"/>
                  </w:tcBorders>
                  <w:noWrap w:val="0"/>
                  <w:vAlign w:val="center"/>
                </w:tcPr>
                <w:p w14:paraId="1A22E80D">
                  <w:pPr>
                    <w:autoSpaceDE w:val="0"/>
                    <w:autoSpaceDN w:val="0"/>
                    <w:adjustRightInd w:val="0"/>
                    <w:jc w:val="center"/>
                    <w:rPr>
                      <w:rFonts w:hint="eastAsia" w:eastAsia="宋体"/>
                      <w:color w:val="auto"/>
                      <w:szCs w:val="21"/>
                      <w:lang w:eastAsia="zh-CN"/>
                    </w:rPr>
                  </w:pPr>
                  <w:r>
                    <w:rPr>
                      <w:rFonts w:hint="eastAsia"/>
                      <w:color w:val="auto"/>
                      <w:szCs w:val="21"/>
                      <w:lang w:val="en-US" w:eastAsia="zh-CN"/>
                    </w:rPr>
                    <w:t>2</w:t>
                  </w:r>
                </w:p>
              </w:tc>
              <w:tc>
                <w:tcPr>
                  <w:tcW w:w="2776" w:type="pct"/>
                  <w:gridSpan w:val="3"/>
                  <w:noWrap w:val="0"/>
                  <w:vAlign w:val="center"/>
                </w:tcPr>
                <w:p w14:paraId="57FC85CF">
                  <w:pPr>
                    <w:autoSpaceDE w:val="0"/>
                    <w:autoSpaceDN w:val="0"/>
                    <w:adjustRightInd w:val="0"/>
                    <w:jc w:val="center"/>
                    <w:rPr>
                      <w:color w:val="auto"/>
                      <w:szCs w:val="21"/>
                    </w:rPr>
                  </w:pPr>
                  <w:r>
                    <w:rPr>
                      <w:rFonts w:hint="eastAsia"/>
                      <w:color w:val="auto"/>
                      <w:szCs w:val="21"/>
                      <w:lang w:val="en-US" w:eastAsia="zh-CN"/>
                    </w:rPr>
                    <w:t>/</w:t>
                  </w:r>
                </w:p>
              </w:tc>
            </w:tr>
            <w:tr w14:paraId="01EDD6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12" w:space="0"/>
                  </w:tcBorders>
                  <w:noWrap w:val="0"/>
                  <w:vAlign w:val="center"/>
                </w:tcPr>
                <w:p w14:paraId="208B57D6">
                  <w:pPr>
                    <w:pStyle w:val="83"/>
                    <w:spacing w:line="240" w:lineRule="auto"/>
                    <w:ind w:firstLine="0" w:firstLineChars="0"/>
                    <w:jc w:val="center"/>
                    <w:textAlignment w:val="baseline"/>
                    <w:rPr>
                      <w:rStyle w:val="84"/>
                      <w:color w:val="auto"/>
                      <w:kern w:val="0"/>
                      <w:sz w:val="21"/>
                      <w:szCs w:val="21"/>
                    </w:rPr>
                  </w:pPr>
                  <w:r>
                    <w:rPr>
                      <w:rStyle w:val="84"/>
                      <w:color w:val="auto"/>
                      <w:kern w:val="0"/>
                      <w:sz w:val="21"/>
                      <w:szCs w:val="21"/>
                    </w:rPr>
                    <w:t>合计</w:t>
                  </w:r>
                </w:p>
              </w:tc>
              <w:tc>
                <w:tcPr>
                  <w:tcW w:w="717" w:type="pct"/>
                  <w:tcBorders>
                    <w:top w:val="single" w:color="auto" w:sz="4" w:space="0"/>
                    <w:bottom w:val="single" w:color="auto" w:sz="12" w:space="0"/>
                  </w:tcBorders>
                  <w:noWrap w:val="0"/>
                  <w:vAlign w:val="center"/>
                </w:tcPr>
                <w:p w14:paraId="6510348C">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10</w:t>
                  </w:r>
                </w:p>
              </w:tc>
              <w:tc>
                <w:tcPr>
                  <w:tcW w:w="1862" w:type="pct"/>
                  <w:gridSpan w:val="2"/>
                  <w:tcBorders>
                    <w:top w:val="single" w:color="auto" w:sz="4" w:space="0"/>
                    <w:bottom w:val="single" w:color="auto" w:sz="12" w:space="0"/>
                  </w:tcBorders>
                  <w:noWrap w:val="0"/>
                  <w:vAlign w:val="center"/>
                </w:tcPr>
                <w:p w14:paraId="045F486C">
                  <w:pPr>
                    <w:pStyle w:val="83"/>
                    <w:spacing w:line="240" w:lineRule="auto"/>
                    <w:ind w:firstLine="0" w:firstLineChars="0"/>
                    <w:jc w:val="center"/>
                    <w:textAlignment w:val="baseline"/>
                    <w:rPr>
                      <w:color w:val="auto"/>
                      <w:szCs w:val="21"/>
                    </w:rPr>
                  </w:pPr>
                  <w:r>
                    <w:rPr>
                      <w:rStyle w:val="84"/>
                      <w:color w:val="auto"/>
                      <w:kern w:val="0"/>
                      <w:sz w:val="21"/>
                      <w:szCs w:val="21"/>
                    </w:rPr>
                    <w:t>合计</w:t>
                  </w:r>
                </w:p>
              </w:tc>
              <w:tc>
                <w:tcPr>
                  <w:tcW w:w="914" w:type="pct"/>
                  <w:tcBorders>
                    <w:top w:val="single" w:color="auto" w:sz="4" w:space="0"/>
                    <w:bottom w:val="single" w:color="auto" w:sz="12" w:space="0"/>
                  </w:tcBorders>
                  <w:noWrap w:val="0"/>
                  <w:vAlign w:val="center"/>
                </w:tcPr>
                <w:p w14:paraId="3DBCC981">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10</w:t>
                  </w:r>
                </w:p>
              </w:tc>
            </w:tr>
          </w:tbl>
          <w:p w14:paraId="72992C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lang w:val="en-US" w:eastAsia="zh-CN"/>
              </w:rPr>
            </w:pPr>
            <w:r>
              <w:rPr>
                <w:rFonts w:hint="eastAsia"/>
                <w:color w:val="auto"/>
                <w:sz w:val="24"/>
                <w:lang w:val="en-US" w:eastAsia="zh-CN"/>
              </w:rPr>
              <w:t>4、</w:t>
            </w:r>
            <w:r>
              <w:rPr>
                <w:rFonts w:hint="eastAsia" w:ascii="Times New Roman" w:hAnsi="Times New Roman" w:eastAsia="宋体" w:cs="Times New Roman"/>
                <w:color w:val="auto"/>
                <w:sz w:val="24"/>
              </w:rPr>
              <w:t>重组胶原蛋白贴物料</w:t>
            </w:r>
            <w:r>
              <w:rPr>
                <w:color w:val="auto"/>
                <w:sz w:val="24"/>
              </w:rPr>
              <w:t>平衡</w:t>
            </w:r>
            <w:r>
              <w:rPr>
                <w:rFonts w:hint="eastAsia"/>
                <w:color w:val="auto"/>
                <w:sz w:val="24"/>
              </w:rPr>
              <w:t>分析详见如下。</w:t>
            </w:r>
          </w:p>
          <w:p w14:paraId="22B619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color w:val="auto"/>
                <w:sz w:val="24"/>
                <w:lang w:val="en-US" w:eastAsia="zh-CN"/>
              </w:rPr>
            </w:pPr>
            <w:r>
              <w:rPr>
                <w:rFonts w:hint="default"/>
                <w:color w:val="auto"/>
                <w:sz w:val="24"/>
                <w:lang w:val="en-US" w:eastAsia="zh-CN"/>
              </w:rPr>
              <w:object>
                <v:shape id="_x0000_i1042" o:spt="75" type="#_x0000_t75" style="height:274.5pt;width:231.05pt;" o:ole="t" filled="f" o:preferrelative="t" stroked="f" coordsize="21600,21600">
                  <v:path/>
                  <v:fill on="f" focussize="0,0"/>
                  <v:stroke on="f"/>
                  <v:imagedata r:id="rId48" o:title=""/>
                  <o:lock v:ext="edit" aspectratio="f"/>
                  <w10:wrap type="none"/>
                  <w10:anchorlock/>
                </v:shape>
                <o:OLEObject Type="Embed" ProgID="Visio.Drawing.11" ShapeID="_x0000_i1042" DrawAspect="Content" ObjectID="_1468075742" r:id="rId47">
                  <o:LockedField>false</o:LockedField>
                </o:OLEObject>
              </w:object>
            </w:r>
          </w:p>
          <w:p w14:paraId="4D68E7BA">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hAnsi="宋体" w:cs="宋体"/>
                <w:b/>
                <w:bCs/>
                <w:color w:val="auto"/>
                <w:szCs w:val="21"/>
              </w:rPr>
            </w:pPr>
            <w:r>
              <w:rPr>
                <w:rFonts w:ascii="Times New Roman"/>
                <w:b/>
                <w:bCs/>
                <w:color w:val="auto"/>
                <w:szCs w:val="21"/>
              </w:rPr>
              <w:t>图</w:t>
            </w:r>
            <w:r>
              <w:rPr>
                <w:rFonts w:hint="eastAsia" w:ascii="Times New Roman"/>
                <w:b/>
                <w:bCs/>
                <w:color w:val="auto"/>
                <w:szCs w:val="21"/>
              </w:rPr>
              <w:t>2</w:t>
            </w:r>
            <w:r>
              <w:rPr>
                <w:rFonts w:ascii="Times New Roman"/>
                <w:b/>
                <w:bCs/>
                <w:color w:val="auto"/>
                <w:szCs w:val="21"/>
              </w:rPr>
              <w:t>-</w:t>
            </w:r>
            <w:r>
              <w:rPr>
                <w:rFonts w:hint="eastAsia"/>
                <w:b/>
                <w:bCs/>
                <w:color w:val="auto"/>
                <w:szCs w:val="21"/>
                <w:lang w:val="en-US" w:eastAsia="zh-CN"/>
              </w:rPr>
              <w:t>19</w:t>
            </w:r>
            <w:r>
              <w:rPr>
                <w:rFonts w:hint="eastAsia" w:ascii="Times New Roman"/>
                <w:b/>
                <w:bCs/>
                <w:color w:val="auto"/>
                <w:szCs w:val="21"/>
              </w:rPr>
              <w:t xml:space="preserve"> </w:t>
            </w:r>
            <w:r>
              <w:rPr>
                <w:rFonts w:ascii="Times New Roman"/>
                <w:b/>
                <w:bCs/>
                <w:color w:val="auto"/>
                <w:szCs w:val="21"/>
              </w:rPr>
              <w:t xml:space="preserve"> </w:t>
            </w:r>
            <w:r>
              <w:rPr>
                <w:rFonts w:hint="eastAsia" w:ascii="宋体" w:hAnsi="宋体" w:eastAsia="宋体" w:cs="宋体"/>
                <w:b/>
                <w:bCs/>
                <w:color w:val="auto"/>
                <w:szCs w:val="21"/>
              </w:rPr>
              <w:t>项目</w:t>
            </w:r>
            <w:r>
              <w:rPr>
                <w:rFonts w:hint="eastAsia"/>
                <w:b/>
                <w:bCs/>
                <w:color w:val="auto"/>
                <w:szCs w:val="21"/>
              </w:rPr>
              <w:t>重组胶原蛋白贴</w:t>
            </w:r>
            <w:r>
              <w:rPr>
                <w:rFonts w:hint="eastAsia" w:ascii="宋体" w:hAnsi="宋体" w:eastAsia="宋体" w:cs="宋体"/>
                <w:b/>
                <w:bCs/>
                <w:color w:val="auto"/>
                <w:szCs w:val="21"/>
              </w:rPr>
              <w:t>物料</w:t>
            </w:r>
            <w:r>
              <w:rPr>
                <w:rFonts w:hint="eastAsia" w:hAnsi="宋体" w:cs="宋体"/>
                <w:b/>
                <w:bCs/>
                <w:color w:val="auto"/>
                <w:szCs w:val="21"/>
              </w:rPr>
              <w:t>平衡图  （单位：t/a）</w:t>
            </w:r>
          </w:p>
          <w:p w14:paraId="232C184E">
            <w:pPr>
              <w:ind w:firstLine="480" w:firstLineChars="200"/>
              <w:rPr>
                <w:rFonts w:hint="eastAsia"/>
                <w:color w:val="auto"/>
              </w:rPr>
            </w:pPr>
            <w:r>
              <w:rPr>
                <w:rFonts w:hint="eastAsia" w:ascii="宋体" w:hAnsi="宋体" w:cs="宋体"/>
                <w:color w:val="auto"/>
                <w:sz w:val="24"/>
              </w:rPr>
              <w:t>本项</w:t>
            </w:r>
            <w:r>
              <w:rPr>
                <w:rFonts w:hint="eastAsia" w:ascii="宋体" w:hAnsi="宋体" w:eastAsia="宋体" w:cs="宋体"/>
                <w:color w:val="auto"/>
                <w:sz w:val="24"/>
              </w:rPr>
              <w:t>目重组胶原蛋白贴物料平</w:t>
            </w:r>
            <w:r>
              <w:rPr>
                <w:rFonts w:hint="eastAsia" w:ascii="宋体" w:hAnsi="宋体" w:cs="宋体"/>
                <w:color w:val="auto"/>
                <w:sz w:val="24"/>
              </w:rPr>
              <w:t>衡表</w:t>
            </w:r>
            <w:r>
              <w:rPr>
                <w:color w:val="auto"/>
                <w:sz w:val="24"/>
              </w:rPr>
              <w:t>见</w:t>
            </w:r>
            <w:r>
              <w:rPr>
                <w:rFonts w:hint="eastAsia"/>
                <w:color w:val="auto"/>
                <w:sz w:val="24"/>
                <w:lang w:val="en-US" w:eastAsia="zh-CN"/>
              </w:rPr>
              <w:t>下表</w:t>
            </w:r>
            <w:r>
              <w:rPr>
                <w:rFonts w:hint="eastAsia"/>
                <w:color w:val="auto"/>
                <w:sz w:val="24"/>
              </w:rPr>
              <w:t>。</w:t>
            </w:r>
          </w:p>
          <w:p w14:paraId="133461A9">
            <w:pPr>
              <w:pStyle w:val="10"/>
              <w:spacing w:before="0" w:after="0" w:line="240" w:lineRule="auto"/>
              <w:ind w:right="0"/>
              <w:jc w:val="center"/>
              <w:rPr>
                <w:b/>
                <w:bCs/>
                <w:color w:val="auto"/>
                <w:sz w:val="21"/>
                <w:szCs w:val="21"/>
              </w:rPr>
            </w:pPr>
            <w:r>
              <w:rPr>
                <w:b/>
                <w:bCs/>
                <w:color w:val="auto"/>
                <w:sz w:val="21"/>
                <w:szCs w:val="21"/>
              </w:rPr>
              <w:t>表</w:t>
            </w:r>
            <w:r>
              <w:rPr>
                <w:rFonts w:hint="eastAsia"/>
                <w:b/>
                <w:bCs/>
                <w:color w:val="auto"/>
                <w:sz w:val="21"/>
                <w:szCs w:val="21"/>
              </w:rPr>
              <w:t>2-1</w:t>
            </w:r>
            <w:r>
              <w:rPr>
                <w:rFonts w:hint="eastAsia"/>
                <w:b/>
                <w:bCs/>
                <w:color w:val="auto"/>
                <w:sz w:val="21"/>
                <w:szCs w:val="21"/>
                <w:lang w:val="en-US" w:eastAsia="zh-CN"/>
              </w:rPr>
              <w:t>4</w:t>
            </w:r>
            <w:r>
              <w:rPr>
                <w:rFonts w:hint="eastAsia"/>
                <w:b/>
                <w:bCs/>
                <w:color w:val="auto"/>
                <w:sz w:val="21"/>
                <w:szCs w:val="21"/>
              </w:rPr>
              <w:t xml:space="preserve">  </w:t>
            </w:r>
            <w:r>
              <w:rPr>
                <w:rFonts w:hint="eastAsia" w:ascii="Times New Roman" w:hAnsi="Times New Roman" w:eastAsia="宋体" w:cs="Times New Roman"/>
                <w:b/>
                <w:bCs/>
                <w:color w:val="auto"/>
                <w:sz w:val="21"/>
                <w:szCs w:val="21"/>
              </w:rPr>
              <w:t>重组胶原蛋白贴</w:t>
            </w:r>
            <w:r>
              <w:rPr>
                <w:rFonts w:ascii="Times New Roman" w:hAnsi="Times New Roman" w:eastAsia="宋体" w:cs="Times New Roman"/>
                <w:b/>
                <w:bCs/>
                <w:color w:val="auto"/>
                <w:sz w:val="21"/>
                <w:szCs w:val="21"/>
              </w:rPr>
              <w:t>物料</w:t>
            </w:r>
            <w:r>
              <w:rPr>
                <w:b/>
                <w:bCs/>
                <w:color w:val="auto"/>
                <w:sz w:val="21"/>
                <w:szCs w:val="21"/>
              </w:rPr>
              <w:t>平衡表</w:t>
            </w:r>
          </w:p>
          <w:tbl>
            <w:tblPr>
              <w:tblStyle w:val="24"/>
              <w:tblW w:w="496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95"/>
              <w:gridCol w:w="1188"/>
              <w:gridCol w:w="1400"/>
              <w:gridCol w:w="1745"/>
              <w:gridCol w:w="1461"/>
            </w:tblGrid>
            <w:tr w14:paraId="1F7A2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117" w:type="pct"/>
                  <w:gridSpan w:val="2"/>
                  <w:tcBorders>
                    <w:bottom w:val="single" w:color="auto" w:sz="4" w:space="0"/>
                  </w:tcBorders>
                  <w:noWrap w:val="0"/>
                  <w:vAlign w:val="top"/>
                </w:tcPr>
                <w:p w14:paraId="09995755">
                  <w:pPr>
                    <w:autoSpaceDE w:val="0"/>
                    <w:autoSpaceDN w:val="0"/>
                    <w:adjustRightInd w:val="0"/>
                    <w:jc w:val="center"/>
                    <w:rPr>
                      <w:b/>
                      <w:bCs/>
                      <w:color w:val="auto"/>
                      <w:szCs w:val="21"/>
                    </w:rPr>
                  </w:pPr>
                  <w:r>
                    <w:rPr>
                      <w:b/>
                      <w:bCs/>
                      <w:color w:val="auto"/>
                      <w:szCs w:val="21"/>
                    </w:rPr>
                    <w:t>投入</w:t>
                  </w:r>
                </w:p>
              </w:tc>
              <w:tc>
                <w:tcPr>
                  <w:tcW w:w="2882" w:type="pct"/>
                  <w:gridSpan w:val="3"/>
                  <w:tcBorders>
                    <w:bottom w:val="single" w:color="auto" w:sz="4" w:space="0"/>
                  </w:tcBorders>
                  <w:noWrap w:val="0"/>
                  <w:vAlign w:val="top"/>
                </w:tcPr>
                <w:p w14:paraId="44EB6667">
                  <w:pPr>
                    <w:autoSpaceDE w:val="0"/>
                    <w:autoSpaceDN w:val="0"/>
                    <w:adjustRightInd w:val="0"/>
                    <w:jc w:val="center"/>
                    <w:rPr>
                      <w:b/>
                      <w:bCs/>
                      <w:color w:val="auto"/>
                      <w:szCs w:val="21"/>
                    </w:rPr>
                  </w:pPr>
                  <w:r>
                    <w:rPr>
                      <w:b/>
                      <w:bCs/>
                      <w:color w:val="auto"/>
                      <w:szCs w:val="21"/>
                    </w:rPr>
                    <w:t>产出</w:t>
                  </w:r>
                </w:p>
              </w:tc>
            </w:tr>
            <w:tr w14:paraId="327B4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3" w:type="pct"/>
                  <w:tcBorders>
                    <w:top w:val="single" w:color="auto" w:sz="4" w:space="0"/>
                    <w:bottom w:val="single" w:color="auto" w:sz="4" w:space="0"/>
                  </w:tcBorders>
                  <w:noWrap w:val="0"/>
                  <w:vAlign w:val="center"/>
                </w:tcPr>
                <w:p w14:paraId="218A8A53">
                  <w:pPr>
                    <w:autoSpaceDE w:val="0"/>
                    <w:autoSpaceDN w:val="0"/>
                    <w:adjustRightInd w:val="0"/>
                    <w:jc w:val="center"/>
                    <w:rPr>
                      <w:b/>
                      <w:bCs/>
                      <w:color w:val="auto"/>
                      <w:szCs w:val="21"/>
                    </w:rPr>
                  </w:pPr>
                  <w:r>
                    <w:rPr>
                      <w:b/>
                      <w:bCs/>
                      <w:color w:val="auto"/>
                      <w:szCs w:val="21"/>
                    </w:rPr>
                    <w:t>名称</w:t>
                  </w:r>
                </w:p>
              </w:tc>
              <w:tc>
                <w:tcPr>
                  <w:tcW w:w="743" w:type="pct"/>
                  <w:tcBorders>
                    <w:top w:val="single" w:color="auto" w:sz="4" w:space="0"/>
                    <w:bottom w:val="single" w:color="auto" w:sz="4" w:space="0"/>
                  </w:tcBorders>
                  <w:noWrap w:val="0"/>
                  <w:vAlign w:val="center"/>
                </w:tcPr>
                <w:p w14:paraId="47230426">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c>
                <w:tcPr>
                  <w:tcW w:w="1968" w:type="pct"/>
                  <w:gridSpan w:val="2"/>
                  <w:tcBorders>
                    <w:top w:val="single" w:color="auto" w:sz="4" w:space="0"/>
                    <w:bottom w:val="single" w:color="auto" w:sz="4" w:space="0"/>
                  </w:tcBorders>
                  <w:noWrap w:val="0"/>
                  <w:vAlign w:val="center"/>
                </w:tcPr>
                <w:p w14:paraId="62E2304A">
                  <w:pPr>
                    <w:autoSpaceDE w:val="0"/>
                    <w:autoSpaceDN w:val="0"/>
                    <w:adjustRightInd w:val="0"/>
                    <w:jc w:val="center"/>
                    <w:rPr>
                      <w:b/>
                      <w:bCs/>
                      <w:color w:val="auto"/>
                      <w:szCs w:val="21"/>
                    </w:rPr>
                  </w:pPr>
                  <w:r>
                    <w:rPr>
                      <w:b/>
                      <w:bCs/>
                      <w:color w:val="auto"/>
                      <w:szCs w:val="21"/>
                    </w:rPr>
                    <w:t>名称</w:t>
                  </w:r>
                </w:p>
              </w:tc>
              <w:tc>
                <w:tcPr>
                  <w:tcW w:w="914" w:type="pct"/>
                  <w:tcBorders>
                    <w:top w:val="single" w:color="auto" w:sz="4" w:space="0"/>
                    <w:bottom w:val="single" w:color="auto" w:sz="4" w:space="0"/>
                  </w:tcBorders>
                  <w:noWrap w:val="0"/>
                  <w:vAlign w:val="center"/>
                </w:tcPr>
                <w:p w14:paraId="0E309A22">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r>
            <w:tr w14:paraId="1C80F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3" w:type="pct"/>
                  <w:tcBorders>
                    <w:top w:val="single" w:color="auto" w:sz="4" w:space="0"/>
                    <w:bottom w:val="single" w:color="auto" w:sz="4" w:space="0"/>
                  </w:tcBorders>
                  <w:noWrap w:val="0"/>
                  <w:vAlign w:val="center"/>
                </w:tcPr>
                <w:p w14:paraId="4585BF83">
                  <w:pPr>
                    <w:snapToGrid w:val="0"/>
                    <w:spacing w:line="240" w:lineRule="auto"/>
                    <w:jc w:val="center"/>
                    <w:textAlignment w:val="auto"/>
                    <w:rPr>
                      <w:color w:val="auto"/>
                      <w:szCs w:val="21"/>
                    </w:rPr>
                  </w:pPr>
                  <w:r>
                    <w:rPr>
                      <w:rFonts w:hint="eastAsia"/>
                      <w:color w:val="auto"/>
                      <w:szCs w:val="21"/>
                    </w:rPr>
                    <w:t>Ⅲ</w:t>
                  </w:r>
                  <w:r>
                    <w:rPr>
                      <w:rFonts w:hint="eastAsia"/>
                      <w:color w:val="auto"/>
                      <w:szCs w:val="21"/>
                      <w:lang w:val="en-US" w:eastAsia="zh-CN"/>
                    </w:rPr>
                    <w:t>型</w:t>
                  </w:r>
                  <w:r>
                    <w:rPr>
                      <w:rFonts w:hint="eastAsia"/>
                      <w:color w:val="auto"/>
                      <w:szCs w:val="21"/>
                    </w:rPr>
                    <w:t>重组胶原蛋白</w:t>
                  </w:r>
                </w:p>
              </w:tc>
              <w:tc>
                <w:tcPr>
                  <w:tcW w:w="743" w:type="pct"/>
                  <w:tcBorders>
                    <w:top w:val="single" w:color="auto" w:sz="4" w:space="0"/>
                    <w:bottom w:val="single" w:color="auto" w:sz="4" w:space="0"/>
                  </w:tcBorders>
                  <w:noWrap w:val="0"/>
                  <w:vAlign w:val="center"/>
                </w:tcPr>
                <w:p w14:paraId="055E7F6B">
                  <w:pPr>
                    <w:snapToGrid w:val="0"/>
                    <w:spacing w:line="240" w:lineRule="auto"/>
                    <w:jc w:val="center"/>
                    <w:textAlignment w:val="auto"/>
                    <w:rPr>
                      <w:color w:val="auto"/>
                      <w:szCs w:val="21"/>
                    </w:rPr>
                  </w:pPr>
                  <w:r>
                    <w:rPr>
                      <w:rFonts w:hint="eastAsia"/>
                      <w:color w:val="auto"/>
                      <w:szCs w:val="21"/>
                      <w:lang w:val="en-US" w:eastAsia="zh-CN"/>
                    </w:rPr>
                    <w:t>0.25</w:t>
                  </w:r>
                </w:p>
              </w:tc>
              <w:tc>
                <w:tcPr>
                  <w:tcW w:w="876" w:type="pct"/>
                  <w:tcBorders>
                    <w:top w:val="single" w:color="auto" w:sz="4" w:space="0"/>
                    <w:bottom w:val="single" w:color="auto" w:sz="4" w:space="0"/>
                  </w:tcBorders>
                  <w:noWrap w:val="0"/>
                  <w:vAlign w:val="center"/>
                </w:tcPr>
                <w:p w14:paraId="1E3ABBA1">
                  <w:pPr>
                    <w:autoSpaceDE w:val="0"/>
                    <w:autoSpaceDN w:val="0"/>
                    <w:adjustRightInd w:val="0"/>
                    <w:jc w:val="center"/>
                    <w:rPr>
                      <w:color w:val="auto"/>
                      <w:szCs w:val="21"/>
                    </w:rPr>
                  </w:pPr>
                  <w:r>
                    <w:rPr>
                      <w:rFonts w:hint="eastAsia"/>
                      <w:color w:val="auto"/>
                      <w:szCs w:val="21"/>
                    </w:rPr>
                    <w:t>产品</w:t>
                  </w:r>
                </w:p>
              </w:tc>
              <w:tc>
                <w:tcPr>
                  <w:tcW w:w="1092" w:type="pct"/>
                  <w:tcBorders>
                    <w:top w:val="single" w:color="auto" w:sz="4" w:space="0"/>
                    <w:bottom w:val="single" w:color="auto" w:sz="4" w:space="0"/>
                  </w:tcBorders>
                  <w:noWrap w:val="0"/>
                  <w:vAlign w:val="center"/>
                </w:tcPr>
                <w:p w14:paraId="6E7061CB">
                  <w:pPr>
                    <w:autoSpaceDE w:val="0"/>
                    <w:autoSpaceDN w:val="0"/>
                    <w:adjustRightInd w:val="0"/>
                    <w:jc w:val="center"/>
                    <w:rPr>
                      <w:rFonts w:hint="eastAsia"/>
                      <w:color w:val="auto"/>
                      <w:szCs w:val="21"/>
                    </w:rPr>
                  </w:pPr>
                  <w:r>
                    <w:rPr>
                      <w:rFonts w:hint="eastAsia"/>
                      <w:color w:val="auto"/>
                      <w:szCs w:val="21"/>
                    </w:rPr>
                    <w:t>重组胶原蛋白贴</w:t>
                  </w:r>
                </w:p>
              </w:tc>
              <w:tc>
                <w:tcPr>
                  <w:tcW w:w="914" w:type="pct"/>
                  <w:tcBorders>
                    <w:top w:val="single" w:color="auto" w:sz="4" w:space="0"/>
                    <w:bottom w:val="single" w:color="auto" w:sz="4" w:space="0"/>
                  </w:tcBorders>
                  <w:noWrap w:val="0"/>
                  <w:vAlign w:val="center"/>
                </w:tcPr>
                <w:p w14:paraId="56650C38">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136.291</w:t>
                  </w:r>
                </w:p>
              </w:tc>
            </w:tr>
            <w:tr w14:paraId="756CD4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73" w:type="pct"/>
                  <w:tcBorders>
                    <w:top w:val="single" w:color="auto" w:sz="4" w:space="0"/>
                    <w:bottom w:val="single" w:color="auto" w:sz="4" w:space="0"/>
                  </w:tcBorders>
                  <w:noWrap w:val="0"/>
                  <w:vAlign w:val="center"/>
                </w:tcPr>
                <w:p w14:paraId="69FEEDAD">
                  <w:pPr>
                    <w:snapToGrid w:val="0"/>
                    <w:spacing w:line="240" w:lineRule="auto"/>
                    <w:jc w:val="center"/>
                    <w:textAlignment w:val="auto"/>
                    <w:rPr>
                      <w:color w:val="auto"/>
                      <w:szCs w:val="21"/>
                    </w:rPr>
                  </w:pPr>
                  <w:r>
                    <w:rPr>
                      <w:rFonts w:hint="eastAsia"/>
                      <w:color w:val="auto"/>
                      <w:szCs w:val="21"/>
                    </w:rPr>
                    <w:t>卡波姆</w:t>
                  </w:r>
                </w:p>
              </w:tc>
              <w:tc>
                <w:tcPr>
                  <w:tcW w:w="743" w:type="pct"/>
                  <w:tcBorders>
                    <w:top w:val="single" w:color="auto" w:sz="4" w:space="0"/>
                    <w:bottom w:val="single" w:color="auto" w:sz="4" w:space="0"/>
                  </w:tcBorders>
                  <w:noWrap w:val="0"/>
                  <w:vAlign w:val="center"/>
                </w:tcPr>
                <w:p w14:paraId="01B481DA">
                  <w:pPr>
                    <w:snapToGrid w:val="0"/>
                    <w:spacing w:line="240" w:lineRule="auto"/>
                    <w:jc w:val="center"/>
                    <w:textAlignment w:val="auto"/>
                    <w:rPr>
                      <w:color w:val="auto"/>
                      <w:szCs w:val="21"/>
                    </w:rPr>
                  </w:pPr>
                  <w:r>
                    <w:rPr>
                      <w:rFonts w:hint="eastAsia"/>
                      <w:color w:val="auto"/>
                      <w:szCs w:val="21"/>
                      <w:lang w:val="en-US" w:eastAsia="zh-CN"/>
                    </w:rPr>
                    <w:t>0.25</w:t>
                  </w:r>
                </w:p>
              </w:tc>
              <w:tc>
                <w:tcPr>
                  <w:tcW w:w="876" w:type="pct"/>
                  <w:tcBorders>
                    <w:top w:val="single" w:color="auto" w:sz="4" w:space="0"/>
                    <w:bottom w:val="single" w:color="auto" w:sz="4" w:space="0"/>
                  </w:tcBorders>
                  <w:noWrap w:val="0"/>
                  <w:vAlign w:val="center"/>
                </w:tcPr>
                <w:p w14:paraId="24654094">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检验</w:t>
                  </w:r>
                </w:p>
              </w:tc>
              <w:tc>
                <w:tcPr>
                  <w:tcW w:w="1092" w:type="pct"/>
                  <w:tcBorders>
                    <w:top w:val="single" w:color="auto" w:sz="4" w:space="0"/>
                    <w:bottom w:val="single" w:color="auto" w:sz="4" w:space="0"/>
                  </w:tcBorders>
                  <w:noWrap w:val="0"/>
                  <w:vAlign w:val="center"/>
                </w:tcPr>
                <w:p w14:paraId="01106562">
                  <w:pPr>
                    <w:autoSpaceDE w:val="0"/>
                    <w:autoSpaceDN w:val="0"/>
                    <w:adjustRightInd w:val="0"/>
                    <w:jc w:val="center"/>
                    <w:rPr>
                      <w:rFonts w:hint="eastAsia" w:eastAsia="宋体"/>
                      <w:color w:val="auto"/>
                      <w:szCs w:val="21"/>
                      <w:lang w:eastAsia="zh-CN"/>
                    </w:rPr>
                  </w:pPr>
                  <w:r>
                    <w:rPr>
                      <w:rFonts w:hint="eastAsia"/>
                      <w:color w:val="auto"/>
                      <w:szCs w:val="21"/>
                      <w:lang w:val="en-US" w:eastAsia="zh-CN"/>
                    </w:rPr>
                    <w:t>不合格品</w:t>
                  </w:r>
                </w:p>
              </w:tc>
              <w:tc>
                <w:tcPr>
                  <w:tcW w:w="914" w:type="pct"/>
                  <w:tcBorders>
                    <w:top w:val="single" w:color="auto" w:sz="4" w:space="0"/>
                    <w:bottom w:val="single" w:color="auto" w:sz="4" w:space="0"/>
                  </w:tcBorders>
                  <w:noWrap w:val="0"/>
                  <w:vAlign w:val="center"/>
                </w:tcPr>
                <w:p w14:paraId="0B31A6FC">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0.27</w:t>
                  </w:r>
                </w:p>
              </w:tc>
            </w:tr>
            <w:tr w14:paraId="3266A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373" w:type="pct"/>
                  <w:tcBorders>
                    <w:top w:val="single" w:color="auto" w:sz="4" w:space="0"/>
                    <w:bottom w:val="single" w:color="auto" w:sz="4" w:space="0"/>
                  </w:tcBorders>
                  <w:noWrap w:val="0"/>
                  <w:vAlign w:val="center"/>
                </w:tcPr>
                <w:p w14:paraId="7409801E">
                  <w:pPr>
                    <w:snapToGrid w:val="0"/>
                    <w:spacing w:line="240" w:lineRule="auto"/>
                    <w:jc w:val="center"/>
                    <w:textAlignment w:val="auto"/>
                    <w:rPr>
                      <w:rFonts w:hint="eastAsia"/>
                      <w:color w:val="auto"/>
                      <w:szCs w:val="21"/>
                    </w:rPr>
                  </w:pPr>
                  <w:r>
                    <w:rPr>
                      <w:rFonts w:hint="eastAsia"/>
                      <w:color w:val="auto"/>
                      <w:szCs w:val="21"/>
                    </w:rPr>
                    <w:t>甘油</w:t>
                  </w:r>
                </w:p>
              </w:tc>
              <w:tc>
                <w:tcPr>
                  <w:tcW w:w="743" w:type="pct"/>
                  <w:tcBorders>
                    <w:top w:val="single" w:color="auto" w:sz="4" w:space="0"/>
                    <w:bottom w:val="single" w:color="auto" w:sz="4" w:space="0"/>
                  </w:tcBorders>
                  <w:noWrap w:val="0"/>
                  <w:vAlign w:val="center"/>
                </w:tcPr>
                <w:p w14:paraId="50CC54C7">
                  <w:pPr>
                    <w:snapToGrid w:val="0"/>
                    <w:spacing w:line="240" w:lineRule="auto"/>
                    <w:jc w:val="center"/>
                    <w:textAlignment w:val="auto"/>
                    <w:rPr>
                      <w:color w:val="auto"/>
                      <w:szCs w:val="21"/>
                    </w:rPr>
                  </w:pPr>
                  <w:r>
                    <w:rPr>
                      <w:rFonts w:hint="eastAsia"/>
                      <w:color w:val="auto"/>
                      <w:szCs w:val="21"/>
                      <w:lang w:val="en-US" w:eastAsia="zh-CN"/>
                    </w:rPr>
                    <w:t>1.5</w:t>
                  </w:r>
                </w:p>
              </w:tc>
              <w:tc>
                <w:tcPr>
                  <w:tcW w:w="876" w:type="pct"/>
                  <w:tcBorders>
                    <w:top w:val="single" w:color="auto" w:sz="4" w:space="0"/>
                  </w:tcBorders>
                  <w:noWrap w:val="0"/>
                  <w:vAlign w:val="center"/>
                </w:tcPr>
                <w:p w14:paraId="343763C3">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生产过程</w:t>
                  </w:r>
                </w:p>
              </w:tc>
              <w:tc>
                <w:tcPr>
                  <w:tcW w:w="1092" w:type="pct"/>
                  <w:tcBorders>
                    <w:top w:val="single" w:color="auto" w:sz="4" w:space="0"/>
                  </w:tcBorders>
                  <w:noWrap w:val="0"/>
                  <w:vAlign w:val="center"/>
                </w:tcPr>
                <w:p w14:paraId="522420A1">
                  <w:pPr>
                    <w:autoSpaceDE w:val="0"/>
                    <w:autoSpaceDN w:val="0"/>
                    <w:adjustRightInd w:val="0"/>
                    <w:jc w:val="center"/>
                    <w:rPr>
                      <w:rFonts w:hint="default"/>
                      <w:color w:val="auto"/>
                      <w:szCs w:val="21"/>
                      <w:lang w:val="en-US" w:eastAsia="zh-CN"/>
                    </w:rPr>
                  </w:pPr>
                  <w:r>
                    <w:rPr>
                      <w:rFonts w:hint="eastAsia"/>
                      <w:color w:val="auto"/>
                      <w:szCs w:val="21"/>
                      <w:lang w:val="en-US" w:eastAsia="zh-CN"/>
                    </w:rPr>
                    <w:t>非甲烷总烃</w:t>
                  </w:r>
                </w:p>
              </w:tc>
              <w:tc>
                <w:tcPr>
                  <w:tcW w:w="914" w:type="pct"/>
                  <w:tcBorders>
                    <w:top w:val="single" w:color="auto" w:sz="4" w:space="0"/>
                  </w:tcBorders>
                  <w:noWrap w:val="0"/>
                  <w:vAlign w:val="center"/>
                </w:tcPr>
                <w:p w14:paraId="344D05E5">
                  <w:pPr>
                    <w:autoSpaceDE w:val="0"/>
                    <w:autoSpaceDN w:val="0"/>
                    <w:adjustRightInd w:val="0"/>
                    <w:jc w:val="center"/>
                    <w:rPr>
                      <w:rFonts w:hint="default"/>
                      <w:color w:val="auto"/>
                      <w:szCs w:val="21"/>
                      <w:lang w:val="en-US" w:eastAsia="zh-CN"/>
                    </w:rPr>
                  </w:pPr>
                  <w:r>
                    <w:rPr>
                      <w:rFonts w:hint="eastAsia"/>
                      <w:color w:val="auto"/>
                      <w:szCs w:val="21"/>
                      <w:lang w:val="en-US" w:eastAsia="zh-CN"/>
                    </w:rPr>
                    <w:t>0.009</w:t>
                  </w:r>
                </w:p>
              </w:tc>
            </w:tr>
            <w:tr w14:paraId="0CCFF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373" w:type="pct"/>
                  <w:tcBorders>
                    <w:top w:val="single" w:color="auto" w:sz="4" w:space="0"/>
                  </w:tcBorders>
                  <w:noWrap w:val="0"/>
                  <w:vAlign w:val="center"/>
                </w:tcPr>
                <w:p w14:paraId="367E56E7">
                  <w:pPr>
                    <w:snapToGrid w:val="0"/>
                    <w:spacing w:line="240" w:lineRule="auto"/>
                    <w:jc w:val="center"/>
                    <w:textAlignment w:val="auto"/>
                    <w:rPr>
                      <w:color w:val="auto"/>
                      <w:szCs w:val="21"/>
                    </w:rPr>
                  </w:pPr>
                  <w:r>
                    <w:rPr>
                      <w:rFonts w:hint="eastAsia"/>
                      <w:color w:val="auto"/>
                      <w:szCs w:val="21"/>
                    </w:rPr>
                    <w:t>丙二醇</w:t>
                  </w:r>
                </w:p>
              </w:tc>
              <w:tc>
                <w:tcPr>
                  <w:tcW w:w="743" w:type="pct"/>
                  <w:tcBorders>
                    <w:top w:val="single" w:color="auto" w:sz="4" w:space="0"/>
                  </w:tcBorders>
                  <w:noWrap w:val="0"/>
                  <w:vAlign w:val="center"/>
                </w:tcPr>
                <w:p w14:paraId="639BEE0A">
                  <w:pPr>
                    <w:snapToGrid w:val="0"/>
                    <w:spacing w:line="240" w:lineRule="auto"/>
                    <w:jc w:val="center"/>
                    <w:textAlignment w:val="auto"/>
                    <w:rPr>
                      <w:rFonts w:hint="eastAsia"/>
                      <w:color w:val="auto"/>
                      <w:szCs w:val="21"/>
                    </w:rPr>
                  </w:pPr>
                  <w:r>
                    <w:rPr>
                      <w:rFonts w:hint="eastAsia"/>
                      <w:color w:val="auto"/>
                      <w:szCs w:val="21"/>
                      <w:lang w:val="en-US" w:eastAsia="zh-CN"/>
                    </w:rPr>
                    <w:t>6.25</w:t>
                  </w:r>
                </w:p>
              </w:tc>
              <w:tc>
                <w:tcPr>
                  <w:tcW w:w="2882" w:type="pct"/>
                  <w:gridSpan w:val="3"/>
                  <w:vMerge w:val="restart"/>
                  <w:noWrap w:val="0"/>
                  <w:vAlign w:val="center"/>
                </w:tcPr>
                <w:p w14:paraId="1D5803F6">
                  <w:pPr>
                    <w:autoSpaceDE w:val="0"/>
                    <w:autoSpaceDN w:val="0"/>
                    <w:adjustRightInd w:val="0"/>
                    <w:jc w:val="center"/>
                    <w:rPr>
                      <w:color w:val="auto"/>
                      <w:szCs w:val="21"/>
                    </w:rPr>
                  </w:pPr>
                  <w:r>
                    <w:rPr>
                      <w:rFonts w:hint="eastAsia"/>
                      <w:color w:val="auto"/>
                      <w:szCs w:val="21"/>
                      <w:lang w:val="en-US" w:eastAsia="zh-CN"/>
                    </w:rPr>
                    <w:t>/</w:t>
                  </w:r>
                </w:p>
              </w:tc>
            </w:tr>
            <w:tr w14:paraId="6DACE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3" w:type="pct"/>
                  <w:tcBorders>
                    <w:top w:val="single" w:color="auto" w:sz="4" w:space="0"/>
                  </w:tcBorders>
                  <w:noWrap w:val="0"/>
                  <w:vAlign w:val="center"/>
                </w:tcPr>
                <w:p w14:paraId="767FE12A">
                  <w:pPr>
                    <w:snapToGrid w:val="0"/>
                    <w:spacing w:line="240" w:lineRule="auto"/>
                    <w:jc w:val="center"/>
                    <w:textAlignment w:val="auto"/>
                    <w:rPr>
                      <w:color w:val="auto"/>
                      <w:szCs w:val="21"/>
                    </w:rPr>
                  </w:pPr>
                  <w:r>
                    <w:rPr>
                      <w:rFonts w:hint="eastAsia"/>
                      <w:color w:val="auto"/>
                      <w:szCs w:val="21"/>
                    </w:rPr>
                    <w:t>羟苯甲酯</w:t>
                  </w:r>
                </w:p>
              </w:tc>
              <w:tc>
                <w:tcPr>
                  <w:tcW w:w="743" w:type="pct"/>
                  <w:tcBorders>
                    <w:top w:val="single" w:color="auto" w:sz="4" w:space="0"/>
                  </w:tcBorders>
                  <w:noWrap w:val="0"/>
                  <w:vAlign w:val="center"/>
                </w:tcPr>
                <w:p w14:paraId="70F138FD">
                  <w:pPr>
                    <w:snapToGrid w:val="0"/>
                    <w:spacing w:line="240" w:lineRule="auto"/>
                    <w:jc w:val="center"/>
                    <w:textAlignment w:val="auto"/>
                    <w:rPr>
                      <w:color w:val="auto"/>
                      <w:szCs w:val="21"/>
                    </w:rPr>
                  </w:pPr>
                  <w:r>
                    <w:rPr>
                      <w:rFonts w:hint="eastAsia"/>
                      <w:color w:val="auto"/>
                      <w:szCs w:val="21"/>
                      <w:lang w:val="en-US" w:eastAsia="zh-CN"/>
                    </w:rPr>
                    <w:t>0.19</w:t>
                  </w:r>
                </w:p>
              </w:tc>
              <w:tc>
                <w:tcPr>
                  <w:tcW w:w="2882" w:type="pct"/>
                  <w:gridSpan w:val="3"/>
                  <w:vMerge w:val="continue"/>
                  <w:noWrap w:val="0"/>
                  <w:vAlign w:val="center"/>
                </w:tcPr>
                <w:p w14:paraId="2D311937">
                  <w:pPr>
                    <w:autoSpaceDE w:val="0"/>
                    <w:autoSpaceDN w:val="0"/>
                    <w:adjustRightInd w:val="0"/>
                    <w:jc w:val="center"/>
                    <w:rPr>
                      <w:color w:val="auto"/>
                      <w:szCs w:val="21"/>
                    </w:rPr>
                  </w:pPr>
                </w:p>
              </w:tc>
            </w:tr>
            <w:tr w14:paraId="59D46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373" w:type="pct"/>
                  <w:tcBorders>
                    <w:top w:val="single" w:color="auto" w:sz="4" w:space="0"/>
                    <w:bottom w:val="single" w:color="auto" w:sz="4" w:space="0"/>
                  </w:tcBorders>
                  <w:noWrap w:val="0"/>
                  <w:vAlign w:val="center"/>
                </w:tcPr>
                <w:p w14:paraId="44E327B8">
                  <w:pPr>
                    <w:snapToGrid w:val="0"/>
                    <w:spacing w:line="240" w:lineRule="auto"/>
                    <w:jc w:val="center"/>
                    <w:textAlignment w:val="auto"/>
                    <w:rPr>
                      <w:rStyle w:val="84"/>
                      <w:rFonts w:hint="default" w:cs="宋体"/>
                      <w:color w:val="auto"/>
                      <w:kern w:val="0"/>
                      <w:sz w:val="21"/>
                      <w:szCs w:val="21"/>
                    </w:rPr>
                  </w:pPr>
                  <w:r>
                    <w:rPr>
                      <w:rFonts w:hint="eastAsia"/>
                      <w:color w:val="auto"/>
                      <w:szCs w:val="21"/>
                    </w:rPr>
                    <w:t>羟苯丙酯</w:t>
                  </w:r>
                </w:p>
              </w:tc>
              <w:tc>
                <w:tcPr>
                  <w:tcW w:w="743" w:type="pct"/>
                  <w:tcBorders>
                    <w:top w:val="single" w:color="auto" w:sz="4" w:space="0"/>
                    <w:bottom w:val="single" w:color="auto" w:sz="4" w:space="0"/>
                  </w:tcBorders>
                  <w:noWrap w:val="0"/>
                  <w:vAlign w:val="center"/>
                </w:tcPr>
                <w:p w14:paraId="5CA5B449">
                  <w:pPr>
                    <w:snapToGrid w:val="0"/>
                    <w:spacing w:line="240" w:lineRule="auto"/>
                    <w:jc w:val="center"/>
                    <w:textAlignment w:val="auto"/>
                    <w:rPr>
                      <w:color w:val="auto"/>
                      <w:szCs w:val="21"/>
                    </w:rPr>
                  </w:pPr>
                  <w:r>
                    <w:rPr>
                      <w:rFonts w:hint="eastAsia"/>
                      <w:color w:val="auto"/>
                      <w:szCs w:val="21"/>
                      <w:lang w:val="en-US" w:eastAsia="zh-CN"/>
                    </w:rPr>
                    <w:t>0.63</w:t>
                  </w:r>
                </w:p>
              </w:tc>
              <w:tc>
                <w:tcPr>
                  <w:tcW w:w="2882" w:type="pct"/>
                  <w:gridSpan w:val="3"/>
                  <w:vMerge w:val="continue"/>
                  <w:noWrap w:val="0"/>
                  <w:vAlign w:val="center"/>
                </w:tcPr>
                <w:p w14:paraId="7540CFED">
                  <w:pPr>
                    <w:autoSpaceDE w:val="0"/>
                    <w:autoSpaceDN w:val="0"/>
                    <w:adjustRightInd w:val="0"/>
                    <w:jc w:val="center"/>
                    <w:rPr>
                      <w:color w:val="auto"/>
                      <w:szCs w:val="21"/>
                    </w:rPr>
                  </w:pPr>
                </w:p>
              </w:tc>
            </w:tr>
            <w:tr w14:paraId="671119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373" w:type="pct"/>
                  <w:tcBorders>
                    <w:top w:val="single" w:color="auto" w:sz="4" w:space="0"/>
                    <w:bottom w:val="single" w:color="auto" w:sz="4" w:space="0"/>
                  </w:tcBorders>
                  <w:noWrap w:val="0"/>
                  <w:vAlign w:val="center"/>
                </w:tcPr>
                <w:p w14:paraId="5A5EEF50">
                  <w:pPr>
                    <w:snapToGrid w:val="0"/>
                    <w:spacing w:line="240" w:lineRule="auto"/>
                    <w:jc w:val="center"/>
                    <w:textAlignment w:val="auto"/>
                    <w:rPr>
                      <w:rStyle w:val="84"/>
                      <w:rFonts w:hint="default" w:cs="宋体"/>
                      <w:color w:val="auto"/>
                      <w:kern w:val="0"/>
                      <w:sz w:val="21"/>
                      <w:szCs w:val="21"/>
                    </w:rPr>
                  </w:pPr>
                  <w:r>
                    <w:rPr>
                      <w:rFonts w:hint="eastAsia"/>
                      <w:color w:val="auto"/>
                      <w:szCs w:val="21"/>
                    </w:rPr>
                    <w:t>纯化水</w:t>
                  </w:r>
                </w:p>
              </w:tc>
              <w:tc>
                <w:tcPr>
                  <w:tcW w:w="743" w:type="pct"/>
                  <w:tcBorders>
                    <w:top w:val="single" w:color="auto" w:sz="4" w:space="0"/>
                    <w:bottom w:val="single" w:color="auto" w:sz="4" w:space="0"/>
                  </w:tcBorders>
                  <w:noWrap w:val="0"/>
                  <w:vAlign w:val="center"/>
                </w:tcPr>
                <w:p w14:paraId="63FFA6B5">
                  <w:pPr>
                    <w:snapToGrid w:val="0"/>
                    <w:spacing w:line="240" w:lineRule="auto"/>
                    <w:jc w:val="center"/>
                    <w:textAlignment w:val="auto"/>
                    <w:rPr>
                      <w:color w:val="auto"/>
                      <w:szCs w:val="21"/>
                    </w:rPr>
                  </w:pPr>
                  <w:r>
                    <w:rPr>
                      <w:rFonts w:hint="eastAsia"/>
                      <w:color w:val="auto"/>
                      <w:szCs w:val="21"/>
                      <w:lang w:val="en-US" w:eastAsia="zh-CN"/>
                    </w:rPr>
                    <w:t>120</w:t>
                  </w:r>
                </w:p>
              </w:tc>
              <w:tc>
                <w:tcPr>
                  <w:tcW w:w="2882" w:type="pct"/>
                  <w:gridSpan w:val="3"/>
                  <w:vMerge w:val="continue"/>
                  <w:noWrap w:val="0"/>
                  <w:vAlign w:val="center"/>
                </w:tcPr>
                <w:p w14:paraId="52A4DDDD">
                  <w:pPr>
                    <w:autoSpaceDE w:val="0"/>
                    <w:autoSpaceDN w:val="0"/>
                    <w:adjustRightInd w:val="0"/>
                    <w:jc w:val="center"/>
                    <w:rPr>
                      <w:color w:val="auto"/>
                      <w:szCs w:val="21"/>
                    </w:rPr>
                  </w:pPr>
                </w:p>
              </w:tc>
            </w:tr>
            <w:tr w14:paraId="638C3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373" w:type="pct"/>
                  <w:tcBorders>
                    <w:top w:val="single" w:color="auto" w:sz="4" w:space="0"/>
                    <w:bottom w:val="single" w:color="auto" w:sz="4" w:space="0"/>
                  </w:tcBorders>
                  <w:noWrap w:val="0"/>
                  <w:vAlign w:val="center"/>
                </w:tcPr>
                <w:p w14:paraId="111DE680">
                  <w:pPr>
                    <w:snapToGrid w:val="0"/>
                    <w:spacing w:line="240" w:lineRule="auto"/>
                    <w:jc w:val="center"/>
                    <w:textAlignment w:val="auto"/>
                    <w:rPr>
                      <w:rStyle w:val="84"/>
                      <w:rFonts w:cs="宋体"/>
                      <w:color w:val="auto"/>
                      <w:kern w:val="0"/>
                      <w:sz w:val="21"/>
                      <w:szCs w:val="21"/>
                    </w:rPr>
                  </w:pPr>
                  <w:r>
                    <w:rPr>
                      <w:rFonts w:hint="eastAsia"/>
                      <w:color w:val="auto"/>
                      <w:szCs w:val="21"/>
                    </w:rPr>
                    <w:t>无纺布基材</w:t>
                  </w:r>
                </w:p>
              </w:tc>
              <w:tc>
                <w:tcPr>
                  <w:tcW w:w="743" w:type="pct"/>
                  <w:tcBorders>
                    <w:top w:val="single" w:color="auto" w:sz="4" w:space="0"/>
                    <w:bottom w:val="single" w:color="auto" w:sz="4" w:space="0"/>
                  </w:tcBorders>
                  <w:noWrap w:val="0"/>
                  <w:vAlign w:val="center"/>
                </w:tcPr>
                <w:p w14:paraId="00CD2AFA">
                  <w:pPr>
                    <w:snapToGrid w:val="0"/>
                    <w:spacing w:line="240" w:lineRule="auto"/>
                    <w:jc w:val="center"/>
                    <w:textAlignment w:val="auto"/>
                    <w:rPr>
                      <w:rStyle w:val="84"/>
                      <w:rFonts w:cs="宋体"/>
                      <w:color w:val="auto"/>
                      <w:kern w:val="0"/>
                      <w:sz w:val="21"/>
                      <w:szCs w:val="21"/>
                    </w:rPr>
                  </w:pPr>
                  <w:r>
                    <w:rPr>
                      <w:rFonts w:hint="eastAsia"/>
                      <w:color w:val="auto"/>
                      <w:szCs w:val="21"/>
                      <w:lang w:val="en-US" w:eastAsia="zh-CN"/>
                    </w:rPr>
                    <w:t>4</w:t>
                  </w:r>
                </w:p>
              </w:tc>
              <w:tc>
                <w:tcPr>
                  <w:tcW w:w="2882" w:type="pct"/>
                  <w:gridSpan w:val="3"/>
                  <w:vMerge w:val="continue"/>
                  <w:noWrap w:val="0"/>
                  <w:vAlign w:val="center"/>
                </w:tcPr>
                <w:p w14:paraId="42BE0427">
                  <w:pPr>
                    <w:autoSpaceDE w:val="0"/>
                    <w:autoSpaceDN w:val="0"/>
                    <w:adjustRightInd w:val="0"/>
                    <w:jc w:val="center"/>
                    <w:rPr>
                      <w:rFonts w:hint="eastAsia"/>
                      <w:color w:val="auto"/>
                      <w:szCs w:val="21"/>
                    </w:rPr>
                  </w:pPr>
                </w:p>
              </w:tc>
            </w:tr>
            <w:tr w14:paraId="01F0A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373" w:type="pct"/>
                  <w:tcBorders>
                    <w:top w:val="single" w:color="auto" w:sz="4" w:space="0"/>
                    <w:bottom w:val="single" w:color="auto" w:sz="4" w:space="0"/>
                  </w:tcBorders>
                  <w:noWrap w:val="0"/>
                  <w:vAlign w:val="center"/>
                </w:tcPr>
                <w:p w14:paraId="241FFA73">
                  <w:pPr>
                    <w:snapToGrid w:val="0"/>
                    <w:spacing w:line="240" w:lineRule="auto"/>
                    <w:jc w:val="center"/>
                    <w:textAlignment w:val="auto"/>
                    <w:rPr>
                      <w:rStyle w:val="84"/>
                      <w:rFonts w:cs="宋体"/>
                      <w:color w:val="auto"/>
                      <w:kern w:val="0"/>
                      <w:sz w:val="21"/>
                      <w:szCs w:val="21"/>
                    </w:rPr>
                  </w:pPr>
                  <w:r>
                    <w:rPr>
                      <w:rFonts w:hint="eastAsia"/>
                      <w:color w:val="auto"/>
                      <w:szCs w:val="21"/>
                    </w:rPr>
                    <w:t>铝膜袋</w:t>
                  </w:r>
                </w:p>
              </w:tc>
              <w:tc>
                <w:tcPr>
                  <w:tcW w:w="743" w:type="pct"/>
                  <w:tcBorders>
                    <w:top w:val="single" w:color="auto" w:sz="4" w:space="0"/>
                    <w:bottom w:val="single" w:color="auto" w:sz="4" w:space="0"/>
                  </w:tcBorders>
                  <w:noWrap w:val="0"/>
                  <w:vAlign w:val="center"/>
                </w:tcPr>
                <w:p w14:paraId="09D03D67">
                  <w:pPr>
                    <w:snapToGrid w:val="0"/>
                    <w:spacing w:line="240" w:lineRule="auto"/>
                    <w:jc w:val="center"/>
                    <w:textAlignment w:val="auto"/>
                    <w:rPr>
                      <w:rStyle w:val="84"/>
                      <w:rFonts w:cs="宋体"/>
                      <w:color w:val="auto"/>
                      <w:kern w:val="0"/>
                      <w:sz w:val="21"/>
                      <w:szCs w:val="21"/>
                    </w:rPr>
                  </w:pPr>
                  <w:r>
                    <w:rPr>
                      <w:rFonts w:hint="eastAsia"/>
                      <w:color w:val="auto"/>
                      <w:szCs w:val="21"/>
                      <w:lang w:val="en-US" w:eastAsia="zh-CN"/>
                    </w:rPr>
                    <w:t>3.5</w:t>
                  </w:r>
                </w:p>
              </w:tc>
              <w:tc>
                <w:tcPr>
                  <w:tcW w:w="2882" w:type="pct"/>
                  <w:gridSpan w:val="3"/>
                  <w:vMerge w:val="continue"/>
                  <w:tcBorders>
                    <w:bottom w:val="single" w:color="auto" w:sz="4" w:space="0"/>
                  </w:tcBorders>
                  <w:noWrap w:val="0"/>
                  <w:vAlign w:val="center"/>
                </w:tcPr>
                <w:p w14:paraId="2DE4F109">
                  <w:pPr>
                    <w:autoSpaceDE w:val="0"/>
                    <w:autoSpaceDN w:val="0"/>
                    <w:adjustRightInd w:val="0"/>
                    <w:jc w:val="center"/>
                    <w:rPr>
                      <w:rFonts w:hint="eastAsia"/>
                      <w:color w:val="auto"/>
                      <w:szCs w:val="21"/>
                    </w:rPr>
                  </w:pPr>
                </w:p>
              </w:tc>
            </w:tr>
            <w:tr w14:paraId="3F1BB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3" w:type="pct"/>
                  <w:tcBorders>
                    <w:top w:val="single" w:color="auto" w:sz="4" w:space="0"/>
                    <w:bottom w:val="single" w:color="auto" w:sz="12" w:space="0"/>
                  </w:tcBorders>
                  <w:noWrap w:val="0"/>
                  <w:vAlign w:val="center"/>
                </w:tcPr>
                <w:p w14:paraId="31FE5786">
                  <w:pPr>
                    <w:pStyle w:val="83"/>
                    <w:spacing w:line="240" w:lineRule="auto"/>
                    <w:ind w:firstLine="0" w:firstLineChars="0"/>
                    <w:jc w:val="center"/>
                    <w:textAlignment w:val="baseline"/>
                    <w:rPr>
                      <w:rStyle w:val="84"/>
                      <w:color w:val="auto"/>
                      <w:kern w:val="0"/>
                      <w:sz w:val="21"/>
                      <w:szCs w:val="21"/>
                    </w:rPr>
                  </w:pPr>
                  <w:r>
                    <w:rPr>
                      <w:rStyle w:val="84"/>
                      <w:color w:val="auto"/>
                      <w:kern w:val="0"/>
                      <w:sz w:val="21"/>
                      <w:szCs w:val="21"/>
                    </w:rPr>
                    <w:t>合计</w:t>
                  </w:r>
                </w:p>
              </w:tc>
              <w:tc>
                <w:tcPr>
                  <w:tcW w:w="743" w:type="pct"/>
                  <w:tcBorders>
                    <w:top w:val="single" w:color="auto" w:sz="4" w:space="0"/>
                    <w:bottom w:val="single" w:color="auto" w:sz="12" w:space="0"/>
                  </w:tcBorders>
                  <w:noWrap w:val="0"/>
                  <w:vAlign w:val="center"/>
                </w:tcPr>
                <w:p w14:paraId="3D4BE396">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136.57</w:t>
                  </w:r>
                </w:p>
              </w:tc>
              <w:tc>
                <w:tcPr>
                  <w:tcW w:w="1968" w:type="pct"/>
                  <w:gridSpan w:val="2"/>
                  <w:tcBorders>
                    <w:top w:val="single" w:color="auto" w:sz="4" w:space="0"/>
                    <w:bottom w:val="single" w:color="auto" w:sz="12" w:space="0"/>
                  </w:tcBorders>
                  <w:noWrap w:val="0"/>
                  <w:vAlign w:val="center"/>
                </w:tcPr>
                <w:p w14:paraId="79E709A0">
                  <w:pPr>
                    <w:pStyle w:val="83"/>
                    <w:spacing w:line="240" w:lineRule="auto"/>
                    <w:ind w:firstLine="0" w:firstLineChars="0"/>
                    <w:jc w:val="center"/>
                    <w:textAlignment w:val="baseline"/>
                    <w:rPr>
                      <w:color w:val="auto"/>
                      <w:szCs w:val="21"/>
                    </w:rPr>
                  </w:pPr>
                  <w:r>
                    <w:rPr>
                      <w:rStyle w:val="84"/>
                      <w:color w:val="auto"/>
                      <w:kern w:val="0"/>
                      <w:sz w:val="21"/>
                      <w:szCs w:val="21"/>
                    </w:rPr>
                    <w:t>合计</w:t>
                  </w:r>
                </w:p>
              </w:tc>
              <w:tc>
                <w:tcPr>
                  <w:tcW w:w="914" w:type="pct"/>
                  <w:tcBorders>
                    <w:top w:val="single" w:color="auto" w:sz="4" w:space="0"/>
                    <w:bottom w:val="single" w:color="auto" w:sz="12" w:space="0"/>
                  </w:tcBorders>
                  <w:noWrap w:val="0"/>
                  <w:vAlign w:val="center"/>
                </w:tcPr>
                <w:p w14:paraId="7929CD2A">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136.57</w:t>
                  </w:r>
                </w:p>
              </w:tc>
            </w:tr>
          </w:tbl>
          <w:p w14:paraId="7C70CE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lang w:val="en-US" w:eastAsia="zh-CN"/>
              </w:rPr>
            </w:pP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rPr>
              <w:t>医用透明质酸钠敷贴物料</w:t>
            </w:r>
            <w:r>
              <w:rPr>
                <w:color w:val="auto"/>
                <w:sz w:val="24"/>
              </w:rPr>
              <w:t>平衡</w:t>
            </w:r>
            <w:r>
              <w:rPr>
                <w:rFonts w:hint="eastAsia"/>
                <w:color w:val="auto"/>
                <w:sz w:val="24"/>
              </w:rPr>
              <w:t>分析详见如下。</w:t>
            </w:r>
          </w:p>
          <w:p w14:paraId="6CAC97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color w:val="auto"/>
                <w:sz w:val="24"/>
                <w:lang w:val="en-US" w:eastAsia="zh-CN"/>
              </w:rPr>
            </w:pPr>
            <w:r>
              <w:rPr>
                <w:rFonts w:hint="default"/>
                <w:color w:val="auto"/>
                <w:sz w:val="24"/>
                <w:lang w:val="en-US" w:eastAsia="zh-CN"/>
              </w:rPr>
              <w:object>
                <v:shape id="_x0000_i1043" o:spt="75" type="#_x0000_t75" style="height:302.25pt;width:258.75pt;" o:ole="t" filled="f" o:preferrelative="t" stroked="f" coordsize="21600,21600">
                  <v:path/>
                  <v:fill on="f" focussize="0,0"/>
                  <v:stroke on="f"/>
                  <v:imagedata r:id="rId50" o:title=""/>
                  <o:lock v:ext="edit" aspectratio="f"/>
                  <w10:wrap type="none"/>
                  <w10:anchorlock/>
                </v:shape>
                <o:OLEObject Type="Embed" ProgID="Visio.Drawing.11" ShapeID="_x0000_i1043" DrawAspect="Content" ObjectID="_1468075743" r:id="rId49">
                  <o:LockedField>false</o:LockedField>
                </o:OLEObject>
              </w:object>
            </w:r>
          </w:p>
          <w:p w14:paraId="7E5CABA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hAnsi="宋体" w:cs="宋体"/>
                <w:b/>
                <w:bCs/>
                <w:color w:val="auto"/>
                <w:szCs w:val="21"/>
              </w:rPr>
            </w:pPr>
            <w:r>
              <w:rPr>
                <w:rFonts w:ascii="Times New Roman"/>
                <w:b/>
                <w:bCs/>
                <w:color w:val="auto"/>
                <w:szCs w:val="21"/>
              </w:rPr>
              <w:t>图</w:t>
            </w:r>
            <w:r>
              <w:rPr>
                <w:rFonts w:hint="eastAsia" w:ascii="Times New Roman"/>
                <w:b/>
                <w:bCs/>
                <w:color w:val="auto"/>
                <w:szCs w:val="21"/>
              </w:rPr>
              <w:t>2</w:t>
            </w:r>
            <w:r>
              <w:rPr>
                <w:rFonts w:ascii="Times New Roman"/>
                <w:b/>
                <w:bCs/>
                <w:color w:val="auto"/>
                <w:szCs w:val="21"/>
              </w:rPr>
              <w:t>-</w:t>
            </w:r>
            <w:r>
              <w:rPr>
                <w:rFonts w:hint="eastAsia"/>
                <w:b/>
                <w:bCs/>
                <w:color w:val="auto"/>
                <w:szCs w:val="21"/>
                <w:lang w:val="en-US" w:eastAsia="zh-CN"/>
              </w:rPr>
              <w:t>6</w:t>
            </w:r>
            <w:r>
              <w:rPr>
                <w:rFonts w:hint="eastAsia" w:ascii="Times New Roman"/>
                <w:b/>
                <w:bCs/>
                <w:color w:val="auto"/>
                <w:szCs w:val="21"/>
              </w:rPr>
              <w:t xml:space="preserve"> </w:t>
            </w:r>
            <w:r>
              <w:rPr>
                <w:rFonts w:ascii="Times New Roman"/>
                <w:b/>
                <w:bCs/>
                <w:color w:val="auto"/>
                <w:szCs w:val="21"/>
              </w:rPr>
              <w:t xml:space="preserve"> </w:t>
            </w:r>
            <w:r>
              <w:rPr>
                <w:rFonts w:hint="eastAsia" w:ascii="宋体" w:hAnsi="宋体" w:eastAsia="宋体" w:cs="宋体"/>
                <w:b/>
                <w:bCs/>
                <w:color w:val="auto"/>
                <w:szCs w:val="21"/>
              </w:rPr>
              <w:t>项</w:t>
            </w:r>
            <w:r>
              <w:rPr>
                <w:rFonts w:hint="eastAsia" w:ascii="Times New Roman" w:hAnsi="宋体" w:eastAsia="宋体" w:cs="宋体"/>
                <w:b/>
                <w:bCs/>
                <w:color w:val="auto"/>
                <w:szCs w:val="21"/>
              </w:rPr>
              <w:t>目医用透明质酸钠敷贴</w:t>
            </w:r>
            <w:r>
              <w:rPr>
                <w:rFonts w:hint="eastAsia" w:ascii="宋体" w:hAnsi="宋体" w:eastAsia="宋体" w:cs="宋体"/>
                <w:b/>
                <w:bCs/>
                <w:color w:val="auto"/>
                <w:szCs w:val="21"/>
              </w:rPr>
              <w:t>物料</w:t>
            </w:r>
            <w:r>
              <w:rPr>
                <w:rFonts w:hint="eastAsia" w:hAnsi="宋体" w:cs="宋体"/>
                <w:b/>
                <w:bCs/>
                <w:color w:val="auto"/>
                <w:szCs w:val="21"/>
              </w:rPr>
              <w:t>平衡图  （单位：t/a）</w:t>
            </w:r>
          </w:p>
          <w:p w14:paraId="74376D9B">
            <w:pPr>
              <w:ind w:firstLine="480" w:firstLineChars="200"/>
              <w:rPr>
                <w:rFonts w:hint="eastAsia"/>
                <w:color w:val="auto"/>
              </w:rPr>
            </w:pPr>
            <w:r>
              <w:rPr>
                <w:rFonts w:hint="eastAsia" w:ascii="宋体" w:hAnsi="宋体" w:cs="宋体"/>
                <w:color w:val="auto"/>
                <w:sz w:val="24"/>
              </w:rPr>
              <w:t>本项</w:t>
            </w:r>
            <w:r>
              <w:rPr>
                <w:rFonts w:hint="eastAsia" w:ascii="宋体" w:hAnsi="宋体" w:eastAsia="宋体" w:cs="宋体"/>
                <w:color w:val="auto"/>
                <w:sz w:val="24"/>
              </w:rPr>
              <w:t>目医用透明质酸钠敷贴物料平</w:t>
            </w:r>
            <w:r>
              <w:rPr>
                <w:rFonts w:hint="eastAsia" w:ascii="宋体" w:hAnsi="宋体" w:cs="宋体"/>
                <w:color w:val="auto"/>
                <w:sz w:val="24"/>
              </w:rPr>
              <w:t>衡表</w:t>
            </w:r>
            <w:r>
              <w:rPr>
                <w:color w:val="auto"/>
                <w:sz w:val="24"/>
              </w:rPr>
              <w:t>见</w:t>
            </w:r>
            <w:r>
              <w:rPr>
                <w:rFonts w:hint="eastAsia"/>
                <w:color w:val="auto"/>
                <w:sz w:val="24"/>
                <w:lang w:val="en-US" w:eastAsia="zh-CN"/>
              </w:rPr>
              <w:t>下表</w:t>
            </w:r>
            <w:r>
              <w:rPr>
                <w:rFonts w:hint="eastAsia"/>
                <w:color w:val="auto"/>
                <w:sz w:val="24"/>
              </w:rPr>
              <w:t>。</w:t>
            </w:r>
          </w:p>
          <w:p w14:paraId="5091FCD0">
            <w:pPr>
              <w:pStyle w:val="10"/>
              <w:spacing w:before="0" w:after="0" w:line="240" w:lineRule="auto"/>
              <w:ind w:right="0"/>
              <w:jc w:val="center"/>
              <w:rPr>
                <w:b/>
                <w:bCs/>
                <w:color w:val="auto"/>
                <w:sz w:val="21"/>
                <w:szCs w:val="21"/>
              </w:rPr>
            </w:pPr>
            <w:r>
              <w:rPr>
                <w:b/>
                <w:bCs/>
                <w:color w:val="auto"/>
                <w:sz w:val="21"/>
                <w:szCs w:val="21"/>
              </w:rPr>
              <w:t>表</w:t>
            </w:r>
            <w:r>
              <w:rPr>
                <w:rFonts w:hint="eastAsia"/>
                <w:b/>
                <w:bCs/>
                <w:color w:val="auto"/>
                <w:sz w:val="21"/>
                <w:szCs w:val="21"/>
              </w:rPr>
              <w:t>2-</w:t>
            </w:r>
            <w:r>
              <w:rPr>
                <w:rFonts w:hint="eastAsia"/>
                <w:b/>
                <w:bCs/>
                <w:color w:val="auto"/>
                <w:sz w:val="21"/>
                <w:szCs w:val="21"/>
                <w:lang w:val="en-US" w:eastAsia="zh-CN"/>
              </w:rPr>
              <w:t>15</w:t>
            </w:r>
            <w:r>
              <w:rPr>
                <w:rFonts w:hint="eastAsia"/>
                <w:b/>
                <w:bCs/>
                <w:color w:val="auto"/>
                <w:sz w:val="21"/>
                <w:szCs w:val="21"/>
              </w:rPr>
              <w:t xml:space="preserve">  </w:t>
            </w:r>
            <w:r>
              <w:rPr>
                <w:rFonts w:hint="eastAsia" w:ascii="Times New Roman" w:hAnsi="Times New Roman" w:eastAsia="宋体" w:cs="Times New Roman"/>
                <w:b/>
                <w:bCs/>
                <w:color w:val="auto"/>
                <w:sz w:val="21"/>
                <w:szCs w:val="21"/>
              </w:rPr>
              <w:t>医用透明质酸钠敷贴</w:t>
            </w:r>
            <w:r>
              <w:rPr>
                <w:rFonts w:ascii="Times New Roman" w:hAnsi="Times New Roman" w:eastAsia="宋体" w:cs="Times New Roman"/>
                <w:b/>
                <w:bCs/>
                <w:color w:val="auto"/>
                <w:sz w:val="21"/>
                <w:szCs w:val="21"/>
              </w:rPr>
              <w:t>物料</w:t>
            </w:r>
            <w:r>
              <w:rPr>
                <w:b/>
                <w:bCs/>
                <w:color w:val="auto"/>
                <w:sz w:val="21"/>
                <w:szCs w:val="21"/>
              </w:rPr>
              <w:t>平衡表</w:t>
            </w:r>
          </w:p>
          <w:tbl>
            <w:tblPr>
              <w:tblStyle w:val="24"/>
              <w:tblW w:w="496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1138"/>
              <w:gridCol w:w="1187"/>
              <w:gridCol w:w="2163"/>
              <w:gridCol w:w="1156"/>
            </w:tblGrid>
            <w:tr w14:paraId="4B0AF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179" w:type="pct"/>
                  <w:gridSpan w:val="2"/>
                  <w:tcBorders>
                    <w:bottom w:val="single" w:color="auto" w:sz="4" w:space="0"/>
                  </w:tcBorders>
                  <w:noWrap w:val="0"/>
                  <w:vAlign w:val="top"/>
                </w:tcPr>
                <w:p w14:paraId="308C9537">
                  <w:pPr>
                    <w:autoSpaceDE w:val="0"/>
                    <w:autoSpaceDN w:val="0"/>
                    <w:adjustRightInd w:val="0"/>
                    <w:jc w:val="center"/>
                    <w:rPr>
                      <w:b/>
                      <w:bCs/>
                      <w:color w:val="auto"/>
                      <w:szCs w:val="21"/>
                    </w:rPr>
                  </w:pPr>
                  <w:r>
                    <w:rPr>
                      <w:b/>
                      <w:bCs/>
                      <w:color w:val="auto"/>
                      <w:szCs w:val="21"/>
                    </w:rPr>
                    <w:t>投入</w:t>
                  </w:r>
                </w:p>
              </w:tc>
              <w:tc>
                <w:tcPr>
                  <w:tcW w:w="2820" w:type="pct"/>
                  <w:gridSpan w:val="3"/>
                  <w:tcBorders>
                    <w:bottom w:val="single" w:color="auto" w:sz="4" w:space="0"/>
                  </w:tcBorders>
                  <w:noWrap w:val="0"/>
                  <w:vAlign w:val="top"/>
                </w:tcPr>
                <w:p w14:paraId="7340DD88">
                  <w:pPr>
                    <w:autoSpaceDE w:val="0"/>
                    <w:autoSpaceDN w:val="0"/>
                    <w:adjustRightInd w:val="0"/>
                    <w:jc w:val="center"/>
                    <w:rPr>
                      <w:b/>
                      <w:bCs/>
                      <w:color w:val="auto"/>
                      <w:szCs w:val="21"/>
                    </w:rPr>
                  </w:pPr>
                  <w:r>
                    <w:rPr>
                      <w:b/>
                      <w:bCs/>
                      <w:color w:val="auto"/>
                      <w:szCs w:val="21"/>
                    </w:rPr>
                    <w:t>产出</w:t>
                  </w:r>
                </w:p>
              </w:tc>
            </w:tr>
            <w:tr w14:paraId="2C544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pct"/>
                  <w:tcBorders>
                    <w:top w:val="single" w:color="auto" w:sz="4" w:space="0"/>
                    <w:bottom w:val="single" w:color="auto" w:sz="4" w:space="0"/>
                  </w:tcBorders>
                  <w:noWrap w:val="0"/>
                  <w:vAlign w:val="center"/>
                </w:tcPr>
                <w:p w14:paraId="78715789">
                  <w:pPr>
                    <w:autoSpaceDE w:val="0"/>
                    <w:autoSpaceDN w:val="0"/>
                    <w:adjustRightInd w:val="0"/>
                    <w:jc w:val="center"/>
                    <w:rPr>
                      <w:b/>
                      <w:bCs/>
                      <w:color w:val="auto"/>
                      <w:szCs w:val="21"/>
                    </w:rPr>
                  </w:pPr>
                  <w:r>
                    <w:rPr>
                      <w:b/>
                      <w:bCs/>
                      <w:color w:val="auto"/>
                      <w:szCs w:val="21"/>
                    </w:rPr>
                    <w:t>名称</w:t>
                  </w:r>
                </w:p>
              </w:tc>
              <w:tc>
                <w:tcPr>
                  <w:tcW w:w="712" w:type="pct"/>
                  <w:tcBorders>
                    <w:top w:val="single" w:color="auto" w:sz="4" w:space="0"/>
                    <w:bottom w:val="single" w:color="auto" w:sz="4" w:space="0"/>
                  </w:tcBorders>
                  <w:noWrap w:val="0"/>
                  <w:vAlign w:val="center"/>
                </w:tcPr>
                <w:p w14:paraId="21E7D435">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c>
                <w:tcPr>
                  <w:tcW w:w="2096" w:type="pct"/>
                  <w:gridSpan w:val="2"/>
                  <w:tcBorders>
                    <w:top w:val="single" w:color="auto" w:sz="4" w:space="0"/>
                    <w:bottom w:val="single" w:color="auto" w:sz="4" w:space="0"/>
                  </w:tcBorders>
                  <w:noWrap w:val="0"/>
                  <w:vAlign w:val="center"/>
                </w:tcPr>
                <w:p w14:paraId="27326B6B">
                  <w:pPr>
                    <w:autoSpaceDE w:val="0"/>
                    <w:autoSpaceDN w:val="0"/>
                    <w:adjustRightInd w:val="0"/>
                    <w:jc w:val="center"/>
                    <w:rPr>
                      <w:b/>
                      <w:bCs/>
                      <w:color w:val="auto"/>
                      <w:szCs w:val="21"/>
                    </w:rPr>
                  </w:pPr>
                  <w:r>
                    <w:rPr>
                      <w:b/>
                      <w:bCs/>
                      <w:color w:val="auto"/>
                      <w:szCs w:val="21"/>
                    </w:rPr>
                    <w:t>名称</w:t>
                  </w:r>
                </w:p>
              </w:tc>
              <w:tc>
                <w:tcPr>
                  <w:tcW w:w="723" w:type="pct"/>
                  <w:tcBorders>
                    <w:top w:val="single" w:color="auto" w:sz="4" w:space="0"/>
                    <w:bottom w:val="single" w:color="auto" w:sz="4" w:space="0"/>
                  </w:tcBorders>
                  <w:noWrap w:val="0"/>
                  <w:vAlign w:val="center"/>
                </w:tcPr>
                <w:p w14:paraId="2F9B4F5B">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r>
            <w:tr w14:paraId="3825A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pct"/>
                  <w:tcBorders>
                    <w:top w:val="single" w:color="auto" w:sz="4" w:space="0"/>
                    <w:bottom w:val="single" w:color="auto" w:sz="4" w:space="0"/>
                  </w:tcBorders>
                  <w:noWrap w:val="0"/>
                  <w:vAlign w:val="center"/>
                </w:tcPr>
                <w:p w14:paraId="299676D4">
                  <w:pPr>
                    <w:snapToGrid w:val="0"/>
                    <w:spacing w:line="240" w:lineRule="auto"/>
                    <w:jc w:val="center"/>
                    <w:textAlignment w:val="auto"/>
                    <w:rPr>
                      <w:color w:val="auto"/>
                      <w:szCs w:val="21"/>
                    </w:rPr>
                  </w:pPr>
                  <w:r>
                    <w:rPr>
                      <w:rFonts w:hint="eastAsia"/>
                      <w:color w:val="auto"/>
                      <w:szCs w:val="19"/>
                      <w:lang w:bidi="ar"/>
                    </w:rPr>
                    <w:t>医用透明质酸钠</w:t>
                  </w:r>
                </w:p>
              </w:tc>
              <w:tc>
                <w:tcPr>
                  <w:tcW w:w="712" w:type="pct"/>
                  <w:tcBorders>
                    <w:top w:val="single" w:color="auto" w:sz="4" w:space="0"/>
                    <w:bottom w:val="single" w:color="auto" w:sz="4" w:space="0"/>
                  </w:tcBorders>
                  <w:noWrap w:val="0"/>
                  <w:vAlign w:val="center"/>
                </w:tcPr>
                <w:p w14:paraId="67E58129">
                  <w:pPr>
                    <w:snapToGrid w:val="0"/>
                    <w:spacing w:line="240" w:lineRule="auto"/>
                    <w:jc w:val="center"/>
                    <w:textAlignment w:val="auto"/>
                    <w:rPr>
                      <w:color w:val="auto"/>
                      <w:szCs w:val="21"/>
                    </w:rPr>
                  </w:pPr>
                  <w:r>
                    <w:rPr>
                      <w:rFonts w:hint="eastAsia"/>
                      <w:color w:val="auto"/>
                      <w:szCs w:val="21"/>
                      <w:lang w:val="en-US" w:eastAsia="zh-CN"/>
                    </w:rPr>
                    <w:t>0.25</w:t>
                  </w:r>
                </w:p>
              </w:tc>
              <w:tc>
                <w:tcPr>
                  <w:tcW w:w="742" w:type="pct"/>
                  <w:tcBorders>
                    <w:top w:val="single" w:color="auto" w:sz="4" w:space="0"/>
                    <w:bottom w:val="single" w:color="auto" w:sz="4" w:space="0"/>
                  </w:tcBorders>
                  <w:noWrap w:val="0"/>
                  <w:vAlign w:val="center"/>
                </w:tcPr>
                <w:p w14:paraId="276BC3E1">
                  <w:pPr>
                    <w:autoSpaceDE w:val="0"/>
                    <w:autoSpaceDN w:val="0"/>
                    <w:adjustRightInd w:val="0"/>
                    <w:jc w:val="center"/>
                    <w:rPr>
                      <w:color w:val="auto"/>
                      <w:szCs w:val="21"/>
                    </w:rPr>
                  </w:pPr>
                  <w:r>
                    <w:rPr>
                      <w:rFonts w:hint="eastAsia"/>
                      <w:color w:val="auto"/>
                      <w:szCs w:val="21"/>
                    </w:rPr>
                    <w:t>产品</w:t>
                  </w:r>
                </w:p>
              </w:tc>
              <w:tc>
                <w:tcPr>
                  <w:tcW w:w="1353" w:type="pct"/>
                  <w:tcBorders>
                    <w:top w:val="single" w:color="auto" w:sz="4" w:space="0"/>
                    <w:bottom w:val="single" w:color="auto" w:sz="4" w:space="0"/>
                  </w:tcBorders>
                  <w:noWrap w:val="0"/>
                  <w:vAlign w:val="center"/>
                </w:tcPr>
                <w:p w14:paraId="69DEC45C">
                  <w:pPr>
                    <w:autoSpaceDE w:val="0"/>
                    <w:autoSpaceDN w:val="0"/>
                    <w:adjustRightInd w:val="0"/>
                    <w:jc w:val="center"/>
                    <w:rPr>
                      <w:rFonts w:hint="eastAsia"/>
                      <w:color w:val="auto"/>
                      <w:szCs w:val="21"/>
                    </w:rPr>
                  </w:pPr>
                  <w:r>
                    <w:rPr>
                      <w:rFonts w:hint="eastAsia"/>
                      <w:color w:val="auto"/>
                      <w:szCs w:val="19"/>
                      <w:lang w:bidi="ar"/>
                    </w:rPr>
                    <w:t>医用透明质酸钠敷贴</w:t>
                  </w:r>
                </w:p>
              </w:tc>
              <w:tc>
                <w:tcPr>
                  <w:tcW w:w="723" w:type="pct"/>
                  <w:tcBorders>
                    <w:top w:val="single" w:color="auto" w:sz="4" w:space="0"/>
                    <w:bottom w:val="single" w:color="auto" w:sz="4" w:space="0"/>
                  </w:tcBorders>
                  <w:noWrap w:val="0"/>
                  <w:vAlign w:val="center"/>
                </w:tcPr>
                <w:p w14:paraId="3FDD4C54">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132.197</w:t>
                  </w:r>
                </w:p>
              </w:tc>
            </w:tr>
            <w:tr w14:paraId="1E9F9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67" w:type="pct"/>
                  <w:tcBorders>
                    <w:top w:val="single" w:color="auto" w:sz="4" w:space="0"/>
                    <w:bottom w:val="single" w:color="auto" w:sz="4" w:space="0"/>
                  </w:tcBorders>
                  <w:noWrap w:val="0"/>
                  <w:vAlign w:val="center"/>
                </w:tcPr>
                <w:p w14:paraId="7023081B">
                  <w:pPr>
                    <w:snapToGrid w:val="0"/>
                    <w:spacing w:line="240" w:lineRule="auto"/>
                    <w:jc w:val="center"/>
                    <w:textAlignment w:val="auto"/>
                    <w:rPr>
                      <w:color w:val="auto"/>
                      <w:szCs w:val="21"/>
                    </w:rPr>
                  </w:pPr>
                  <w:r>
                    <w:rPr>
                      <w:rFonts w:hint="eastAsia"/>
                      <w:color w:val="auto"/>
                      <w:szCs w:val="19"/>
                      <w:lang w:bidi="ar"/>
                    </w:rPr>
                    <w:t>D-(+)-海藻糖二水合物</w:t>
                  </w:r>
                </w:p>
              </w:tc>
              <w:tc>
                <w:tcPr>
                  <w:tcW w:w="712" w:type="pct"/>
                  <w:tcBorders>
                    <w:top w:val="single" w:color="auto" w:sz="4" w:space="0"/>
                    <w:bottom w:val="single" w:color="auto" w:sz="4" w:space="0"/>
                  </w:tcBorders>
                  <w:noWrap w:val="0"/>
                  <w:vAlign w:val="center"/>
                </w:tcPr>
                <w:p w14:paraId="4B713EC6">
                  <w:pPr>
                    <w:snapToGrid w:val="0"/>
                    <w:spacing w:line="240" w:lineRule="auto"/>
                    <w:jc w:val="center"/>
                    <w:textAlignment w:val="auto"/>
                    <w:rPr>
                      <w:color w:val="auto"/>
                      <w:szCs w:val="21"/>
                    </w:rPr>
                  </w:pPr>
                  <w:r>
                    <w:rPr>
                      <w:rFonts w:hint="eastAsia"/>
                      <w:color w:val="auto"/>
                      <w:szCs w:val="21"/>
                      <w:lang w:val="en-US" w:eastAsia="zh-CN"/>
                    </w:rPr>
                    <w:t>0.25</w:t>
                  </w:r>
                </w:p>
              </w:tc>
              <w:tc>
                <w:tcPr>
                  <w:tcW w:w="742" w:type="pct"/>
                  <w:tcBorders>
                    <w:top w:val="single" w:color="auto" w:sz="4" w:space="0"/>
                    <w:bottom w:val="single" w:color="auto" w:sz="4" w:space="0"/>
                  </w:tcBorders>
                  <w:noWrap w:val="0"/>
                  <w:vAlign w:val="center"/>
                </w:tcPr>
                <w:p w14:paraId="3B3A5FB6">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检验</w:t>
                  </w:r>
                </w:p>
              </w:tc>
              <w:tc>
                <w:tcPr>
                  <w:tcW w:w="1353" w:type="pct"/>
                  <w:tcBorders>
                    <w:top w:val="single" w:color="auto" w:sz="4" w:space="0"/>
                    <w:bottom w:val="single" w:color="auto" w:sz="4" w:space="0"/>
                  </w:tcBorders>
                  <w:noWrap w:val="0"/>
                  <w:vAlign w:val="center"/>
                </w:tcPr>
                <w:p w14:paraId="17CEEBEF">
                  <w:pPr>
                    <w:autoSpaceDE w:val="0"/>
                    <w:autoSpaceDN w:val="0"/>
                    <w:adjustRightInd w:val="0"/>
                    <w:jc w:val="center"/>
                    <w:rPr>
                      <w:rFonts w:hint="eastAsia" w:eastAsia="宋体"/>
                      <w:color w:val="auto"/>
                      <w:szCs w:val="21"/>
                      <w:lang w:eastAsia="zh-CN"/>
                    </w:rPr>
                  </w:pPr>
                  <w:r>
                    <w:rPr>
                      <w:rFonts w:hint="eastAsia"/>
                      <w:color w:val="auto"/>
                      <w:szCs w:val="21"/>
                      <w:lang w:val="en-US" w:eastAsia="zh-CN"/>
                    </w:rPr>
                    <w:t>不合格品</w:t>
                  </w:r>
                </w:p>
              </w:tc>
              <w:tc>
                <w:tcPr>
                  <w:tcW w:w="723" w:type="pct"/>
                  <w:tcBorders>
                    <w:top w:val="single" w:color="auto" w:sz="4" w:space="0"/>
                    <w:bottom w:val="single" w:color="auto" w:sz="4" w:space="0"/>
                  </w:tcBorders>
                  <w:noWrap w:val="0"/>
                  <w:vAlign w:val="center"/>
                </w:tcPr>
                <w:p w14:paraId="1798EA8D">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0.3</w:t>
                  </w:r>
                </w:p>
              </w:tc>
            </w:tr>
            <w:tr w14:paraId="09278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467" w:type="pct"/>
                  <w:tcBorders>
                    <w:top w:val="single" w:color="auto" w:sz="4" w:space="0"/>
                    <w:bottom w:val="single" w:color="auto" w:sz="4" w:space="0"/>
                  </w:tcBorders>
                  <w:noWrap w:val="0"/>
                  <w:vAlign w:val="center"/>
                </w:tcPr>
                <w:p w14:paraId="62F6D3FE">
                  <w:pPr>
                    <w:snapToGrid w:val="0"/>
                    <w:spacing w:line="240" w:lineRule="auto"/>
                    <w:jc w:val="center"/>
                    <w:textAlignment w:val="auto"/>
                    <w:rPr>
                      <w:rFonts w:hint="eastAsia"/>
                      <w:color w:val="auto"/>
                      <w:szCs w:val="21"/>
                    </w:rPr>
                  </w:pPr>
                  <w:r>
                    <w:rPr>
                      <w:rFonts w:hint="eastAsia"/>
                      <w:color w:val="auto"/>
                      <w:szCs w:val="19"/>
                      <w:lang w:bidi="ar"/>
                    </w:rPr>
                    <w:t>甘油</w:t>
                  </w:r>
                </w:p>
              </w:tc>
              <w:tc>
                <w:tcPr>
                  <w:tcW w:w="712" w:type="pct"/>
                  <w:tcBorders>
                    <w:top w:val="single" w:color="auto" w:sz="4" w:space="0"/>
                    <w:bottom w:val="single" w:color="auto" w:sz="4" w:space="0"/>
                  </w:tcBorders>
                  <w:noWrap w:val="0"/>
                  <w:vAlign w:val="center"/>
                </w:tcPr>
                <w:p w14:paraId="54C94DE7">
                  <w:pPr>
                    <w:snapToGrid w:val="0"/>
                    <w:spacing w:line="240" w:lineRule="auto"/>
                    <w:jc w:val="center"/>
                    <w:textAlignment w:val="auto"/>
                    <w:rPr>
                      <w:color w:val="auto"/>
                      <w:szCs w:val="21"/>
                    </w:rPr>
                  </w:pPr>
                  <w:r>
                    <w:rPr>
                      <w:rFonts w:hint="eastAsia"/>
                      <w:color w:val="auto"/>
                      <w:szCs w:val="21"/>
                      <w:lang w:val="en-US" w:eastAsia="zh-CN"/>
                    </w:rPr>
                    <w:t>1.5</w:t>
                  </w:r>
                </w:p>
              </w:tc>
              <w:tc>
                <w:tcPr>
                  <w:tcW w:w="742" w:type="pct"/>
                  <w:tcBorders>
                    <w:top w:val="single" w:color="auto" w:sz="4" w:space="0"/>
                  </w:tcBorders>
                  <w:noWrap w:val="0"/>
                  <w:vAlign w:val="center"/>
                </w:tcPr>
                <w:p w14:paraId="7CCFA170">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生产过程</w:t>
                  </w:r>
                </w:p>
              </w:tc>
              <w:tc>
                <w:tcPr>
                  <w:tcW w:w="1353" w:type="pct"/>
                  <w:tcBorders>
                    <w:top w:val="single" w:color="auto" w:sz="4" w:space="0"/>
                  </w:tcBorders>
                  <w:noWrap w:val="0"/>
                  <w:vAlign w:val="center"/>
                </w:tcPr>
                <w:p w14:paraId="2AB18783">
                  <w:pPr>
                    <w:autoSpaceDE w:val="0"/>
                    <w:autoSpaceDN w:val="0"/>
                    <w:adjustRightInd w:val="0"/>
                    <w:jc w:val="center"/>
                    <w:rPr>
                      <w:rFonts w:hint="default"/>
                      <w:color w:val="auto"/>
                      <w:szCs w:val="21"/>
                      <w:lang w:val="en-US" w:eastAsia="zh-CN"/>
                    </w:rPr>
                  </w:pPr>
                  <w:r>
                    <w:rPr>
                      <w:rFonts w:hint="eastAsia"/>
                      <w:color w:val="auto"/>
                      <w:szCs w:val="21"/>
                      <w:lang w:val="en-US" w:eastAsia="zh-CN"/>
                    </w:rPr>
                    <w:t>非甲烷总烃</w:t>
                  </w:r>
                </w:p>
              </w:tc>
              <w:tc>
                <w:tcPr>
                  <w:tcW w:w="723" w:type="pct"/>
                  <w:tcBorders>
                    <w:top w:val="single" w:color="auto" w:sz="4" w:space="0"/>
                  </w:tcBorders>
                  <w:noWrap w:val="0"/>
                  <w:vAlign w:val="center"/>
                </w:tcPr>
                <w:p w14:paraId="0303CE3E">
                  <w:pPr>
                    <w:autoSpaceDE w:val="0"/>
                    <w:autoSpaceDN w:val="0"/>
                    <w:adjustRightInd w:val="0"/>
                    <w:jc w:val="center"/>
                    <w:rPr>
                      <w:rFonts w:hint="default"/>
                      <w:color w:val="auto"/>
                      <w:szCs w:val="21"/>
                      <w:lang w:val="en-US" w:eastAsia="zh-CN"/>
                    </w:rPr>
                  </w:pPr>
                  <w:r>
                    <w:rPr>
                      <w:rFonts w:hint="eastAsia"/>
                      <w:color w:val="auto"/>
                      <w:szCs w:val="21"/>
                      <w:lang w:val="en-US" w:eastAsia="zh-CN"/>
                    </w:rPr>
                    <w:t>0.003</w:t>
                  </w:r>
                </w:p>
              </w:tc>
            </w:tr>
            <w:tr w14:paraId="36FD4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67" w:type="pct"/>
                  <w:tcBorders>
                    <w:top w:val="single" w:color="auto" w:sz="4" w:space="0"/>
                  </w:tcBorders>
                  <w:noWrap w:val="0"/>
                  <w:vAlign w:val="center"/>
                </w:tcPr>
                <w:p w14:paraId="5E2C5ABE">
                  <w:pPr>
                    <w:snapToGrid w:val="0"/>
                    <w:spacing w:line="240" w:lineRule="auto"/>
                    <w:jc w:val="center"/>
                    <w:textAlignment w:val="auto"/>
                    <w:rPr>
                      <w:color w:val="auto"/>
                      <w:szCs w:val="21"/>
                    </w:rPr>
                  </w:pPr>
                  <w:r>
                    <w:rPr>
                      <w:rFonts w:hint="eastAsia"/>
                      <w:color w:val="auto"/>
                      <w:szCs w:val="19"/>
                      <w:lang w:bidi="ar"/>
                    </w:rPr>
                    <w:t>卡波姆</w:t>
                  </w:r>
                </w:p>
              </w:tc>
              <w:tc>
                <w:tcPr>
                  <w:tcW w:w="712" w:type="pct"/>
                  <w:tcBorders>
                    <w:top w:val="single" w:color="auto" w:sz="4" w:space="0"/>
                  </w:tcBorders>
                  <w:noWrap w:val="0"/>
                  <w:vAlign w:val="center"/>
                </w:tcPr>
                <w:p w14:paraId="4DE7C913">
                  <w:pPr>
                    <w:snapToGrid w:val="0"/>
                    <w:spacing w:line="240" w:lineRule="auto"/>
                    <w:jc w:val="center"/>
                    <w:textAlignment w:val="auto"/>
                    <w:rPr>
                      <w:rFonts w:hint="eastAsia"/>
                      <w:color w:val="auto"/>
                      <w:szCs w:val="21"/>
                    </w:rPr>
                  </w:pPr>
                  <w:r>
                    <w:rPr>
                      <w:rFonts w:hint="eastAsia"/>
                      <w:color w:val="auto"/>
                      <w:szCs w:val="21"/>
                      <w:lang w:val="en-US" w:eastAsia="zh-CN"/>
                    </w:rPr>
                    <w:t>0.25</w:t>
                  </w:r>
                </w:p>
              </w:tc>
              <w:tc>
                <w:tcPr>
                  <w:tcW w:w="2820" w:type="pct"/>
                  <w:gridSpan w:val="3"/>
                  <w:vMerge w:val="restart"/>
                  <w:noWrap w:val="0"/>
                  <w:vAlign w:val="center"/>
                </w:tcPr>
                <w:p w14:paraId="53B5ACCC">
                  <w:pPr>
                    <w:autoSpaceDE w:val="0"/>
                    <w:autoSpaceDN w:val="0"/>
                    <w:adjustRightInd w:val="0"/>
                    <w:jc w:val="center"/>
                    <w:rPr>
                      <w:color w:val="auto"/>
                      <w:szCs w:val="21"/>
                    </w:rPr>
                  </w:pPr>
                  <w:r>
                    <w:rPr>
                      <w:rFonts w:hint="eastAsia"/>
                      <w:color w:val="auto"/>
                      <w:szCs w:val="21"/>
                      <w:lang w:val="en-US" w:eastAsia="zh-CN"/>
                    </w:rPr>
                    <w:t>/</w:t>
                  </w:r>
                </w:p>
              </w:tc>
            </w:tr>
            <w:tr w14:paraId="0977B1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pct"/>
                  <w:tcBorders>
                    <w:top w:val="single" w:color="auto" w:sz="4" w:space="0"/>
                  </w:tcBorders>
                  <w:noWrap w:val="0"/>
                  <w:vAlign w:val="center"/>
                </w:tcPr>
                <w:p w14:paraId="05720964">
                  <w:pPr>
                    <w:snapToGrid w:val="0"/>
                    <w:spacing w:line="240" w:lineRule="auto"/>
                    <w:jc w:val="center"/>
                    <w:textAlignment w:val="auto"/>
                    <w:rPr>
                      <w:color w:val="auto"/>
                      <w:szCs w:val="21"/>
                    </w:rPr>
                  </w:pPr>
                  <w:r>
                    <w:rPr>
                      <w:rFonts w:hint="eastAsia"/>
                      <w:color w:val="auto"/>
                      <w:szCs w:val="19"/>
                      <w:lang w:bidi="ar"/>
                    </w:rPr>
                    <w:t>黄原胶</w:t>
                  </w:r>
                </w:p>
              </w:tc>
              <w:tc>
                <w:tcPr>
                  <w:tcW w:w="712" w:type="pct"/>
                  <w:tcBorders>
                    <w:top w:val="single" w:color="auto" w:sz="4" w:space="0"/>
                  </w:tcBorders>
                  <w:noWrap w:val="0"/>
                  <w:vAlign w:val="center"/>
                </w:tcPr>
                <w:p w14:paraId="101D85D0">
                  <w:pPr>
                    <w:snapToGrid w:val="0"/>
                    <w:spacing w:line="240" w:lineRule="auto"/>
                    <w:jc w:val="center"/>
                    <w:textAlignment w:val="auto"/>
                    <w:rPr>
                      <w:color w:val="auto"/>
                      <w:szCs w:val="21"/>
                    </w:rPr>
                  </w:pPr>
                  <w:r>
                    <w:rPr>
                      <w:rFonts w:hint="eastAsia"/>
                      <w:color w:val="auto"/>
                      <w:szCs w:val="21"/>
                      <w:lang w:val="en-US" w:eastAsia="zh-CN"/>
                    </w:rPr>
                    <w:t>0.25</w:t>
                  </w:r>
                </w:p>
              </w:tc>
              <w:tc>
                <w:tcPr>
                  <w:tcW w:w="2820" w:type="pct"/>
                  <w:gridSpan w:val="3"/>
                  <w:vMerge w:val="continue"/>
                  <w:noWrap w:val="0"/>
                  <w:vAlign w:val="center"/>
                </w:tcPr>
                <w:p w14:paraId="33FE9315">
                  <w:pPr>
                    <w:autoSpaceDE w:val="0"/>
                    <w:autoSpaceDN w:val="0"/>
                    <w:adjustRightInd w:val="0"/>
                    <w:jc w:val="center"/>
                    <w:rPr>
                      <w:color w:val="auto"/>
                      <w:szCs w:val="21"/>
                    </w:rPr>
                  </w:pPr>
                </w:p>
              </w:tc>
            </w:tr>
            <w:tr w14:paraId="5068E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467" w:type="pct"/>
                  <w:tcBorders>
                    <w:top w:val="single" w:color="auto" w:sz="4" w:space="0"/>
                    <w:bottom w:val="single" w:color="auto" w:sz="4" w:space="0"/>
                  </w:tcBorders>
                  <w:noWrap w:val="0"/>
                  <w:vAlign w:val="center"/>
                </w:tcPr>
                <w:p w14:paraId="3BE6FD94">
                  <w:pPr>
                    <w:snapToGrid w:val="0"/>
                    <w:spacing w:line="240" w:lineRule="auto"/>
                    <w:jc w:val="center"/>
                    <w:textAlignment w:val="auto"/>
                    <w:rPr>
                      <w:rStyle w:val="84"/>
                      <w:rFonts w:hint="default" w:cs="宋体"/>
                      <w:color w:val="auto"/>
                      <w:kern w:val="0"/>
                      <w:sz w:val="21"/>
                      <w:szCs w:val="21"/>
                    </w:rPr>
                  </w:pPr>
                  <w:r>
                    <w:rPr>
                      <w:rFonts w:hint="eastAsia"/>
                      <w:color w:val="auto"/>
                      <w:szCs w:val="19"/>
                      <w:lang w:bidi="ar"/>
                    </w:rPr>
                    <w:t>丁二醇</w:t>
                  </w:r>
                </w:p>
              </w:tc>
              <w:tc>
                <w:tcPr>
                  <w:tcW w:w="712" w:type="pct"/>
                  <w:tcBorders>
                    <w:top w:val="single" w:color="auto" w:sz="4" w:space="0"/>
                    <w:bottom w:val="single" w:color="auto" w:sz="4" w:space="0"/>
                  </w:tcBorders>
                  <w:noWrap w:val="0"/>
                  <w:vAlign w:val="center"/>
                </w:tcPr>
                <w:p w14:paraId="65EE7EFF">
                  <w:pPr>
                    <w:snapToGrid w:val="0"/>
                    <w:spacing w:line="240" w:lineRule="auto"/>
                    <w:jc w:val="center"/>
                    <w:textAlignment w:val="auto"/>
                    <w:rPr>
                      <w:color w:val="auto"/>
                      <w:szCs w:val="21"/>
                    </w:rPr>
                  </w:pPr>
                  <w:r>
                    <w:rPr>
                      <w:rFonts w:hint="eastAsia"/>
                      <w:color w:val="auto"/>
                      <w:szCs w:val="21"/>
                      <w:lang w:val="en-US" w:eastAsia="zh-CN"/>
                    </w:rPr>
                    <w:t>0.25</w:t>
                  </w:r>
                </w:p>
              </w:tc>
              <w:tc>
                <w:tcPr>
                  <w:tcW w:w="2820" w:type="pct"/>
                  <w:gridSpan w:val="3"/>
                  <w:vMerge w:val="continue"/>
                  <w:noWrap w:val="0"/>
                  <w:vAlign w:val="center"/>
                </w:tcPr>
                <w:p w14:paraId="0CFCD611">
                  <w:pPr>
                    <w:autoSpaceDE w:val="0"/>
                    <w:autoSpaceDN w:val="0"/>
                    <w:adjustRightInd w:val="0"/>
                    <w:jc w:val="center"/>
                    <w:rPr>
                      <w:color w:val="auto"/>
                      <w:szCs w:val="21"/>
                    </w:rPr>
                  </w:pPr>
                </w:p>
              </w:tc>
            </w:tr>
            <w:tr w14:paraId="28834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467" w:type="pct"/>
                  <w:tcBorders>
                    <w:top w:val="single" w:color="auto" w:sz="4" w:space="0"/>
                    <w:bottom w:val="single" w:color="auto" w:sz="4" w:space="0"/>
                  </w:tcBorders>
                  <w:noWrap w:val="0"/>
                  <w:vAlign w:val="center"/>
                </w:tcPr>
                <w:p w14:paraId="7C959293">
                  <w:pPr>
                    <w:snapToGrid w:val="0"/>
                    <w:spacing w:line="240" w:lineRule="auto"/>
                    <w:jc w:val="center"/>
                    <w:textAlignment w:val="auto"/>
                    <w:rPr>
                      <w:rStyle w:val="84"/>
                      <w:rFonts w:hint="default" w:cs="宋体"/>
                      <w:color w:val="auto"/>
                      <w:kern w:val="0"/>
                      <w:sz w:val="21"/>
                      <w:szCs w:val="21"/>
                    </w:rPr>
                  </w:pPr>
                  <w:r>
                    <w:rPr>
                      <w:rFonts w:hint="eastAsia"/>
                      <w:color w:val="auto"/>
                      <w:szCs w:val="19"/>
                      <w:lang w:bidi="ar"/>
                    </w:rPr>
                    <w:t>三乙醇胺</w:t>
                  </w:r>
                </w:p>
              </w:tc>
              <w:tc>
                <w:tcPr>
                  <w:tcW w:w="712" w:type="pct"/>
                  <w:tcBorders>
                    <w:top w:val="single" w:color="auto" w:sz="4" w:space="0"/>
                    <w:bottom w:val="single" w:color="auto" w:sz="4" w:space="0"/>
                  </w:tcBorders>
                  <w:noWrap w:val="0"/>
                  <w:vAlign w:val="center"/>
                </w:tcPr>
                <w:p w14:paraId="53E9B5BD">
                  <w:pPr>
                    <w:snapToGrid w:val="0"/>
                    <w:spacing w:line="240" w:lineRule="auto"/>
                    <w:jc w:val="center"/>
                    <w:textAlignment w:val="auto"/>
                    <w:rPr>
                      <w:color w:val="auto"/>
                      <w:szCs w:val="21"/>
                    </w:rPr>
                  </w:pPr>
                  <w:r>
                    <w:rPr>
                      <w:rFonts w:hint="eastAsia"/>
                      <w:color w:val="auto"/>
                      <w:szCs w:val="21"/>
                      <w:lang w:val="en-US" w:eastAsia="zh-CN"/>
                    </w:rPr>
                    <w:t>0.25</w:t>
                  </w:r>
                </w:p>
              </w:tc>
              <w:tc>
                <w:tcPr>
                  <w:tcW w:w="2820" w:type="pct"/>
                  <w:gridSpan w:val="3"/>
                  <w:vMerge w:val="continue"/>
                  <w:noWrap w:val="0"/>
                  <w:vAlign w:val="center"/>
                </w:tcPr>
                <w:p w14:paraId="4E295199">
                  <w:pPr>
                    <w:autoSpaceDE w:val="0"/>
                    <w:autoSpaceDN w:val="0"/>
                    <w:adjustRightInd w:val="0"/>
                    <w:jc w:val="center"/>
                    <w:rPr>
                      <w:color w:val="auto"/>
                      <w:szCs w:val="21"/>
                    </w:rPr>
                  </w:pPr>
                </w:p>
              </w:tc>
            </w:tr>
            <w:tr w14:paraId="6F890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467" w:type="pct"/>
                  <w:tcBorders>
                    <w:top w:val="single" w:color="auto" w:sz="4" w:space="0"/>
                    <w:bottom w:val="single" w:color="auto" w:sz="4" w:space="0"/>
                  </w:tcBorders>
                  <w:noWrap w:val="0"/>
                  <w:vAlign w:val="center"/>
                </w:tcPr>
                <w:p w14:paraId="1933AD8A">
                  <w:pPr>
                    <w:snapToGrid w:val="0"/>
                    <w:spacing w:line="240" w:lineRule="auto"/>
                    <w:jc w:val="center"/>
                    <w:textAlignment w:val="auto"/>
                    <w:rPr>
                      <w:rStyle w:val="84"/>
                      <w:rFonts w:cs="宋体"/>
                      <w:color w:val="auto"/>
                      <w:kern w:val="0"/>
                      <w:sz w:val="21"/>
                      <w:szCs w:val="21"/>
                    </w:rPr>
                  </w:pPr>
                  <w:r>
                    <w:rPr>
                      <w:rFonts w:hint="eastAsia"/>
                      <w:color w:val="auto"/>
                      <w:szCs w:val="19"/>
                      <w:lang w:bidi="ar"/>
                    </w:rPr>
                    <w:t>纯化水</w:t>
                  </w:r>
                </w:p>
              </w:tc>
              <w:tc>
                <w:tcPr>
                  <w:tcW w:w="712" w:type="pct"/>
                  <w:tcBorders>
                    <w:top w:val="single" w:color="auto" w:sz="4" w:space="0"/>
                    <w:bottom w:val="single" w:color="auto" w:sz="4" w:space="0"/>
                  </w:tcBorders>
                  <w:noWrap w:val="0"/>
                  <w:vAlign w:val="center"/>
                </w:tcPr>
                <w:p w14:paraId="0D40C166">
                  <w:pPr>
                    <w:snapToGrid w:val="0"/>
                    <w:spacing w:line="240" w:lineRule="auto"/>
                    <w:jc w:val="center"/>
                    <w:textAlignment w:val="auto"/>
                    <w:rPr>
                      <w:rStyle w:val="84"/>
                      <w:rFonts w:cs="宋体"/>
                      <w:color w:val="auto"/>
                      <w:kern w:val="0"/>
                      <w:sz w:val="21"/>
                      <w:szCs w:val="21"/>
                    </w:rPr>
                  </w:pPr>
                  <w:r>
                    <w:rPr>
                      <w:rFonts w:hint="eastAsia"/>
                      <w:color w:val="auto"/>
                      <w:szCs w:val="21"/>
                      <w:lang w:val="en-US" w:eastAsia="zh-CN"/>
                    </w:rPr>
                    <w:t>122</w:t>
                  </w:r>
                </w:p>
              </w:tc>
              <w:tc>
                <w:tcPr>
                  <w:tcW w:w="2820" w:type="pct"/>
                  <w:gridSpan w:val="3"/>
                  <w:vMerge w:val="continue"/>
                  <w:noWrap w:val="0"/>
                  <w:vAlign w:val="center"/>
                </w:tcPr>
                <w:p w14:paraId="7025C2D7">
                  <w:pPr>
                    <w:autoSpaceDE w:val="0"/>
                    <w:autoSpaceDN w:val="0"/>
                    <w:adjustRightInd w:val="0"/>
                    <w:jc w:val="center"/>
                    <w:rPr>
                      <w:rFonts w:hint="eastAsia"/>
                      <w:color w:val="auto"/>
                      <w:szCs w:val="21"/>
                    </w:rPr>
                  </w:pPr>
                </w:p>
              </w:tc>
            </w:tr>
            <w:tr w14:paraId="095AD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467" w:type="pct"/>
                  <w:tcBorders>
                    <w:top w:val="single" w:color="auto" w:sz="4" w:space="0"/>
                    <w:bottom w:val="single" w:color="auto" w:sz="4" w:space="0"/>
                  </w:tcBorders>
                  <w:noWrap w:val="0"/>
                  <w:vAlign w:val="center"/>
                </w:tcPr>
                <w:p w14:paraId="3196BE5D">
                  <w:pPr>
                    <w:snapToGrid w:val="0"/>
                    <w:spacing w:line="240" w:lineRule="auto"/>
                    <w:jc w:val="center"/>
                    <w:textAlignment w:val="auto"/>
                    <w:rPr>
                      <w:rStyle w:val="84"/>
                      <w:rFonts w:cs="宋体"/>
                      <w:color w:val="auto"/>
                      <w:kern w:val="0"/>
                      <w:sz w:val="21"/>
                      <w:szCs w:val="21"/>
                    </w:rPr>
                  </w:pPr>
                  <w:r>
                    <w:rPr>
                      <w:rFonts w:hint="eastAsia"/>
                      <w:color w:val="auto"/>
                      <w:szCs w:val="19"/>
                      <w:lang w:bidi="ar"/>
                    </w:rPr>
                    <w:t>无纺布</w:t>
                  </w:r>
                </w:p>
              </w:tc>
              <w:tc>
                <w:tcPr>
                  <w:tcW w:w="712" w:type="pct"/>
                  <w:tcBorders>
                    <w:top w:val="single" w:color="auto" w:sz="4" w:space="0"/>
                    <w:bottom w:val="single" w:color="auto" w:sz="4" w:space="0"/>
                  </w:tcBorders>
                  <w:noWrap w:val="0"/>
                  <w:vAlign w:val="center"/>
                </w:tcPr>
                <w:p w14:paraId="19799A5A">
                  <w:pPr>
                    <w:snapToGrid w:val="0"/>
                    <w:spacing w:line="240" w:lineRule="auto"/>
                    <w:jc w:val="center"/>
                    <w:textAlignment w:val="auto"/>
                    <w:rPr>
                      <w:rStyle w:val="84"/>
                      <w:rFonts w:cs="宋体"/>
                      <w:color w:val="auto"/>
                      <w:kern w:val="0"/>
                      <w:sz w:val="21"/>
                      <w:szCs w:val="21"/>
                    </w:rPr>
                  </w:pPr>
                  <w:r>
                    <w:rPr>
                      <w:rFonts w:hint="eastAsia"/>
                      <w:color w:val="auto"/>
                      <w:szCs w:val="21"/>
                      <w:lang w:val="en-US" w:eastAsia="zh-CN"/>
                    </w:rPr>
                    <w:t>4</w:t>
                  </w:r>
                </w:p>
              </w:tc>
              <w:tc>
                <w:tcPr>
                  <w:tcW w:w="2820" w:type="pct"/>
                  <w:gridSpan w:val="3"/>
                  <w:vMerge w:val="continue"/>
                  <w:noWrap w:val="0"/>
                  <w:vAlign w:val="center"/>
                </w:tcPr>
                <w:p w14:paraId="6516F7EE">
                  <w:pPr>
                    <w:autoSpaceDE w:val="0"/>
                    <w:autoSpaceDN w:val="0"/>
                    <w:adjustRightInd w:val="0"/>
                    <w:jc w:val="center"/>
                    <w:rPr>
                      <w:rFonts w:hint="eastAsia"/>
                      <w:color w:val="auto"/>
                      <w:szCs w:val="21"/>
                    </w:rPr>
                  </w:pPr>
                </w:p>
              </w:tc>
            </w:tr>
            <w:tr w14:paraId="41483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1467" w:type="pct"/>
                  <w:tcBorders>
                    <w:top w:val="single" w:color="auto" w:sz="4" w:space="0"/>
                    <w:bottom w:val="single" w:color="auto" w:sz="4" w:space="0"/>
                  </w:tcBorders>
                  <w:noWrap w:val="0"/>
                  <w:vAlign w:val="center"/>
                </w:tcPr>
                <w:p w14:paraId="5FF45BF8">
                  <w:pPr>
                    <w:snapToGrid w:val="0"/>
                    <w:spacing w:line="240" w:lineRule="auto"/>
                    <w:jc w:val="center"/>
                    <w:textAlignment w:val="auto"/>
                    <w:rPr>
                      <w:rFonts w:hint="eastAsia"/>
                      <w:color w:val="auto"/>
                      <w:szCs w:val="21"/>
                    </w:rPr>
                  </w:pPr>
                  <w:r>
                    <w:rPr>
                      <w:rFonts w:hint="eastAsia"/>
                      <w:color w:val="auto"/>
                      <w:szCs w:val="21"/>
                    </w:rPr>
                    <w:t>铝膜袋</w:t>
                  </w:r>
                </w:p>
              </w:tc>
              <w:tc>
                <w:tcPr>
                  <w:tcW w:w="712" w:type="pct"/>
                  <w:tcBorders>
                    <w:top w:val="single" w:color="auto" w:sz="4" w:space="0"/>
                    <w:bottom w:val="single" w:color="auto" w:sz="4" w:space="0"/>
                  </w:tcBorders>
                  <w:noWrap w:val="0"/>
                  <w:vAlign w:val="center"/>
                </w:tcPr>
                <w:p w14:paraId="23DCC039">
                  <w:pPr>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3.5</w:t>
                  </w:r>
                </w:p>
              </w:tc>
              <w:tc>
                <w:tcPr>
                  <w:tcW w:w="2820" w:type="pct"/>
                  <w:gridSpan w:val="3"/>
                  <w:vMerge w:val="continue"/>
                  <w:tcBorders>
                    <w:bottom w:val="single" w:color="auto" w:sz="4" w:space="0"/>
                  </w:tcBorders>
                  <w:noWrap w:val="0"/>
                  <w:vAlign w:val="center"/>
                </w:tcPr>
                <w:p w14:paraId="15BBBD0F">
                  <w:pPr>
                    <w:autoSpaceDE w:val="0"/>
                    <w:autoSpaceDN w:val="0"/>
                    <w:adjustRightInd w:val="0"/>
                    <w:jc w:val="center"/>
                    <w:rPr>
                      <w:rFonts w:hint="eastAsia"/>
                      <w:color w:val="auto"/>
                      <w:szCs w:val="21"/>
                    </w:rPr>
                  </w:pPr>
                </w:p>
              </w:tc>
            </w:tr>
            <w:tr w14:paraId="38654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pct"/>
                  <w:tcBorders>
                    <w:top w:val="single" w:color="auto" w:sz="4" w:space="0"/>
                    <w:bottom w:val="single" w:color="auto" w:sz="12" w:space="0"/>
                  </w:tcBorders>
                  <w:noWrap w:val="0"/>
                  <w:vAlign w:val="center"/>
                </w:tcPr>
                <w:p w14:paraId="7B7028B5">
                  <w:pPr>
                    <w:pStyle w:val="83"/>
                    <w:spacing w:line="240" w:lineRule="auto"/>
                    <w:ind w:firstLine="0" w:firstLineChars="0"/>
                    <w:jc w:val="center"/>
                    <w:textAlignment w:val="baseline"/>
                    <w:rPr>
                      <w:rStyle w:val="84"/>
                      <w:color w:val="auto"/>
                      <w:kern w:val="0"/>
                      <w:sz w:val="21"/>
                      <w:szCs w:val="21"/>
                    </w:rPr>
                  </w:pPr>
                  <w:r>
                    <w:rPr>
                      <w:rStyle w:val="84"/>
                      <w:color w:val="auto"/>
                      <w:kern w:val="0"/>
                      <w:sz w:val="21"/>
                      <w:szCs w:val="21"/>
                    </w:rPr>
                    <w:t>合计</w:t>
                  </w:r>
                </w:p>
              </w:tc>
              <w:tc>
                <w:tcPr>
                  <w:tcW w:w="712" w:type="pct"/>
                  <w:tcBorders>
                    <w:top w:val="single" w:color="auto" w:sz="4" w:space="0"/>
                    <w:bottom w:val="single" w:color="auto" w:sz="12" w:space="0"/>
                  </w:tcBorders>
                  <w:noWrap w:val="0"/>
                  <w:vAlign w:val="center"/>
                </w:tcPr>
                <w:p w14:paraId="7A9142D4">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132.5</w:t>
                  </w:r>
                </w:p>
              </w:tc>
              <w:tc>
                <w:tcPr>
                  <w:tcW w:w="2096" w:type="pct"/>
                  <w:gridSpan w:val="2"/>
                  <w:tcBorders>
                    <w:top w:val="single" w:color="auto" w:sz="4" w:space="0"/>
                    <w:bottom w:val="single" w:color="auto" w:sz="12" w:space="0"/>
                  </w:tcBorders>
                  <w:noWrap w:val="0"/>
                  <w:vAlign w:val="center"/>
                </w:tcPr>
                <w:p w14:paraId="64964245">
                  <w:pPr>
                    <w:pStyle w:val="83"/>
                    <w:spacing w:line="240" w:lineRule="auto"/>
                    <w:ind w:firstLine="0" w:firstLineChars="0"/>
                    <w:jc w:val="center"/>
                    <w:textAlignment w:val="baseline"/>
                    <w:rPr>
                      <w:color w:val="auto"/>
                      <w:szCs w:val="21"/>
                    </w:rPr>
                  </w:pPr>
                  <w:r>
                    <w:rPr>
                      <w:rStyle w:val="84"/>
                      <w:color w:val="auto"/>
                      <w:kern w:val="0"/>
                      <w:sz w:val="21"/>
                      <w:szCs w:val="21"/>
                    </w:rPr>
                    <w:t>合计</w:t>
                  </w:r>
                </w:p>
              </w:tc>
              <w:tc>
                <w:tcPr>
                  <w:tcW w:w="723" w:type="pct"/>
                  <w:tcBorders>
                    <w:top w:val="single" w:color="auto" w:sz="4" w:space="0"/>
                    <w:bottom w:val="single" w:color="auto" w:sz="12" w:space="0"/>
                  </w:tcBorders>
                  <w:noWrap w:val="0"/>
                  <w:vAlign w:val="center"/>
                </w:tcPr>
                <w:p w14:paraId="504D0247">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132.5</w:t>
                  </w:r>
                </w:p>
              </w:tc>
            </w:tr>
          </w:tbl>
          <w:p w14:paraId="505876B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FF0000"/>
                <w:sz w:val="24"/>
                <w:lang w:val="en-US" w:eastAsia="zh-CN"/>
              </w:rPr>
            </w:pPr>
            <w:commentRangeStart w:id="23"/>
            <w:r>
              <w:rPr>
                <w:rFonts w:hint="eastAsia"/>
                <w:color w:val="FF0000"/>
                <w:sz w:val="24"/>
                <w:lang w:val="en-US" w:eastAsia="zh-CN"/>
              </w:rPr>
              <w:t>6、</w:t>
            </w:r>
            <w:commentRangeEnd w:id="23"/>
            <w:r>
              <w:commentReference w:id="23"/>
            </w:r>
            <w:r>
              <w:rPr>
                <w:rFonts w:hint="eastAsia" w:ascii="Times New Roman" w:hAnsi="Times New Roman" w:eastAsia="宋体" w:cs="Times New Roman"/>
                <w:color w:val="FF0000"/>
                <w:sz w:val="24"/>
              </w:rPr>
              <w:t>壳聚糖止血粉物料</w:t>
            </w:r>
            <w:r>
              <w:rPr>
                <w:color w:val="FF0000"/>
                <w:sz w:val="24"/>
              </w:rPr>
              <w:t>平衡</w:t>
            </w:r>
            <w:r>
              <w:rPr>
                <w:rFonts w:hint="eastAsia"/>
                <w:color w:val="FF0000"/>
                <w:sz w:val="24"/>
              </w:rPr>
              <w:t>分析详见如下。</w:t>
            </w:r>
          </w:p>
          <w:p w14:paraId="388055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color w:val="auto"/>
                <w:sz w:val="24"/>
                <w:lang w:val="en-US" w:eastAsia="zh-CN"/>
              </w:rPr>
            </w:pPr>
            <w:r>
              <w:rPr>
                <w:rFonts w:hint="default"/>
                <w:color w:val="auto"/>
                <w:sz w:val="24"/>
                <w:lang w:val="en-US" w:eastAsia="zh-CN"/>
              </w:rPr>
              <w:object>
                <v:shape id="_x0000_i1044" o:spt="75" type="#_x0000_t75" style="height:256.5pt;width:190.5pt;" o:ole="t" filled="f" o:preferrelative="t" stroked="f" coordsize="21600,21600">
                  <v:path/>
                  <v:fill on="f" focussize="0,0"/>
                  <v:stroke on="f"/>
                  <v:imagedata r:id="rId52" o:title=""/>
                  <o:lock v:ext="edit" aspectratio="f"/>
                  <w10:wrap type="none"/>
                  <w10:anchorlock/>
                </v:shape>
                <o:OLEObject Type="Embed" ProgID="Visio.Drawing.11" ShapeID="_x0000_i1044" DrawAspect="Content" ObjectID="_1468075744" r:id="rId51">
                  <o:LockedField>false</o:LockedField>
                </o:OLEObject>
              </w:object>
            </w:r>
          </w:p>
          <w:p w14:paraId="1100E309">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hAnsi="宋体" w:cs="宋体"/>
                <w:b/>
                <w:bCs/>
                <w:color w:val="FF0000"/>
                <w:szCs w:val="21"/>
              </w:rPr>
            </w:pPr>
            <w:r>
              <w:rPr>
                <w:rFonts w:ascii="Times New Roman"/>
                <w:b/>
                <w:bCs/>
                <w:color w:val="FF0000"/>
                <w:szCs w:val="21"/>
              </w:rPr>
              <w:t>图</w:t>
            </w:r>
            <w:r>
              <w:rPr>
                <w:rFonts w:hint="eastAsia" w:ascii="Times New Roman"/>
                <w:b/>
                <w:bCs/>
                <w:color w:val="FF0000"/>
                <w:szCs w:val="21"/>
              </w:rPr>
              <w:t>2</w:t>
            </w:r>
            <w:r>
              <w:rPr>
                <w:rFonts w:ascii="Times New Roman"/>
                <w:b/>
                <w:bCs/>
                <w:color w:val="FF0000"/>
                <w:szCs w:val="21"/>
              </w:rPr>
              <w:t>-</w:t>
            </w:r>
            <w:r>
              <w:rPr>
                <w:rFonts w:hint="eastAsia"/>
                <w:b/>
                <w:bCs/>
                <w:color w:val="FF0000"/>
                <w:szCs w:val="21"/>
                <w:lang w:val="en-US" w:eastAsia="zh-CN"/>
              </w:rPr>
              <w:t>21</w:t>
            </w:r>
            <w:r>
              <w:rPr>
                <w:rFonts w:hint="eastAsia" w:ascii="Times New Roman"/>
                <w:b/>
                <w:bCs/>
                <w:color w:val="FF0000"/>
                <w:szCs w:val="21"/>
              </w:rPr>
              <w:t xml:space="preserve"> </w:t>
            </w:r>
            <w:r>
              <w:rPr>
                <w:rFonts w:ascii="Times New Roman"/>
                <w:b/>
                <w:bCs/>
                <w:color w:val="FF0000"/>
                <w:szCs w:val="21"/>
              </w:rPr>
              <w:t xml:space="preserve"> </w:t>
            </w:r>
            <w:r>
              <w:rPr>
                <w:rFonts w:hint="eastAsia" w:ascii="宋体" w:hAnsi="宋体" w:eastAsia="宋体" w:cs="宋体"/>
                <w:b/>
                <w:bCs/>
                <w:color w:val="FF0000"/>
                <w:szCs w:val="21"/>
              </w:rPr>
              <w:t>项目</w:t>
            </w:r>
            <w:r>
              <w:rPr>
                <w:rFonts w:hint="eastAsia" w:ascii="Times New Roman" w:hAnsi="宋体" w:eastAsia="宋体" w:cs="宋体"/>
                <w:b/>
                <w:bCs/>
                <w:color w:val="FF0000"/>
                <w:szCs w:val="21"/>
              </w:rPr>
              <w:t>壳聚糖止血粉</w:t>
            </w:r>
            <w:r>
              <w:rPr>
                <w:rFonts w:hint="eastAsia" w:ascii="宋体" w:hAnsi="宋体" w:eastAsia="宋体" w:cs="宋体"/>
                <w:b/>
                <w:bCs/>
                <w:color w:val="FF0000"/>
                <w:szCs w:val="21"/>
              </w:rPr>
              <w:t>物料</w:t>
            </w:r>
            <w:r>
              <w:rPr>
                <w:rFonts w:hint="eastAsia" w:hAnsi="宋体" w:cs="宋体"/>
                <w:b/>
                <w:bCs/>
                <w:color w:val="FF0000"/>
                <w:szCs w:val="21"/>
              </w:rPr>
              <w:t>平衡图  （单位：t/a）</w:t>
            </w:r>
          </w:p>
          <w:p w14:paraId="26BB7E75">
            <w:pPr>
              <w:ind w:firstLine="480" w:firstLineChars="200"/>
              <w:rPr>
                <w:rFonts w:hint="eastAsia"/>
                <w:color w:val="FF0000"/>
              </w:rPr>
            </w:pPr>
            <w:r>
              <w:rPr>
                <w:rFonts w:hint="eastAsia" w:ascii="宋体" w:hAnsi="宋体" w:cs="宋体"/>
                <w:color w:val="FF0000"/>
                <w:sz w:val="24"/>
              </w:rPr>
              <w:t>本项</w:t>
            </w:r>
            <w:r>
              <w:rPr>
                <w:rFonts w:hint="eastAsia" w:ascii="宋体" w:hAnsi="宋体" w:eastAsia="宋体" w:cs="宋体"/>
                <w:color w:val="FF0000"/>
                <w:sz w:val="24"/>
              </w:rPr>
              <w:t>目</w:t>
            </w:r>
            <w:r>
              <w:rPr>
                <w:rFonts w:hint="eastAsia" w:ascii="Times New Roman" w:hAnsi="Times New Roman" w:eastAsia="宋体" w:cs="Times New Roman"/>
                <w:color w:val="FF0000"/>
                <w:sz w:val="24"/>
              </w:rPr>
              <w:t>壳聚糖止血粉</w:t>
            </w:r>
            <w:r>
              <w:rPr>
                <w:rFonts w:hint="eastAsia" w:ascii="宋体" w:hAnsi="宋体" w:eastAsia="宋体" w:cs="宋体"/>
                <w:color w:val="FF0000"/>
                <w:sz w:val="24"/>
              </w:rPr>
              <w:t>物料平</w:t>
            </w:r>
            <w:r>
              <w:rPr>
                <w:rFonts w:hint="eastAsia" w:ascii="宋体" w:hAnsi="宋体" w:cs="宋体"/>
                <w:color w:val="FF0000"/>
                <w:sz w:val="24"/>
              </w:rPr>
              <w:t>衡表</w:t>
            </w:r>
            <w:r>
              <w:rPr>
                <w:color w:val="FF0000"/>
                <w:sz w:val="24"/>
              </w:rPr>
              <w:t>见</w:t>
            </w:r>
            <w:r>
              <w:rPr>
                <w:rFonts w:hint="eastAsia"/>
                <w:color w:val="FF0000"/>
                <w:sz w:val="24"/>
                <w:lang w:val="en-US" w:eastAsia="zh-CN"/>
              </w:rPr>
              <w:t>下表</w:t>
            </w:r>
            <w:r>
              <w:rPr>
                <w:rFonts w:hint="eastAsia"/>
                <w:color w:val="FF0000"/>
                <w:sz w:val="24"/>
              </w:rPr>
              <w:t>。</w:t>
            </w:r>
          </w:p>
          <w:p w14:paraId="77C45D26">
            <w:pPr>
              <w:pStyle w:val="10"/>
              <w:spacing w:before="0" w:after="0" w:line="240" w:lineRule="auto"/>
              <w:ind w:right="0"/>
              <w:jc w:val="center"/>
              <w:rPr>
                <w:b/>
                <w:bCs/>
                <w:color w:val="FF0000"/>
                <w:sz w:val="21"/>
                <w:szCs w:val="21"/>
              </w:rPr>
            </w:pPr>
            <w:r>
              <w:rPr>
                <w:b/>
                <w:bCs/>
                <w:color w:val="FF0000"/>
                <w:sz w:val="21"/>
                <w:szCs w:val="21"/>
              </w:rPr>
              <w:t>表</w:t>
            </w:r>
            <w:r>
              <w:rPr>
                <w:rFonts w:hint="eastAsia"/>
                <w:b/>
                <w:bCs/>
                <w:color w:val="FF0000"/>
                <w:sz w:val="21"/>
                <w:szCs w:val="21"/>
              </w:rPr>
              <w:t>2-1</w:t>
            </w:r>
            <w:r>
              <w:rPr>
                <w:rFonts w:hint="eastAsia"/>
                <w:b/>
                <w:bCs/>
                <w:color w:val="FF0000"/>
                <w:sz w:val="21"/>
                <w:szCs w:val="21"/>
                <w:lang w:val="en-US" w:eastAsia="zh-CN"/>
              </w:rPr>
              <w:t>6</w:t>
            </w:r>
            <w:r>
              <w:rPr>
                <w:rFonts w:hint="eastAsia"/>
                <w:b/>
                <w:bCs/>
                <w:color w:val="FF0000"/>
                <w:sz w:val="21"/>
                <w:szCs w:val="21"/>
              </w:rPr>
              <w:t xml:space="preserve">  </w:t>
            </w:r>
            <w:r>
              <w:rPr>
                <w:rFonts w:hint="eastAsia" w:ascii="Times New Roman" w:hAnsi="Times New Roman" w:eastAsia="宋体" w:cs="Times New Roman"/>
                <w:b/>
                <w:bCs/>
                <w:color w:val="FF0000"/>
                <w:sz w:val="21"/>
                <w:szCs w:val="21"/>
              </w:rPr>
              <w:t>壳聚糖止血粉</w:t>
            </w:r>
            <w:r>
              <w:rPr>
                <w:rFonts w:ascii="Times New Roman" w:hAnsi="Times New Roman" w:eastAsia="宋体" w:cs="Times New Roman"/>
                <w:b/>
                <w:bCs/>
                <w:color w:val="FF0000"/>
                <w:sz w:val="21"/>
                <w:szCs w:val="21"/>
              </w:rPr>
              <w:t>物料</w:t>
            </w:r>
            <w:r>
              <w:rPr>
                <w:b/>
                <w:bCs/>
                <w:color w:val="FF0000"/>
                <w:sz w:val="21"/>
                <w:szCs w:val="21"/>
              </w:rPr>
              <w:t>平衡表</w:t>
            </w:r>
          </w:p>
          <w:tbl>
            <w:tblPr>
              <w:tblStyle w:val="24"/>
              <w:tblW w:w="496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1146"/>
              <w:gridCol w:w="1182"/>
              <w:gridCol w:w="1785"/>
              <w:gridCol w:w="1470"/>
            </w:tblGrid>
            <w:tr w14:paraId="3257D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5" w:hRule="atLeast"/>
              </w:trPr>
              <w:tc>
                <w:tcPr>
                  <w:tcW w:w="2223" w:type="pct"/>
                  <w:gridSpan w:val="2"/>
                  <w:tcBorders>
                    <w:bottom w:val="single" w:color="auto" w:sz="4" w:space="0"/>
                  </w:tcBorders>
                  <w:noWrap w:val="0"/>
                  <w:vAlign w:val="top"/>
                </w:tcPr>
                <w:p w14:paraId="4511640E">
                  <w:pPr>
                    <w:autoSpaceDE w:val="0"/>
                    <w:autoSpaceDN w:val="0"/>
                    <w:adjustRightInd w:val="0"/>
                    <w:jc w:val="center"/>
                    <w:rPr>
                      <w:b/>
                      <w:bCs/>
                      <w:color w:val="FF0000"/>
                      <w:szCs w:val="21"/>
                    </w:rPr>
                  </w:pPr>
                  <w:r>
                    <w:rPr>
                      <w:b/>
                      <w:bCs/>
                      <w:color w:val="FF0000"/>
                      <w:szCs w:val="21"/>
                    </w:rPr>
                    <w:t>投入</w:t>
                  </w:r>
                </w:p>
              </w:tc>
              <w:tc>
                <w:tcPr>
                  <w:tcW w:w="2776" w:type="pct"/>
                  <w:gridSpan w:val="3"/>
                  <w:tcBorders>
                    <w:bottom w:val="single" w:color="auto" w:sz="4" w:space="0"/>
                  </w:tcBorders>
                  <w:noWrap w:val="0"/>
                  <w:vAlign w:val="top"/>
                </w:tcPr>
                <w:p w14:paraId="00B03A18">
                  <w:pPr>
                    <w:autoSpaceDE w:val="0"/>
                    <w:autoSpaceDN w:val="0"/>
                    <w:adjustRightInd w:val="0"/>
                    <w:jc w:val="center"/>
                    <w:rPr>
                      <w:b/>
                      <w:bCs/>
                      <w:color w:val="FF0000"/>
                      <w:szCs w:val="21"/>
                    </w:rPr>
                  </w:pPr>
                  <w:r>
                    <w:rPr>
                      <w:b/>
                      <w:bCs/>
                      <w:color w:val="FF0000"/>
                      <w:szCs w:val="21"/>
                    </w:rPr>
                    <w:t>产出</w:t>
                  </w:r>
                </w:p>
              </w:tc>
            </w:tr>
            <w:tr w14:paraId="4A360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6132E821">
                  <w:pPr>
                    <w:autoSpaceDE w:val="0"/>
                    <w:autoSpaceDN w:val="0"/>
                    <w:adjustRightInd w:val="0"/>
                    <w:jc w:val="center"/>
                    <w:rPr>
                      <w:b/>
                      <w:bCs/>
                      <w:color w:val="FF0000"/>
                      <w:szCs w:val="21"/>
                    </w:rPr>
                  </w:pPr>
                  <w:r>
                    <w:rPr>
                      <w:b/>
                      <w:bCs/>
                      <w:color w:val="FF0000"/>
                      <w:szCs w:val="21"/>
                    </w:rPr>
                    <w:t>名称</w:t>
                  </w:r>
                </w:p>
              </w:tc>
              <w:tc>
                <w:tcPr>
                  <w:tcW w:w="717" w:type="pct"/>
                  <w:tcBorders>
                    <w:top w:val="single" w:color="auto" w:sz="4" w:space="0"/>
                    <w:bottom w:val="single" w:color="auto" w:sz="4" w:space="0"/>
                  </w:tcBorders>
                  <w:noWrap w:val="0"/>
                  <w:vAlign w:val="center"/>
                </w:tcPr>
                <w:p w14:paraId="17A755FD">
                  <w:pPr>
                    <w:autoSpaceDE w:val="0"/>
                    <w:autoSpaceDN w:val="0"/>
                    <w:adjustRightInd w:val="0"/>
                    <w:jc w:val="center"/>
                    <w:rPr>
                      <w:b/>
                      <w:bCs/>
                      <w:color w:val="FF0000"/>
                      <w:szCs w:val="21"/>
                    </w:rPr>
                  </w:pPr>
                  <w:r>
                    <w:rPr>
                      <w:b/>
                      <w:bCs/>
                      <w:color w:val="FF0000"/>
                      <w:szCs w:val="21"/>
                    </w:rPr>
                    <w:t>数量（</w:t>
                  </w:r>
                  <w:r>
                    <w:rPr>
                      <w:rFonts w:hint="eastAsia"/>
                      <w:b/>
                      <w:bCs/>
                      <w:color w:val="FF0000"/>
                      <w:szCs w:val="21"/>
                    </w:rPr>
                    <w:t>t</w:t>
                  </w:r>
                  <w:r>
                    <w:rPr>
                      <w:b/>
                      <w:bCs/>
                      <w:color w:val="FF0000"/>
                      <w:szCs w:val="21"/>
                    </w:rPr>
                    <w:t>/</w:t>
                  </w:r>
                  <w:r>
                    <w:rPr>
                      <w:rFonts w:hint="eastAsia"/>
                      <w:b/>
                      <w:bCs/>
                      <w:color w:val="FF0000"/>
                      <w:szCs w:val="21"/>
                    </w:rPr>
                    <w:t>a</w:t>
                  </w:r>
                  <w:r>
                    <w:rPr>
                      <w:b/>
                      <w:bCs/>
                      <w:color w:val="FF0000"/>
                      <w:szCs w:val="21"/>
                    </w:rPr>
                    <w:t>）</w:t>
                  </w:r>
                </w:p>
              </w:tc>
              <w:tc>
                <w:tcPr>
                  <w:tcW w:w="1856" w:type="pct"/>
                  <w:gridSpan w:val="2"/>
                  <w:tcBorders>
                    <w:top w:val="single" w:color="auto" w:sz="4" w:space="0"/>
                    <w:bottom w:val="single" w:color="auto" w:sz="4" w:space="0"/>
                  </w:tcBorders>
                  <w:noWrap w:val="0"/>
                  <w:vAlign w:val="center"/>
                </w:tcPr>
                <w:p w14:paraId="4B80B985">
                  <w:pPr>
                    <w:autoSpaceDE w:val="0"/>
                    <w:autoSpaceDN w:val="0"/>
                    <w:adjustRightInd w:val="0"/>
                    <w:jc w:val="center"/>
                    <w:rPr>
                      <w:b/>
                      <w:bCs/>
                      <w:color w:val="FF0000"/>
                      <w:szCs w:val="21"/>
                    </w:rPr>
                  </w:pPr>
                  <w:r>
                    <w:rPr>
                      <w:b/>
                      <w:bCs/>
                      <w:color w:val="FF0000"/>
                      <w:szCs w:val="21"/>
                    </w:rPr>
                    <w:t>名称</w:t>
                  </w:r>
                </w:p>
              </w:tc>
              <w:tc>
                <w:tcPr>
                  <w:tcW w:w="920" w:type="pct"/>
                  <w:tcBorders>
                    <w:top w:val="single" w:color="auto" w:sz="4" w:space="0"/>
                    <w:bottom w:val="single" w:color="auto" w:sz="4" w:space="0"/>
                  </w:tcBorders>
                  <w:noWrap w:val="0"/>
                  <w:vAlign w:val="center"/>
                </w:tcPr>
                <w:p w14:paraId="4E918B7D">
                  <w:pPr>
                    <w:autoSpaceDE w:val="0"/>
                    <w:autoSpaceDN w:val="0"/>
                    <w:adjustRightInd w:val="0"/>
                    <w:jc w:val="center"/>
                    <w:rPr>
                      <w:b/>
                      <w:bCs/>
                      <w:color w:val="FF0000"/>
                      <w:szCs w:val="21"/>
                    </w:rPr>
                  </w:pPr>
                  <w:r>
                    <w:rPr>
                      <w:b/>
                      <w:bCs/>
                      <w:color w:val="FF0000"/>
                      <w:szCs w:val="21"/>
                    </w:rPr>
                    <w:t>数量（</w:t>
                  </w:r>
                  <w:r>
                    <w:rPr>
                      <w:rFonts w:hint="eastAsia"/>
                      <w:b/>
                      <w:bCs/>
                      <w:color w:val="FF0000"/>
                      <w:szCs w:val="21"/>
                    </w:rPr>
                    <w:t>t</w:t>
                  </w:r>
                  <w:r>
                    <w:rPr>
                      <w:b/>
                      <w:bCs/>
                      <w:color w:val="FF0000"/>
                      <w:szCs w:val="21"/>
                    </w:rPr>
                    <w:t>/</w:t>
                  </w:r>
                  <w:r>
                    <w:rPr>
                      <w:rFonts w:hint="eastAsia"/>
                      <w:b/>
                      <w:bCs/>
                      <w:color w:val="FF0000"/>
                      <w:szCs w:val="21"/>
                    </w:rPr>
                    <w:t>a</w:t>
                  </w:r>
                  <w:r>
                    <w:rPr>
                      <w:b/>
                      <w:bCs/>
                      <w:color w:val="FF0000"/>
                      <w:szCs w:val="21"/>
                    </w:rPr>
                    <w:t>）</w:t>
                  </w:r>
                </w:p>
              </w:tc>
            </w:tr>
            <w:tr w14:paraId="14EDC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075AD6B6">
                  <w:pPr>
                    <w:keepNext w:val="0"/>
                    <w:keepLines w:val="0"/>
                    <w:pageBreakBefore w:val="0"/>
                    <w:widowControl w:val="0"/>
                    <w:kinsoku/>
                    <w:wordWrap/>
                    <w:overflowPunct/>
                    <w:topLinePunct w:val="0"/>
                    <w:autoSpaceDE/>
                    <w:autoSpaceDN/>
                    <w:bidi w:val="0"/>
                    <w:spacing w:line="240" w:lineRule="auto"/>
                    <w:jc w:val="center"/>
                    <w:textAlignment w:val="auto"/>
                    <w:rPr>
                      <w:color w:val="FF0000"/>
                      <w:szCs w:val="21"/>
                    </w:rPr>
                  </w:pPr>
                  <w:r>
                    <w:rPr>
                      <w:rFonts w:hint="eastAsia"/>
                      <w:color w:val="FF0000"/>
                      <w:szCs w:val="19"/>
                      <w:lang w:bidi="ar"/>
                    </w:rPr>
                    <w:t>壳聚糖</w:t>
                  </w:r>
                </w:p>
              </w:tc>
              <w:tc>
                <w:tcPr>
                  <w:tcW w:w="717" w:type="pct"/>
                  <w:tcBorders>
                    <w:top w:val="single" w:color="auto" w:sz="4" w:space="0"/>
                    <w:bottom w:val="single" w:color="auto" w:sz="4" w:space="0"/>
                  </w:tcBorders>
                  <w:noWrap w:val="0"/>
                  <w:vAlign w:val="center"/>
                </w:tcPr>
                <w:p w14:paraId="5EB97F2C">
                  <w:pPr>
                    <w:snapToGrid w:val="0"/>
                    <w:spacing w:line="240" w:lineRule="auto"/>
                    <w:jc w:val="center"/>
                    <w:textAlignment w:val="auto"/>
                    <w:rPr>
                      <w:rFonts w:hint="eastAsia" w:eastAsia="宋体"/>
                      <w:color w:val="FF0000"/>
                      <w:szCs w:val="21"/>
                      <w:lang w:eastAsia="zh-CN"/>
                    </w:rPr>
                  </w:pPr>
                  <w:r>
                    <w:rPr>
                      <w:rFonts w:hint="eastAsia"/>
                      <w:color w:val="FF0000"/>
                      <w:szCs w:val="21"/>
                      <w:lang w:val="en-US" w:eastAsia="zh-CN"/>
                    </w:rPr>
                    <w:t>4</w:t>
                  </w:r>
                </w:p>
              </w:tc>
              <w:tc>
                <w:tcPr>
                  <w:tcW w:w="739" w:type="pct"/>
                  <w:tcBorders>
                    <w:top w:val="single" w:color="auto" w:sz="4" w:space="0"/>
                    <w:bottom w:val="single" w:color="auto" w:sz="4" w:space="0"/>
                  </w:tcBorders>
                  <w:noWrap w:val="0"/>
                  <w:vAlign w:val="center"/>
                </w:tcPr>
                <w:p w14:paraId="7F6B0E93">
                  <w:pPr>
                    <w:autoSpaceDE w:val="0"/>
                    <w:autoSpaceDN w:val="0"/>
                    <w:adjustRightInd w:val="0"/>
                    <w:jc w:val="center"/>
                    <w:rPr>
                      <w:color w:val="FF0000"/>
                      <w:szCs w:val="21"/>
                    </w:rPr>
                  </w:pPr>
                  <w:r>
                    <w:rPr>
                      <w:rFonts w:hint="eastAsia"/>
                      <w:color w:val="FF0000"/>
                      <w:szCs w:val="21"/>
                    </w:rPr>
                    <w:t>产品</w:t>
                  </w:r>
                </w:p>
              </w:tc>
              <w:tc>
                <w:tcPr>
                  <w:tcW w:w="1117" w:type="pct"/>
                  <w:tcBorders>
                    <w:top w:val="single" w:color="auto" w:sz="4" w:space="0"/>
                    <w:bottom w:val="single" w:color="auto" w:sz="4" w:space="0"/>
                  </w:tcBorders>
                  <w:noWrap w:val="0"/>
                  <w:vAlign w:val="center"/>
                </w:tcPr>
                <w:p w14:paraId="2918B521">
                  <w:pPr>
                    <w:autoSpaceDE w:val="0"/>
                    <w:autoSpaceDN w:val="0"/>
                    <w:adjustRightInd w:val="0"/>
                    <w:jc w:val="center"/>
                    <w:rPr>
                      <w:rFonts w:hint="eastAsia"/>
                      <w:color w:val="FF0000"/>
                      <w:szCs w:val="21"/>
                    </w:rPr>
                  </w:pPr>
                  <w:r>
                    <w:rPr>
                      <w:rFonts w:hint="eastAsia"/>
                      <w:color w:val="FF0000"/>
                      <w:szCs w:val="19"/>
                      <w:lang w:bidi="ar"/>
                    </w:rPr>
                    <w:t>壳聚糖止血粉</w:t>
                  </w:r>
                </w:p>
              </w:tc>
              <w:tc>
                <w:tcPr>
                  <w:tcW w:w="920" w:type="pct"/>
                  <w:tcBorders>
                    <w:top w:val="single" w:color="auto" w:sz="4" w:space="0"/>
                    <w:bottom w:val="single" w:color="auto" w:sz="4" w:space="0"/>
                  </w:tcBorders>
                  <w:noWrap w:val="0"/>
                  <w:vAlign w:val="center"/>
                </w:tcPr>
                <w:p w14:paraId="7F44F4F0">
                  <w:pPr>
                    <w:autoSpaceDE w:val="0"/>
                    <w:autoSpaceDN w:val="0"/>
                    <w:adjustRightInd w:val="0"/>
                    <w:jc w:val="center"/>
                    <w:rPr>
                      <w:rFonts w:hint="default" w:eastAsia="宋体"/>
                      <w:color w:val="FF0000"/>
                      <w:szCs w:val="21"/>
                      <w:lang w:val="en-US" w:eastAsia="zh-CN"/>
                    </w:rPr>
                  </w:pPr>
                  <w:r>
                    <w:rPr>
                      <w:rFonts w:hint="eastAsia"/>
                      <w:color w:val="FF0000"/>
                      <w:szCs w:val="21"/>
                      <w:lang w:val="en-US" w:eastAsia="zh-CN"/>
                    </w:rPr>
                    <w:t>5.9</w:t>
                  </w:r>
                </w:p>
              </w:tc>
            </w:tr>
            <w:tr w14:paraId="0F028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36E56014">
                  <w:pPr>
                    <w:keepNext w:val="0"/>
                    <w:keepLines w:val="0"/>
                    <w:pageBreakBefore w:val="0"/>
                    <w:widowControl w:val="0"/>
                    <w:kinsoku/>
                    <w:wordWrap/>
                    <w:overflowPunct/>
                    <w:topLinePunct w:val="0"/>
                    <w:autoSpaceDE/>
                    <w:autoSpaceDN/>
                    <w:bidi w:val="0"/>
                    <w:spacing w:line="240" w:lineRule="auto"/>
                    <w:jc w:val="center"/>
                    <w:textAlignment w:val="auto"/>
                    <w:rPr>
                      <w:color w:val="FF0000"/>
                      <w:szCs w:val="21"/>
                    </w:rPr>
                  </w:pPr>
                  <w:r>
                    <w:rPr>
                      <w:rFonts w:hint="eastAsia" w:ascii="Times New Roman" w:hAnsi="Times New Roman" w:eastAsia="宋体" w:cs="Times New Roman"/>
                      <w:color w:val="FF0000"/>
                      <w:szCs w:val="19"/>
                      <w:lang w:val="zh-CN" w:bidi="ar"/>
                    </w:rPr>
                    <w:t>铝膜袋</w:t>
                  </w:r>
                </w:p>
              </w:tc>
              <w:tc>
                <w:tcPr>
                  <w:tcW w:w="717" w:type="pct"/>
                  <w:tcBorders>
                    <w:top w:val="single" w:color="auto" w:sz="4" w:space="0"/>
                    <w:bottom w:val="single" w:color="auto" w:sz="4" w:space="0"/>
                  </w:tcBorders>
                  <w:noWrap w:val="0"/>
                  <w:vAlign w:val="center"/>
                </w:tcPr>
                <w:p w14:paraId="08EF145A">
                  <w:pPr>
                    <w:snapToGrid w:val="0"/>
                    <w:spacing w:line="240" w:lineRule="auto"/>
                    <w:jc w:val="center"/>
                    <w:textAlignment w:val="auto"/>
                    <w:rPr>
                      <w:color w:val="FF0000"/>
                      <w:szCs w:val="21"/>
                    </w:rPr>
                  </w:pPr>
                  <w:r>
                    <w:rPr>
                      <w:rFonts w:hint="eastAsia"/>
                      <w:color w:val="FF0000"/>
                      <w:szCs w:val="21"/>
                      <w:lang w:val="en-US" w:eastAsia="zh-CN"/>
                    </w:rPr>
                    <w:t>1</w:t>
                  </w:r>
                </w:p>
              </w:tc>
              <w:tc>
                <w:tcPr>
                  <w:tcW w:w="739" w:type="pct"/>
                  <w:tcBorders>
                    <w:top w:val="single" w:color="auto" w:sz="4" w:space="0"/>
                    <w:bottom w:val="single" w:color="auto" w:sz="4" w:space="0"/>
                  </w:tcBorders>
                  <w:noWrap w:val="0"/>
                  <w:vAlign w:val="center"/>
                </w:tcPr>
                <w:p w14:paraId="0DAF7838">
                  <w:pPr>
                    <w:autoSpaceDE w:val="0"/>
                    <w:autoSpaceDN w:val="0"/>
                    <w:adjustRightInd w:val="0"/>
                    <w:jc w:val="center"/>
                    <w:rPr>
                      <w:rFonts w:hint="default" w:eastAsia="宋体"/>
                      <w:color w:val="FF0000"/>
                      <w:szCs w:val="21"/>
                      <w:lang w:val="en-US" w:eastAsia="zh-CN"/>
                    </w:rPr>
                  </w:pPr>
                  <w:r>
                    <w:rPr>
                      <w:rFonts w:hint="eastAsia"/>
                      <w:color w:val="FF0000"/>
                      <w:szCs w:val="21"/>
                      <w:lang w:val="en-US" w:eastAsia="zh-CN"/>
                    </w:rPr>
                    <w:t>成品检验</w:t>
                  </w:r>
                </w:p>
              </w:tc>
              <w:tc>
                <w:tcPr>
                  <w:tcW w:w="1117" w:type="pct"/>
                  <w:tcBorders>
                    <w:top w:val="single" w:color="auto" w:sz="4" w:space="0"/>
                    <w:bottom w:val="single" w:color="auto" w:sz="4" w:space="0"/>
                  </w:tcBorders>
                  <w:noWrap w:val="0"/>
                  <w:vAlign w:val="center"/>
                </w:tcPr>
                <w:p w14:paraId="71EDC427">
                  <w:pPr>
                    <w:autoSpaceDE w:val="0"/>
                    <w:autoSpaceDN w:val="0"/>
                    <w:adjustRightInd w:val="0"/>
                    <w:jc w:val="center"/>
                    <w:rPr>
                      <w:rFonts w:hint="eastAsia" w:eastAsia="宋体"/>
                      <w:color w:val="FF0000"/>
                      <w:szCs w:val="21"/>
                      <w:lang w:eastAsia="zh-CN"/>
                    </w:rPr>
                  </w:pPr>
                  <w:r>
                    <w:rPr>
                      <w:rFonts w:hint="eastAsia"/>
                      <w:color w:val="FF0000"/>
                      <w:szCs w:val="21"/>
                      <w:lang w:val="en-US" w:eastAsia="zh-CN"/>
                    </w:rPr>
                    <w:t>不合格品</w:t>
                  </w:r>
                </w:p>
              </w:tc>
              <w:tc>
                <w:tcPr>
                  <w:tcW w:w="920" w:type="pct"/>
                  <w:tcBorders>
                    <w:top w:val="single" w:color="auto" w:sz="4" w:space="0"/>
                    <w:bottom w:val="single" w:color="auto" w:sz="4" w:space="0"/>
                  </w:tcBorders>
                  <w:noWrap w:val="0"/>
                  <w:vAlign w:val="center"/>
                </w:tcPr>
                <w:p w14:paraId="6CACCA56">
                  <w:pPr>
                    <w:autoSpaceDE w:val="0"/>
                    <w:autoSpaceDN w:val="0"/>
                    <w:adjustRightInd w:val="0"/>
                    <w:jc w:val="center"/>
                    <w:rPr>
                      <w:rFonts w:hint="default" w:eastAsia="宋体"/>
                      <w:color w:val="FF0000"/>
                      <w:szCs w:val="21"/>
                      <w:lang w:val="en-US" w:eastAsia="zh-CN"/>
                    </w:rPr>
                  </w:pPr>
                  <w:r>
                    <w:rPr>
                      <w:rFonts w:hint="eastAsia"/>
                      <w:color w:val="FF0000"/>
                      <w:szCs w:val="21"/>
                      <w:lang w:val="en-US" w:eastAsia="zh-CN"/>
                    </w:rPr>
                    <w:t>0.1</w:t>
                  </w:r>
                </w:p>
              </w:tc>
            </w:tr>
            <w:tr w14:paraId="6A7735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70020AA1">
                  <w:pPr>
                    <w:keepNext w:val="0"/>
                    <w:keepLines w:val="0"/>
                    <w:pageBreakBefore w:val="0"/>
                    <w:widowControl w:val="0"/>
                    <w:kinsoku/>
                    <w:wordWrap/>
                    <w:overflowPunct/>
                    <w:topLinePunct w:val="0"/>
                    <w:autoSpaceDE/>
                    <w:autoSpaceDN/>
                    <w:bidi w:val="0"/>
                    <w:spacing w:line="240" w:lineRule="auto"/>
                    <w:jc w:val="center"/>
                    <w:textAlignment w:val="auto"/>
                    <w:rPr>
                      <w:rFonts w:hint="eastAsia"/>
                      <w:color w:val="FF0000"/>
                      <w:szCs w:val="21"/>
                    </w:rPr>
                  </w:pPr>
                  <w:r>
                    <w:rPr>
                      <w:rFonts w:hint="eastAsia" w:ascii="Times New Roman" w:hAnsi="Times New Roman" w:eastAsia="宋体" w:cs="Times New Roman"/>
                      <w:color w:val="FF0000"/>
                      <w:szCs w:val="19"/>
                      <w:lang w:val="en-US" w:eastAsia="zh-CN" w:bidi="ar"/>
                    </w:rPr>
                    <w:t>塑料瓶</w:t>
                  </w:r>
                </w:p>
              </w:tc>
              <w:tc>
                <w:tcPr>
                  <w:tcW w:w="717" w:type="pct"/>
                  <w:tcBorders>
                    <w:top w:val="single" w:color="auto" w:sz="4" w:space="0"/>
                    <w:bottom w:val="single" w:color="auto" w:sz="4" w:space="0"/>
                  </w:tcBorders>
                  <w:noWrap w:val="0"/>
                  <w:vAlign w:val="center"/>
                </w:tcPr>
                <w:p w14:paraId="21592C1E">
                  <w:pPr>
                    <w:snapToGrid w:val="0"/>
                    <w:spacing w:line="240" w:lineRule="auto"/>
                    <w:jc w:val="center"/>
                    <w:textAlignment w:val="auto"/>
                    <w:rPr>
                      <w:color w:val="FF0000"/>
                      <w:szCs w:val="21"/>
                    </w:rPr>
                  </w:pPr>
                  <w:r>
                    <w:rPr>
                      <w:rFonts w:hint="eastAsia"/>
                      <w:color w:val="FF0000"/>
                      <w:szCs w:val="21"/>
                      <w:lang w:val="en-US" w:eastAsia="zh-CN"/>
                    </w:rPr>
                    <w:t>1</w:t>
                  </w:r>
                </w:p>
              </w:tc>
              <w:tc>
                <w:tcPr>
                  <w:tcW w:w="2776" w:type="pct"/>
                  <w:gridSpan w:val="3"/>
                  <w:tcBorders>
                    <w:top w:val="single" w:color="auto" w:sz="4" w:space="0"/>
                  </w:tcBorders>
                  <w:noWrap w:val="0"/>
                  <w:vAlign w:val="center"/>
                </w:tcPr>
                <w:p w14:paraId="17F27723">
                  <w:pPr>
                    <w:autoSpaceDE w:val="0"/>
                    <w:autoSpaceDN w:val="0"/>
                    <w:adjustRightInd w:val="0"/>
                    <w:jc w:val="center"/>
                    <w:rPr>
                      <w:rFonts w:hint="eastAsia" w:eastAsia="宋体"/>
                      <w:color w:val="FF0000"/>
                      <w:szCs w:val="21"/>
                      <w:lang w:val="en-US" w:eastAsia="zh-CN"/>
                    </w:rPr>
                  </w:pPr>
                  <w:r>
                    <w:rPr>
                      <w:rFonts w:hint="eastAsia"/>
                      <w:color w:val="FF0000"/>
                      <w:szCs w:val="21"/>
                      <w:lang w:val="en-US" w:eastAsia="zh-CN"/>
                    </w:rPr>
                    <w:t>/</w:t>
                  </w:r>
                </w:p>
              </w:tc>
            </w:tr>
            <w:tr w14:paraId="7DDF1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12" w:space="0"/>
                  </w:tcBorders>
                  <w:noWrap w:val="0"/>
                  <w:vAlign w:val="center"/>
                </w:tcPr>
                <w:p w14:paraId="594B1F18">
                  <w:pPr>
                    <w:pStyle w:val="83"/>
                    <w:spacing w:line="240" w:lineRule="auto"/>
                    <w:ind w:firstLine="0" w:firstLineChars="0"/>
                    <w:jc w:val="center"/>
                    <w:textAlignment w:val="baseline"/>
                    <w:rPr>
                      <w:rStyle w:val="84"/>
                      <w:color w:val="FF0000"/>
                      <w:kern w:val="0"/>
                      <w:sz w:val="21"/>
                      <w:szCs w:val="21"/>
                    </w:rPr>
                  </w:pPr>
                  <w:r>
                    <w:rPr>
                      <w:rStyle w:val="84"/>
                      <w:color w:val="FF0000"/>
                      <w:kern w:val="0"/>
                      <w:sz w:val="21"/>
                      <w:szCs w:val="21"/>
                    </w:rPr>
                    <w:t>合计</w:t>
                  </w:r>
                </w:p>
              </w:tc>
              <w:tc>
                <w:tcPr>
                  <w:tcW w:w="717" w:type="pct"/>
                  <w:tcBorders>
                    <w:top w:val="single" w:color="auto" w:sz="4" w:space="0"/>
                    <w:bottom w:val="single" w:color="auto" w:sz="12" w:space="0"/>
                  </w:tcBorders>
                  <w:noWrap w:val="0"/>
                  <w:vAlign w:val="center"/>
                </w:tcPr>
                <w:p w14:paraId="609CC8B8">
                  <w:pPr>
                    <w:autoSpaceDE w:val="0"/>
                    <w:autoSpaceDN w:val="0"/>
                    <w:adjustRightInd w:val="0"/>
                    <w:jc w:val="center"/>
                    <w:rPr>
                      <w:rFonts w:hint="default" w:eastAsia="宋体"/>
                      <w:color w:val="FF0000"/>
                      <w:szCs w:val="21"/>
                      <w:lang w:val="en-US" w:eastAsia="zh-CN"/>
                    </w:rPr>
                  </w:pPr>
                  <w:r>
                    <w:rPr>
                      <w:rFonts w:hint="eastAsia"/>
                      <w:color w:val="FF0000"/>
                      <w:szCs w:val="21"/>
                      <w:lang w:val="en-US" w:eastAsia="zh-CN"/>
                    </w:rPr>
                    <w:t>6</w:t>
                  </w:r>
                </w:p>
              </w:tc>
              <w:tc>
                <w:tcPr>
                  <w:tcW w:w="1856" w:type="pct"/>
                  <w:gridSpan w:val="2"/>
                  <w:tcBorders>
                    <w:top w:val="single" w:color="auto" w:sz="4" w:space="0"/>
                    <w:bottom w:val="single" w:color="auto" w:sz="12" w:space="0"/>
                  </w:tcBorders>
                  <w:noWrap w:val="0"/>
                  <w:vAlign w:val="center"/>
                </w:tcPr>
                <w:p w14:paraId="01B215D5">
                  <w:pPr>
                    <w:pStyle w:val="83"/>
                    <w:spacing w:line="240" w:lineRule="auto"/>
                    <w:ind w:firstLine="0" w:firstLineChars="0"/>
                    <w:jc w:val="center"/>
                    <w:textAlignment w:val="baseline"/>
                    <w:rPr>
                      <w:color w:val="FF0000"/>
                      <w:szCs w:val="21"/>
                    </w:rPr>
                  </w:pPr>
                  <w:r>
                    <w:rPr>
                      <w:rStyle w:val="84"/>
                      <w:color w:val="FF0000"/>
                      <w:kern w:val="0"/>
                      <w:sz w:val="21"/>
                      <w:szCs w:val="21"/>
                    </w:rPr>
                    <w:t>合计</w:t>
                  </w:r>
                </w:p>
              </w:tc>
              <w:tc>
                <w:tcPr>
                  <w:tcW w:w="920" w:type="pct"/>
                  <w:tcBorders>
                    <w:top w:val="single" w:color="auto" w:sz="4" w:space="0"/>
                    <w:bottom w:val="single" w:color="auto" w:sz="12" w:space="0"/>
                  </w:tcBorders>
                  <w:noWrap w:val="0"/>
                  <w:vAlign w:val="center"/>
                </w:tcPr>
                <w:p w14:paraId="42141975">
                  <w:pPr>
                    <w:autoSpaceDE w:val="0"/>
                    <w:autoSpaceDN w:val="0"/>
                    <w:adjustRightInd w:val="0"/>
                    <w:jc w:val="center"/>
                    <w:rPr>
                      <w:rFonts w:hint="default" w:eastAsia="宋体"/>
                      <w:color w:val="FF0000"/>
                      <w:szCs w:val="21"/>
                      <w:lang w:val="en-US" w:eastAsia="zh-CN"/>
                    </w:rPr>
                  </w:pPr>
                  <w:r>
                    <w:rPr>
                      <w:rFonts w:hint="eastAsia"/>
                      <w:color w:val="FF0000"/>
                      <w:szCs w:val="21"/>
                      <w:lang w:val="en-US" w:eastAsia="zh-CN"/>
                    </w:rPr>
                    <w:t>6</w:t>
                  </w:r>
                </w:p>
              </w:tc>
            </w:tr>
          </w:tbl>
          <w:p w14:paraId="169B4F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lang w:val="en-US" w:eastAsia="zh-CN"/>
              </w:rPr>
            </w:pPr>
            <w:r>
              <w:rPr>
                <w:rFonts w:hint="eastAsia"/>
                <w:color w:val="auto"/>
                <w:sz w:val="24"/>
                <w:lang w:val="en-US" w:eastAsia="zh-CN"/>
              </w:rPr>
              <w:t>7、</w:t>
            </w:r>
            <w:r>
              <w:rPr>
                <w:rFonts w:hint="eastAsia" w:ascii="Times New Roman" w:hAnsi="Times New Roman" w:eastAsia="宋体" w:cs="Times New Roman"/>
                <w:color w:val="auto"/>
                <w:sz w:val="24"/>
              </w:rPr>
              <w:t>穴位压力刺激贴物料</w:t>
            </w:r>
            <w:r>
              <w:rPr>
                <w:color w:val="auto"/>
                <w:sz w:val="24"/>
              </w:rPr>
              <w:t>平衡</w:t>
            </w:r>
            <w:r>
              <w:rPr>
                <w:rFonts w:hint="eastAsia"/>
                <w:color w:val="auto"/>
                <w:sz w:val="24"/>
              </w:rPr>
              <w:t>分析详见如下。</w:t>
            </w:r>
          </w:p>
          <w:p w14:paraId="77D6B1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color w:val="auto"/>
                <w:sz w:val="24"/>
                <w:lang w:val="en-US" w:eastAsia="zh-CN"/>
              </w:rPr>
            </w:pPr>
            <w:r>
              <w:rPr>
                <w:rFonts w:hint="default"/>
                <w:color w:val="auto"/>
                <w:sz w:val="24"/>
                <w:lang w:val="en-US" w:eastAsia="zh-CN"/>
              </w:rPr>
              <w:object>
                <v:shape id="_x0000_i1045" o:spt="75" type="#_x0000_t75" style="height:326.8pt;width:203.4pt;" o:ole="t" filled="f" o:preferrelative="t" stroked="f" coordsize="21600,21600">
                  <v:path/>
                  <v:fill on="f" focussize="0,0"/>
                  <v:stroke on="f"/>
                  <v:imagedata r:id="rId54" o:title=""/>
                  <o:lock v:ext="edit" aspectratio="f"/>
                  <w10:wrap type="none"/>
                  <w10:anchorlock/>
                </v:shape>
                <o:OLEObject Type="Embed" ProgID="Visio.Drawing.11" ShapeID="_x0000_i1045" DrawAspect="Content" ObjectID="_1468075745" r:id="rId53">
                  <o:LockedField>false</o:LockedField>
                </o:OLEObject>
              </w:object>
            </w:r>
          </w:p>
          <w:p w14:paraId="7F4AC4D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hAnsi="宋体" w:cs="宋体"/>
                <w:b/>
                <w:bCs/>
                <w:color w:val="auto"/>
                <w:szCs w:val="21"/>
              </w:rPr>
            </w:pPr>
            <w:r>
              <w:rPr>
                <w:rFonts w:ascii="Times New Roman"/>
                <w:b/>
                <w:bCs/>
                <w:color w:val="auto"/>
                <w:szCs w:val="21"/>
              </w:rPr>
              <w:t>图</w:t>
            </w:r>
            <w:r>
              <w:rPr>
                <w:rFonts w:hint="eastAsia" w:ascii="Times New Roman"/>
                <w:b/>
                <w:bCs/>
                <w:color w:val="auto"/>
                <w:szCs w:val="21"/>
              </w:rPr>
              <w:t>2</w:t>
            </w:r>
            <w:r>
              <w:rPr>
                <w:rFonts w:ascii="Times New Roman"/>
                <w:b/>
                <w:bCs/>
                <w:color w:val="auto"/>
                <w:szCs w:val="21"/>
              </w:rPr>
              <w:t>-</w:t>
            </w:r>
            <w:r>
              <w:rPr>
                <w:rFonts w:hint="eastAsia"/>
                <w:b/>
                <w:bCs/>
                <w:color w:val="auto"/>
                <w:szCs w:val="21"/>
                <w:lang w:val="en-US" w:eastAsia="zh-CN"/>
              </w:rPr>
              <w:t>22</w:t>
            </w:r>
            <w:r>
              <w:rPr>
                <w:rFonts w:hint="eastAsia" w:ascii="Times New Roman"/>
                <w:b/>
                <w:bCs/>
                <w:color w:val="auto"/>
                <w:szCs w:val="21"/>
              </w:rPr>
              <w:t xml:space="preserve"> </w:t>
            </w:r>
            <w:r>
              <w:rPr>
                <w:rFonts w:ascii="Times New Roman"/>
                <w:b/>
                <w:bCs/>
                <w:color w:val="auto"/>
                <w:szCs w:val="21"/>
              </w:rPr>
              <w:t xml:space="preserve"> </w:t>
            </w:r>
            <w:r>
              <w:rPr>
                <w:rFonts w:hint="eastAsia" w:ascii="宋体" w:hAnsi="宋体" w:eastAsia="宋体" w:cs="宋体"/>
                <w:b/>
                <w:bCs/>
                <w:color w:val="auto"/>
                <w:szCs w:val="21"/>
              </w:rPr>
              <w:t>项</w:t>
            </w:r>
            <w:r>
              <w:rPr>
                <w:rFonts w:hint="eastAsia" w:ascii="Times New Roman" w:hAnsi="宋体" w:eastAsia="宋体" w:cs="宋体"/>
                <w:b/>
                <w:bCs/>
                <w:color w:val="auto"/>
                <w:szCs w:val="21"/>
              </w:rPr>
              <w:t>目穴位压力刺激贴物</w:t>
            </w:r>
            <w:r>
              <w:rPr>
                <w:rFonts w:hint="eastAsia" w:ascii="宋体" w:hAnsi="宋体" w:eastAsia="宋体" w:cs="宋体"/>
                <w:b/>
                <w:bCs/>
                <w:color w:val="auto"/>
                <w:szCs w:val="21"/>
              </w:rPr>
              <w:t>料</w:t>
            </w:r>
            <w:r>
              <w:rPr>
                <w:rFonts w:hint="eastAsia" w:hAnsi="宋体" w:cs="宋体"/>
                <w:b/>
                <w:bCs/>
                <w:color w:val="auto"/>
                <w:szCs w:val="21"/>
              </w:rPr>
              <w:t>平衡图  （单位：t/a）</w:t>
            </w:r>
          </w:p>
          <w:p w14:paraId="466E3C01">
            <w:pPr>
              <w:ind w:firstLine="480" w:firstLineChars="200"/>
              <w:rPr>
                <w:rFonts w:hint="eastAsia"/>
                <w:color w:val="auto"/>
              </w:rPr>
            </w:pPr>
            <w:r>
              <w:rPr>
                <w:rFonts w:hint="eastAsia" w:ascii="宋体" w:hAnsi="宋体" w:cs="宋体"/>
                <w:color w:val="auto"/>
                <w:sz w:val="24"/>
              </w:rPr>
              <w:t>本项</w:t>
            </w:r>
            <w:r>
              <w:rPr>
                <w:rFonts w:hint="eastAsia" w:ascii="宋体" w:hAnsi="宋体" w:eastAsia="宋体" w:cs="宋体"/>
                <w:color w:val="auto"/>
                <w:sz w:val="24"/>
              </w:rPr>
              <w:t>目穴位压力刺激贴物料平</w:t>
            </w:r>
            <w:r>
              <w:rPr>
                <w:rFonts w:hint="eastAsia" w:ascii="宋体" w:hAnsi="宋体" w:cs="宋体"/>
                <w:color w:val="auto"/>
                <w:sz w:val="24"/>
              </w:rPr>
              <w:t>衡表</w:t>
            </w:r>
            <w:r>
              <w:rPr>
                <w:color w:val="auto"/>
                <w:sz w:val="24"/>
              </w:rPr>
              <w:t>见</w:t>
            </w:r>
            <w:r>
              <w:rPr>
                <w:rFonts w:hint="eastAsia"/>
                <w:color w:val="auto"/>
                <w:sz w:val="24"/>
                <w:lang w:val="en-US" w:eastAsia="zh-CN"/>
              </w:rPr>
              <w:t>下</w:t>
            </w:r>
            <w:r>
              <w:rPr>
                <w:color w:val="auto"/>
                <w:sz w:val="24"/>
              </w:rPr>
              <w:t>表</w:t>
            </w:r>
            <w:r>
              <w:rPr>
                <w:rFonts w:hint="eastAsia"/>
                <w:color w:val="auto"/>
                <w:sz w:val="24"/>
              </w:rPr>
              <w:t>。</w:t>
            </w:r>
          </w:p>
          <w:p w14:paraId="0A1FF762">
            <w:pPr>
              <w:pStyle w:val="10"/>
              <w:spacing w:before="0" w:after="0" w:line="240" w:lineRule="auto"/>
              <w:ind w:right="0"/>
              <w:jc w:val="center"/>
              <w:rPr>
                <w:b/>
                <w:bCs/>
                <w:color w:val="auto"/>
                <w:sz w:val="21"/>
                <w:szCs w:val="21"/>
              </w:rPr>
            </w:pPr>
            <w:r>
              <w:rPr>
                <w:b/>
                <w:bCs/>
                <w:color w:val="auto"/>
                <w:sz w:val="21"/>
                <w:szCs w:val="21"/>
              </w:rPr>
              <w:t>表</w:t>
            </w:r>
            <w:r>
              <w:rPr>
                <w:rFonts w:hint="eastAsia"/>
                <w:b/>
                <w:bCs/>
                <w:color w:val="auto"/>
                <w:sz w:val="21"/>
                <w:szCs w:val="21"/>
              </w:rPr>
              <w:t>2-1</w:t>
            </w:r>
            <w:r>
              <w:rPr>
                <w:rFonts w:hint="eastAsia"/>
                <w:b/>
                <w:bCs/>
                <w:color w:val="auto"/>
                <w:sz w:val="21"/>
                <w:szCs w:val="21"/>
                <w:lang w:val="en-US" w:eastAsia="zh-CN"/>
              </w:rPr>
              <w:t>7</w:t>
            </w:r>
            <w:r>
              <w:rPr>
                <w:rFonts w:hint="eastAsia"/>
                <w:b/>
                <w:bCs/>
                <w:color w:val="auto"/>
                <w:sz w:val="21"/>
                <w:szCs w:val="21"/>
              </w:rPr>
              <w:t xml:space="preserve">  </w:t>
            </w:r>
            <w:r>
              <w:rPr>
                <w:rFonts w:hint="eastAsia" w:ascii="Times New Roman" w:hAnsi="Times New Roman" w:eastAsia="宋体" w:cs="Times New Roman"/>
                <w:b/>
                <w:bCs/>
                <w:color w:val="auto"/>
                <w:sz w:val="21"/>
                <w:szCs w:val="21"/>
              </w:rPr>
              <w:t>穴位压力刺激贴</w:t>
            </w:r>
            <w:r>
              <w:rPr>
                <w:rFonts w:ascii="Times New Roman" w:hAnsi="Times New Roman" w:eastAsia="宋体" w:cs="Times New Roman"/>
                <w:b/>
                <w:bCs/>
                <w:color w:val="auto"/>
                <w:sz w:val="21"/>
                <w:szCs w:val="21"/>
              </w:rPr>
              <w:t>物料</w:t>
            </w:r>
            <w:r>
              <w:rPr>
                <w:b/>
                <w:bCs/>
                <w:color w:val="auto"/>
                <w:sz w:val="21"/>
                <w:szCs w:val="21"/>
              </w:rPr>
              <w:t>平衡表</w:t>
            </w:r>
          </w:p>
          <w:tbl>
            <w:tblPr>
              <w:tblStyle w:val="24"/>
              <w:tblW w:w="496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1146"/>
              <w:gridCol w:w="711"/>
              <w:gridCol w:w="2256"/>
              <w:gridCol w:w="1470"/>
            </w:tblGrid>
            <w:tr w14:paraId="4A2C4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223" w:type="pct"/>
                  <w:gridSpan w:val="2"/>
                  <w:tcBorders>
                    <w:bottom w:val="single" w:color="auto" w:sz="4" w:space="0"/>
                  </w:tcBorders>
                  <w:noWrap w:val="0"/>
                  <w:vAlign w:val="top"/>
                </w:tcPr>
                <w:p w14:paraId="31B19EA8">
                  <w:pPr>
                    <w:autoSpaceDE w:val="0"/>
                    <w:autoSpaceDN w:val="0"/>
                    <w:adjustRightInd w:val="0"/>
                    <w:jc w:val="center"/>
                    <w:rPr>
                      <w:b/>
                      <w:bCs/>
                      <w:color w:val="auto"/>
                      <w:szCs w:val="21"/>
                    </w:rPr>
                  </w:pPr>
                  <w:r>
                    <w:rPr>
                      <w:b/>
                      <w:bCs/>
                      <w:color w:val="auto"/>
                      <w:szCs w:val="21"/>
                    </w:rPr>
                    <w:t>投入</w:t>
                  </w:r>
                </w:p>
              </w:tc>
              <w:tc>
                <w:tcPr>
                  <w:tcW w:w="2776" w:type="pct"/>
                  <w:gridSpan w:val="3"/>
                  <w:tcBorders>
                    <w:bottom w:val="single" w:color="auto" w:sz="4" w:space="0"/>
                  </w:tcBorders>
                  <w:noWrap w:val="0"/>
                  <w:vAlign w:val="top"/>
                </w:tcPr>
                <w:p w14:paraId="0A6E1D29">
                  <w:pPr>
                    <w:autoSpaceDE w:val="0"/>
                    <w:autoSpaceDN w:val="0"/>
                    <w:adjustRightInd w:val="0"/>
                    <w:jc w:val="center"/>
                    <w:rPr>
                      <w:b/>
                      <w:bCs/>
                      <w:color w:val="auto"/>
                      <w:szCs w:val="21"/>
                    </w:rPr>
                  </w:pPr>
                  <w:r>
                    <w:rPr>
                      <w:b/>
                      <w:bCs/>
                      <w:color w:val="auto"/>
                      <w:szCs w:val="21"/>
                    </w:rPr>
                    <w:t>产出</w:t>
                  </w:r>
                </w:p>
              </w:tc>
            </w:tr>
            <w:tr w14:paraId="7B5903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57436CFE">
                  <w:pPr>
                    <w:autoSpaceDE w:val="0"/>
                    <w:autoSpaceDN w:val="0"/>
                    <w:adjustRightInd w:val="0"/>
                    <w:jc w:val="center"/>
                    <w:rPr>
                      <w:b/>
                      <w:bCs/>
                      <w:color w:val="auto"/>
                      <w:szCs w:val="21"/>
                    </w:rPr>
                  </w:pPr>
                  <w:r>
                    <w:rPr>
                      <w:b/>
                      <w:bCs/>
                      <w:color w:val="auto"/>
                      <w:szCs w:val="21"/>
                    </w:rPr>
                    <w:t>名称</w:t>
                  </w:r>
                </w:p>
              </w:tc>
              <w:tc>
                <w:tcPr>
                  <w:tcW w:w="717" w:type="pct"/>
                  <w:tcBorders>
                    <w:top w:val="single" w:color="auto" w:sz="4" w:space="0"/>
                    <w:bottom w:val="single" w:color="auto" w:sz="4" w:space="0"/>
                  </w:tcBorders>
                  <w:noWrap w:val="0"/>
                  <w:vAlign w:val="center"/>
                </w:tcPr>
                <w:p w14:paraId="123F13AB">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c>
                <w:tcPr>
                  <w:tcW w:w="1856" w:type="pct"/>
                  <w:gridSpan w:val="2"/>
                  <w:tcBorders>
                    <w:top w:val="single" w:color="auto" w:sz="4" w:space="0"/>
                    <w:bottom w:val="single" w:color="auto" w:sz="4" w:space="0"/>
                  </w:tcBorders>
                  <w:noWrap w:val="0"/>
                  <w:vAlign w:val="center"/>
                </w:tcPr>
                <w:p w14:paraId="5F299846">
                  <w:pPr>
                    <w:autoSpaceDE w:val="0"/>
                    <w:autoSpaceDN w:val="0"/>
                    <w:adjustRightInd w:val="0"/>
                    <w:jc w:val="center"/>
                    <w:rPr>
                      <w:b/>
                      <w:bCs/>
                      <w:color w:val="auto"/>
                      <w:szCs w:val="21"/>
                    </w:rPr>
                  </w:pPr>
                  <w:r>
                    <w:rPr>
                      <w:b/>
                      <w:bCs/>
                      <w:color w:val="auto"/>
                      <w:szCs w:val="21"/>
                    </w:rPr>
                    <w:t>名称</w:t>
                  </w:r>
                </w:p>
              </w:tc>
              <w:tc>
                <w:tcPr>
                  <w:tcW w:w="920" w:type="pct"/>
                  <w:tcBorders>
                    <w:top w:val="single" w:color="auto" w:sz="4" w:space="0"/>
                    <w:bottom w:val="single" w:color="auto" w:sz="4" w:space="0"/>
                  </w:tcBorders>
                  <w:noWrap w:val="0"/>
                  <w:vAlign w:val="center"/>
                </w:tcPr>
                <w:p w14:paraId="3392C64C">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r>
            <w:tr w14:paraId="23D0B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1B0F4893">
                  <w:pPr>
                    <w:snapToGrid w:val="0"/>
                    <w:spacing w:line="240" w:lineRule="auto"/>
                    <w:jc w:val="center"/>
                    <w:textAlignment w:val="auto"/>
                    <w:rPr>
                      <w:color w:val="auto"/>
                      <w:szCs w:val="21"/>
                    </w:rPr>
                  </w:pPr>
                  <w:r>
                    <w:rPr>
                      <w:rFonts w:hint="eastAsia"/>
                      <w:color w:val="auto"/>
                      <w:szCs w:val="21"/>
                    </w:rPr>
                    <w:t>不锈钢球</w:t>
                  </w:r>
                </w:p>
              </w:tc>
              <w:tc>
                <w:tcPr>
                  <w:tcW w:w="717" w:type="pct"/>
                  <w:tcBorders>
                    <w:top w:val="single" w:color="auto" w:sz="4" w:space="0"/>
                    <w:bottom w:val="single" w:color="auto" w:sz="4" w:space="0"/>
                  </w:tcBorders>
                  <w:noWrap w:val="0"/>
                  <w:vAlign w:val="center"/>
                </w:tcPr>
                <w:p w14:paraId="5FF36C61">
                  <w:pPr>
                    <w:snapToGrid w:val="0"/>
                    <w:spacing w:line="240" w:lineRule="auto"/>
                    <w:jc w:val="center"/>
                    <w:textAlignment w:val="auto"/>
                    <w:rPr>
                      <w:color w:val="auto"/>
                      <w:szCs w:val="21"/>
                    </w:rPr>
                  </w:pPr>
                  <w:r>
                    <w:rPr>
                      <w:rFonts w:hint="eastAsia"/>
                      <w:color w:val="auto"/>
                      <w:szCs w:val="21"/>
                      <w:lang w:val="en-US" w:eastAsia="zh-CN"/>
                    </w:rPr>
                    <w:t>0.2</w:t>
                  </w:r>
                </w:p>
              </w:tc>
              <w:tc>
                <w:tcPr>
                  <w:tcW w:w="444" w:type="pct"/>
                  <w:tcBorders>
                    <w:top w:val="single" w:color="auto" w:sz="4" w:space="0"/>
                    <w:bottom w:val="single" w:color="auto" w:sz="4" w:space="0"/>
                  </w:tcBorders>
                  <w:noWrap w:val="0"/>
                  <w:vAlign w:val="center"/>
                </w:tcPr>
                <w:p w14:paraId="55F35829">
                  <w:pPr>
                    <w:autoSpaceDE w:val="0"/>
                    <w:autoSpaceDN w:val="0"/>
                    <w:adjustRightInd w:val="0"/>
                    <w:jc w:val="center"/>
                    <w:rPr>
                      <w:color w:val="auto"/>
                      <w:szCs w:val="21"/>
                    </w:rPr>
                  </w:pPr>
                  <w:r>
                    <w:rPr>
                      <w:rFonts w:hint="eastAsia"/>
                      <w:color w:val="auto"/>
                      <w:szCs w:val="21"/>
                    </w:rPr>
                    <w:t>产品</w:t>
                  </w:r>
                </w:p>
              </w:tc>
              <w:tc>
                <w:tcPr>
                  <w:tcW w:w="1411" w:type="pct"/>
                  <w:tcBorders>
                    <w:top w:val="single" w:color="auto" w:sz="4" w:space="0"/>
                    <w:bottom w:val="single" w:color="auto" w:sz="4" w:space="0"/>
                  </w:tcBorders>
                  <w:noWrap w:val="0"/>
                  <w:vAlign w:val="center"/>
                </w:tcPr>
                <w:p w14:paraId="2CFD241A">
                  <w:pPr>
                    <w:autoSpaceDE w:val="0"/>
                    <w:autoSpaceDN w:val="0"/>
                    <w:adjustRightInd w:val="0"/>
                    <w:jc w:val="center"/>
                    <w:rPr>
                      <w:rFonts w:hint="eastAsia"/>
                      <w:color w:val="auto"/>
                      <w:szCs w:val="21"/>
                    </w:rPr>
                  </w:pPr>
                  <w:r>
                    <w:rPr>
                      <w:rFonts w:hint="eastAsia"/>
                      <w:color w:val="auto"/>
                      <w:szCs w:val="19"/>
                      <w:lang w:bidi="ar"/>
                    </w:rPr>
                    <w:t>穴位压力刺激贴</w:t>
                  </w:r>
                </w:p>
              </w:tc>
              <w:tc>
                <w:tcPr>
                  <w:tcW w:w="920" w:type="pct"/>
                  <w:tcBorders>
                    <w:top w:val="single" w:color="auto" w:sz="4" w:space="0"/>
                    <w:bottom w:val="single" w:color="auto" w:sz="4" w:space="0"/>
                  </w:tcBorders>
                  <w:noWrap w:val="0"/>
                  <w:vAlign w:val="center"/>
                </w:tcPr>
                <w:p w14:paraId="0E30489C">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5</w:t>
                  </w:r>
                </w:p>
              </w:tc>
            </w:tr>
            <w:tr w14:paraId="3922D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0560BCA8">
                  <w:pPr>
                    <w:snapToGrid w:val="0"/>
                    <w:spacing w:line="240" w:lineRule="auto"/>
                    <w:jc w:val="center"/>
                    <w:textAlignment w:val="auto"/>
                    <w:rPr>
                      <w:color w:val="auto"/>
                      <w:szCs w:val="21"/>
                    </w:rPr>
                  </w:pPr>
                  <w:r>
                    <w:rPr>
                      <w:rFonts w:hint="eastAsia"/>
                      <w:color w:val="auto"/>
                      <w:szCs w:val="21"/>
                      <w:lang w:val="en-US" w:eastAsia="zh-CN"/>
                    </w:rPr>
                    <w:t>热熔胶</w:t>
                  </w:r>
                </w:p>
              </w:tc>
              <w:tc>
                <w:tcPr>
                  <w:tcW w:w="717" w:type="pct"/>
                  <w:tcBorders>
                    <w:top w:val="single" w:color="auto" w:sz="4" w:space="0"/>
                    <w:bottom w:val="single" w:color="auto" w:sz="4" w:space="0"/>
                  </w:tcBorders>
                  <w:noWrap w:val="0"/>
                  <w:vAlign w:val="center"/>
                </w:tcPr>
                <w:p w14:paraId="25C9D8FB">
                  <w:pPr>
                    <w:snapToGrid w:val="0"/>
                    <w:spacing w:line="240" w:lineRule="auto"/>
                    <w:jc w:val="center"/>
                    <w:textAlignment w:val="auto"/>
                    <w:rPr>
                      <w:color w:val="auto"/>
                      <w:szCs w:val="21"/>
                    </w:rPr>
                  </w:pPr>
                  <w:r>
                    <w:rPr>
                      <w:rFonts w:hint="eastAsia"/>
                      <w:color w:val="auto"/>
                      <w:szCs w:val="21"/>
                      <w:lang w:val="en-US" w:eastAsia="zh-CN"/>
                    </w:rPr>
                    <w:t>1</w:t>
                  </w:r>
                </w:p>
              </w:tc>
              <w:tc>
                <w:tcPr>
                  <w:tcW w:w="444" w:type="pct"/>
                  <w:tcBorders>
                    <w:top w:val="single" w:color="auto" w:sz="4" w:space="0"/>
                    <w:bottom w:val="single" w:color="auto" w:sz="4" w:space="0"/>
                  </w:tcBorders>
                  <w:noWrap w:val="0"/>
                  <w:vAlign w:val="center"/>
                </w:tcPr>
                <w:p w14:paraId="2710C850">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制胶</w:t>
                  </w:r>
                </w:p>
              </w:tc>
              <w:tc>
                <w:tcPr>
                  <w:tcW w:w="1411" w:type="pct"/>
                  <w:tcBorders>
                    <w:top w:val="single" w:color="auto" w:sz="4" w:space="0"/>
                    <w:bottom w:val="single" w:color="auto" w:sz="4" w:space="0"/>
                  </w:tcBorders>
                  <w:noWrap w:val="0"/>
                  <w:vAlign w:val="center"/>
                </w:tcPr>
                <w:p w14:paraId="7D479D0A">
                  <w:pPr>
                    <w:autoSpaceDE w:val="0"/>
                    <w:autoSpaceDN w:val="0"/>
                    <w:adjustRightInd w:val="0"/>
                    <w:jc w:val="center"/>
                    <w:rPr>
                      <w:rFonts w:hint="eastAsia" w:eastAsia="宋体"/>
                      <w:color w:val="auto"/>
                      <w:szCs w:val="21"/>
                      <w:lang w:eastAsia="zh-CN"/>
                    </w:rPr>
                  </w:pPr>
                  <w:r>
                    <w:rPr>
                      <w:rFonts w:hint="eastAsia"/>
                      <w:color w:val="auto"/>
                      <w:szCs w:val="21"/>
                      <w:lang w:val="en-US" w:eastAsia="zh-CN"/>
                    </w:rPr>
                    <w:t>非甲烷总烃</w:t>
                  </w:r>
                </w:p>
              </w:tc>
              <w:tc>
                <w:tcPr>
                  <w:tcW w:w="920" w:type="pct"/>
                  <w:tcBorders>
                    <w:top w:val="single" w:color="auto" w:sz="4" w:space="0"/>
                    <w:bottom w:val="single" w:color="auto" w:sz="4" w:space="0"/>
                  </w:tcBorders>
                  <w:noWrap w:val="0"/>
                  <w:vAlign w:val="center"/>
                </w:tcPr>
                <w:p w14:paraId="72FA62A2">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0.02</w:t>
                  </w:r>
                </w:p>
              </w:tc>
            </w:tr>
            <w:tr w14:paraId="5C45A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04FE1249">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olor w:val="auto"/>
                      <w:szCs w:val="21"/>
                    </w:rPr>
                  </w:pPr>
                  <w:r>
                    <w:rPr>
                      <w:rFonts w:hint="eastAsia" w:cs="宋体"/>
                      <w:color w:val="auto"/>
                      <w:kern w:val="0"/>
                      <w:szCs w:val="21"/>
                      <w:highlight w:val="none"/>
                      <w:lang w:val="en-US" w:eastAsia="zh-CN"/>
                    </w:rPr>
                    <w:t>无纺布</w:t>
                  </w:r>
                </w:p>
              </w:tc>
              <w:tc>
                <w:tcPr>
                  <w:tcW w:w="717" w:type="pct"/>
                  <w:tcBorders>
                    <w:top w:val="single" w:color="auto" w:sz="4" w:space="0"/>
                    <w:bottom w:val="single" w:color="auto" w:sz="4" w:space="0"/>
                  </w:tcBorders>
                  <w:noWrap w:val="0"/>
                  <w:vAlign w:val="center"/>
                </w:tcPr>
                <w:p w14:paraId="6E0E45CF">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olor w:val="auto"/>
                      <w:szCs w:val="21"/>
                      <w:lang w:val="en-US" w:eastAsia="zh-CN"/>
                    </w:rPr>
                  </w:pPr>
                  <w:r>
                    <w:rPr>
                      <w:rFonts w:hint="eastAsia" w:cs="宋体"/>
                      <w:color w:val="auto"/>
                      <w:kern w:val="0"/>
                      <w:szCs w:val="21"/>
                      <w:highlight w:val="none"/>
                      <w:lang w:val="en-US" w:eastAsia="zh-CN"/>
                    </w:rPr>
                    <w:t>3.5</w:t>
                  </w:r>
                </w:p>
              </w:tc>
              <w:tc>
                <w:tcPr>
                  <w:tcW w:w="444" w:type="pct"/>
                  <w:tcBorders>
                    <w:top w:val="single" w:color="auto" w:sz="4" w:space="0"/>
                    <w:bottom w:val="single" w:color="auto" w:sz="4" w:space="0"/>
                  </w:tcBorders>
                  <w:noWrap w:val="0"/>
                  <w:vAlign w:val="center"/>
                </w:tcPr>
                <w:p w14:paraId="253F76C2">
                  <w:pPr>
                    <w:autoSpaceDE w:val="0"/>
                    <w:autoSpaceDN w:val="0"/>
                    <w:adjustRightInd w:val="0"/>
                    <w:jc w:val="center"/>
                    <w:rPr>
                      <w:rFonts w:hint="default"/>
                      <w:color w:val="auto"/>
                      <w:szCs w:val="21"/>
                      <w:lang w:val="en-US" w:eastAsia="zh-CN"/>
                    </w:rPr>
                  </w:pPr>
                  <w:r>
                    <w:rPr>
                      <w:rFonts w:hint="eastAsia"/>
                      <w:color w:val="auto"/>
                      <w:szCs w:val="21"/>
                      <w:lang w:val="en-US" w:eastAsia="zh-CN"/>
                    </w:rPr>
                    <w:t>裁片</w:t>
                  </w:r>
                </w:p>
              </w:tc>
              <w:tc>
                <w:tcPr>
                  <w:tcW w:w="1411" w:type="pct"/>
                  <w:tcBorders>
                    <w:top w:val="single" w:color="auto" w:sz="4" w:space="0"/>
                    <w:bottom w:val="single" w:color="auto" w:sz="4" w:space="0"/>
                  </w:tcBorders>
                  <w:noWrap w:val="0"/>
                  <w:vAlign w:val="center"/>
                </w:tcPr>
                <w:p w14:paraId="57144633">
                  <w:pPr>
                    <w:autoSpaceDE w:val="0"/>
                    <w:autoSpaceDN w:val="0"/>
                    <w:adjustRightInd w:val="0"/>
                    <w:jc w:val="center"/>
                    <w:rPr>
                      <w:rFonts w:hint="default"/>
                      <w:color w:val="auto"/>
                      <w:szCs w:val="21"/>
                      <w:lang w:val="en-US" w:eastAsia="zh-CN"/>
                    </w:rPr>
                  </w:pPr>
                  <w:r>
                    <w:rPr>
                      <w:rFonts w:hint="eastAsia"/>
                      <w:color w:val="auto"/>
                      <w:szCs w:val="21"/>
                      <w:lang w:val="en-US" w:eastAsia="zh-CN"/>
                    </w:rPr>
                    <w:t>不合格品</w:t>
                  </w:r>
                </w:p>
              </w:tc>
              <w:tc>
                <w:tcPr>
                  <w:tcW w:w="920" w:type="pct"/>
                  <w:tcBorders>
                    <w:top w:val="single" w:color="auto" w:sz="4" w:space="0"/>
                    <w:bottom w:val="single" w:color="auto" w:sz="4" w:space="0"/>
                  </w:tcBorders>
                  <w:noWrap w:val="0"/>
                  <w:vAlign w:val="center"/>
                </w:tcPr>
                <w:p w14:paraId="05C72AF1">
                  <w:pPr>
                    <w:autoSpaceDE w:val="0"/>
                    <w:autoSpaceDN w:val="0"/>
                    <w:adjustRightInd w:val="0"/>
                    <w:jc w:val="center"/>
                    <w:rPr>
                      <w:rFonts w:hint="default"/>
                      <w:color w:val="auto"/>
                      <w:szCs w:val="21"/>
                      <w:lang w:val="en-US" w:eastAsia="zh-CN"/>
                    </w:rPr>
                  </w:pPr>
                  <w:r>
                    <w:rPr>
                      <w:rFonts w:hint="eastAsia"/>
                      <w:color w:val="auto"/>
                      <w:szCs w:val="21"/>
                      <w:lang w:val="en-US" w:eastAsia="zh-CN"/>
                    </w:rPr>
                    <w:t>0.18</w:t>
                  </w:r>
                </w:p>
              </w:tc>
            </w:tr>
            <w:tr w14:paraId="7914C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641056B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olor w:val="auto"/>
                      <w:szCs w:val="21"/>
                    </w:rPr>
                  </w:pPr>
                  <w:r>
                    <w:rPr>
                      <w:rFonts w:hint="eastAsia" w:cs="宋体"/>
                      <w:color w:val="auto"/>
                      <w:kern w:val="0"/>
                      <w:szCs w:val="21"/>
                      <w:highlight w:val="none"/>
                      <w:lang w:val="en-US" w:eastAsia="zh-CN"/>
                    </w:rPr>
                    <w:t>离型纸</w:t>
                  </w:r>
                </w:p>
              </w:tc>
              <w:tc>
                <w:tcPr>
                  <w:tcW w:w="717" w:type="pct"/>
                  <w:tcBorders>
                    <w:top w:val="single" w:color="auto" w:sz="4" w:space="0"/>
                    <w:bottom w:val="single" w:color="auto" w:sz="4" w:space="0"/>
                  </w:tcBorders>
                  <w:noWrap w:val="0"/>
                  <w:vAlign w:val="center"/>
                </w:tcPr>
                <w:p w14:paraId="49847664">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color w:val="auto"/>
                      <w:szCs w:val="21"/>
                    </w:rPr>
                  </w:pPr>
                  <w:r>
                    <w:rPr>
                      <w:rFonts w:hint="eastAsia" w:cs="宋体"/>
                      <w:color w:val="auto"/>
                      <w:kern w:val="0"/>
                      <w:szCs w:val="21"/>
                      <w:highlight w:val="none"/>
                      <w:lang w:val="en-US" w:eastAsia="zh-CN"/>
                    </w:rPr>
                    <w:t>0.5</w:t>
                  </w:r>
                </w:p>
              </w:tc>
              <w:tc>
                <w:tcPr>
                  <w:tcW w:w="2776" w:type="pct"/>
                  <w:gridSpan w:val="3"/>
                  <w:tcBorders>
                    <w:top w:val="single" w:color="auto" w:sz="4" w:space="0"/>
                  </w:tcBorders>
                  <w:noWrap w:val="0"/>
                  <w:vAlign w:val="center"/>
                </w:tcPr>
                <w:p w14:paraId="03AA71B2">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w:t>
                  </w:r>
                </w:p>
              </w:tc>
            </w:tr>
            <w:tr w14:paraId="1A688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12" w:space="0"/>
                  </w:tcBorders>
                  <w:noWrap w:val="0"/>
                  <w:vAlign w:val="center"/>
                </w:tcPr>
                <w:p w14:paraId="26B76035">
                  <w:pPr>
                    <w:pStyle w:val="83"/>
                    <w:spacing w:line="240" w:lineRule="auto"/>
                    <w:ind w:firstLine="0" w:firstLineChars="0"/>
                    <w:jc w:val="center"/>
                    <w:textAlignment w:val="baseline"/>
                    <w:rPr>
                      <w:rStyle w:val="84"/>
                      <w:color w:val="auto"/>
                      <w:kern w:val="0"/>
                      <w:sz w:val="21"/>
                      <w:szCs w:val="21"/>
                    </w:rPr>
                  </w:pPr>
                  <w:r>
                    <w:rPr>
                      <w:rStyle w:val="84"/>
                      <w:color w:val="auto"/>
                      <w:kern w:val="0"/>
                      <w:sz w:val="21"/>
                      <w:szCs w:val="21"/>
                    </w:rPr>
                    <w:t>合计</w:t>
                  </w:r>
                </w:p>
              </w:tc>
              <w:tc>
                <w:tcPr>
                  <w:tcW w:w="717" w:type="pct"/>
                  <w:tcBorders>
                    <w:top w:val="single" w:color="auto" w:sz="4" w:space="0"/>
                    <w:bottom w:val="single" w:color="auto" w:sz="12" w:space="0"/>
                  </w:tcBorders>
                  <w:noWrap w:val="0"/>
                  <w:vAlign w:val="center"/>
                </w:tcPr>
                <w:p w14:paraId="284E019E">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5.2</w:t>
                  </w:r>
                </w:p>
              </w:tc>
              <w:tc>
                <w:tcPr>
                  <w:tcW w:w="1856" w:type="pct"/>
                  <w:gridSpan w:val="2"/>
                  <w:tcBorders>
                    <w:top w:val="single" w:color="auto" w:sz="4" w:space="0"/>
                    <w:bottom w:val="single" w:color="auto" w:sz="12" w:space="0"/>
                  </w:tcBorders>
                  <w:noWrap w:val="0"/>
                  <w:vAlign w:val="center"/>
                </w:tcPr>
                <w:p w14:paraId="4659F53F">
                  <w:pPr>
                    <w:pStyle w:val="83"/>
                    <w:spacing w:line="240" w:lineRule="auto"/>
                    <w:ind w:firstLine="0" w:firstLineChars="0"/>
                    <w:jc w:val="center"/>
                    <w:textAlignment w:val="baseline"/>
                    <w:rPr>
                      <w:color w:val="auto"/>
                      <w:szCs w:val="21"/>
                    </w:rPr>
                  </w:pPr>
                  <w:r>
                    <w:rPr>
                      <w:rStyle w:val="84"/>
                      <w:color w:val="auto"/>
                      <w:kern w:val="0"/>
                      <w:sz w:val="21"/>
                      <w:szCs w:val="21"/>
                    </w:rPr>
                    <w:t>合计</w:t>
                  </w:r>
                </w:p>
              </w:tc>
              <w:tc>
                <w:tcPr>
                  <w:tcW w:w="920" w:type="pct"/>
                  <w:tcBorders>
                    <w:top w:val="single" w:color="auto" w:sz="4" w:space="0"/>
                    <w:bottom w:val="single" w:color="auto" w:sz="12" w:space="0"/>
                  </w:tcBorders>
                  <w:noWrap w:val="0"/>
                  <w:vAlign w:val="center"/>
                </w:tcPr>
                <w:p w14:paraId="0596B2F1">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5.2</w:t>
                  </w:r>
                </w:p>
              </w:tc>
            </w:tr>
          </w:tbl>
          <w:p w14:paraId="21E91A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lang w:val="en-US" w:eastAsia="zh-CN"/>
              </w:rPr>
            </w:pPr>
            <w:r>
              <w:rPr>
                <w:rFonts w:hint="eastAsia"/>
                <w:color w:val="auto"/>
                <w:sz w:val="24"/>
                <w:lang w:val="en-US" w:eastAsia="zh-CN"/>
              </w:rPr>
              <w:t>8、</w:t>
            </w:r>
            <w:r>
              <w:rPr>
                <w:rFonts w:hint="eastAsia" w:ascii="Times New Roman" w:hAnsi="Times New Roman" w:eastAsia="宋体" w:cs="Times New Roman"/>
                <w:color w:val="auto"/>
                <w:sz w:val="24"/>
              </w:rPr>
              <w:t>创</w:t>
            </w:r>
            <w:r>
              <w:rPr>
                <w:rFonts w:hint="eastAsia" w:ascii="Times New Roman" w:hAnsi="Times New Roman" w:eastAsia="宋体" w:cs="Times New Roman"/>
                <w:color w:val="auto"/>
                <w:sz w:val="24"/>
                <w:lang w:val="en-US" w:eastAsia="zh-CN"/>
              </w:rPr>
              <w:t>可</w:t>
            </w:r>
            <w:r>
              <w:rPr>
                <w:rFonts w:hint="eastAsia" w:ascii="Times New Roman" w:hAnsi="Times New Roman" w:eastAsia="宋体" w:cs="Times New Roman"/>
                <w:color w:val="auto"/>
                <w:sz w:val="24"/>
              </w:rPr>
              <w:t>贴物料</w:t>
            </w:r>
            <w:r>
              <w:rPr>
                <w:color w:val="auto"/>
                <w:sz w:val="24"/>
              </w:rPr>
              <w:t>平衡</w:t>
            </w:r>
            <w:r>
              <w:rPr>
                <w:rFonts w:hint="eastAsia"/>
                <w:color w:val="auto"/>
                <w:sz w:val="24"/>
              </w:rPr>
              <w:t>分析详见如下。</w:t>
            </w:r>
          </w:p>
          <w:p w14:paraId="2FD91A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color w:val="auto"/>
                <w:sz w:val="24"/>
                <w:lang w:val="en-US" w:eastAsia="zh-CN"/>
              </w:rPr>
            </w:pPr>
            <w:r>
              <w:rPr>
                <w:rFonts w:hint="default"/>
                <w:color w:val="auto"/>
                <w:sz w:val="24"/>
                <w:lang w:val="en-US" w:eastAsia="zh-CN"/>
              </w:rPr>
              <w:object>
                <v:shape id="_x0000_i1046" o:spt="75" type="#_x0000_t75" style="height:364.5pt;width:141.75pt;" o:ole="t" filled="f" o:preferrelative="t" stroked="f" coordsize="21600,21600">
                  <v:path/>
                  <v:fill on="f" focussize="0,0"/>
                  <v:stroke on="f"/>
                  <v:imagedata r:id="rId56" o:title=""/>
                  <o:lock v:ext="edit" aspectratio="f"/>
                  <w10:wrap type="none"/>
                  <w10:anchorlock/>
                </v:shape>
                <o:OLEObject Type="Embed" ProgID="Visio.Drawing.11" ShapeID="_x0000_i1046" DrawAspect="Content" ObjectID="_1468075746" r:id="rId55">
                  <o:LockedField>false</o:LockedField>
                </o:OLEObject>
              </w:object>
            </w:r>
          </w:p>
          <w:p w14:paraId="1E76F751">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hAnsi="宋体" w:cs="宋体"/>
                <w:b/>
                <w:bCs/>
                <w:color w:val="auto"/>
                <w:szCs w:val="21"/>
              </w:rPr>
            </w:pPr>
            <w:r>
              <w:rPr>
                <w:rFonts w:ascii="Times New Roman"/>
                <w:b/>
                <w:bCs/>
                <w:color w:val="auto"/>
                <w:szCs w:val="21"/>
              </w:rPr>
              <w:t>图</w:t>
            </w:r>
            <w:r>
              <w:rPr>
                <w:rFonts w:hint="eastAsia" w:ascii="Times New Roman"/>
                <w:b/>
                <w:bCs/>
                <w:color w:val="auto"/>
                <w:szCs w:val="21"/>
              </w:rPr>
              <w:t>2</w:t>
            </w:r>
            <w:r>
              <w:rPr>
                <w:rFonts w:ascii="Times New Roman"/>
                <w:b/>
                <w:bCs/>
                <w:color w:val="auto"/>
                <w:szCs w:val="21"/>
              </w:rPr>
              <w:t>-</w:t>
            </w:r>
            <w:r>
              <w:rPr>
                <w:rFonts w:hint="eastAsia"/>
                <w:b/>
                <w:bCs/>
                <w:color w:val="auto"/>
                <w:szCs w:val="21"/>
                <w:lang w:val="en-US" w:eastAsia="zh-CN"/>
              </w:rPr>
              <w:t>23</w:t>
            </w:r>
            <w:r>
              <w:rPr>
                <w:rFonts w:hint="eastAsia" w:ascii="Times New Roman"/>
                <w:b/>
                <w:bCs/>
                <w:color w:val="auto"/>
                <w:szCs w:val="21"/>
              </w:rPr>
              <w:t xml:space="preserve"> </w:t>
            </w:r>
            <w:r>
              <w:rPr>
                <w:rFonts w:ascii="Times New Roman"/>
                <w:b/>
                <w:bCs/>
                <w:color w:val="auto"/>
                <w:szCs w:val="21"/>
              </w:rPr>
              <w:t xml:space="preserve"> </w:t>
            </w:r>
            <w:r>
              <w:rPr>
                <w:rFonts w:hint="eastAsia" w:ascii="宋体" w:hAnsi="宋体" w:eastAsia="宋体" w:cs="宋体"/>
                <w:b/>
                <w:bCs/>
                <w:color w:val="auto"/>
                <w:szCs w:val="21"/>
              </w:rPr>
              <w:t>项</w:t>
            </w:r>
            <w:r>
              <w:rPr>
                <w:rFonts w:hint="eastAsia" w:ascii="Times New Roman" w:hAnsi="宋体" w:eastAsia="宋体" w:cs="宋体"/>
                <w:b/>
                <w:bCs/>
                <w:color w:val="auto"/>
                <w:szCs w:val="21"/>
              </w:rPr>
              <w:t>目创</w:t>
            </w:r>
            <w:r>
              <w:rPr>
                <w:rFonts w:hint="eastAsia" w:ascii="Times New Roman" w:hAnsi="宋体" w:eastAsia="宋体" w:cs="宋体"/>
                <w:b/>
                <w:bCs/>
                <w:color w:val="auto"/>
                <w:szCs w:val="21"/>
                <w:lang w:val="en-US" w:eastAsia="zh-CN"/>
              </w:rPr>
              <w:t>可</w:t>
            </w:r>
            <w:r>
              <w:rPr>
                <w:rFonts w:hint="eastAsia" w:ascii="Times New Roman" w:hAnsi="宋体" w:eastAsia="宋体" w:cs="宋体"/>
                <w:b/>
                <w:bCs/>
                <w:color w:val="auto"/>
                <w:szCs w:val="21"/>
              </w:rPr>
              <w:t>贴物料</w:t>
            </w:r>
            <w:r>
              <w:rPr>
                <w:rFonts w:hint="eastAsia" w:hAnsi="宋体" w:cs="宋体"/>
                <w:b/>
                <w:bCs/>
                <w:color w:val="auto"/>
                <w:szCs w:val="21"/>
              </w:rPr>
              <w:t>平衡图  （单位：t/a）</w:t>
            </w:r>
          </w:p>
          <w:p w14:paraId="0FADDC0E">
            <w:pPr>
              <w:ind w:firstLine="480" w:firstLineChars="200"/>
              <w:rPr>
                <w:rFonts w:hint="eastAsia"/>
                <w:color w:val="auto"/>
              </w:rPr>
            </w:pPr>
            <w:r>
              <w:rPr>
                <w:rFonts w:hint="eastAsia" w:ascii="宋体" w:hAnsi="宋体" w:cs="宋体"/>
                <w:color w:val="auto"/>
                <w:sz w:val="24"/>
              </w:rPr>
              <w:t>本项</w:t>
            </w:r>
            <w:r>
              <w:rPr>
                <w:rFonts w:hint="eastAsia" w:ascii="Times New Roman" w:hAnsi="Times New Roman" w:eastAsia="宋体" w:cs="Times New Roman"/>
                <w:color w:val="auto"/>
                <w:sz w:val="24"/>
              </w:rPr>
              <w:t>目创</w:t>
            </w:r>
            <w:r>
              <w:rPr>
                <w:rFonts w:hint="eastAsia" w:ascii="Times New Roman" w:hAnsi="Times New Roman" w:eastAsia="宋体" w:cs="Times New Roman"/>
                <w:color w:val="auto"/>
                <w:sz w:val="24"/>
                <w:lang w:val="en-US" w:eastAsia="zh-CN"/>
              </w:rPr>
              <w:t>可</w:t>
            </w:r>
            <w:r>
              <w:rPr>
                <w:rFonts w:hint="eastAsia" w:ascii="Times New Roman" w:hAnsi="Times New Roman" w:eastAsia="宋体" w:cs="Times New Roman"/>
                <w:color w:val="auto"/>
                <w:sz w:val="24"/>
              </w:rPr>
              <w:t>贴物</w:t>
            </w:r>
            <w:r>
              <w:rPr>
                <w:rFonts w:hint="eastAsia" w:ascii="宋体" w:hAnsi="宋体" w:eastAsia="宋体" w:cs="宋体"/>
                <w:color w:val="auto"/>
                <w:sz w:val="24"/>
              </w:rPr>
              <w:t>料平衡</w:t>
            </w:r>
            <w:r>
              <w:rPr>
                <w:rFonts w:hint="eastAsia" w:ascii="宋体" w:hAnsi="宋体" w:cs="宋体"/>
                <w:color w:val="auto"/>
                <w:sz w:val="24"/>
              </w:rPr>
              <w:t>表</w:t>
            </w:r>
            <w:r>
              <w:rPr>
                <w:color w:val="auto"/>
                <w:sz w:val="24"/>
              </w:rPr>
              <w:t>见</w:t>
            </w:r>
            <w:r>
              <w:rPr>
                <w:rFonts w:hint="eastAsia"/>
                <w:color w:val="auto"/>
                <w:sz w:val="24"/>
                <w:lang w:val="en-US" w:eastAsia="zh-CN"/>
              </w:rPr>
              <w:t>下</w:t>
            </w:r>
            <w:r>
              <w:rPr>
                <w:color w:val="auto"/>
                <w:sz w:val="24"/>
              </w:rPr>
              <w:t>表</w:t>
            </w:r>
            <w:r>
              <w:rPr>
                <w:rFonts w:hint="eastAsia"/>
                <w:color w:val="auto"/>
                <w:sz w:val="24"/>
              </w:rPr>
              <w:t>。</w:t>
            </w:r>
          </w:p>
          <w:p w14:paraId="1934E739">
            <w:pPr>
              <w:pStyle w:val="10"/>
              <w:spacing w:before="0" w:after="0" w:line="240" w:lineRule="auto"/>
              <w:ind w:right="0"/>
              <w:jc w:val="center"/>
              <w:rPr>
                <w:b/>
                <w:bCs/>
                <w:color w:val="auto"/>
                <w:sz w:val="21"/>
                <w:szCs w:val="21"/>
              </w:rPr>
            </w:pPr>
            <w:r>
              <w:rPr>
                <w:b/>
                <w:bCs/>
                <w:color w:val="auto"/>
                <w:sz w:val="21"/>
                <w:szCs w:val="21"/>
              </w:rPr>
              <w:t>表</w:t>
            </w:r>
            <w:r>
              <w:rPr>
                <w:rFonts w:hint="eastAsia"/>
                <w:b/>
                <w:bCs/>
                <w:color w:val="auto"/>
                <w:sz w:val="21"/>
                <w:szCs w:val="21"/>
              </w:rPr>
              <w:t>2-1</w:t>
            </w:r>
            <w:r>
              <w:rPr>
                <w:rFonts w:hint="eastAsia"/>
                <w:b/>
                <w:bCs/>
                <w:color w:val="auto"/>
                <w:sz w:val="21"/>
                <w:szCs w:val="21"/>
                <w:lang w:val="en-US" w:eastAsia="zh-CN"/>
              </w:rPr>
              <w:t>8</w:t>
            </w:r>
            <w:r>
              <w:rPr>
                <w:rFonts w:hint="eastAsia"/>
                <w:b/>
                <w:bCs/>
                <w:color w:val="auto"/>
                <w:sz w:val="21"/>
                <w:szCs w:val="21"/>
              </w:rPr>
              <w:t xml:space="preserve">  </w:t>
            </w:r>
            <w:r>
              <w:rPr>
                <w:rFonts w:hint="eastAsia" w:ascii="Times New Roman" w:hAnsi="Times New Roman" w:eastAsia="宋体" w:cs="Times New Roman"/>
                <w:b/>
                <w:bCs/>
                <w:color w:val="auto"/>
                <w:sz w:val="21"/>
                <w:szCs w:val="21"/>
              </w:rPr>
              <w:t>创</w:t>
            </w:r>
            <w:r>
              <w:rPr>
                <w:rFonts w:hint="eastAsia" w:ascii="Times New Roman" w:hAnsi="Times New Roman" w:eastAsia="宋体" w:cs="Times New Roman"/>
                <w:b/>
                <w:bCs/>
                <w:color w:val="auto"/>
                <w:sz w:val="21"/>
                <w:szCs w:val="21"/>
                <w:lang w:val="en-US" w:eastAsia="zh-CN"/>
              </w:rPr>
              <w:t>可</w:t>
            </w:r>
            <w:r>
              <w:rPr>
                <w:rFonts w:hint="eastAsia" w:ascii="Times New Roman" w:hAnsi="Times New Roman" w:eastAsia="宋体" w:cs="Times New Roman"/>
                <w:b/>
                <w:bCs/>
                <w:color w:val="auto"/>
                <w:sz w:val="21"/>
                <w:szCs w:val="21"/>
              </w:rPr>
              <w:t>贴</w:t>
            </w:r>
            <w:r>
              <w:rPr>
                <w:rFonts w:ascii="Times New Roman" w:hAnsi="Times New Roman" w:eastAsia="宋体" w:cs="Times New Roman"/>
                <w:b/>
                <w:bCs/>
                <w:color w:val="auto"/>
                <w:sz w:val="21"/>
                <w:szCs w:val="21"/>
              </w:rPr>
              <w:t>物料</w:t>
            </w:r>
            <w:r>
              <w:rPr>
                <w:b/>
                <w:bCs/>
                <w:color w:val="auto"/>
                <w:sz w:val="21"/>
                <w:szCs w:val="21"/>
              </w:rPr>
              <w:t>平衡表</w:t>
            </w:r>
          </w:p>
          <w:tbl>
            <w:tblPr>
              <w:tblStyle w:val="24"/>
              <w:tblW w:w="496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1146"/>
              <w:gridCol w:w="1291"/>
              <w:gridCol w:w="1676"/>
              <w:gridCol w:w="1470"/>
            </w:tblGrid>
            <w:tr w14:paraId="7F9C2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223" w:type="pct"/>
                  <w:gridSpan w:val="2"/>
                  <w:tcBorders>
                    <w:bottom w:val="single" w:color="auto" w:sz="4" w:space="0"/>
                  </w:tcBorders>
                  <w:noWrap w:val="0"/>
                  <w:vAlign w:val="top"/>
                </w:tcPr>
                <w:p w14:paraId="41E931BA">
                  <w:pPr>
                    <w:autoSpaceDE w:val="0"/>
                    <w:autoSpaceDN w:val="0"/>
                    <w:adjustRightInd w:val="0"/>
                    <w:jc w:val="center"/>
                    <w:rPr>
                      <w:b/>
                      <w:bCs/>
                      <w:color w:val="auto"/>
                      <w:szCs w:val="21"/>
                    </w:rPr>
                  </w:pPr>
                  <w:r>
                    <w:rPr>
                      <w:b/>
                      <w:bCs/>
                      <w:color w:val="auto"/>
                      <w:szCs w:val="21"/>
                    </w:rPr>
                    <w:t>投入</w:t>
                  </w:r>
                </w:p>
              </w:tc>
              <w:tc>
                <w:tcPr>
                  <w:tcW w:w="2776" w:type="pct"/>
                  <w:gridSpan w:val="3"/>
                  <w:tcBorders>
                    <w:bottom w:val="single" w:color="auto" w:sz="4" w:space="0"/>
                  </w:tcBorders>
                  <w:noWrap w:val="0"/>
                  <w:vAlign w:val="top"/>
                </w:tcPr>
                <w:p w14:paraId="02CE0D66">
                  <w:pPr>
                    <w:autoSpaceDE w:val="0"/>
                    <w:autoSpaceDN w:val="0"/>
                    <w:adjustRightInd w:val="0"/>
                    <w:jc w:val="center"/>
                    <w:rPr>
                      <w:b/>
                      <w:bCs/>
                      <w:color w:val="auto"/>
                      <w:szCs w:val="21"/>
                    </w:rPr>
                  </w:pPr>
                  <w:r>
                    <w:rPr>
                      <w:b/>
                      <w:bCs/>
                      <w:color w:val="auto"/>
                      <w:szCs w:val="21"/>
                    </w:rPr>
                    <w:t>产出</w:t>
                  </w:r>
                </w:p>
              </w:tc>
            </w:tr>
            <w:tr w14:paraId="6A294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24F1F7C2">
                  <w:pPr>
                    <w:autoSpaceDE w:val="0"/>
                    <w:autoSpaceDN w:val="0"/>
                    <w:adjustRightInd w:val="0"/>
                    <w:jc w:val="center"/>
                    <w:rPr>
                      <w:b/>
                      <w:bCs/>
                      <w:color w:val="auto"/>
                      <w:szCs w:val="21"/>
                    </w:rPr>
                  </w:pPr>
                  <w:r>
                    <w:rPr>
                      <w:b/>
                      <w:bCs/>
                      <w:color w:val="auto"/>
                      <w:szCs w:val="21"/>
                    </w:rPr>
                    <w:t>名称</w:t>
                  </w:r>
                </w:p>
              </w:tc>
              <w:tc>
                <w:tcPr>
                  <w:tcW w:w="717" w:type="pct"/>
                  <w:tcBorders>
                    <w:top w:val="single" w:color="auto" w:sz="4" w:space="0"/>
                    <w:bottom w:val="single" w:color="auto" w:sz="4" w:space="0"/>
                  </w:tcBorders>
                  <w:noWrap w:val="0"/>
                  <w:vAlign w:val="center"/>
                </w:tcPr>
                <w:p w14:paraId="49023E02">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c>
                <w:tcPr>
                  <w:tcW w:w="1856" w:type="pct"/>
                  <w:gridSpan w:val="2"/>
                  <w:tcBorders>
                    <w:top w:val="single" w:color="auto" w:sz="4" w:space="0"/>
                    <w:bottom w:val="single" w:color="auto" w:sz="4" w:space="0"/>
                  </w:tcBorders>
                  <w:noWrap w:val="0"/>
                  <w:vAlign w:val="center"/>
                </w:tcPr>
                <w:p w14:paraId="3CEA7609">
                  <w:pPr>
                    <w:autoSpaceDE w:val="0"/>
                    <w:autoSpaceDN w:val="0"/>
                    <w:adjustRightInd w:val="0"/>
                    <w:jc w:val="center"/>
                    <w:rPr>
                      <w:b/>
                      <w:bCs/>
                      <w:color w:val="auto"/>
                      <w:szCs w:val="21"/>
                    </w:rPr>
                  </w:pPr>
                  <w:r>
                    <w:rPr>
                      <w:b/>
                      <w:bCs/>
                      <w:color w:val="auto"/>
                      <w:szCs w:val="21"/>
                    </w:rPr>
                    <w:t>名称</w:t>
                  </w:r>
                </w:p>
              </w:tc>
              <w:tc>
                <w:tcPr>
                  <w:tcW w:w="920" w:type="pct"/>
                  <w:tcBorders>
                    <w:top w:val="single" w:color="auto" w:sz="4" w:space="0"/>
                    <w:bottom w:val="single" w:color="auto" w:sz="4" w:space="0"/>
                  </w:tcBorders>
                  <w:noWrap w:val="0"/>
                  <w:vAlign w:val="center"/>
                </w:tcPr>
                <w:p w14:paraId="1F1595D7">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r>
            <w:tr w14:paraId="36F1A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7A71638F">
                  <w:pPr>
                    <w:widowControl/>
                    <w:jc w:val="center"/>
                    <w:rPr>
                      <w:color w:val="auto"/>
                      <w:szCs w:val="21"/>
                    </w:rPr>
                  </w:pPr>
                  <w:r>
                    <w:rPr>
                      <w:rFonts w:hint="eastAsia"/>
                      <w:color w:val="auto"/>
                      <w:szCs w:val="19"/>
                      <w:lang w:bidi="ar"/>
                    </w:rPr>
                    <w:t>涂胶基材</w:t>
                  </w:r>
                </w:p>
              </w:tc>
              <w:tc>
                <w:tcPr>
                  <w:tcW w:w="717" w:type="pct"/>
                  <w:tcBorders>
                    <w:top w:val="single" w:color="auto" w:sz="4" w:space="0"/>
                    <w:bottom w:val="single" w:color="auto" w:sz="4" w:space="0"/>
                  </w:tcBorders>
                  <w:noWrap w:val="0"/>
                  <w:vAlign w:val="center"/>
                </w:tcPr>
                <w:p w14:paraId="7208F629">
                  <w:pPr>
                    <w:snapToGrid w:val="0"/>
                    <w:spacing w:line="240" w:lineRule="auto"/>
                    <w:jc w:val="center"/>
                    <w:textAlignment w:val="auto"/>
                    <w:rPr>
                      <w:color w:val="auto"/>
                      <w:szCs w:val="21"/>
                    </w:rPr>
                  </w:pPr>
                  <w:r>
                    <w:rPr>
                      <w:rFonts w:hint="eastAsia"/>
                      <w:color w:val="auto"/>
                      <w:szCs w:val="21"/>
                      <w:lang w:val="en-US" w:eastAsia="zh-CN"/>
                    </w:rPr>
                    <w:t>6.2</w:t>
                  </w:r>
                </w:p>
              </w:tc>
              <w:tc>
                <w:tcPr>
                  <w:tcW w:w="807" w:type="pct"/>
                  <w:tcBorders>
                    <w:top w:val="single" w:color="auto" w:sz="4" w:space="0"/>
                    <w:bottom w:val="single" w:color="auto" w:sz="4" w:space="0"/>
                  </w:tcBorders>
                  <w:noWrap w:val="0"/>
                  <w:vAlign w:val="center"/>
                </w:tcPr>
                <w:p w14:paraId="45DF76DD">
                  <w:pPr>
                    <w:autoSpaceDE w:val="0"/>
                    <w:autoSpaceDN w:val="0"/>
                    <w:adjustRightInd w:val="0"/>
                    <w:jc w:val="center"/>
                    <w:rPr>
                      <w:color w:val="auto"/>
                      <w:szCs w:val="21"/>
                    </w:rPr>
                  </w:pPr>
                  <w:r>
                    <w:rPr>
                      <w:rFonts w:hint="eastAsia"/>
                      <w:color w:val="auto"/>
                      <w:szCs w:val="21"/>
                    </w:rPr>
                    <w:t>产品</w:t>
                  </w:r>
                </w:p>
              </w:tc>
              <w:tc>
                <w:tcPr>
                  <w:tcW w:w="1048" w:type="pct"/>
                  <w:tcBorders>
                    <w:top w:val="single" w:color="auto" w:sz="4" w:space="0"/>
                    <w:bottom w:val="single" w:color="auto" w:sz="4" w:space="0"/>
                  </w:tcBorders>
                  <w:noWrap w:val="0"/>
                  <w:vAlign w:val="center"/>
                </w:tcPr>
                <w:p w14:paraId="7C2EB309">
                  <w:pPr>
                    <w:autoSpaceDE w:val="0"/>
                    <w:autoSpaceDN w:val="0"/>
                    <w:adjustRightInd w:val="0"/>
                    <w:jc w:val="center"/>
                    <w:rPr>
                      <w:rFonts w:hint="eastAsia"/>
                      <w:color w:val="auto"/>
                      <w:szCs w:val="21"/>
                    </w:rPr>
                  </w:pPr>
                  <w:r>
                    <w:rPr>
                      <w:rFonts w:hint="eastAsia"/>
                      <w:color w:val="auto"/>
                      <w:szCs w:val="19"/>
                      <w:lang w:bidi="ar"/>
                    </w:rPr>
                    <w:t>创口贴</w:t>
                  </w:r>
                </w:p>
              </w:tc>
              <w:tc>
                <w:tcPr>
                  <w:tcW w:w="920" w:type="pct"/>
                  <w:tcBorders>
                    <w:top w:val="single" w:color="auto" w:sz="4" w:space="0"/>
                    <w:bottom w:val="single" w:color="auto" w:sz="4" w:space="0"/>
                  </w:tcBorders>
                  <w:noWrap w:val="0"/>
                  <w:vAlign w:val="center"/>
                </w:tcPr>
                <w:p w14:paraId="1981ACFF">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14.3</w:t>
                  </w:r>
                </w:p>
              </w:tc>
            </w:tr>
            <w:tr w14:paraId="59781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329611A6">
                  <w:pPr>
                    <w:widowControl/>
                    <w:jc w:val="center"/>
                    <w:rPr>
                      <w:color w:val="auto"/>
                      <w:szCs w:val="21"/>
                    </w:rPr>
                  </w:pPr>
                  <w:r>
                    <w:rPr>
                      <w:rFonts w:hint="eastAsia"/>
                      <w:color w:val="auto"/>
                      <w:szCs w:val="19"/>
                      <w:lang w:bidi="ar"/>
                    </w:rPr>
                    <w:t>吸收性敷垫</w:t>
                  </w:r>
                </w:p>
              </w:tc>
              <w:tc>
                <w:tcPr>
                  <w:tcW w:w="717" w:type="pct"/>
                  <w:tcBorders>
                    <w:top w:val="single" w:color="auto" w:sz="4" w:space="0"/>
                    <w:bottom w:val="single" w:color="auto" w:sz="4" w:space="0"/>
                  </w:tcBorders>
                  <w:noWrap w:val="0"/>
                  <w:vAlign w:val="center"/>
                </w:tcPr>
                <w:p w14:paraId="312E0ECB">
                  <w:pPr>
                    <w:snapToGrid w:val="0"/>
                    <w:spacing w:line="240" w:lineRule="auto"/>
                    <w:jc w:val="center"/>
                    <w:textAlignment w:val="auto"/>
                    <w:rPr>
                      <w:color w:val="auto"/>
                      <w:szCs w:val="21"/>
                    </w:rPr>
                  </w:pPr>
                  <w:r>
                    <w:rPr>
                      <w:rFonts w:hint="eastAsia"/>
                      <w:color w:val="auto"/>
                      <w:szCs w:val="21"/>
                      <w:lang w:val="en-US" w:eastAsia="zh-CN"/>
                    </w:rPr>
                    <w:t>1.9</w:t>
                  </w:r>
                </w:p>
              </w:tc>
              <w:tc>
                <w:tcPr>
                  <w:tcW w:w="807" w:type="pct"/>
                  <w:tcBorders>
                    <w:top w:val="single" w:color="auto" w:sz="4" w:space="0"/>
                    <w:bottom w:val="single" w:color="auto" w:sz="4" w:space="0"/>
                  </w:tcBorders>
                  <w:noWrap w:val="0"/>
                  <w:vAlign w:val="center"/>
                </w:tcPr>
                <w:p w14:paraId="7033BF88">
                  <w:pPr>
                    <w:autoSpaceDE w:val="0"/>
                    <w:autoSpaceDN w:val="0"/>
                    <w:adjustRightInd w:val="0"/>
                    <w:jc w:val="center"/>
                    <w:rPr>
                      <w:rFonts w:hint="default" w:eastAsia="宋体"/>
                      <w:color w:val="auto"/>
                      <w:szCs w:val="21"/>
                      <w:lang w:val="en-US" w:eastAsia="zh-CN"/>
                    </w:rPr>
                  </w:pPr>
                  <w:r>
                    <w:rPr>
                      <w:rFonts w:hint="eastAsia" w:eastAsia="宋体"/>
                      <w:color w:val="auto"/>
                      <w:szCs w:val="21"/>
                      <w:lang w:val="en-US" w:eastAsia="zh-CN"/>
                    </w:rPr>
                    <w:t>复合、冲片</w:t>
                  </w:r>
                </w:p>
              </w:tc>
              <w:tc>
                <w:tcPr>
                  <w:tcW w:w="1048" w:type="pct"/>
                  <w:tcBorders>
                    <w:top w:val="single" w:color="auto" w:sz="4" w:space="0"/>
                    <w:bottom w:val="single" w:color="auto" w:sz="4" w:space="0"/>
                  </w:tcBorders>
                  <w:noWrap w:val="0"/>
                  <w:vAlign w:val="center"/>
                </w:tcPr>
                <w:p w14:paraId="3F7DAB9C">
                  <w:pPr>
                    <w:autoSpaceDE w:val="0"/>
                    <w:autoSpaceDN w:val="0"/>
                    <w:adjustRightInd w:val="0"/>
                    <w:jc w:val="center"/>
                    <w:rPr>
                      <w:rFonts w:hint="eastAsia" w:eastAsia="宋体"/>
                      <w:color w:val="auto"/>
                      <w:szCs w:val="21"/>
                      <w:lang w:eastAsia="zh-CN"/>
                    </w:rPr>
                  </w:pPr>
                  <w:r>
                    <w:rPr>
                      <w:rFonts w:hint="eastAsia"/>
                      <w:color w:val="auto"/>
                      <w:szCs w:val="21"/>
                      <w:lang w:val="en-US" w:eastAsia="zh-CN"/>
                    </w:rPr>
                    <w:t>边角料</w:t>
                  </w:r>
                </w:p>
              </w:tc>
              <w:tc>
                <w:tcPr>
                  <w:tcW w:w="920" w:type="pct"/>
                  <w:tcBorders>
                    <w:top w:val="single" w:color="auto" w:sz="4" w:space="0"/>
                    <w:bottom w:val="single" w:color="auto" w:sz="4" w:space="0"/>
                  </w:tcBorders>
                  <w:noWrap w:val="0"/>
                  <w:vAlign w:val="center"/>
                </w:tcPr>
                <w:p w14:paraId="74184881">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0.2</w:t>
                  </w:r>
                </w:p>
              </w:tc>
            </w:tr>
            <w:tr w14:paraId="5968D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125AD1EA">
                  <w:pPr>
                    <w:widowControl/>
                    <w:jc w:val="center"/>
                    <w:rPr>
                      <w:rFonts w:hint="eastAsia"/>
                      <w:color w:val="auto"/>
                      <w:szCs w:val="19"/>
                      <w:lang w:bidi="ar"/>
                    </w:rPr>
                  </w:pPr>
                  <w:r>
                    <w:rPr>
                      <w:rFonts w:hint="eastAsia"/>
                      <w:color w:val="auto"/>
                      <w:szCs w:val="19"/>
                      <w:lang w:bidi="ar"/>
                    </w:rPr>
                    <w:t>离型纸</w:t>
                  </w:r>
                </w:p>
              </w:tc>
              <w:tc>
                <w:tcPr>
                  <w:tcW w:w="717" w:type="pct"/>
                  <w:tcBorders>
                    <w:top w:val="single" w:color="auto" w:sz="4" w:space="0"/>
                    <w:bottom w:val="single" w:color="auto" w:sz="4" w:space="0"/>
                  </w:tcBorders>
                  <w:noWrap w:val="0"/>
                  <w:vAlign w:val="center"/>
                </w:tcPr>
                <w:p w14:paraId="59988CAE">
                  <w:pPr>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2.5</w:t>
                  </w:r>
                </w:p>
              </w:tc>
              <w:tc>
                <w:tcPr>
                  <w:tcW w:w="807" w:type="pct"/>
                  <w:tcBorders>
                    <w:top w:val="single" w:color="auto" w:sz="4" w:space="0"/>
                    <w:bottom w:val="single" w:color="auto" w:sz="4" w:space="0"/>
                  </w:tcBorders>
                  <w:noWrap w:val="0"/>
                  <w:vAlign w:val="center"/>
                </w:tcPr>
                <w:p w14:paraId="2041D509">
                  <w:pPr>
                    <w:autoSpaceDE w:val="0"/>
                    <w:autoSpaceDN w:val="0"/>
                    <w:adjustRightInd w:val="0"/>
                    <w:jc w:val="center"/>
                    <w:rPr>
                      <w:rFonts w:hint="default"/>
                      <w:color w:val="auto"/>
                      <w:szCs w:val="21"/>
                      <w:lang w:val="en-US" w:eastAsia="zh-CN"/>
                    </w:rPr>
                  </w:pPr>
                  <w:r>
                    <w:rPr>
                      <w:rFonts w:hint="eastAsia"/>
                      <w:color w:val="auto"/>
                      <w:szCs w:val="21"/>
                      <w:lang w:val="en-US" w:eastAsia="zh-CN"/>
                    </w:rPr>
                    <w:t>抽检</w:t>
                  </w:r>
                </w:p>
              </w:tc>
              <w:tc>
                <w:tcPr>
                  <w:tcW w:w="1048" w:type="pct"/>
                  <w:tcBorders>
                    <w:top w:val="single" w:color="auto" w:sz="4" w:space="0"/>
                    <w:bottom w:val="single" w:color="auto" w:sz="4" w:space="0"/>
                  </w:tcBorders>
                  <w:noWrap w:val="0"/>
                  <w:vAlign w:val="center"/>
                </w:tcPr>
                <w:p w14:paraId="5B31CC09">
                  <w:pPr>
                    <w:autoSpaceDE w:val="0"/>
                    <w:autoSpaceDN w:val="0"/>
                    <w:adjustRightInd w:val="0"/>
                    <w:jc w:val="center"/>
                    <w:rPr>
                      <w:rFonts w:hint="default"/>
                      <w:color w:val="auto"/>
                      <w:szCs w:val="21"/>
                      <w:lang w:val="en-US" w:eastAsia="zh-CN"/>
                    </w:rPr>
                  </w:pPr>
                  <w:r>
                    <w:rPr>
                      <w:rFonts w:hint="eastAsia"/>
                      <w:color w:val="auto"/>
                      <w:szCs w:val="21"/>
                      <w:lang w:val="en-US" w:eastAsia="zh-CN"/>
                    </w:rPr>
                    <w:t>不合格品</w:t>
                  </w:r>
                </w:p>
              </w:tc>
              <w:tc>
                <w:tcPr>
                  <w:tcW w:w="920" w:type="pct"/>
                  <w:tcBorders>
                    <w:top w:val="single" w:color="auto" w:sz="4" w:space="0"/>
                    <w:bottom w:val="single" w:color="auto" w:sz="4" w:space="0"/>
                  </w:tcBorders>
                  <w:noWrap w:val="0"/>
                  <w:vAlign w:val="center"/>
                </w:tcPr>
                <w:p w14:paraId="584CB6EC">
                  <w:pPr>
                    <w:autoSpaceDE w:val="0"/>
                    <w:autoSpaceDN w:val="0"/>
                    <w:adjustRightInd w:val="0"/>
                    <w:jc w:val="center"/>
                    <w:rPr>
                      <w:rFonts w:hint="default"/>
                      <w:color w:val="auto"/>
                      <w:szCs w:val="21"/>
                      <w:lang w:val="en-US" w:eastAsia="zh-CN"/>
                    </w:rPr>
                  </w:pPr>
                  <w:r>
                    <w:rPr>
                      <w:rFonts w:hint="eastAsia"/>
                      <w:color w:val="auto"/>
                      <w:szCs w:val="21"/>
                      <w:lang w:val="en-US" w:eastAsia="zh-CN"/>
                    </w:rPr>
                    <w:t>0.1</w:t>
                  </w:r>
                </w:p>
              </w:tc>
            </w:tr>
            <w:tr w14:paraId="4A396B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52D53AEE">
                  <w:pPr>
                    <w:widowControl/>
                    <w:jc w:val="center"/>
                    <w:rPr>
                      <w:rFonts w:hint="eastAsia"/>
                      <w:color w:val="auto"/>
                      <w:szCs w:val="21"/>
                    </w:rPr>
                  </w:pPr>
                  <w:r>
                    <w:rPr>
                      <w:rFonts w:hint="eastAsia"/>
                      <w:color w:val="auto"/>
                      <w:szCs w:val="19"/>
                      <w:lang w:bidi="ar"/>
                    </w:rPr>
                    <w:t>冷封纸</w:t>
                  </w:r>
                </w:p>
              </w:tc>
              <w:tc>
                <w:tcPr>
                  <w:tcW w:w="717" w:type="pct"/>
                  <w:tcBorders>
                    <w:top w:val="single" w:color="auto" w:sz="4" w:space="0"/>
                    <w:bottom w:val="single" w:color="auto" w:sz="4" w:space="0"/>
                  </w:tcBorders>
                  <w:noWrap w:val="0"/>
                  <w:vAlign w:val="center"/>
                </w:tcPr>
                <w:p w14:paraId="7DFB9040">
                  <w:pPr>
                    <w:snapToGrid w:val="0"/>
                    <w:spacing w:line="240" w:lineRule="auto"/>
                    <w:jc w:val="center"/>
                    <w:textAlignment w:val="auto"/>
                    <w:rPr>
                      <w:color w:val="auto"/>
                      <w:szCs w:val="21"/>
                    </w:rPr>
                  </w:pPr>
                  <w:r>
                    <w:rPr>
                      <w:rFonts w:hint="eastAsia"/>
                      <w:color w:val="auto"/>
                      <w:szCs w:val="21"/>
                      <w:lang w:val="en-US" w:eastAsia="zh-CN"/>
                    </w:rPr>
                    <w:t>4</w:t>
                  </w:r>
                </w:p>
              </w:tc>
              <w:tc>
                <w:tcPr>
                  <w:tcW w:w="2776" w:type="pct"/>
                  <w:gridSpan w:val="3"/>
                  <w:tcBorders>
                    <w:top w:val="single" w:color="auto" w:sz="4" w:space="0"/>
                  </w:tcBorders>
                  <w:noWrap w:val="0"/>
                  <w:vAlign w:val="center"/>
                </w:tcPr>
                <w:p w14:paraId="16E9EC88">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w:t>
                  </w:r>
                </w:p>
              </w:tc>
            </w:tr>
            <w:tr w14:paraId="7BC02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12" w:space="0"/>
                  </w:tcBorders>
                  <w:noWrap w:val="0"/>
                  <w:vAlign w:val="center"/>
                </w:tcPr>
                <w:p w14:paraId="0F1F8F17">
                  <w:pPr>
                    <w:pStyle w:val="83"/>
                    <w:spacing w:line="240" w:lineRule="auto"/>
                    <w:ind w:firstLine="0" w:firstLineChars="0"/>
                    <w:jc w:val="center"/>
                    <w:textAlignment w:val="baseline"/>
                    <w:rPr>
                      <w:rStyle w:val="84"/>
                      <w:color w:val="auto"/>
                      <w:kern w:val="0"/>
                      <w:sz w:val="21"/>
                      <w:szCs w:val="21"/>
                    </w:rPr>
                  </w:pPr>
                  <w:r>
                    <w:rPr>
                      <w:rStyle w:val="84"/>
                      <w:color w:val="auto"/>
                      <w:kern w:val="0"/>
                      <w:sz w:val="21"/>
                      <w:szCs w:val="21"/>
                    </w:rPr>
                    <w:t>合计</w:t>
                  </w:r>
                </w:p>
              </w:tc>
              <w:tc>
                <w:tcPr>
                  <w:tcW w:w="717" w:type="pct"/>
                  <w:tcBorders>
                    <w:top w:val="single" w:color="auto" w:sz="4" w:space="0"/>
                    <w:bottom w:val="single" w:color="auto" w:sz="12" w:space="0"/>
                  </w:tcBorders>
                  <w:noWrap w:val="0"/>
                  <w:vAlign w:val="center"/>
                </w:tcPr>
                <w:p w14:paraId="5E288B29">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14.6</w:t>
                  </w:r>
                </w:p>
              </w:tc>
              <w:tc>
                <w:tcPr>
                  <w:tcW w:w="1856" w:type="pct"/>
                  <w:gridSpan w:val="2"/>
                  <w:tcBorders>
                    <w:top w:val="single" w:color="auto" w:sz="4" w:space="0"/>
                    <w:bottom w:val="single" w:color="auto" w:sz="12" w:space="0"/>
                  </w:tcBorders>
                  <w:noWrap w:val="0"/>
                  <w:vAlign w:val="center"/>
                </w:tcPr>
                <w:p w14:paraId="4E28A895">
                  <w:pPr>
                    <w:pStyle w:val="83"/>
                    <w:spacing w:line="240" w:lineRule="auto"/>
                    <w:ind w:firstLine="0" w:firstLineChars="0"/>
                    <w:jc w:val="center"/>
                    <w:textAlignment w:val="baseline"/>
                    <w:rPr>
                      <w:color w:val="auto"/>
                      <w:szCs w:val="21"/>
                    </w:rPr>
                  </w:pPr>
                  <w:r>
                    <w:rPr>
                      <w:rStyle w:val="84"/>
                      <w:color w:val="auto"/>
                      <w:kern w:val="0"/>
                      <w:sz w:val="21"/>
                      <w:szCs w:val="21"/>
                    </w:rPr>
                    <w:t>合计</w:t>
                  </w:r>
                </w:p>
              </w:tc>
              <w:tc>
                <w:tcPr>
                  <w:tcW w:w="920" w:type="pct"/>
                  <w:tcBorders>
                    <w:top w:val="single" w:color="auto" w:sz="4" w:space="0"/>
                    <w:bottom w:val="single" w:color="auto" w:sz="12" w:space="0"/>
                  </w:tcBorders>
                  <w:noWrap w:val="0"/>
                  <w:vAlign w:val="center"/>
                </w:tcPr>
                <w:p w14:paraId="77EB7B5F">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14.6</w:t>
                  </w:r>
                </w:p>
              </w:tc>
            </w:tr>
          </w:tbl>
          <w:p w14:paraId="74E895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lang w:val="en-US" w:eastAsia="zh-CN"/>
              </w:rPr>
            </w:pPr>
            <w:r>
              <w:rPr>
                <w:rFonts w:hint="eastAsia"/>
                <w:color w:val="auto"/>
                <w:sz w:val="24"/>
                <w:lang w:val="en-US" w:eastAsia="zh-CN"/>
              </w:rPr>
              <w:t>9、</w:t>
            </w:r>
            <w:r>
              <w:rPr>
                <w:rFonts w:hint="eastAsia" w:ascii="Times New Roman" w:hAnsi="Times New Roman" w:eastAsia="宋体" w:cs="Times New Roman"/>
                <w:color w:val="auto"/>
                <w:sz w:val="24"/>
              </w:rPr>
              <w:t>三伏贴物料</w:t>
            </w:r>
            <w:r>
              <w:rPr>
                <w:color w:val="auto"/>
                <w:sz w:val="24"/>
              </w:rPr>
              <w:t>平衡</w:t>
            </w:r>
            <w:r>
              <w:rPr>
                <w:rFonts w:hint="eastAsia"/>
                <w:color w:val="auto"/>
                <w:sz w:val="24"/>
              </w:rPr>
              <w:t>分析详见如下。</w:t>
            </w:r>
          </w:p>
          <w:p w14:paraId="1CBFE8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color w:val="auto"/>
                <w:sz w:val="24"/>
                <w:lang w:val="en-US" w:eastAsia="zh-CN"/>
              </w:rPr>
            </w:pPr>
            <w:r>
              <w:rPr>
                <w:rFonts w:hint="default"/>
                <w:color w:val="auto"/>
                <w:sz w:val="24"/>
                <w:lang w:val="en-US" w:eastAsia="zh-CN"/>
              </w:rPr>
              <w:object>
                <v:shape id="_x0000_i1047" o:spt="75" type="#_x0000_t75" style="height:350.25pt;width:185.25pt;" o:ole="t" filled="f" o:preferrelative="t" stroked="f" coordsize="21600,21600">
                  <v:path/>
                  <v:fill on="f" focussize="0,0"/>
                  <v:stroke on="f"/>
                  <v:imagedata r:id="rId58" o:title=""/>
                  <o:lock v:ext="edit" aspectratio="f"/>
                  <w10:wrap type="none"/>
                  <w10:anchorlock/>
                </v:shape>
                <o:OLEObject Type="Embed" ProgID="Visio.Drawing.11" ShapeID="_x0000_i1047" DrawAspect="Content" ObjectID="_1468075747" r:id="rId57">
                  <o:LockedField>false</o:LockedField>
                </o:OLEObject>
              </w:object>
            </w:r>
          </w:p>
          <w:p w14:paraId="66718752">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hAnsi="宋体" w:cs="宋体"/>
                <w:b/>
                <w:bCs/>
                <w:color w:val="auto"/>
                <w:szCs w:val="21"/>
              </w:rPr>
            </w:pPr>
            <w:r>
              <w:rPr>
                <w:rFonts w:ascii="Times New Roman"/>
                <w:b/>
                <w:bCs/>
                <w:color w:val="auto"/>
                <w:szCs w:val="21"/>
              </w:rPr>
              <w:t>图</w:t>
            </w:r>
            <w:r>
              <w:rPr>
                <w:rFonts w:hint="eastAsia" w:ascii="Times New Roman"/>
                <w:b/>
                <w:bCs/>
                <w:color w:val="auto"/>
                <w:szCs w:val="21"/>
              </w:rPr>
              <w:t>2</w:t>
            </w:r>
            <w:r>
              <w:rPr>
                <w:rFonts w:ascii="Times New Roman"/>
                <w:b/>
                <w:bCs/>
                <w:color w:val="auto"/>
                <w:szCs w:val="21"/>
              </w:rPr>
              <w:t>-</w:t>
            </w:r>
            <w:r>
              <w:rPr>
                <w:rFonts w:hint="eastAsia"/>
                <w:b/>
                <w:bCs/>
                <w:color w:val="auto"/>
                <w:szCs w:val="21"/>
                <w:lang w:val="en-US" w:eastAsia="zh-CN"/>
              </w:rPr>
              <w:t>24</w:t>
            </w:r>
            <w:r>
              <w:rPr>
                <w:rFonts w:hint="eastAsia" w:ascii="Times New Roman"/>
                <w:b/>
                <w:bCs/>
                <w:color w:val="auto"/>
                <w:szCs w:val="21"/>
              </w:rPr>
              <w:t xml:space="preserve"> </w:t>
            </w:r>
            <w:r>
              <w:rPr>
                <w:rFonts w:ascii="Times New Roman"/>
                <w:b/>
                <w:bCs/>
                <w:color w:val="auto"/>
                <w:szCs w:val="21"/>
              </w:rPr>
              <w:t xml:space="preserve"> </w:t>
            </w:r>
            <w:r>
              <w:rPr>
                <w:rFonts w:hint="eastAsia" w:ascii="Times New Roman" w:hAnsi="宋体" w:eastAsia="宋体" w:cs="宋体"/>
                <w:b/>
                <w:bCs/>
                <w:color w:val="auto"/>
                <w:szCs w:val="21"/>
              </w:rPr>
              <w:t>项目三伏贴物料</w:t>
            </w:r>
            <w:r>
              <w:rPr>
                <w:rFonts w:hint="eastAsia" w:hAnsi="宋体" w:cs="宋体"/>
                <w:b/>
                <w:bCs/>
                <w:color w:val="auto"/>
                <w:szCs w:val="21"/>
              </w:rPr>
              <w:t>平衡图  （单位：t/a）</w:t>
            </w:r>
          </w:p>
          <w:p w14:paraId="4663C97D">
            <w:pPr>
              <w:ind w:firstLine="480" w:firstLineChars="200"/>
              <w:rPr>
                <w:rFonts w:hint="eastAsia"/>
                <w:color w:val="auto"/>
              </w:rPr>
            </w:pPr>
            <w:r>
              <w:rPr>
                <w:rFonts w:hint="eastAsia" w:ascii="宋体" w:hAnsi="宋体" w:cs="宋体"/>
                <w:color w:val="auto"/>
                <w:sz w:val="24"/>
              </w:rPr>
              <w:t>本项</w:t>
            </w:r>
            <w:r>
              <w:rPr>
                <w:rFonts w:hint="eastAsia" w:ascii="宋体" w:hAnsi="宋体" w:eastAsia="宋体" w:cs="宋体"/>
                <w:color w:val="auto"/>
                <w:sz w:val="24"/>
              </w:rPr>
              <w:t>目</w:t>
            </w:r>
            <w:r>
              <w:rPr>
                <w:rFonts w:hint="eastAsia" w:ascii="Times New Roman" w:hAnsi="Times New Roman" w:eastAsia="宋体" w:cs="Times New Roman"/>
                <w:color w:val="auto"/>
                <w:sz w:val="24"/>
              </w:rPr>
              <w:t>三伏贴</w:t>
            </w:r>
            <w:r>
              <w:rPr>
                <w:rFonts w:hint="eastAsia" w:ascii="宋体" w:hAnsi="宋体" w:eastAsia="宋体" w:cs="宋体"/>
                <w:color w:val="auto"/>
                <w:sz w:val="24"/>
              </w:rPr>
              <w:t>物料平</w:t>
            </w:r>
            <w:r>
              <w:rPr>
                <w:rFonts w:hint="eastAsia" w:ascii="宋体" w:hAnsi="宋体" w:cs="宋体"/>
                <w:color w:val="auto"/>
                <w:sz w:val="24"/>
              </w:rPr>
              <w:t>衡表</w:t>
            </w:r>
            <w:r>
              <w:rPr>
                <w:color w:val="auto"/>
                <w:sz w:val="24"/>
              </w:rPr>
              <w:t>见</w:t>
            </w:r>
            <w:r>
              <w:rPr>
                <w:rFonts w:hint="eastAsia"/>
                <w:color w:val="auto"/>
                <w:sz w:val="24"/>
                <w:lang w:val="en-US" w:eastAsia="zh-CN"/>
              </w:rPr>
              <w:t>下</w:t>
            </w:r>
            <w:r>
              <w:rPr>
                <w:color w:val="auto"/>
                <w:sz w:val="24"/>
              </w:rPr>
              <w:t>表</w:t>
            </w:r>
            <w:r>
              <w:rPr>
                <w:rFonts w:hint="eastAsia"/>
                <w:color w:val="auto"/>
                <w:sz w:val="24"/>
              </w:rPr>
              <w:t>。</w:t>
            </w:r>
          </w:p>
          <w:p w14:paraId="5257D132">
            <w:pPr>
              <w:pStyle w:val="10"/>
              <w:spacing w:before="0" w:after="0" w:line="240" w:lineRule="auto"/>
              <w:ind w:right="0"/>
              <w:jc w:val="center"/>
              <w:rPr>
                <w:b/>
                <w:bCs/>
                <w:color w:val="auto"/>
                <w:sz w:val="21"/>
                <w:szCs w:val="21"/>
              </w:rPr>
            </w:pPr>
            <w:r>
              <w:rPr>
                <w:b/>
                <w:bCs/>
                <w:color w:val="auto"/>
                <w:sz w:val="21"/>
                <w:szCs w:val="21"/>
              </w:rPr>
              <w:t>表</w:t>
            </w:r>
            <w:r>
              <w:rPr>
                <w:rFonts w:hint="eastAsia"/>
                <w:b/>
                <w:bCs/>
                <w:color w:val="auto"/>
                <w:sz w:val="21"/>
                <w:szCs w:val="21"/>
              </w:rPr>
              <w:t>2-1</w:t>
            </w:r>
            <w:r>
              <w:rPr>
                <w:rFonts w:hint="eastAsia"/>
                <w:b/>
                <w:bCs/>
                <w:color w:val="auto"/>
                <w:sz w:val="21"/>
                <w:szCs w:val="21"/>
                <w:lang w:val="en-US" w:eastAsia="zh-CN"/>
              </w:rPr>
              <w:t>9</w:t>
            </w:r>
            <w:r>
              <w:rPr>
                <w:rFonts w:hint="eastAsia"/>
                <w:b/>
                <w:bCs/>
                <w:color w:val="auto"/>
                <w:sz w:val="21"/>
                <w:szCs w:val="21"/>
              </w:rPr>
              <w:t xml:space="preserve">  </w:t>
            </w:r>
            <w:r>
              <w:rPr>
                <w:rFonts w:hint="eastAsia" w:ascii="Times New Roman" w:hAnsi="Times New Roman" w:eastAsia="宋体" w:cs="Times New Roman"/>
                <w:b/>
                <w:bCs/>
                <w:color w:val="auto"/>
                <w:sz w:val="21"/>
                <w:szCs w:val="21"/>
              </w:rPr>
              <w:t>三伏贴</w:t>
            </w:r>
            <w:r>
              <w:rPr>
                <w:rFonts w:ascii="Times New Roman" w:hAnsi="Times New Roman" w:eastAsia="宋体" w:cs="Times New Roman"/>
                <w:b/>
                <w:bCs/>
                <w:color w:val="auto"/>
                <w:sz w:val="21"/>
                <w:szCs w:val="21"/>
              </w:rPr>
              <w:t>物料</w:t>
            </w:r>
            <w:r>
              <w:rPr>
                <w:b/>
                <w:bCs/>
                <w:color w:val="auto"/>
                <w:sz w:val="21"/>
                <w:szCs w:val="21"/>
              </w:rPr>
              <w:t>平衡表</w:t>
            </w:r>
          </w:p>
          <w:tbl>
            <w:tblPr>
              <w:tblStyle w:val="24"/>
              <w:tblW w:w="496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1146"/>
              <w:gridCol w:w="1577"/>
              <w:gridCol w:w="1390"/>
              <w:gridCol w:w="1470"/>
            </w:tblGrid>
            <w:tr w14:paraId="66BAE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223" w:type="pct"/>
                  <w:gridSpan w:val="2"/>
                  <w:tcBorders>
                    <w:bottom w:val="single" w:color="auto" w:sz="4" w:space="0"/>
                  </w:tcBorders>
                  <w:noWrap w:val="0"/>
                  <w:vAlign w:val="top"/>
                </w:tcPr>
                <w:p w14:paraId="14E9BEF0">
                  <w:pPr>
                    <w:autoSpaceDE w:val="0"/>
                    <w:autoSpaceDN w:val="0"/>
                    <w:adjustRightInd w:val="0"/>
                    <w:jc w:val="center"/>
                    <w:rPr>
                      <w:b/>
                      <w:bCs/>
                      <w:color w:val="auto"/>
                      <w:szCs w:val="21"/>
                    </w:rPr>
                  </w:pPr>
                  <w:r>
                    <w:rPr>
                      <w:b/>
                      <w:bCs/>
                      <w:color w:val="auto"/>
                      <w:szCs w:val="21"/>
                    </w:rPr>
                    <w:t>投入</w:t>
                  </w:r>
                </w:p>
              </w:tc>
              <w:tc>
                <w:tcPr>
                  <w:tcW w:w="2776" w:type="pct"/>
                  <w:gridSpan w:val="3"/>
                  <w:tcBorders>
                    <w:bottom w:val="single" w:color="auto" w:sz="4" w:space="0"/>
                  </w:tcBorders>
                  <w:noWrap w:val="0"/>
                  <w:vAlign w:val="top"/>
                </w:tcPr>
                <w:p w14:paraId="560E6E0D">
                  <w:pPr>
                    <w:autoSpaceDE w:val="0"/>
                    <w:autoSpaceDN w:val="0"/>
                    <w:adjustRightInd w:val="0"/>
                    <w:jc w:val="center"/>
                    <w:rPr>
                      <w:b/>
                      <w:bCs/>
                      <w:color w:val="auto"/>
                      <w:szCs w:val="21"/>
                    </w:rPr>
                  </w:pPr>
                  <w:r>
                    <w:rPr>
                      <w:b/>
                      <w:bCs/>
                      <w:color w:val="auto"/>
                      <w:szCs w:val="21"/>
                    </w:rPr>
                    <w:t>产出</w:t>
                  </w:r>
                </w:p>
              </w:tc>
            </w:tr>
            <w:tr w14:paraId="0C900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7299FF82">
                  <w:pPr>
                    <w:autoSpaceDE w:val="0"/>
                    <w:autoSpaceDN w:val="0"/>
                    <w:adjustRightInd w:val="0"/>
                    <w:jc w:val="center"/>
                    <w:rPr>
                      <w:b/>
                      <w:bCs/>
                      <w:color w:val="auto"/>
                      <w:szCs w:val="21"/>
                    </w:rPr>
                  </w:pPr>
                  <w:r>
                    <w:rPr>
                      <w:b/>
                      <w:bCs/>
                      <w:color w:val="auto"/>
                      <w:szCs w:val="21"/>
                    </w:rPr>
                    <w:t>名称</w:t>
                  </w:r>
                </w:p>
              </w:tc>
              <w:tc>
                <w:tcPr>
                  <w:tcW w:w="717" w:type="pct"/>
                  <w:tcBorders>
                    <w:top w:val="single" w:color="auto" w:sz="4" w:space="0"/>
                    <w:bottom w:val="single" w:color="auto" w:sz="4" w:space="0"/>
                  </w:tcBorders>
                  <w:noWrap w:val="0"/>
                  <w:vAlign w:val="center"/>
                </w:tcPr>
                <w:p w14:paraId="5B562E74">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c>
                <w:tcPr>
                  <w:tcW w:w="1856" w:type="pct"/>
                  <w:gridSpan w:val="2"/>
                  <w:tcBorders>
                    <w:top w:val="single" w:color="auto" w:sz="4" w:space="0"/>
                    <w:bottom w:val="single" w:color="auto" w:sz="4" w:space="0"/>
                  </w:tcBorders>
                  <w:noWrap w:val="0"/>
                  <w:vAlign w:val="center"/>
                </w:tcPr>
                <w:p w14:paraId="5D5C0931">
                  <w:pPr>
                    <w:autoSpaceDE w:val="0"/>
                    <w:autoSpaceDN w:val="0"/>
                    <w:adjustRightInd w:val="0"/>
                    <w:jc w:val="center"/>
                    <w:rPr>
                      <w:b/>
                      <w:bCs/>
                      <w:color w:val="auto"/>
                      <w:szCs w:val="21"/>
                    </w:rPr>
                  </w:pPr>
                  <w:r>
                    <w:rPr>
                      <w:b/>
                      <w:bCs/>
                      <w:color w:val="auto"/>
                      <w:szCs w:val="21"/>
                    </w:rPr>
                    <w:t>名称</w:t>
                  </w:r>
                </w:p>
              </w:tc>
              <w:tc>
                <w:tcPr>
                  <w:tcW w:w="920" w:type="pct"/>
                  <w:tcBorders>
                    <w:top w:val="single" w:color="auto" w:sz="4" w:space="0"/>
                    <w:bottom w:val="single" w:color="auto" w:sz="4" w:space="0"/>
                  </w:tcBorders>
                  <w:noWrap w:val="0"/>
                  <w:vAlign w:val="center"/>
                </w:tcPr>
                <w:p w14:paraId="6CCC4FB9">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r>
            <w:tr w14:paraId="241A4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3EBC345B">
                  <w:pPr>
                    <w:snapToGrid w:val="0"/>
                    <w:spacing w:line="240" w:lineRule="auto"/>
                    <w:jc w:val="center"/>
                    <w:textAlignment w:val="auto"/>
                    <w:rPr>
                      <w:color w:val="auto"/>
                      <w:szCs w:val="21"/>
                    </w:rPr>
                  </w:pPr>
                  <w:r>
                    <w:rPr>
                      <w:rFonts w:hint="eastAsia"/>
                      <w:color w:val="auto"/>
                      <w:szCs w:val="21"/>
                      <w:lang w:val="en-US" w:eastAsia="zh-CN"/>
                    </w:rPr>
                    <w:t>无纺布</w:t>
                  </w:r>
                </w:p>
              </w:tc>
              <w:tc>
                <w:tcPr>
                  <w:tcW w:w="717" w:type="pct"/>
                  <w:tcBorders>
                    <w:top w:val="single" w:color="auto" w:sz="4" w:space="0"/>
                    <w:bottom w:val="single" w:color="auto" w:sz="4" w:space="0"/>
                  </w:tcBorders>
                  <w:noWrap w:val="0"/>
                  <w:vAlign w:val="center"/>
                </w:tcPr>
                <w:p w14:paraId="712009C2">
                  <w:pPr>
                    <w:snapToGrid w:val="0"/>
                    <w:spacing w:line="240" w:lineRule="auto"/>
                    <w:jc w:val="center"/>
                    <w:textAlignment w:val="auto"/>
                    <w:rPr>
                      <w:color w:val="auto"/>
                      <w:szCs w:val="21"/>
                    </w:rPr>
                  </w:pPr>
                  <w:r>
                    <w:rPr>
                      <w:rFonts w:hint="eastAsia"/>
                      <w:color w:val="auto"/>
                      <w:szCs w:val="21"/>
                      <w:lang w:val="en-US" w:eastAsia="zh-CN"/>
                    </w:rPr>
                    <w:t>8</w:t>
                  </w:r>
                </w:p>
              </w:tc>
              <w:tc>
                <w:tcPr>
                  <w:tcW w:w="986" w:type="pct"/>
                  <w:tcBorders>
                    <w:top w:val="single" w:color="auto" w:sz="4" w:space="0"/>
                    <w:bottom w:val="single" w:color="auto" w:sz="4" w:space="0"/>
                  </w:tcBorders>
                  <w:noWrap w:val="0"/>
                  <w:vAlign w:val="center"/>
                </w:tcPr>
                <w:p w14:paraId="354EA768">
                  <w:pPr>
                    <w:autoSpaceDE w:val="0"/>
                    <w:autoSpaceDN w:val="0"/>
                    <w:adjustRightInd w:val="0"/>
                    <w:jc w:val="center"/>
                    <w:rPr>
                      <w:color w:val="auto"/>
                      <w:szCs w:val="21"/>
                    </w:rPr>
                  </w:pPr>
                  <w:r>
                    <w:rPr>
                      <w:rFonts w:hint="eastAsia"/>
                      <w:color w:val="auto"/>
                      <w:szCs w:val="21"/>
                    </w:rPr>
                    <w:t>产品</w:t>
                  </w:r>
                </w:p>
              </w:tc>
              <w:tc>
                <w:tcPr>
                  <w:tcW w:w="869" w:type="pct"/>
                  <w:tcBorders>
                    <w:top w:val="single" w:color="auto" w:sz="4" w:space="0"/>
                    <w:bottom w:val="single" w:color="auto" w:sz="4" w:space="0"/>
                  </w:tcBorders>
                  <w:noWrap w:val="0"/>
                  <w:vAlign w:val="center"/>
                </w:tcPr>
                <w:p w14:paraId="18D1323D">
                  <w:pPr>
                    <w:autoSpaceDE w:val="0"/>
                    <w:autoSpaceDN w:val="0"/>
                    <w:adjustRightInd w:val="0"/>
                    <w:jc w:val="center"/>
                    <w:rPr>
                      <w:rFonts w:hint="eastAsia"/>
                      <w:color w:val="auto"/>
                      <w:szCs w:val="21"/>
                    </w:rPr>
                  </w:pPr>
                  <w:r>
                    <w:rPr>
                      <w:rFonts w:hint="eastAsia" w:ascii="Times New Roman" w:hAnsi="Times New Roman" w:eastAsia="宋体" w:cs="Times New Roman"/>
                      <w:color w:val="auto"/>
                      <w:szCs w:val="21"/>
                      <w:lang w:val="en-US" w:eastAsia="zh-CN"/>
                    </w:rPr>
                    <w:t>三伏贴</w:t>
                  </w:r>
                </w:p>
              </w:tc>
              <w:tc>
                <w:tcPr>
                  <w:tcW w:w="920" w:type="pct"/>
                  <w:tcBorders>
                    <w:top w:val="single" w:color="auto" w:sz="4" w:space="0"/>
                    <w:bottom w:val="single" w:color="auto" w:sz="4" w:space="0"/>
                  </w:tcBorders>
                  <w:noWrap w:val="0"/>
                  <w:vAlign w:val="center"/>
                </w:tcPr>
                <w:p w14:paraId="1A0D2177">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18.7</w:t>
                  </w:r>
                </w:p>
              </w:tc>
            </w:tr>
            <w:tr w14:paraId="0330D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0F0B92F3">
                  <w:pPr>
                    <w:snapToGrid w:val="0"/>
                    <w:spacing w:line="240" w:lineRule="auto"/>
                    <w:jc w:val="center"/>
                    <w:textAlignment w:val="auto"/>
                    <w:rPr>
                      <w:color w:val="auto"/>
                      <w:szCs w:val="21"/>
                    </w:rPr>
                  </w:pPr>
                  <w:r>
                    <w:rPr>
                      <w:rFonts w:hint="eastAsia"/>
                      <w:color w:val="auto"/>
                      <w:szCs w:val="21"/>
                      <w:lang w:val="en-US" w:eastAsia="zh-CN"/>
                    </w:rPr>
                    <w:t>离型纸</w:t>
                  </w:r>
                </w:p>
              </w:tc>
              <w:tc>
                <w:tcPr>
                  <w:tcW w:w="717" w:type="pct"/>
                  <w:tcBorders>
                    <w:top w:val="single" w:color="auto" w:sz="4" w:space="0"/>
                    <w:bottom w:val="single" w:color="auto" w:sz="4" w:space="0"/>
                  </w:tcBorders>
                  <w:noWrap w:val="0"/>
                  <w:vAlign w:val="center"/>
                </w:tcPr>
                <w:p w14:paraId="784B8492">
                  <w:pPr>
                    <w:snapToGrid w:val="0"/>
                    <w:spacing w:line="240" w:lineRule="auto"/>
                    <w:jc w:val="center"/>
                    <w:textAlignment w:val="auto"/>
                    <w:rPr>
                      <w:color w:val="auto"/>
                      <w:szCs w:val="21"/>
                    </w:rPr>
                  </w:pPr>
                  <w:r>
                    <w:rPr>
                      <w:rFonts w:hint="eastAsia"/>
                      <w:color w:val="auto"/>
                      <w:szCs w:val="21"/>
                      <w:lang w:val="en-US" w:eastAsia="zh-CN"/>
                    </w:rPr>
                    <w:t>8</w:t>
                  </w:r>
                </w:p>
              </w:tc>
              <w:tc>
                <w:tcPr>
                  <w:tcW w:w="986" w:type="pct"/>
                  <w:tcBorders>
                    <w:top w:val="single" w:color="auto" w:sz="4" w:space="0"/>
                    <w:bottom w:val="single" w:color="auto" w:sz="4" w:space="0"/>
                  </w:tcBorders>
                  <w:noWrap w:val="0"/>
                  <w:vAlign w:val="center"/>
                </w:tcPr>
                <w:p w14:paraId="5EB6FA7C">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过程检验</w:t>
                  </w:r>
                </w:p>
              </w:tc>
              <w:tc>
                <w:tcPr>
                  <w:tcW w:w="869" w:type="pct"/>
                  <w:tcBorders>
                    <w:top w:val="single" w:color="auto" w:sz="4" w:space="0"/>
                    <w:bottom w:val="single" w:color="auto" w:sz="4" w:space="0"/>
                  </w:tcBorders>
                  <w:noWrap w:val="0"/>
                  <w:vAlign w:val="center"/>
                </w:tcPr>
                <w:p w14:paraId="2B0C97A7">
                  <w:pPr>
                    <w:autoSpaceDE w:val="0"/>
                    <w:autoSpaceDN w:val="0"/>
                    <w:adjustRightInd w:val="0"/>
                    <w:jc w:val="center"/>
                    <w:rPr>
                      <w:rFonts w:hint="eastAsia" w:eastAsia="宋体"/>
                      <w:color w:val="auto"/>
                      <w:szCs w:val="21"/>
                      <w:lang w:eastAsia="zh-CN"/>
                    </w:rPr>
                  </w:pPr>
                  <w:r>
                    <w:rPr>
                      <w:rFonts w:hint="eastAsia"/>
                      <w:color w:val="auto"/>
                      <w:szCs w:val="21"/>
                      <w:lang w:val="en-US" w:eastAsia="zh-CN"/>
                    </w:rPr>
                    <w:t>不合格品</w:t>
                  </w:r>
                </w:p>
              </w:tc>
              <w:tc>
                <w:tcPr>
                  <w:tcW w:w="920" w:type="pct"/>
                  <w:tcBorders>
                    <w:top w:val="single" w:color="auto" w:sz="4" w:space="0"/>
                    <w:bottom w:val="single" w:color="auto" w:sz="4" w:space="0"/>
                  </w:tcBorders>
                  <w:noWrap w:val="0"/>
                  <w:vAlign w:val="center"/>
                </w:tcPr>
                <w:p w14:paraId="48416013">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0.2</w:t>
                  </w:r>
                </w:p>
              </w:tc>
            </w:tr>
            <w:tr w14:paraId="75C1CA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75EEA44E">
                  <w:pPr>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凝胶膏</w:t>
                  </w:r>
                </w:p>
              </w:tc>
              <w:tc>
                <w:tcPr>
                  <w:tcW w:w="717" w:type="pct"/>
                  <w:tcBorders>
                    <w:top w:val="single" w:color="auto" w:sz="4" w:space="0"/>
                    <w:bottom w:val="single" w:color="auto" w:sz="4" w:space="0"/>
                  </w:tcBorders>
                  <w:noWrap w:val="0"/>
                  <w:vAlign w:val="center"/>
                </w:tcPr>
                <w:p w14:paraId="3A42E276">
                  <w:pPr>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3</w:t>
                  </w:r>
                </w:p>
              </w:tc>
              <w:tc>
                <w:tcPr>
                  <w:tcW w:w="986" w:type="pct"/>
                  <w:tcBorders>
                    <w:top w:val="single" w:color="auto" w:sz="4" w:space="0"/>
                    <w:bottom w:val="single" w:color="auto" w:sz="4" w:space="0"/>
                  </w:tcBorders>
                  <w:noWrap w:val="0"/>
                  <w:vAlign w:val="center"/>
                </w:tcPr>
                <w:p w14:paraId="224C73AD">
                  <w:pPr>
                    <w:autoSpaceDE w:val="0"/>
                    <w:autoSpaceDN w:val="0"/>
                    <w:adjustRightInd w:val="0"/>
                    <w:jc w:val="center"/>
                    <w:rPr>
                      <w:rFonts w:hint="default"/>
                      <w:color w:val="auto"/>
                      <w:szCs w:val="21"/>
                      <w:lang w:val="en-US" w:eastAsia="zh-CN"/>
                    </w:rPr>
                  </w:pPr>
                  <w:r>
                    <w:rPr>
                      <w:rFonts w:hint="eastAsia"/>
                      <w:color w:val="auto"/>
                      <w:szCs w:val="21"/>
                      <w:lang w:val="en-US" w:eastAsia="zh-CN"/>
                    </w:rPr>
                    <w:t>成品检验</w:t>
                  </w:r>
                </w:p>
              </w:tc>
              <w:tc>
                <w:tcPr>
                  <w:tcW w:w="869" w:type="pct"/>
                  <w:tcBorders>
                    <w:top w:val="single" w:color="auto" w:sz="4" w:space="0"/>
                    <w:bottom w:val="single" w:color="auto" w:sz="4" w:space="0"/>
                  </w:tcBorders>
                  <w:noWrap w:val="0"/>
                  <w:vAlign w:val="center"/>
                </w:tcPr>
                <w:p w14:paraId="0EDE0C5E">
                  <w:pPr>
                    <w:autoSpaceDE w:val="0"/>
                    <w:autoSpaceDN w:val="0"/>
                    <w:adjustRightInd w:val="0"/>
                    <w:jc w:val="center"/>
                    <w:rPr>
                      <w:rFonts w:hint="eastAsia"/>
                      <w:color w:val="auto"/>
                      <w:szCs w:val="21"/>
                      <w:lang w:val="en-US" w:eastAsia="zh-CN"/>
                    </w:rPr>
                  </w:pPr>
                  <w:r>
                    <w:rPr>
                      <w:rFonts w:hint="eastAsia"/>
                      <w:color w:val="auto"/>
                      <w:szCs w:val="21"/>
                      <w:lang w:val="en-US" w:eastAsia="zh-CN"/>
                    </w:rPr>
                    <w:t>不合格品</w:t>
                  </w:r>
                </w:p>
              </w:tc>
              <w:tc>
                <w:tcPr>
                  <w:tcW w:w="920" w:type="pct"/>
                  <w:tcBorders>
                    <w:top w:val="single" w:color="auto" w:sz="4" w:space="0"/>
                    <w:bottom w:val="single" w:color="auto" w:sz="4" w:space="0"/>
                  </w:tcBorders>
                  <w:noWrap w:val="0"/>
                  <w:vAlign w:val="center"/>
                </w:tcPr>
                <w:p w14:paraId="584AC5A2">
                  <w:pPr>
                    <w:autoSpaceDE w:val="0"/>
                    <w:autoSpaceDN w:val="0"/>
                    <w:adjustRightInd w:val="0"/>
                    <w:jc w:val="center"/>
                    <w:rPr>
                      <w:rFonts w:hint="default"/>
                      <w:color w:val="auto"/>
                      <w:szCs w:val="21"/>
                      <w:lang w:val="en-US" w:eastAsia="zh-CN"/>
                    </w:rPr>
                  </w:pPr>
                  <w:r>
                    <w:rPr>
                      <w:rFonts w:hint="eastAsia"/>
                      <w:color w:val="auto"/>
                      <w:szCs w:val="21"/>
                      <w:lang w:val="en-US" w:eastAsia="zh-CN"/>
                    </w:rPr>
                    <w:t>0.1</w:t>
                  </w:r>
                </w:p>
              </w:tc>
            </w:tr>
            <w:tr w14:paraId="47D9B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12" w:space="0"/>
                  </w:tcBorders>
                  <w:noWrap w:val="0"/>
                  <w:vAlign w:val="center"/>
                </w:tcPr>
                <w:p w14:paraId="5258910E">
                  <w:pPr>
                    <w:pStyle w:val="83"/>
                    <w:spacing w:line="240" w:lineRule="auto"/>
                    <w:ind w:firstLine="0" w:firstLineChars="0"/>
                    <w:jc w:val="center"/>
                    <w:textAlignment w:val="baseline"/>
                    <w:rPr>
                      <w:rStyle w:val="84"/>
                      <w:color w:val="auto"/>
                      <w:kern w:val="0"/>
                      <w:sz w:val="21"/>
                      <w:szCs w:val="21"/>
                    </w:rPr>
                  </w:pPr>
                  <w:r>
                    <w:rPr>
                      <w:rStyle w:val="84"/>
                      <w:color w:val="auto"/>
                      <w:kern w:val="0"/>
                      <w:sz w:val="21"/>
                      <w:szCs w:val="21"/>
                    </w:rPr>
                    <w:t>合计</w:t>
                  </w:r>
                </w:p>
              </w:tc>
              <w:tc>
                <w:tcPr>
                  <w:tcW w:w="717" w:type="pct"/>
                  <w:tcBorders>
                    <w:top w:val="single" w:color="auto" w:sz="4" w:space="0"/>
                    <w:bottom w:val="single" w:color="auto" w:sz="12" w:space="0"/>
                  </w:tcBorders>
                  <w:noWrap w:val="0"/>
                  <w:vAlign w:val="center"/>
                </w:tcPr>
                <w:p w14:paraId="1ED1EF49">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19</w:t>
                  </w:r>
                </w:p>
              </w:tc>
              <w:tc>
                <w:tcPr>
                  <w:tcW w:w="1856" w:type="pct"/>
                  <w:gridSpan w:val="2"/>
                  <w:tcBorders>
                    <w:top w:val="single" w:color="auto" w:sz="4" w:space="0"/>
                    <w:bottom w:val="single" w:color="auto" w:sz="12" w:space="0"/>
                  </w:tcBorders>
                  <w:noWrap w:val="0"/>
                  <w:vAlign w:val="center"/>
                </w:tcPr>
                <w:p w14:paraId="24AD1E3F">
                  <w:pPr>
                    <w:pStyle w:val="83"/>
                    <w:spacing w:line="240" w:lineRule="auto"/>
                    <w:ind w:firstLine="0" w:firstLineChars="0"/>
                    <w:jc w:val="center"/>
                    <w:textAlignment w:val="baseline"/>
                    <w:rPr>
                      <w:color w:val="auto"/>
                      <w:szCs w:val="21"/>
                    </w:rPr>
                  </w:pPr>
                  <w:r>
                    <w:rPr>
                      <w:rStyle w:val="84"/>
                      <w:color w:val="auto"/>
                      <w:kern w:val="0"/>
                      <w:sz w:val="21"/>
                      <w:szCs w:val="21"/>
                    </w:rPr>
                    <w:t>合计</w:t>
                  </w:r>
                </w:p>
              </w:tc>
              <w:tc>
                <w:tcPr>
                  <w:tcW w:w="920" w:type="pct"/>
                  <w:tcBorders>
                    <w:top w:val="single" w:color="auto" w:sz="4" w:space="0"/>
                    <w:bottom w:val="single" w:color="auto" w:sz="12" w:space="0"/>
                  </w:tcBorders>
                  <w:noWrap w:val="0"/>
                  <w:vAlign w:val="center"/>
                </w:tcPr>
                <w:p w14:paraId="6F80962F">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19</w:t>
                  </w:r>
                </w:p>
              </w:tc>
            </w:tr>
          </w:tbl>
          <w:p w14:paraId="6452495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lang w:val="en-US" w:eastAsia="zh-CN"/>
              </w:rPr>
            </w:pPr>
            <w:r>
              <w:rPr>
                <w:rFonts w:hint="eastAsia"/>
                <w:color w:val="auto"/>
                <w:sz w:val="24"/>
                <w:lang w:val="en-US" w:eastAsia="zh-CN"/>
              </w:rPr>
              <w:t>4、</w:t>
            </w:r>
            <w:r>
              <w:rPr>
                <w:rFonts w:hint="eastAsia" w:ascii="Times New Roman" w:hAnsi="Times New Roman" w:eastAsia="宋体" w:cs="Times New Roman"/>
                <w:color w:val="auto"/>
                <w:sz w:val="24"/>
              </w:rPr>
              <w:t>晕车贴物料</w:t>
            </w:r>
            <w:r>
              <w:rPr>
                <w:color w:val="auto"/>
                <w:sz w:val="24"/>
              </w:rPr>
              <w:t>平衡</w:t>
            </w:r>
            <w:r>
              <w:rPr>
                <w:rFonts w:hint="eastAsia"/>
                <w:color w:val="auto"/>
                <w:sz w:val="24"/>
              </w:rPr>
              <w:t>分析详见如下。</w:t>
            </w:r>
          </w:p>
          <w:p w14:paraId="7DB824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color w:val="auto"/>
                <w:sz w:val="24"/>
                <w:lang w:val="en-US" w:eastAsia="zh-CN"/>
              </w:rPr>
            </w:pPr>
            <w:r>
              <w:rPr>
                <w:rFonts w:hint="default"/>
                <w:color w:val="auto"/>
                <w:sz w:val="24"/>
                <w:lang w:val="en-US" w:eastAsia="zh-CN"/>
              </w:rPr>
              <w:object>
                <v:shape id="_x0000_i1048" o:spt="75" type="#_x0000_t75" style="height:347.25pt;width:216pt;" o:ole="t" filled="f" o:preferrelative="t" stroked="f" coordsize="21600,21600">
                  <v:path/>
                  <v:fill on="f" focussize="0,0"/>
                  <v:stroke on="f"/>
                  <v:imagedata r:id="rId60" o:title=""/>
                  <o:lock v:ext="edit" aspectratio="f"/>
                  <w10:wrap type="none"/>
                  <w10:anchorlock/>
                </v:shape>
                <o:OLEObject Type="Embed" ProgID="Visio.Drawing.11" ShapeID="_x0000_i1048" DrawAspect="Content" ObjectID="_1468075748" r:id="rId59">
                  <o:LockedField>false</o:LockedField>
                </o:OLEObject>
              </w:object>
            </w:r>
          </w:p>
          <w:p w14:paraId="2346EE8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hAnsi="宋体" w:cs="宋体"/>
                <w:b/>
                <w:bCs/>
                <w:color w:val="auto"/>
                <w:szCs w:val="21"/>
              </w:rPr>
            </w:pPr>
            <w:r>
              <w:rPr>
                <w:rFonts w:ascii="Times New Roman"/>
                <w:b/>
                <w:bCs/>
                <w:color w:val="auto"/>
                <w:szCs w:val="21"/>
              </w:rPr>
              <w:t>图</w:t>
            </w:r>
            <w:r>
              <w:rPr>
                <w:rFonts w:hint="eastAsia" w:ascii="Times New Roman"/>
                <w:b/>
                <w:bCs/>
                <w:color w:val="auto"/>
                <w:szCs w:val="21"/>
              </w:rPr>
              <w:t>2</w:t>
            </w:r>
            <w:r>
              <w:rPr>
                <w:rFonts w:ascii="Times New Roman"/>
                <w:b/>
                <w:bCs/>
                <w:color w:val="auto"/>
                <w:szCs w:val="21"/>
              </w:rPr>
              <w:t>-</w:t>
            </w:r>
            <w:r>
              <w:rPr>
                <w:rFonts w:hint="eastAsia"/>
                <w:b/>
                <w:bCs/>
                <w:color w:val="auto"/>
                <w:szCs w:val="21"/>
                <w:lang w:val="en-US" w:eastAsia="zh-CN"/>
              </w:rPr>
              <w:t>25</w:t>
            </w:r>
            <w:r>
              <w:rPr>
                <w:rFonts w:hint="eastAsia" w:ascii="Times New Roman"/>
                <w:b/>
                <w:bCs/>
                <w:color w:val="auto"/>
                <w:szCs w:val="21"/>
              </w:rPr>
              <w:t xml:space="preserve"> </w:t>
            </w:r>
            <w:r>
              <w:rPr>
                <w:rFonts w:ascii="Times New Roman"/>
                <w:b/>
                <w:bCs/>
                <w:color w:val="auto"/>
                <w:szCs w:val="21"/>
              </w:rPr>
              <w:t xml:space="preserve"> </w:t>
            </w:r>
            <w:r>
              <w:rPr>
                <w:rFonts w:hint="eastAsia" w:ascii="宋体" w:hAnsi="宋体" w:eastAsia="宋体" w:cs="宋体"/>
                <w:b/>
                <w:bCs/>
                <w:color w:val="auto"/>
                <w:szCs w:val="21"/>
              </w:rPr>
              <w:t>项</w:t>
            </w:r>
            <w:r>
              <w:rPr>
                <w:rFonts w:hint="eastAsia" w:ascii="Times New Roman" w:hAnsi="宋体" w:eastAsia="宋体" w:cs="宋体"/>
                <w:b/>
                <w:bCs/>
                <w:color w:val="auto"/>
                <w:szCs w:val="21"/>
              </w:rPr>
              <w:t>目晕车贴物</w:t>
            </w:r>
            <w:r>
              <w:rPr>
                <w:rFonts w:hint="eastAsia" w:ascii="宋体" w:hAnsi="宋体" w:eastAsia="宋体" w:cs="宋体"/>
                <w:b/>
                <w:bCs/>
                <w:color w:val="auto"/>
                <w:szCs w:val="21"/>
              </w:rPr>
              <w:t>料</w:t>
            </w:r>
            <w:r>
              <w:rPr>
                <w:rFonts w:hint="eastAsia" w:hAnsi="宋体" w:cs="宋体"/>
                <w:b/>
                <w:bCs/>
                <w:color w:val="auto"/>
                <w:szCs w:val="21"/>
              </w:rPr>
              <w:t>平衡图  （单位：t/a）</w:t>
            </w:r>
          </w:p>
          <w:p w14:paraId="7AF037E4">
            <w:pPr>
              <w:ind w:firstLine="480" w:firstLineChars="200"/>
              <w:rPr>
                <w:rFonts w:hint="eastAsia"/>
                <w:color w:val="auto"/>
              </w:rPr>
            </w:pPr>
            <w:r>
              <w:rPr>
                <w:rFonts w:hint="eastAsia" w:ascii="宋体" w:hAnsi="宋体" w:cs="宋体"/>
                <w:color w:val="auto"/>
                <w:sz w:val="24"/>
              </w:rPr>
              <w:t>本项</w:t>
            </w:r>
            <w:r>
              <w:rPr>
                <w:rFonts w:hint="eastAsia" w:ascii="宋体" w:hAnsi="宋体" w:eastAsia="宋体" w:cs="宋体"/>
                <w:color w:val="auto"/>
                <w:sz w:val="24"/>
              </w:rPr>
              <w:t>目晕车贴物料平</w:t>
            </w:r>
            <w:r>
              <w:rPr>
                <w:rFonts w:hint="eastAsia" w:ascii="宋体" w:hAnsi="宋体" w:cs="宋体"/>
                <w:color w:val="auto"/>
                <w:sz w:val="24"/>
              </w:rPr>
              <w:t>衡表</w:t>
            </w:r>
            <w:r>
              <w:rPr>
                <w:color w:val="auto"/>
                <w:sz w:val="24"/>
              </w:rPr>
              <w:t>见</w:t>
            </w:r>
            <w:r>
              <w:rPr>
                <w:rFonts w:hint="eastAsia"/>
                <w:color w:val="auto"/>
                <w:sz w:val="24"/>
                <w:lang w:val="en-US" w:eastAsia="zh-CN"/>
              </w:rPr>
              <w:t>下</w:t>
            </w:r>
            <w:r>
              <w:rPr>
                <w:color w:val="auto"/>
                <w:sz w:val="24"/>
              </w:rPr>
              <w:t>表</w:t>
            </w:r>
            <w:r>
              <w:rPr>
                <w:rFonts w:hint="eastAsia"/>
                <w:color w:val="auto"/>
                <w:sz w:val="24"/>
              </w:rPr>
              <w:t>。</w:t>
            </w:r>
          </w:p>
          <w:p w14:paraId="733EF014">
            <w:pPr>
              <w:pStyle w:val="10"/>
              <w:spacing w:before="0" w:after="0" w:line="240" w:lineRule="auto"/>
              <w:ind w:right="0"/>
              <w:jc w:val="center"/>
              <w:rPr>
                <w:b/>
                <w:bCs/>
                <w:color w:val="auto"/>
                <w:sz w:val="21"/>
                <w:szCs w:val="21"/>
              </w:rPr>
            </w:pPr>
            <w:r>
              <w:rPr>
                <w:b/>
                <w:bCs/>
                <w:color w:val="auto"/>
                <w:sz w:val="21"/>
                <w:szCs w:val="21"/>
              </w:rPr>
              <w:t>表</w:t>
            </w:r>
            <w:r>
              <w:rPr>
                <w:rFonts w:hint="eastAsia"/>
                <w:b/>
                <w:bCs/>
                <w:color w:val="auto"/>
                <w:sz w:val="21"/>
                <w:szCs w:val="21"/>
              </w:rPr>
              <w:t>2-</w:t>
            </w:r>
            <w:r>
              <w:rPr>
                <w:rFonts w:hint="eastAsia"/>
                <w:b/>
                <w:bCs/>
                <w:color w:val="auto"/>
                <w:sz w:val="21"/>
                <w:szCs w:val="21"/>
                <w:lang w:val="en-US" w:eastAsia="zh-CN"/>
              </w:rPr>
              <w:t>20</w:t>
            </w:r>
            <w:r>
              <w:rPr>
                <w:rFonts w:hint="eastAsia"/>
                <w:b/>
                <w:bCs/>
                <w:color w:val="auto"/>
                <w:sz w:val="21"/>
                <w:szCs w:val="21"/>
              </w:rPr>
              <w:t xml:space="preserve">  </w:t>
            </w:r>
            <w:r>
              <w:rPr>
                <w:rFonts w:hint="eastAsia" w:ascii="Times New Roman" w:hAnsi="Times New Roman" w:eastAsia="宋体" w:cs="Times New Roman"/>
                <w:b/>
                <w:bCs/>
                <w:color w:val="auto"/>
                <w:sz w:val="21"/>
                <w:szCs w:val="21"/>
              </w:rPr>
              <w:t>晕车贴</w:t>
            </w:r>
            <w:r>
              <w:rPr>
                <w:rFonts w:ascii="Times New Roman" w:hAnsi="Times New Roman" w:eastAsia="宋体" w:cs="Times New Roman"/>
                <w:b/>
                <w:bCs/>
                <w:color w:val="auto"/>
                <w:sz w:val="21"/>
                <w:szCs w:val="21"/>
              </w:rPr>
              <w:t>物料</w:t>
            </w:r>
            <w:r>
              <w:rPr>
                <w:b/>
                <w:bCs/>
                <w:color w:val="auto"/>
                <w:sz w:val="21"/>
                <w:szCs w:val="21"/>
              </w:rPr>
              <w:t>平衡表</w:t>
            </w:r>
          </w:p>
          <w:tbl>
            <w:tblPr>
              <w:tblStyle w:val="24"/>
              <w:tblW w:w="496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1146"/>
              <w:gridCol w:w="1086"/>
              <w:gridCol w:w="1881"/>
              <w:gridCol w:w="1470"/>
            </w:tblGrid>
            <w:tr w14:paraId="32A8D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223" w:type="pct"/>
                  <w:gridSpan w:val="2"/>
                  <w:tcBorders>
                    <w:bottom w:val="single" w:color="auto" w:sz="4" w:space="0"/>
                  </w:tcBorders>
                  <w:noWrap w:val="0"/>
                  <w:vAlign w:val="top"/>
                </w:tcPr>
                <w:p w14:paraId="01EC0F63">
                  <w:pPr>
                    <w:autoSpaceDE w:val="0"/>
                    <w:autoSpaceDN w:val="0"/>
                    <w:adjustRightInd w:val="0"/>
                    <w:jc w:val="center"/>
                    <w:rPr>
                      <w:b/>
                      <w:bCs/>
                      <w:color w:val="auto"/>
                      <w:szCs w:val="21"/>
                    </w:rPr>
                  </w:pPr>
                  <w:r>
                    <w:rPr>
                      <w:b/>
                      <w:bCs/>
                      <w:color w:val="auto"/>
                      <w:szCs w:val="21"/>
                    </w:rPr>
                    <w:t>投入</w:t>
                  </w:r>
                </w:p>
              </w:tc>
              <w:tc>
                <w:tcPr>
                  <w:tcW w:w="2776" w:type="pct"/>
                  <w:gridSpan w:val="3"/>
                  <w:tcBorders>
                    <w:bottom w:val="single" w:color="auto" w:sz="4" w:space="0"/>
                  </w:tcBorders>
                  <w:noWrap w:val="0"/>
                  <w:vAlign w:val="top"/>
                </w:tcPr>
                <w:p w14:paraId="1CB4F1A3">
                  <w:pPr>
                    <w:autoSpaceDE w:val="0"/>
                    <w:autoSpaceDN w:val="0"/>
                    <w:adjustRightInd w:val="0"/>
                    <w:jc w:val="center"/>
                    <w:rPr>
                      <w:b/>
                      <w:bCs/>
                      <w:color w:val="auto"/>
                      <w:szCs w:val="21"/>
                    </w:rPr>
                  </w:pPr>
                  <w:r>
                    <w:rPr>
                      <w:b/>
                      <w:bCs/>
                      <w:color w:val="auto"/>
                      <w:szCs w:val="21"/>
                    </w:rPr>
                    <w:t>产出</w:t>
                  </w:r>
                </w:p>
              </w:tc>
            </w:tr>
            <w:tr w14:paraId="0E9DE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56BA78E4">
                  <w:pPr>
                    <w:autoSpaceDE w:val="0"/>
                    <w:autoSpaceDN w:val="0"/>
                    <w:adjustRightInd w:val="0"/>
                    <w:jc w:val="center"/>
                    <w:rPr>
                      <w:b/>
                      <w:bCs/>
                      <w:color w:val="auto"/>
                      <w:szCs w:val="21"/>
                    </w:rPr>
                  </w:pPr>
                  <w:r>
                    <w:rPr>
                      <w:b/>
                      <w:bCs/>
                      <w:color w:val="auto"/>
                      <w:szCs w:val="21"/>
                    </w:rPr>
                    <w:t>名称</w:t>
                  </w:r>
                </w:p>
              </w:tc>
              <w:tc>
                <w:tcPr>
                  <w:tcW w:w="717" w:type="pct"/>
                  <w:tcBorders>
                    <w:top w:val="single" w:color="auto" w:sz="4" w:space="0"/>
                    <w:bottom w:val="single" w:color="auto" w:sz="4" w:space="0"/>
                  </w:tcBorders>
                  <w:noWrap w:val="0"/>
                  <w:vAlign w:val="center"/>
                </w:tcPr>
                <w:p w14:paraId="589711E3">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c>
                <w:tcPr>
                  <w:tcW w:w="1856" w:type="pct"/>
                  <w:gridSpan w:val="2"/>
                  <w:tcBorders>
                    <w:top w:val="single" w:color="auto" w:sz="4" w:space="0"/>
                    <w:bottom w:val="single" w:color="auto" w:sz="4" w:space="0"/>
                  </w:tcBorders>
                  <w:noWrap w:val="0"/>
                  <w:vAlign w:val="center"/>
                </w:tcPr>
                <w:p w14:paraId="286817FC">
                  <w:pPr>
                    <w:autoSpaceDE w:val="0"/>
                    <w:autoSpaceDN w:val="0"/>
                    <w:adjustRightInd w:val="0"/>
                    <w:jc w:val="center"/>
                    <w:rPr>
                      <w:b/>
                      <w:bCs/>
                      <w:color w:val="auto"/>
                      <w:szCs w:val="21"/>
                    </w:rPr>
                  </w:pPr>
                  <w:r>
                    <w:rPr>
                      <w:b/>
                      <w:bCs/>
                      <w:color w:val="auto"/>
                      <w:szCs w:val="21"/>
                    </w:rPr>
                    <w:t>名称</w:t>
                  </w:r>
                </w:p>
              </w:tc>
              <w:tc>
                <w:tcPr>
                  <w:tcW w:w="920" w:type="pct"/>
                  <w:tcBorders>
                    <w:top w:val="single" w:color="auto" w:sz="4" w:space="0"/>
                    <w:bottom w:val="single" w:color="auto" w:sz="4" w:space="0"/>
                  </w:tcBorders>
                  <w:noWrap w:val="0"/>
                  <w:vAlign w:val="center"/>
                </w:tcPr>
                <w:p w14:paraId="50C3541A">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r>
            <w:tr w14:paraId="39A17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3731E6F6">
                  <w:pPr>
                    <w:snapToGrid w:val="0"/>
                    <w:spacing w:line="240" w:lineRule="auto"/>
                    <w:jc w:val="center"/>
                    <w:textAlignment w:val="auto"/>
                    <w:rPr>
                      <w:color w:val="auto"/>
                      <w:szCs w:val="21"/>
                    </w:rPr>
                  </w:pPr>
                  <w:r>
                    <w:rPr>
                      <w:rFonts w:hint="eastAsia"/>
                      <w:color w:val="auto"/>
                      <w:szCs w:val="21"/>
                    </w:rPr>
                    <w:t>不锈钢球</w:t>
                  </w:r>
                </w:p>
              </w:tc>
              <w:tc>
                <w:tcPr>
                  <w:tcW w:w="717" w:type="pct"/>
                  <w:tcBorders>
                    <w:top w:val="single" w:color="auto" w:sz="4" w:space="0"/>
                    <w:bottom w:val="single" w:color="auto" w:sz="4" w:space="0"/>
                  </w:tcBorders>
                  <w:noWrap w:val="0"/>
                  <w:vAlign w:val="center"/>
                </w:tcPr>
                <w:p w14:paraId="0F79C6FD">
                  <w:pPr>
                    <w:snapToGrid w:val="0"/>
                    <w:spacing w:line="240" w:lineRule="auto"/>
                    <w:jc w:val="center"/>
                    <w:textAlignment w:val="auto"/>
                    <w:rPr>
                      <w:color w:val="auto"/>
                      <w:szCs w:val="21"/>
                    </w:rPr>
                  </w:pPr>
                  <w:r>
                    <w:rPr>
                      <w:rFonts w:hint="eastAsia"/>
                      <w:color w:val="auto"/>
                      <w:szCs w:val="21"/>
                      <w:lang w:val="en-US" w:eastAsia="zh-CN"/>
                    </w:rPr>
                    <w:t>0.1</w:t>
                  </w:r>
                </w:p>
              </w:tc>
              <w:tc>
                <w:tcPr>
                  <w:tcW w:w="679" w:type="pct"/>
                  <w:tcBorders>
                    <w:top w:val="single" w:color="auto" w:sz="4" w:space="0"/>
                    <w:bottom w:val="single" w:color="auto" w:sz="4" w:space="0"/>
                  </w:tcBorders>
                  <w:noWrap w:val="0"/>
                  <w:vAlign w:val="center"/>
                </w:tcPr>
                <w:p w14:paraId="6CCF466A">
                  <w:pPr>
                    <w:autoSpaceDE w:val="0"/>
                    <w:autoSpaceDN w:val="0"/>
                    <w:adjustRightInd w:val="0"/>
                    <w:jc w:val="center"/>
                    <w:rPr>
                      <w:color w:val="auto"/>
                      <w:szCs w:val="21"/>
                    </w:rPr>
                  </w:pPr>
                  <w:r>
                    <w:rPr>
                      <w:rFonts w:hint="eastAsia"/>
                      <w:color w:val="auto"/>
                      <w:szCs w:val="21"/>
                    </w:rPr>
                    <w:t>产品</w:t>
                  </w:r>
                </w:p>
              </w:tc>
              <w:tc>
                <w:tcPr>
                  <w:tcW w:w="1177" w:type="pct"/>
                  <w:tcBorders>
                    <w:top w:val="single" w:color="auto" w:sz="4" w:space="0"/>
                    <w:bottom w:val="single" w:color="auto" w:sz="4" w:space="0"/>
                  </w:tcBorders>
                  <w:noWrap w:val="0"/>
                  <w:vAlign w:val="center"/>
                </w:tcPr>
                <w:p w14:paraId="15A3B07D">
                  <w:pPr>
                    <w:autoSpaceDE w:val="0"/>
                    <w:autoSpaceDN w:val="0"/>
                    <w:adjustRightInd w:val="0"/>
                    <w:jc w:val="center"/>
                    <w:rPr>
                      <w:rFonts w:hint="eastAsia"/>
                      <w:color w:val="auto"/>
                      <w:szCs w:val="21"/>
                    </w:rPr>
                  </w:pPr>
                  <w:r>
                    <w:rPr>
                      <w:rFonts w:hint="eastAsia"/>
                      <w:color w:val="auto"/>
                      <w:szCs w:val="19"/>
                      <w:lang w:bidi="ar"/>
                    </w:rPr>
                    <w:t>晕车贴</w:t>
                  </w:r>
                </w:p>
              </w:tc>
              <w:tc>
                <w:tcPr>
                  <w:tcW w:w="920" w:type="pct"/>
                  <w:tcBorders>
                    <w:top w:val="single" w:color="auto" w:sz="4" w:space="0"/>
                    <w:bottom w:val="single" w:color="auto" w:sz="4" w:space="0"/>
                  </w:tcBorders>
                  <w:noWrap w:val="0"/>
                  <w:vAlign w:val="center"/>
                </w:tcPr>
                <w:p w14:paraId="542BFC9E">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2.49</w:t>
                  </w:r>
                </w:p>
              </w:tc>
            </w:tr>
            <w:tr w14:paraId="50C4C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7C23DF3F">
                  <w:pPr>
                    <w:snapToGrid w:val="0"/>
                    <w:spacing w:line="240" w:lineRule="auto"/>
                    <w:jc w:val="center"/>
                    <w:textAlignment w:val="auto"/>
                    <w:rPr>
                      <w:color w:val="auto"/>
                      <w:szCs w:val="21"/>
                    </w:rPr>
                  </w:pPr>
                  <w:r>
                    <w:rPr>
                      <w:rFonts w:hint="eastAsia"/>
                      <w:color w:val="auto"/>
                      <w:szCs w:val="21"/>
                      <w:lang w:val="en-US" w:eastAsia="zh-CN"/>
                    </w:rPr>
                    <w:t>热熔胶</w:t>
                  </w:r>
                </w:p>
              </w:tc>
              <w:tc>
                <w:tcPr>
                  <w:tcW w:w="717" w:type="pct"/>
                  <w:tcBorders>
                    <w:top w:val="single" w:color="auto" w:sz="4" w:space="0"/>
                    <w:bottom w:val="single" w:color="auto" w:sz="4" w:space="0"/>
                  </w:tcBorders>
                  <w:noWrap w:val="0"/>
                  <w:vAlign w:val="center"/>
                </w:tcPr>
                <w:p w14:paraId="61A6E7AA">
                  <w:pPr>
                    <w:snapToGrid w:val="0"/>
                    <w:spacing w:line="240" w:lineRule="auto"/>
                    <w:jc w:val="center"/>
                    <w:textAlignment w:val="auto"/>
                    <w:rPr>
                      <w:color w:val="auto"/>
                      <w:szCs w:val="21"/>
                    </w:rPr>
                  </w:pPr>
                  <w:r>
                    <w:rPr>
                      <w:rFonts w:hint="eastAsia"/>
                      <w:color w:val="auto"/>
                      <w:szCs w:val="21"/>
                      <w:lang w:val="en-US" w:eastAsia="zh-CN"/>
                    </w:rPr>
                    <w:t>0.5</w:t>
                  </w:r>
                </w:p>
              </w:tc>
              <w:tc>
                <w:tcPr>
                  <w:tcW w:w="679" w:type="pct"/>
                  <w:tcBorders>
                    <w:top w:val="single" w:color="auto" w:sz="4" w:space="0"/>
                    <w:bottom w:val="single" w:color="auto" w:sz="4" w:space="0"/>
                  </w:tcBorders>
                  <w:noWrap w:val="0"/>
                  <w:vAlign w:val="center"/>
                </w:tcPr>
                <w:p w14:paraId="04A4B809">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制胶</w:t>
                  </w:r>
                </w:p>
              </w:tc>
              <w:tc>
                <w:tcPr>
                  <w:tcW w:w="1177" w:type="pct"/>
                  <w:tcBorders>
                    <w:top w:val="single" w:color="auto" w:sz="4" w:space="0"/>
                    <w:bottom w:val="single" w:color="auto" w:sz="4" w:space="0"/>
                  </w:tcBorders>
                  <w:noWrap w:val="0"/>
                  <w:vAlign w:val="center"/>
                </w:tcPr>
                <w:p w14:paraId="4E1E89E0">
                  <w:pPr>
                    <w:autoSpaceDE w:val="0"/>
                    <w:autoSpaceDN w:val="0"/>
                    <w:adjustRightInd w:val="0"/>
                    <w:jc w:val="center"/>
                    <w:rPr>
                      <w:rFonts w:hint="eastAsia" w:eastAsia="宋体"/>
                      <w:color w:val="auto"/>
                      <w:szCs w:val="21"/>
                      <w:lang w:eastAsia="zh-CN"/>
                    </w:rPr>
                  </w:pPr>
                  <w:r>
                    <w:rPr>
                      <w:rFonts w:hint="eastAsia"/>
                      <w:color w:val="auto"/>
                      <w:szCs w:val="21"/>
                      <w:lang w:val="en-US" w:eastAsia="zh-CN"/>
                    </w:rPr>
                    <w:t>非甲烷总烃</w:t>
                  </w:r>
                </w:p>
              </w:tc>
              <w:tc>
                <w:tcPr>
                  <w:tcW w:w="920" w:type="pct"/>
                  <w:tcBorders>
                    <w:top w:val="single" w:color="auto" w:sz="4" w:space="0"/>
                    <w:bottom w:val="single" w:color="auto" w:sz="4" w:space="0"/>
                  </w:tcBorders>
                  <w:noWrap w:val="0"/>
                  <w:vAlign w:val="center"/>
                </w:tcPr>
                <w:p w14:paraId="5A312FF7">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0.01</w:t>
                  </w:r>
                </w:p>
              </w:tc>
            </w:tr>
            <w:tr w14:paraId="3FF2E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72E1E396">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olor w:val="auto"/>
                      <w:szCs w:val="21"/>
                      <w:lang w:val="en-US" w:eastAsia="zh-CN"/>
                    </w:rPr>
                  </w:pPr>
                  <w:r>
                    <w:rPr>
                      <w:rFonts w:hint="eastAsia" w:cs="宋体"/>
                      <w:color w:val="auto"/>
                      <w:kern w:val="0"/>
                      <w:szCs w:val="21"/>
                      <w:highlight w:val="none"/>
                      <w:lang w:val="en-US" w:eastAsia="zh-CN"/>
                    </w:rPr>
                    <w:t>无纺布</w:t>
                  </w:r>
                </w:p>
              </w:tc>
              <w:tc>
                <w:tcPr>
                  <w:tcW w:w="717" w:type="pct"/>
                  <w:tcBorders>
                    <w:top w:val="single" w:color="auto" w:sz="4" w:space="0"/>
                    <w:bottom w:val="single" w:color="auto" w:sz="4" w:space="0"/>
                  </w:tcBorders>
                  <w:noWrap w:val="0"/>
                  <w:vAlign w:val="center"/>
                </w:tcPr>
                <w:p w14:paraId="1767B851">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olor w:val="auto"/>
                      <w:szCs w:val="21"/>
                      <w:lang w:val="en-US" w:eastAsia="zh-CN"/>
                    </w:rPr>
                  </w:pPr>
                  <w:r>
                    <w:rPr>
                      <w:rFonts w:hint="eastAsia" w:cs="宋体"/>
                      <w:color w:val="auto"/>
                      <w:kern w:val="0"/>
                      <w:szCs w:val="21"/>
                      <w:highlight w:val="none"/>
                      <w:lang w:val="en-US" w:eastAsia="zh-CN"/>
                    </w:rPr>
                    <w:t>1.75</w:t>
                  </w:r>
                </w:p>
              </w:tc>
              <w:tc>
                <w:tcPr>
                  <w:tcW w:w="679" w:type="pct"/>
                  <w:tcBorders>
                    <w:top w:val="single" w:color="auto" w:sz="4" w:space="0"/>
                    <w:bottom w:val="single" w:color="auto" w:sz="4" w:space="0"/>
                  </w:tcBorders>
                  <w:noWrap w:val="0"/>
                  <w:vAlign w:val="center"/>
                </w:tcPr>
                <w:p w14:paraId="64C7E54D">
                  <w:pPr>
                    <w:autoSpaceDE w:val="0"/>
                    <w:autoSpaceDN w:val="0"/>
                    <w:adjustRightInd w:val="0"/>
                    <w:jc w:val="center"/>
                    <w:rPr>
                      <w:rFonts w:hint="default"/>
                      <w:color w:val="auto"/>
                      <w:szCs w:val="21"/>
                      <w:lang w:val="en-US" w:eastAsia="zh-CN"/>
                    </w:rPr>
                  </w:pPr>
                  <w:r>
                    <w:rPr>
                      <w:rFonts w:hint="eastAsia"/>
                      <w:color w:val="auto"/>
                      <w:szCs w:val="21"/>
                      <w:lang w:val="en-US" w:eastAsia="zh-CN"/>
                    </w:rPr>
                    <w:t>裁片</w:t>
                  </w:r>
                </w:p>
              </w:tc>
              <w:tc>
                <w:tcPr>
                  <w:tcW w:w="1177" w:type="pct"/>
                  <w:tcBorders>
                    <w:top w:val="single" w:color="auto" w:sz="4" w:space="0"/>
                    <w:bottom w:val="single" w:color="auto" w:sz="4" w:space="0"/>
                  </w:tcBorders>
                  <w:noWrap w:val="0"/>
                  <w:vAlign w:val="center"/>
                </w:tcPr>
                <w:p w14:paraId="75A902AB">
                  <w:pPr>
                    <w:autoSpaceDE w:val="0"/>
                    <w:autoSpaceDN w:val="0"/>
                    <w:adjustRightInd w:val="0"/>
                    <w:jc w:val="center"/>
                    <w:rPr>
                      <w:rFonts w:hint="default"/>
                      <w:color w:val="auto"/>
                      <w:szCs w:val="21"/>
                      <w:lang w:val="en-US" w:eastAsia="zh-CN"/>
                    </w:rPr>
                  </w:pPr>
                  <w:r>
                    <w:rPr>
                      <w:rFonts w:hint="eastAsia"/>
                      <w:color w:val="auto"/>
                      <w:szCs w:val="21"/>
                      <w:lang w:val="en-US" w:eastAsia="zh-CN"/>
                    </w:rPr>
                    <w:t>边角料</w:t>
                  </w:r>
                </w:p>
              </w:tc>
              <w:tc>
                <w:tcPr>
                  <w:tcW w:w="920" w:type="pct"/>
                  <w:tcBorders>
                    <w:top w:val="single" w:color="auto" w:sz="4" w:space="0"/>
                    <w:bottom w:val="single" w:color="auto" w:sz="4" w:space="0"/>
                  </w:tcBorders>
                  <w:noWrap w:val="0"/>
                  <w:vAlign w:val="center"/>
                </w:tcPr>
                <w:p w14:paraId="7D5A508B">
                  <w:pPr>
                    <w:autoSpaceDE w:val="0"/>
                    <w:autoSpaceDN w:val="0"/>
                    <w:adjustRightInd w:val="0"/>
                    <w:jc w:val="center"/>
                    <w:rPr>
                      <w:rFonts w:hint="default"/>
                      <w:color w:val="auto"/>
                      <w:szCs w:val="21"/>
                      <w:lang w:val="en-US" w:eastAsia="zh-CN"/>
                    </w:rPr>
                  </w:pPr>
                  <w:r>
                    <w:rPr>
                      <w:rFonts w:hint="eastAsia"/>
                      <w:color w:val="auto"/>
                      <w:szCs w:val="21"/>
                      <w:lang w:val="en-US" w:eastAsia="zh-CN"/>
                    </w:rPr>
                    <w:t>0.1</w:t>
                  </w:r>
                </w:p>
              </w:tc>
            </w:tr>
            <w:tr w14:paraId="43E48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783D235C">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rFonts w:hint="eastAsia"/>
                      <w:color w:val="auto"/>
                      <w:szCs w:val="21"/>
                    </w:rPr>
                  </w:pPr>
                  <w:r>
                    <w:rPr>
                      <w:rFonts w:hint="eastAsia" w:cs="宋体"/>
                      <w:color w:val="auto"/>
                      <w:kern w:val="0"/>
                      <w:szCs w:val="21"/>
                      <w:highlight w:val="none"/>
                      <w:lang w:val="en-US" w:eastAsia="zh-CN"/>
                    </w:rPr>
                    <w:t>离型纸</w:t>
                  </w:r>
                </w:p>
              </w:tc>
              <w:tc>
                <w:tcPr>
                  <w:tcW w:w="717" w:type="pct"/>
                  <w:tcBorders>
                    <w:top w:val="single" w:color="auto" w:sz="4" w:space="0"/>
                    <w:bottom w:val="single" w:color="auto" w:sz="4" w:space="0"/>
                  </w:tcBorders>
                  <w:noWrap w:val="0"/>
                  <w:vAlign w:val="center"/>
                </w:tcPr>
                <w:p w14:paraId="7665B982">
                  <w:pPr>
                    <w:keepNext w:val="0"/>
                    <w:keepLines w:val="0"/>
                    <w:pageBreakBefore w:val="0"/>
                    <w:widowControl w:val="0"/>
                    <w:kinsoku/>
                    <w:wordWrap w:val="0"/>
                    <w:overflowPunct/>
                    <w:topLinePunct w:val="0"/>
                    <w:autoSpaceDE/>
                    <w:autoSpaceDN/>
                    <w:bidi w:val="0"/>
                    <w:adjustRightInd/>
                    <w:snapToGrid/>
                    <w:spacing w:line="240" w:lineRule="auto"/>
                    <w:jc w:val="center"/>
                    <w:textAlignment w:val="center"/>
                    <w:rPr>
                      <w:color w:val="auto"/>
                      <w:szCs w:val="21"/>
                    </w:rPr>
                  </w:pPr>
                  <w:r>
                    <w:rPr>
                      <w:rFonts w:hint="eastAsia" w:cs="宋体"/>
                      <w:color w:val="auto"/>
                      <w:kern w:val="0"/>
                      <w:szCs w:val="21"/>
                      <w:highlight w:val="none"/>
                      <w:lang w:val="en-US" w:eastAsia="zh-CN"/>
                    </w:rPr>
                    <w:t>0.25</w:t>
                  </w:r>
                </w:p>
              </w:tc>
              <w:tc>
                <w:tcPr>
                  <w:tcW w:w="2776" w:type="pct"/>
                  <w:gridSpan w:val="3"/>
                  <w:tcBorders>
                    <w:top w:val="single" w:color="auto" w:sz="4" w:space="0"/>
                  </w:tcBorders>
                  <w:noWrap w:val="0"/>
                  <w:vAlign w:val="center"/>
                </w:tcPr>
                <w:p w14:paraId="2A8ECE9B">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w:t>
                  </w:r>
                </w:p>
              </w:tc>
            </w:tr>
            <w:tr w14:paraId="2449C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12" w:space="0"/>
                  </w:tcBorders>
                  <w:noWrap w:val="0"/>
                  <w:vAlign w:val="center"/>
                </w:tcPr>
                <w:p w14:paraId="6243722D">
                  <w:pPr>
                    <w:pStyle w:val="83"/>
                    <w:spacing w:line="240" w:lineRule="auto"/>
                    <w:ind w:firstLine="0" w:firstLineChars="0"/>
                    <w:jc w:val="center"/>
                    <w:textAlignment w:val="baseline"/>
                    <w:rPr>
                      <w:rStyle w:val="84"/>
                      <w:color w:val="auto"/>
                      <w:kern w:val="0"/>
                      <w:sz w:val="21"/>
                      <w:szCs w:val="21"/>
                    </w:rPr>
                  </w:pPr>
                  <w:r>
                    <w:rPr>
                      <w:rStyle w:val="84"/>
                      <w:color w:val="auto"/>
                      <w:kern w:val="0"/>
                      <w:sz w:val="21"/>
                      <w:szCs w:val="21"/>
                    </w:rPr>
                    <w:t>合计</w:t>
                  </w:r>
                </w:p>
              </w:tc>
              <w:tc>
                <w:tcPr>
                  <w:tcW w:w="717" w:type="pct"/>
                  <w:tcBorders>
                    <w:top w:val="single" w:color="auto" w:sz="4" w:space="0"/>
                    <w:bottom w:val="single" w:color="auto" w:sz="12" w:space="0"/>
                  </w:tcBorders>
                  <w:noWrap w:val="0"/>
                  <w:vAlign w:val="center"/>
                </w:tcPr>
                <w:p w14:paraId="403BB557">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2.6</w:t>
                  </w:r>
                </w:p>
              </w:tc>
              <w:tc>
                <w:tcPr>
                  <w:tcW w:w="1856" w:type="pct"/>
                  <w:gridSpan w:val="2"/>
                  <w:tcBorders>
                    <w:top w:val="single" w:color="auto" w:sz="4" w:space="0"/>
                    <w:bottom w:val="single" w:color="auto" w:sz="12" w:space="0"/>
                  </w:tcBorders>
                  <w:noWrap w:val="0"/>
                  <w:vAlign w:val="center"/>
                </w:tcPr>
                <w:p w14:paraId="50D06E97">
                  <w:pPr>
                    <w:pStyle w:val="83"/>
                    <w:spacing w:line="240" w:lineRule="auto"/>
                    <w:ind w:firstLine="0" w:firstLineChars="0"/>
                    <w:jc w:val="center"/>
                    <w:textAlignment w:val="baseline"/>
                    <w:rPr>
                      <w:color w:val="auto"/>
                      <w:szCs w:val="21"/>
                    </w:rPr>
                  </w:pPr>
                  <w:r>
                    <w:rPr>
                      <w:rStyle w:val="84"/>
                      <w:color w:val="auto"/>
                      <w:kern w:val="0"/>
                      <w:sz w:val="21"/>
                      <w:szCs w:val="21"/>
                    </w:rPr>
                    <w:t>合计</w:t>
                  </w:r>
                </w:p>
              </w:tc>
              <w:tc>
                <w:tcPr>
                  <w:tcW w:w="920" w:type="pct"/>
                  <w:tcBorders>
                    <w:top w:val="single" w:color="auto" w:sz="4" w:space="0"/>
                    <w:bottom w:val="single" w:color="auto" w:sz="12" w:space="0"/>
                  </w:tcBorders>
                  <w:noWrap w:val="0"/>
                  <w:vAlign w:val="center"/>
                </w:tcPr>
                <w:p w14:paraId="3E49B3EB">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2.6</w:t>
                  </w:r>
                </w:p>
              </w:tc>
            </w:tr>
          </w:tbl>
          <w:p w14:paraId="1A0EE3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lang w:val="en-US" w:eastAsia="zh-CN"/>
              </w:rPr>
            </w:pPr>
            <w:r>
              <w:rPr>
                <w:rFonts w:hint="eastAsia"/>
                <w:color w:val="auto"/>
                <w:sz w:val="24"/>
                <w:lang w:val="en-US" w:eastAsia="zh-CN"/>
              </w:rPr>
              <w:t>4、</w:t>
            </w:r>
            <w:r>
              <w:rPr>
                <w:rFonts w:hint="eastAsia" w:ascii="Times New Roman" w:hAnsi="Times New Roman" w:eastAsia="宋体" w:cs="Times New Roman"/>
                <w:color w:val="auto"/>
                <w:sz w:val="24"/>
              </w:rPr>
              <w:t>通气鼻贴物料</w:t>
            </w:r>
            <w:r>
              <w:rPr>
                <w:color w:val="auto"/>
                <w:sz w:val="24"/>
              </w:rPr>
              <w:t>平衡</w:t>
            </w:r>
            <w:r>
              <w:rPr>
                <w:rFonts w:hint="eastAsia"/>
                <w:color w:val="auto"/>
                <w:sz w:val="24"/>
              </w:rPr>
              <w:t>分析详见如下。</w:t>
            </w:r>
          </w:p>
          <w:p w14:paraId="340F94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color w:val="auto"/>
                <w:sz w:val="24"/>
                <w:lang w:val="en-US" w:eastAsia="zh-CN"/>
              </w:rPr>
            </w:pPr>
            <w:r>
              <w:rPr>
                <w:rFonts w:hint="default"/>
                <w:color w:val="auto"/>
                <w:sz w:val="24"/>
                <w:lang w:val="en-US" w:eastAsia="zh-CN"/>
              </w:rPr>
              <w:object>
                <v:shape id="_x0000_i1049" o:spt="75" type="#_x0000_t75" style="height:322pt;width:146.65pt;" o:ole="t" filled="f" o:preferrelative="t" stroked="f" coordsize="21600,21600">
                  <v:path/>
                  <v:fill on="f" focussize="0,0"/>
                  <v:stroke on="f"/>
                  <v:imagedata r:id="rId62" o:title=""/>
                  <o:lock v:ext="edit" aspectratio="f"/>
                  <w10:wrap type="none"/>
                  <w10:anchorlock/>
                </v:shape>
                <o:OLEObject Type="Embed" ProgID="Visio.Drawing.11" ShapeID="_x0000_i1049" DrawAspect="Content" ObjectID="_1468075749" r:id="rId61">
                  <o:LockedField>false</o:LockedField>
                </o:OLEObject>
              </w:object>
            </w:r>
          </w:p>
          <w:p w14:paraId="44AB221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hAnsi="宋体" w:cs="宋体"/>
                <w:b/>
                <w:bCs/>
                <w:color w:val="auto"/>
                <w:szCs w:val="21"/>
              </w:rPr>
            </w:pPr>
            <w:r>
              <w:rPr>
                <w:rFonts w:ascii="Times New Roman"/>
                <w:b/>
                <w:bCs/>
                <w:color w:val="auto"/>
                <w:szCs w:val="21"/>
              </w:rPr>
              <w:t>图</w:t>
            </w:r>
            <w:r>
              <w:rPr>
                <w:rFonts w:hint="eastAsia" w:ascii="Times New Roman"/>
                <w:b/>
                <w:bCs/>
                <w:color w:val="auto"/>
                <w:szCs w:val="21"/>
              </w:rPr>
              <w:t>2</w:t>
            </w:r>
            <w:r>
              <w:rPr>
                <w:rFonts w:ascii="Times New Roman"/>
                <w:b/>
                <w:bCs/>
                <w:color w:val="auto"/>
                <w:szCs w:val="21"/>
              </w:rPr>
              <w:t>-</w:t>
            </w:r>
            <w:r>
              <w:rPr>
                <w:rFonts w:hint="eastAsia"/>
                <w:b/>
                <w:bCs/>
                <w:color w:val="auto"/>
                <w:szCs w:val="21"/>
                <w:lang w:val="en-US" w:eastAsia="zh-CN"/>
              </w:rPr>
              <w:t>26</w:t>
            </w:r>
            <w:r>
              <w:rPr>
                <w:rFonts w:hint="eastAsia" w:ascii="Times New Roman"/>
                <w:b/>
                <w:bCs/>
                <w:color w:val="auto"/>
                <w:szCs w:val="21"/>
              </w:rPr>
              <w:t xml:space="preserve"> </w:t>
            </w:r>
            <w:r>
              <w:rPr>
                <w:rFonts w:ascii="Times New Roman"/>
                <w:b/>
                <w:bCs/>
                <w:color w:val="auto"/>
                <w:szCs w:val="21"/>
              </w:rPr>
              <w:t xml:space="preserve"> </w:t>
            </w:r>
            <w:r>
              <w:rPr>
                <w:rFonts w:hint="eastAsia" w:ascii="宋体" w:hAnsi="宋体" w:eastAsia="宋体" w:cs="宋体"/>
                <w:b/>
                <w:bCs/>
                <w:color w:val="auto"/>
                <w:szCs w:val="21"/>
              </w:rPr>
              <w:t>项目</w:t>
            </w:r>
            <w:r>
              <w:rPr>
                <w:rFonts w:hint="eastAsia" w:ascii="Times New Roman" w:hAnsi="宋体" w:eastAsia="宋体" w:cs="宋体"/>
                <w:b/>
                <w:bCs/>
                <w:color w:val="auto"/>
                <w:szCs w:val="21"/>
              </w:rPr>
              <w:t>通气鼻贴</w:t>
            </w:r>
            <w:r>
              <w:rPr>
                <w:rFonts w:hint="eastAsia" w:ascii="宋体" w:hAnsi="宋体" w:eastAsia="宋体" w:cs="宋体"/>
                <w:b/>
                <w:bCs/>
                <w:color w:val="auto"/>
                <w:szCs w:val="21"/>
              </w:rPr>
              <w:t>物料</w:t>
            </w:r>
            <w:r>
              <w:rPr>
                <w:rFonts w:hint="eastAsia" w:hAnsi="宋体" w:cs="宋体"/>
                <w:b/>
                <w:bCs/>
                <w:color w:val="auto"/>
                <w:szCs w:val="21"/>
              </w:rPr>
              <w:t>平衡图  （单位：t/a）</w:t>
            </w:r>
          </w:p>
          <w:p w14:paraId="22D2651B">
            <w:pPr>
              <w:ind w:firstLine="480" w:firstLineChars="200"/>
              <w:rPr>
                <w:rFonts w:hint="eastAsia"/>
                <w:color w:val="auto"/>
              </w:rPr>
            </w:pPr>
            <w:r>
              <w:rPr>
                <w:rFonts w:hint="eastAsia" w:ascii="宋体" w:hAnsi="宋体" w:cs="宋体"/>
                <w:color w:val="auto"/>
                <w:sz w:val="24"/>
              </w:rPr>
              <w:t>本项</w:t>
            </w:r>
            <w:r>
              <w:rPr>
                <w:rFonts w:hint="eastAsia" w:ascii="宋体" w:hAnsi="宋体" w:eastAsia="宋体" w:cs="宋体"/>
                <w:color w:val="auto"/>
                <w:sz w:val="24"/>
              </w:rPr>
              <w:t>目通气鼻贴物料平</w:t>
            </w:r>
            <w:r>
              <w:rPr>
                <w:rFonts w:hint="eastAsia" w:ascii="宋体" w:hAnsi="宋体" w:cs="宋体"/>
                <w:color w:val="auto"/>
                <w:sz w:val="24"/>
              </w:rPr>
              <w:t>衡表</w:t>
            </w:r>
            <w:r>
              <w:rPr>
                <w:color w:val="auto"/>
                <w:sz w:val="24"/>
              </w:rPr>
              <w:t>见</w:t>
            </w:r>
            <w:r>
              <w:rPr>
                <w:rFonts w:hint="eastAsia"/>
                <w:color w:val="auto"/>
                <w:sz w:val="24"/>
                <w:lang w:val="en-US" w:eastAsia="zh-CN"/>
              </w:rPr>
              <w:t>下</w:t>
            </w:r>
            <w:r>
              <w:rPr>
                <w:color w:val="auto"/>
                <w:sz w:val="24"/>
              </w:rPr>
              <w:t>表</w:t>
            </w:r>
            <w:r>
              <w:rPr>
                <w:rFonts w:hint="eastAsia"/>
                <w:color w:val="auto"/>
                <w:sz w:val="24"/>
              </w:rPr>
              <w:t>。</w:t>
            </w:r>
          </w:p>
          <w:p w14:paraId="2943870E">
            <w:pPr>
              <w:pStyle w:val="10"/>
              <w:spacing w:before="0" w:after="0" w:line="240" w:lineRule="auto"/>
              <w:ind w:right="0"/>
              <w:jc w:val="center"/>
              <w:rPr>
                <w:b/>
                <w:bCs/>
                <w:color w:val="auto"/>
                <w:sz w:val="21"/>
                <w:szCs w:val="21"/>
              </w:rPr>
            </w:pPr>
            <w:r>
              <w:rPr>
                <w:b/>
                <w:bCs/>
                <w:color w:val="auto"/>
                <w:sz w:val="21"/>
                <w:szCs w:val="21"/>
              </w:rPr>
              <w:t>表</w:t>
            </w:r>
            <w:r>
              <w:rPr>
                <w:rFonts w:hint="eastAsia"/>
                <w:b/>
                <w:bCs/>
                <w:color w:val="auto"/>
                <w:sz w:val="21"/>
                <w:szCs w:val="21"/>
              </w:rPr>
              <w:t>2-</w:t>
            </w:r>
            <w:r>
              <w:rPr>
                <w:rFonts w:hint="eastAsia"/>
                <w:b/>
                <w:bCs/>
                <w:color w:val="auto"/>
                <w:sz w:val="21"/>
                <w:szCs w:val="21"/>
                <w:lang w:val="en-US" w:eastAsia="zh-CN"/>
              </w:rPr>
              <w:t>21</w:t>
            </w:r>
            <w:r>
              <w:rPr>
                <w:rFonts w:hint="eastAsia"/>
                <w:b/>
                <w:bCs/>
                <w:color w:val="auto"/>
                <w:sz w:val="21"/>
                <w:szCs w:val="21"/>
              </w:rPr>
              <w:t xml:space="preserve">  </w:t>
            </w:r>
            <w:r>
              <w:rPr>
                <w:rFonts w:hint="eastAsia" w:ascii="Times New Roman" w:hAnsi="Times New Roman" w:eastAsia="宋体" w:cs="Times New Roman"/>
                <w:b/>
                <w:bCs/>
                <w:color w:val="auto"/>
                <w:sz w:val="21"/>
                <w:szCs w:val="21"/>
              </w:rPr>
              <w:t>通气鼻贴</w:t>
            </w:r>
            <w:r>
              <w:rPr>
                <w:rFonts w:ascii="Times New Roman" w:hAnsi="Times New Roman" w:eastAsia="宋体" w:cs="Times New Roman"/>
                <w:b/>
                <w:bCs/>
                <w:color w:val="auto"/>
                <w:sz w:val="21"/>
                <w:szCs w:val="21"/>
              </w:rPr>
              <w:t>物料</w:t>
            </w:r>
            <w:r>
              <w:rPr>
                <w:b/>
                <w:bCs/>
                <w:color w:val="auto"/>
                <w:sz w:val="21"/>
                <w:szCs w:val="21"/>
              </w:rPr>
              <w:t>平衡表</w:t>
            </w:r>
          </w:p>
          <w:tbl>
            <w:tblPr>
              <w:tblStyle w:val="24"/>
              <w:tblW w:w="496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1146"/>
              <w:gridCol w:w="1455"/>
              <w:gridCol w:w="1512"/>
              <w:gridCol w:w="1470"/>
            </w:tblGrid>
            <w:tr w14:paraId="1F5D9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5" w:hRule="atLeast"/>
              </w:trPr>
              <w:tc>
                <w:tcPr>
                  <w:tcW w:w="2223" w:type="pct"/>
                  <w:gridSpan w:val="2"/>
                  <w:tcBorders>
                    <w:bottom w:val="single" w:color="auto" w:sz="4" w:space="0"/>
                  </w:tcBorders>
                  <w:noWrap w:val="0"/>
                  <w:vAlign w:val="top"/>
                </w:tcPr>
                <w:p w14:paraId="007CED1A">
                  <w:pPr>
                    <w:autoSpaceDE w:val="0"/>
                    <w:autoSpaceDN w:val="0"/>
                    <w:adjustRightInd w:val="0"/>
                    <w:jc w:val="center"/>
                    <w:rPr>
                      <w:b/>
                      <w:bCs/>
                      <w:color w:val="auto"/>
                      <w:szCs w:val="21"/>
                    </w:rPr>
                  </w:pPr>
                  <w:r>
                    <w:rPr>
                      <w:b/>
                      <w:bCs/>
                      <w:color w:val="auto"/>
                      <w:szCs w:val="21"/>
                    </w:rPr>
                    <w:t>投入</w:t>
                  </w:r>
                </w:p>
              </w:tc>
              <w:tc>
                <w:tcPr>
                  <w:tcW w:w="2776" w:type="pct"/>
                  <w:gridSpan w:val="3"/>
                  <w:tcBorders>
                    <w:bottom w:val="single" w:color="auto" w:sz="4" w:space="0"/>
                  </w:tcBorders>
                  <w:noWrap w:val="0"/>
                  <w:vAlign w:val="top"/>
                </w:tcPr>
                <w:p w14:paraId="562158D2">
                  <w:pPr>
                    <w:autoSpaceDE w:val="0"/>
                    <w:autoSpaceDN w:val="0"/>
                    <w:adjustRightInd w:val="0"/>
                    <w:jc w:val="center"/>
                    <w:rPr>
                      <w:b/>
                      <w:bCs/>
                      <w:color w:val="auto"/>
                      <w:szCs w:val="21"/>
                    </w:rPr>
                  </w:pPr>
                  <w:r>
                    <w:rPr>
                      <w:b/>
                      <w:bCs/>
                      <w:color w:val="auto"/>
                      <w:szCs w:val="21"/>
                    </w:rPr>
                    <w:t>产出</w:t>
                  </w:r>
                </w:p>
              </w:tc>
            </w:tr>
            <w:tr w14:paraId="76E0D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3170C304">
                  <w:pPr>
                    <w:autoSpaceDE w:val="0"/>
                    <w:autoSpaceDN w:val="0"/>
                    <w:adjustRightInd w:val="0"/>
                    <w:jc w:val="center"/>
                    <w:rPr>
                      <w:b/>
                      <w:bCs/>
                      <w:color w:val="auto"/>
                      <w:szCs w:val="21"/>
                    </w:rPr>
                  </w:pPr>
                  <w:r>
                    <w:rPr>
                      <w:b/>
                      <w:bCs/>
                      <w:color w:val="auto"/>
                      <w:szCs w:val="21"/>
                    </w:rPr>
                    <w:t>名称</w:t>
                  </w:r>
                </w:p>
              </w:tc>
              <w:tc>
                <w:tcPr>
                  <w:tcW w:w="717" w:type="pct"/>
                  <w:tcBorders>
                    <w:top w:val="single" w:color="auto" w:sz="4" w:space="0"/>
                    <w:bottom w:val="single" w:color="auto" w:sz="4" w:space="0"/>
                  </w:tcBorders>
                  <w:noWrap w:val="0"/>
                  <w:vAlign w:val="center"/>
                </w:tcPr>
                <w:p w14:paraId="66871B5D">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c>
                <w:tcPr>
                  <w:tcW w:w="1856" w:type="pct"/>
                  <w:gridSpan w:val="2"/>
                  <w:tcBorders>
                    <w:top w:val="single" w:color="auto" w:sz="4" w:space="0"/>
                    <w:bottom w:val="single" w:color="auto" w:sz="4" w:space="0"/>
                  </w:tcBorders>
                  <w:noWrap w:val="0"/>
                  <w:vAlign w:val="center"/>
                </w:tcPr>
                <w:p w14:paraId="479AD816">
                  <w:pPr>
                    <w:autoSpaceDE w:val="0"/>
                    <w:autoSpaceDN w:val="0"/>
                    <w:adjustRightInd w:val="0"/>
                    <w:jc w:val="center"/>
                    <w:rPr>
                      <w:b/>
                      <w:bCs/>
                      <w:color w:val="auto"/>
                      <w:szCs w:val="21"/>
                    </w:rPr>
                  </w:pPr>
                  <w:r>
                    <w:rPr>
                      <w:b/>
                      <w:bCs/>
                      <w:color w:val="auto"/>
                      <w:szCs w:val="21"/>
                    </w:rPr>
                    <w:t>名称</w:t>
                  </w:r>
                </w:p>
              </w:tc>
              <w:tc>
                <w:tcPr>
                  <w:tcW w:w="920" w:type="pct"/>
                  <w:tcBorders>
                    <w:top w:val="single" w:color="auto" w:sz="4" w:space="0"/>
                    <w:bottom w:val="single" w:color="auto" w:sz="4" w:space="0"/>
                  </w:tcBorders>
                  <w:noWrap w:val="0"/>
                  <w:vAlign w:val="center"/>
                </w:tcPr>
                <w:p w14:paraId="4704EED7">
                  <w:pPr>
                    <w:autoSpaceDE w:val="0"/>
                    <w:autoSpaceDN w:val="0"/>
                    <w:adjustRightInd w:val="0"/>
                    <w:jc w:val="center"/>
                    <w:rPr>
                      <w:b/>
                      <w:bCs/>
                      <w:color w:val="auto"/>
                      <w:szCs w:val="21"/>
                    </w:rPr>
                  </w:pPr>
                  <w:r>
                    <w:rPr>
                      <w:b/>
                      <w:bCs/>
                      <w:color w:val="auto"/>
                      <w:szCs w:val="21"/>
                    </w:rPr>
                    <w:t>数量（</w:t>
                  </w:r>
                  <w:r>
                    <w:rPr>
                      <w:rFonts w:hint="eastAsia"/>
                      <w:b/>
                      <w:bCs/>
                      <w:color w:val="auto"/>
                      <w:szCs w:val="21"/>
                    </w:rPr>
                    <w:t>t</w:t>
                  </w:r>
                  <w:r>
                    <w:rPr>
                      <w:b/>
                      <w:bCs/>
                      <w:color w:val="auto"/>
                      <w:szCs w:val="21"/>
                    </w:rPr>
                    <w:t>/</w:t>
                  </w:r>
                  <w:r>
                    <w:rPr>
                      <w:rFonts w:hint="eastAsia"/>
                      <w:b/>
                      <w:bCs/>
                      <w:color w:val="auto"/>
                      <w:szCs w:val="21"/>
                    </w:rPr>
                    <w:t>a</w:t>
                  </w:r>
                  <w:r>
                    <w:rPr>
                      <w:b/>
                      <w:bCs/>
                      <w:color w:val="auto"/>
                      <w:szCs w:val="21"/>
                    </w:rPr>
                    <w:t>）</w:t>
                  </w:r>
                </w:p>
              </w:tc>
            </w:tr>
            <w:tr w14:paraId="34047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4" w:space="0"/>
                  </w:tcBorders>
                  <w:noWrap w:val="0"/>
                  <w:vAlign w:val="center"/>
                </w:tcPr>
                <w:p w14:paraId="4BD0C33F">
                  <w:pPr>
                    <w:widowControl/>
                    <w:jc w:val="center"/>
                    <w:rPr>
                      <w:color w:val="auto"/>
                      <w:szCs w:val="21"/>
                    </w:rPr>
                  </w:pPr>
                  <w:r>
                    <w:rPr>
                      <w:rFonts w:hint="eastAsia"/>
                      <w:color w:val="auto"/>
                      <w:szCs w:val="19"/>
                      <w:lang w:bidi="ar"/>
                    </w:rPr>
                    <w:t>水刺无纺布</w:t>
                  </w:r>
                </w:p>
              </w:tc>
              <w:tc>
                <w:tcPr>
                  <w:tcW w:w="717" w:type="pct"/>
                  <w:tcBorders>
                    <w:top w:val="single" w:color="auto" w:sz="4" w:space="0"/>
                    <w:bottom w:val="single" w:color="auto" w:sz="4" w:space="0"/>
                  </w:tcBorders>
                  <w:noWrap w:val="0"/>
                  <w:vAlign w:val="center"/>
                </w:tcPr>
                <w:p w14:paraId="51E733D5">
                  <w:pPr>
                    <w:snapToGrid w:val="0"/>
                    <w:spacing w:line="240" w:lineRule="auto"/>
                    <w:jc w:val="center"/>
                    <w:textAlignment w:val="auto"/>
                    <w:rPr>
                      <w:color w:val="auto"/>
                      <w:szCs w:val="21"/>
                    </w:rPr>
                  </w:pPr>
                  <w:r>
                    <w:rPr>
                      <w:rFonts w:hint="eastAsia"/>
                      <w:color w:val="auto"/>
                      <w:szCs w:val="21"/>
                      <w:lang w:val="en-US" w:eastAsia="zh-CN"/>
                    </w:rPr>
                    <w:t>10.5</w:t>
                  </w:r>
                </w:p>
              </w:tc>
              <w:tc>
                <w:tcPr>
                  <w:tcW w:w="910" w:type="pct"/>
                  <w:tcBorders>
                    <w:top w:val="single" w:color="auto" w:sz="4" w:space="0"/>
                    <w:bottom w:val="single" w:color="auto" w:sz="4" w:space="0"/>
                  </w:tcBorders>
                  <w:noWrap w:val="0"/>
                  <w:vAlign w:val="center"/>
                </w:tcPr>
                <w:p w14:paraId="5E418E3F">
                  <w:pPr>
                    <w:autoSpaceDE w:val="0"/>
                    <w:autoSpaceDN w:val="0"/>
                    <w:adjustRightInd w:val="0"/>
                    <w:jc w:val="center"/>
                    <w:rPr>
                      <w:color w:val="auto"/>
                      <w:szCs w:val="21"/>
                    </w:rPr>
                  </w:pPr>
                  <w:r>
                    <w:rPr>
                      <w:rFonts w:hint="eastAsia"/>
                      <w:color w:val="auto"/>
                      <w:szCs w:val="21"/>
                    </w:rPr>
                    <w:t>产品</w:t>
                  </w:r>
                </w:p>
              </w:tc>
              <w:tc>
                <w:tcPr>
                  <w:tcW w:w="946" w:type="pct"/>
                  <w:tcBorders>
                    <w:top w:val="single" w:color="auto" w:sz="4" w:space="0"/>
                    <w:bottom w:val="single" w:color="auto" w:sz="4" w:space="0"/>
                  </w:tcBorders>
                  <w:noWrap w:val="0"/>
                  <w:vAlign w:val="center"/>
                </w:tcPr>
                <w:p w14:paraId="6242532F">
                  <w:pPr>
                    <w:autoSpaceDE w:val="0"/>
                    <w:autoSpaceDN w:val="0"/>
                    <w:adjustRightInd w:val="0"/>
                    <w:jc w:val="center"/>
                    <w:rPr>
                      <w:rFonts w:hint="eastAsia"/>
                      <w:color w:val="auto"/>
                      <w:szCs w:val="21"/>
                    </w:rPr>
                  </w:pPr>
                  <w:r>
                    <w:rPr>
                      <w:rFonts w:hint="eastAsia" w:ascii="Times New Roman" w:hAnsi="Times New Roman" w:eastAsia="宋体" w:cs="Times New Roman"/>
                      <w:b w:val="0"/>
                      <w:bCs w:val="0"/>
                      <w:color w:val="auto"/>
                      <w:sz w:val="21"/>
                      <w:szCs w:val="21"/>
                    </w:rPr>
                    <w:t>通气鼻贴</w:t>
                  </w:r>
                </w:p>
              </w:tc>
              <w:tc>
                <w:tcPr>
                  <w:tcW w:w="920" w:type="pct"/>
                  <w:tcBorders>
                    <w:top w:val="single" w:color="auto" w:sz="4" w:space="0"/>
                    <w:bottom w:val="single" w:color="auto" w:sz="4" w:space="0"/>
                  </w:tcBorders>
                  <w:noWrap w:val="0"/>
                  <w:vAlign w:val="center"/>
                </w:tcPr>
                <w:p w14:paraId="24542787">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30.3</w:t>
                  </w:r>
                </w:p>
              </w:tc>
            </w:tr>
            <w:tr w14:paraId="0BDB3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354799E4">
                  <w:pPr>
                    <w:widowControl/>
                    <w:jc w:val="center"/>
                    <w:rPr>
                      <w:color w:val="auto"/>
                      <w:szCs w:val="21"/>
                    </w:rPr>
                  </w:pPr>
                  <w:r>
                    <w:rPr>
                      <w:rFonts w:hint="eastAsia"/>
                      <w:color w:val="auto"/>
                      <w:szCs w:val="19"/>
                      <w:lang w:bidi="ar"/>
                    </w:rPr>
                    <w:t>压力敏感胶粘剂</w:t>
                  </w:r>
                </w:p>
              </w:tc>
              <w:tc>
                <w:tcPr>
                  <w:tcW w:w="717" w:type="pct"/>
                  <w:tcBorders>
                    <w:top w:val="single" w:color="auto" w:sz="4" w:space="0"/>
                    <w:bottom w:val="single" w:color="auto" w:sz="4" w:space="0"/>
                  </w:tcBorders>
                  <w:noWrap w:val="0"/>
                  <w:vAlign w:val="center"/>
                </w:tcPr>
                <w:p w14:paraId="467AB661">
                  <w:pPr>
                    <w:snapToGrid w:val="0"/>
                    <w:spacing w:line="240" w:lineRule="auto"/>
                    <w:jc w:val="center"/>
                    <w:textAlignment w:val="auto"/>
                    <w:rPr>
                      <w:color w:val="auto"/>
                      <w:szCs w:val="21"/>
                    </w:rPr>
                  </w:pPr>
                  <w:r>
                    <w:rPr>
                      <w:rFonts w:hint="eastAsia"/>
                      <w:color w:val="auto"/>
                      <w:szCs w:val="21"/>
                      <w:lang w:val="en-US" w:eastAsia="zh-CN"/>
                    </w:rPr>
                    <w:t>10.5</w:t>
                  </w:r>
                </w:p>
              </w:tc>
              <w:tc>
                <w:tcPr>
                  <w:tcW w:w="910" w:type="pct"/>
                  <w:tcBorders>
                    <w:top w:val="single" w:color="auto" w:sz="4" w:space="0"/>
                    <w:bottom w:val="single" w:color="auto" w:sz="4" w:space="0"/>
                  </w:tcBorders>
                  <w:noWrap w:val="0"/>
                  <w:vAlign w:val="center"/>
                </w:tcPr>
                <w:p w14:paraId="0F665A1B">
                  <w:pPr>
                    <w:autoSpaceDE w:val="0"/>
                    <w:autoSpaceDN w:val="0"/>
                    <w:adjustRightInd w:val="0"/>
                    <w:jc w:val="center"/>
                    <w:rPr>
                      <w:rFonts w:hint="default" w:eastAsia="宋体"/>
                      <w:color w:val="auto"/>
                      <w:szCs w:val="21"/>
                      <w:lang w:val="en-US" w:eastAsia="zh-CN"/>
                    </w:rPr>
                  </w:pPr>
                  <w:r>
                    <w:rPr>
                      <w:rFonts w:hint="eastAsia" w:eastAsia="宋体"/>
                      <w:color w:val="auto"/>
                      <w:szCs w:val="21"/>
                      <w:lang w:val="en-US" w:eastAsia="zh-CN"/>
                    </w:rPr>
                    <w:t>复合、冲片</w:t>
                  </w:r>
                </w:p>
              </w:tc>
              <w:tc>
                <w:tcPr>
                  <w:tcW w:w="946" w:type="pct"/>
                  <w:tcBorders>
                    <w:top w:val="single" w:color="auto" w:sz="4" w:space="0"/>
                    <w:bottom w:val="single" w:color="auto" w:sz="4" w:space="0"/>
                  </w:tcBorders>
                  <w:noWrap w:val="0"/>
                  <w:vAlign w:val="center"/>
                </w:tcPr>
                <w:p w14:paraId="79B56BD1">
                  <w:pPr>
                    <w:autoSpaceDE w:val="0"/>
                    <w:autoSpaceDN w:val="0"/>
                    <w:adjustRightInd w:val="0"/>
                    <w:jc w:val="center"/>
                    <w:rPr>
                      <w:rFonts w:hint="eastAsia" w:eastAsia="宋体"/>
                      <w:color w:val="auto"/>
                      <w:szCs w:val="21"/>
                      <w:lang w:eastAsia="zh-CN"/>
                    </w:rPr>
                  </w:pPr>
                  <w:r>
                    <w:rPr>
                      <w:rFonts w:hint="eastAsia"/>
                      <w:color w:val="auto"/>
                      <w:szCs w:val="21"/>
                      <w:lang w:val="en-US" w:eastAsia="zh-CN"/>
                    </w:rPr>
                    <w:t>边角料</w:t>
                  </w:r>
                </w:p>
              </w:tc>
              <w:tc>
                <w:tcPr>
                  <w:tcW w:w="920" w:type="pct"/>
                  <w:tcBorders>
                    <w:top w:val="single" w:color="auto" w:sz="4" w:space="0"/>
                    <w:bottom w:val="single" w:color="auto" w:sz="4" w:space="0"/>
                  </w:tcBorders>
                  <w:noWrap w:val="0"/>
                  <w:vAlign w:val="center"/>
                </w:tcPr>
                <w:p w14:paraId="55A83FAB">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0.3</w:t>
                  </w:r>
                </w:p>
              </w:tc>
            </w:tr>
            <w:tr w14:paraId="12B68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5ACF8D44">
                  <w:pPr>
                    <w:widowControl/>
                    <w:jc w:val="center"/>
                    <w:rPr>
                      <w:rFonts w:hint="eastAsia"/>
                      <w:color w:val="auto"/>
                      <w:szCs w:val="21"/>
                    </w:rPr>
                  </w:pPr>
                  <w:r>
                    <w:rPr>
                      <w:rFonts w:hint="eastAsia"/>
                      <w:color w:val="auto"/>
                      <w:szCs w:val="19"/>
                      <w:lang w:bidi="ar"/>
                    </w:rPr>
                    <w:t>弹性物（PET）</w:t>
                  </w:r>
                </w:p>
              </w:tc>
              <w:tc>
                <w:tcPr>
                  <w:tcW w:w="717" w:type="pct"/>
                  <w:tcBorders>
                    <w:top w:val="single" w:color="auto" w:sz="4" w:space="0"/>
                    <w:bottom w:val="single" w:color="auto" w:sz="4" w:space="0"/>
                  </w:tcBorders>
                  <w:noWrap w:val="0"/>
                  <w:vAlign w:val="center"/>
                </w:tcPr>
                <w:p w14:paraId="3A45AAB5">
                  <w:pPr>
                    <w:snapToGrid w:val="0"/>
                    <w:spacing w:line="240" w:lineRule="auto"/>
                    <w:jc w:val="center"/>
                    <w:textAlignment w:val="auto"/>
                    <w:rPr>
                      <w:rFonts w:hint="eastAsia"/>
                      <w:color w:val="auto"/>
                      <w:szCs w:val="21"/>
                      <w:lang w:val="en-US" w:eastAsia="zh-CN"/>
                    </w:rPr>
                  </w:pPr>
                  <w:r>
                    <w:rPr>
                      <w:rFonts w:hint="eastAsia"/>
                      <w:color w:val="auto"/>
                      <w:szCs w:val="21"/>
                      <w:lang w:val="en-US" w:eastAsia="zh-CN"/>
                    </w:rPr>
                    <w:t>8.3</w:t>
                  </w:r>
                </w:p>
              </w:tc>
              <w:tc>
                <w:tcPr>
                  <w:tcW w:w="910" w:type="pct"/>
                  <w:tcBorders>
                    <w:top w:val="single" w:color="auto" w:sz="4" w:space="0"/>
                    <w:bottom w:val="single" w:color="auto" w:sz="4" w:space="0"/>
                  </w:tcBorders>
                  <w:noWrap w:val="0"/>
                  <w:vAlign w:val="center"/>
                </w:tcPr>
                <w:p w14:paraId="2A86C224">
                  <w:pPr>
                    <w:autoSpaceDE w:val="0"/>
                    <w:autoSpaceDN w:val="0"/>
                    <w:adjustRightInd w:val="0"/>
                    <w:jc w:val="center"/>
                    <w:rPr>
                      <w:rFonts w:hint="eastAsia"/>
                      <w:color w:val="auto"/>
                      <w:szCs w:val="21"/>
                      <w:lang w:val="en-US" w:eastAsia="zh-CN"/>
                    </w:rPr>
                  </w:pPr>
                  <w:r>
                    <w:rPr>
                      <w:rFonts w:hint="eastAsia"/>
                      <w:color w:val="auto"/>
                      <w:szCs w:val="21"/>
                      <w:lang w:val="en-US" w:eastAsia="zh-CN"/>
                    </w:rPr>
                    <w:t>抽检</w:t>
                  </w:r>
                </w:p>
              </w:tc>
              <w:tc>
                <w:tcPr>
                  <w:tcW w:w="946" w:type="pct"/>
                  <w:tcBorders>
                    <w:top w:val="single" w:color="auto" w:sz="4" w:space="0"/>
                    <w:bottom w:val="single" w:color="auto" w:sz="4" w:space="0"/>
                  </w:tcBorders>
                  <w:noWrap w:val="0"/>
                  <w:vAlign w:val="center"/>
                </w:tcPr>
                <w:p w14:paraId="108F091A">
                  <w:pPr>
                    <w:autoSpaceDE w:val="0"/>
                    <w:autoSpaceDN w:val="0"/>
                    <w:adjustRightInd w:val="0"/>
                    <w:jc w:val="center"/>
                    <w:rPr>
                      <w:rFonts w:hint="default"/>
                      <w:color w:val="auto"/>
                      <w:szCs w:val="21"/>
                      <w:lang w:val="en-US" w:eastAsia="zh-CN"/>
                    </w:rPr>
                  </w:pPr>
                  <w:r>
                    <w:rPr>
                      <w:rFonts w:hint="eastAsia"/>
                      <w:color w:val="auto"/>
                      <w:szCs w:val="21"/>
                      <w:lang w:val="en-US" w:eastAsia="zh-CN"/>
                    </w:rPr>
                    <w:t>不合格品</w:t>
                  </w:r>
                </w:p>
              </w:tc>
              <w:tc>
                <w:tcPr>
                  <w:tcW w:w="920" w:type="pct"/>
                  <w:tcBorders>
                    <w:top w:val="single" w:color="auto" w:sz="4" w:space="0"/>
                    <w:bottom w:val="single" w:color="auto" w:sz="4" w:space="0"/>
                  </w:tcBorders>
                  <w:noWrap w:val="0"/>
                  <w:vAlign w:val="center"/>
                </w:tcPr>
                <w:p w14:paraId="4653B600">
                  <w:pPr>
                    <w:autoSpaceDE w:val="0"/>
                    <w:autoSpaceDN w:val="0"/>
                    <w:adjustRightInd w:val="0"/>
                    <w:jc w:val="center"/>
                    <w:rPr>
                      <w:rFonts w:hint="default"/>
                      <w:color w:val="auto"/>
                      <w:szCs w:val="21"/>
                      <w:lang w:val="en-US" w:eastAsia="zh-CN"/>
                    </w:rPr>
                  </w:pPr>
                  <w:r>
                    <w:rPr>
                      <w:rFonts w:hint="eastAsia"/>
                      <w:color w:val="auto"/>
                      <w:szCs w:val="21"/>
                      <w:lang w:val="en-US" w:eastAsia="zh-CN"/>
                    </w:rPr>
                    <w:t>0.2</w:t>
                  </w:r>
                </w:p>
              </w:tc>
            </w:tr>
            <w:tr w14:paraId="522C4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505" w:type="pct"/>
                  <w:tcBorders>
                    <w:top w:val="single" w:color="auto" w:sz="4" w:space="0"/>
                    <w:bottom w:val="single" w:color="auto" w:sz="4" w:space="0"/>
                  </w:tcBorders>
                  <w:noWrap w:val="0"/>
                  <w:vAlign w:val="center"/>
                </w:tcPr>
                <w:p w14:paraId="15D1E418">
                  <w:pPr>
                    <w:widowControl/>
                    <w:jc w:val="center"/>
                    <w:rPr>
                      <w:rFonts w:hint="eastAsia"/>
                      <w:color w:val="auto"/>
                      <w:szCs w:val="21"/>
                    </w:rPr>
                  </w:pPr>
                  <w:r>
                    <w:rPr>
                      <w:rFonts w:hint="eastAsia"/>
                      <w:color w:val="auto"/>
                      <w:szCs w:val="19"/>
                      <w:lang w:bidi="ar"/>
                    </w:rPr>
                    <w:t>背贴纸</w:t>
                  </w:r>
                </w:p>
              </w:tc>
              <w:tc>
                <w:tcPr>
                  <w:tcW w:w="717" w:type="pct"/>
                  <w:tcBorders>
                    <w:top w:val="single" w:color="auto" w:sz="4" w:space="0"/>
                    <w:bottom w:val="single" w:color="auto" w:sz="4" w:space="0"/>
                  </w:tcBorders>
                  <w:noWrap w:val="0"/>
                  <w:vAlign w:val="center"/>
                </w:tcPr>
                <w:p w14:paraId="43D345DD">
                  <w:pPr>
                    <w:snapToGrid w:val="0"/>
                    <w:spacing w:line="240" w:lineRule="auto"/>
                    <w:jc w:val="center"/>
                    <w:textAlignment w:val="auto"/>
                    <w:rPr>
                      <w:color w:val="auto"/>
                      <w:szCs w:val="21"/>
                    </w:rPr>
                  </w:pPr>
                  <w:r>
                    <w:rPr>
                      <w:rFonts w:hint="eastAsia"/>
                      <w:color w:val="auto"/>
                      <w:szCs w:val="21"/>
                      <w:lang w:val="en-US" w:eastAsia="zh-CN"/>
                    </w:rPr>
                    <w:t>1.5</w:t>
                  </w:r>
                </w:p>
              </w:tc>
              <w:tc>
                <w:tcPr>
                  <w:tcW w:w="2776" w:type="pct"/>
                  <w:gridSpan w:val="3"/>
                  <w:tcBorders>
                    <w:top w:val="single" w:color="auto" w:sz="4" w:space="0"/>
                  </w:tcBorders>
                  <w:noWrap w:val="0"/>
                  <w:vAlign w:val="center"/>
                </w:tcPr>
                <w:p w14:paraId="2D5B44B5">
                  <w:pPr>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w:t>
                  </w:r>
                </w:p>
              </w:tc>
            </w:tr>
            <w:tr w14:paraId="7733C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5" w:type="pct"/>
                  <w:tcBorders>
                    <w:top w:val="single" w:color="auto" w:sz="4" w:space="0"/>
                    <w:bottom w:val="single" w:color="auto" w:sz="12" w:space="0"/>
                  </w:tcBorders>
                  <w:noWrap w:val="0"/>
                  <w:vAlign w:val="center"/>
                </w:tcPr>
                <w:p w14:paraId="6B5FE05D">
                  <w:pPr>
                    <w:pStyle w:val="83"/>
                    <w:spacing w:line="240" w:lineRule="auto"/>
                    <w:ind w:firstLine="0" w:firstLineChars="0"/>
                    <w:jc w:val="center"/>
                    <w:textAlignment w:val="baseline"/>
                    <w:rPr>
                      <w:rStyle w:val="84"/>
                      <w:color w:val="auto"/>
                      <w:kern w:val="0"/>
                      <w:sz w:val="21"/>
                      <w:szCs w:val="21"/>
                    </w:rPr>
                  </w:pPr>
                  <w:r>
                    <w:rPr>
                      <w:rStyle w:val="84"/>
                      <w:color w:val="auto"/>
                      <w:kern w:val="0"/>
                      <w:sz w:val="21"/>
                      <w:szCs w:val="21"/>
                    </w:rPr>
                    <w:t>合计</w:t>
                  </w:r>
                </w:p>
              </w:tc>
              <w:tc>
                <w:tcPr>
                  <w:tcW w:w="717" w:type="pct"/>
                  <w:tcBorders>
                    <w:top w:val="single" w:color="auto" w:sz="4" w:space="0"/>
                    <w:bottom w:val="single" w:color="auto" w:sz="12" w:space="0"/>
                  </w:tcBorders>
                  <w:noWrap w:val="0"/>
                  <w:vAlign w:val="center"/>
                </w:tcPr>
                <w:p w14:paraId="30471469">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30.8</w:t>
                  </w:r>
                </w:p>
              </w:tc>
              <w:tc>
                <w:tcPr>
                  <w:tcW w:w="1856" w:type="pct"/>
                  <w:gridSpan w:val="2"/>
                  <w:tcBorders>
                    <w:top w:val="single" w:color="auto" w:sz="4" w:space="0"/>
                    <w:bottom w:val="single" w:color="auto" w:sz="12" w:space="0"/>
                  </w:tcBorders>
                  <w:noWrap w:val="0"/>
                  <w:vAlign w:val="center"/>
                </w:tcPr>
                <w:p w14:paraId="3A625774">
                  <w:pPr>
                    <w:pStyle w:val="83"/>
                    <w:spacing w:line="240" w:lineRule="auto"/>
                    <w:ind w:firstLine="0" w:firstLineChars="0"/>
                    <w:jc w:val="center"/>
                    <w:textAlignment w:val="baseline"/>
                    <w:rPr>
                      <w:color w:val="auto"/>
                      <w:szCs w:val="21"/>
                    </w:rPr>
                  </w:pPr>
                  <w:r>
                    <w:rPr>
                      <w:rStyle w:val="84"/>
                      <w:color w:val="auto"/>
                      <w:kern w:val="0"/>
                      <w:sz w:val="21"/>
                      <w:szCs w:val="21"/>
                    </w:rPr>
                    <w:t>合计</w:t>
                  </w:r>
                </w:p>
              </w:tc>
              <w:tc>
                <w:tcPr>
                  <w:tcW w:w="920" w:type="pct"/>
                  <w:tcBorders>
                    <w:top w:val="single" w:color="auto" w:sz="4" w:space="0"/>
                    <w:bottom w:val="single" w:color="auto" w:sz="12" w:space="0"/>
                  </w:tcBorders>
                  <w:noWrap w:val="0"/>
                  <w:vAlign w:val="center"/>
                </w:tcPr>
                <w:p w14:paraId="16E43512">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30.8</w:t>
                  </w:r>
                </w:p>
              </w:tc>
            </w:tr>
          </w:tbl>
          <w:p w14:paraId="23ED92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rPr>
            </w:pP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冰凉</w:t>
            </w:r>
            <w:r>
              <w:rPr>
                <w:rFonts w:hint="eastAsia" w:ascii="Times New Roman" w:hAnsi="Times New Roman" w:eastAsia="宋体" w:cs="Times New Roman"/>
                <w:color w:val="auto"/>
                <w:sz w:val="24"/>
                <w:lang w:val="en-US"/>
              </w:rPr>
              <w:t>贴</w:t>
            </w:r>
            <w:r>
              <w:rPr>
                <w:rFonts w:hint="eastAsia" w:ascii="Times New Roman" w:hAnsi="Times New Roman" w:eastAsia="宋体" w:cs="Times New Roman"/>
                <w:color w:val="auto"/>
                <w:sz w:val="24"/>
              </w:rPr>
              <w:t>物料</w:t>
            </w:r>
            <w:r>
              <w:rPr>
                <w:color w:val="auto"/>
                <w:sz w:val="24"/>
              </w:rPr>
              <w:t>平衡</w:t>
            </w:r>
            <w:r>
              <w:rPr>
                <w:rFonts w:hint="eastAsia"/>
                <w:color w:val="auto"/>
                <w:sz w:val="24"/>
              </w:rPr>
              <w:t>分析详见如下。</w:t>
            </w:r>
          </w:p>
          <w:p w14:paraId="4CB227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eastAsia="宋体"/>
                <w:color w:val="FF0000"/>
                <w:sz w:val="24"/>
                <w:lang w:val="en-US" w:eastAsia="zh-CN"/>
              </w:rPr>
            </w:pPr>
            <w:r>
              <w:rPr>
                <w:rFonts w:hint="eastAsia"/>
                <w:color w:val="FF0000"/>
                <w:sz w:val="24"/>
                <w:lang w:val="en-US" w:eastAsia="zh-CN"/>
              </w:rPr>
              <w:t>因配粉工序颗粒物产生量较少，本工艺的物料平衡单位以kg来统计。</w:t>
            </w:r>
          </w:p>
          <w:p w14:paraId="79263AB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FF0000"/>
                <w:sz w:val="24"/>
                <w:lang w:val="en-US" w:eastAsia="zh-CN"/>
              </w:rPr>
            </w:pPr>
            <w:r>
              <w:rPr>
                <w:rFonts w:hint="eastAsia" w:ascii="Times New Roman" w:hAnsi="Times New Roman" w:eastAsia="宋体" w:cs="Times New Roman"/>
                <w:color w:val="FF0000"/>
                <w:sz w:val="24"/>
                <w:lang w:val="en-US" w:eastAsia="zh-CN"/>
              </w:rPr>
              <w:object>
                <v:shape id="_x0000_i1050" o:spt="75" type="#_x0000_t75" style="height:105.05pt;width:402.05pt;" o:ole="t" filled="f" o:preferrelative="t" stroked="f" coordsize="21600,21600">
                  <v:path/>
                  <v:fill on="f" focussize="0,0"/>
                  <v:stroke on="f"/>
                  <v:imagedata r:id="rId64" o:title=""/>
                  <o:lock v:ext="edit" aspectratio="f"/>
                  <w10:wrap type="none"/>
                  <w10:anchorlock/>
                </v:shape>
                <o:OLEObject Type="Embed" ProgID="Visio.Drawing.11" ShapeID="_x0000_i1050" DrawAspect="Content" ObjectID="_1468075750" r:id="rId63">
                  <o:LockedField>false</o:LockedField>
                </o:OLEObject>
              </w:object>
            </w:r>
          </w:p>
          <w:p w14:paraId="57A04C2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eastAsia" w:ascii="Times New Roman" w:hAnsi="Times New Roman" w:eastAsia="宋体" w:cs="Times New Roman"/>
                <w:b/>
                <w:bCs/>
                <w:color w:val="FF0000"/>
                <w:sz w:val="24"/>
                <w:lang w:val="en-US" w:eastAsia="zh-CN"/>
              </w:rPr>
            </w:pPr>
            <w:r>
              <w:rPr>
                <w:rFonts w:ascii="Times New Roman"/>
                <w:b/>
                <w:bCs/>
                <w:color w:val="FF0000"/>
                <w:szCs w:val="21"/>
              </w:rPr>
              <w:t>图</w:t>
            </w:r>
            <w:r>
              <w:rPr>
                <w:rFonts w:hint="eastAsia" w:ascii="Times New Roman"/>
                <w:b/>
                <w:bCs/>
                <w:color w:val="FF0000"/>
                <w:szCs w:val="21"/>
              </w:rPr>
              <w:t>2</w:t>
            </w:r>
            <w:r>
              <w:rPr>
                <w:rFonts w:ascii="Times New Roman"/>
                <w:b/>
                <w:bCs/>
                <w:color w:val="FF0000"/>
                <w:szCs w:val="21"/>
              </w:rPr>
              <w:t>-</w:t>
            </w:r>
            <w:r>
              <w:rPr>
                <w:rFonts w:hint="eastAsia"/>
                <w:b/>
                <w:bCs/>
                <w:color w:val="FF0000"/>
                <w:szCs w:val="21"/>
                <w:lang w:val="en-US" w:eastAsia="zh-CN"/>
              </w:rPr>
              <w:t>27</w:t>
            </w:r>
            <w:r>
              <w:rPr>
                <w:rFonts w:hint="eastAsia" w:ascii="Times New Roman"/>
                <w:b/>
                <w:bCs/>
                <w:color w:val="FF0000"/>
                <w:szCs w:val="21"/>
              </w:rPr>
              <w:t xml:space="preserve"> </w:t>
            </w:r>
            <w:r>
              <w:rPr>
                <w:rFonts w:ascii="Times New Roman"/>
                <w:b/>
                <w:bCs/>
                <w:color w:val="FF0000"/>
                <w:szCs w:val="21"/>
              </w:rPr>
              <w:t xml:space="preserve"> </w:t>
            </w:r>
            <w:r>
              <w:rPr>
                <w:rFonts w:hint="eastAsia" w:ascii="宋体" w:hAnsi="宋体" w:eastAsia="宋体" w:cs="宋体"/>
                <w:b/>
                <w:bCs/>
                <w:color w:val="FF0000"/>
                <w:szCs w:val="21"/>
              </w:rPr>
              <w:t>项</w:t>
            </w:r>
            <w:r>
              <w:rPr>
                <w:rFonts w:hint="eastAsia" w:ascii="Times New Roman" w:hAnsi="宋体" w:eastAsia="宋体" w:cs="宋体"/>
                <w:b/>
                <w:bCs/>
                <w:color w:val="FF0000"/>
                <w:szCs w:val="21"/>
              </w:rPr>
              <w:t>目</w:t>
            </w:r>
            <w:r>
              <w:rPr>
                <w:rFonts w:hint="eastAsia" w:ascii="Times New Roman" w:hAnsi="宋体" w:eastAsia="宋体" w:cs="宋体"/>
                <w:b/>
                <w:bCs/>
                <w:color w:val="FF0000"/>
                <w:szCs w:val="21"/>
                <w:lang w:val="en-US" w:eastAsia="zh-CN"/>
              </w:rPr>
              <w:t>冰凉</w:t>
            </w:r>
            <w:r>
              <w:rPr>
                <w:rFonts w:hint="eastAsia" w:ascii="Times New Roman" w:hAnsi="宋体" w:eastAsia="宋体" w:cs="宋体"/>
                <w:b/>
                <w:bCs/>
                <w:color w:val="FF0000"/>
                <w:szCs w:val="21"/>
                <w:lang w:val="en-US"/>
              </w:rPr>
              <w:t>贴</w:t>
            </w:r>
            <w:r>
              <w:rPr>
                <w:rFonts w:hint="eastAsia" w:ascii="Times New Roman" w:hAnsi="宋体" w:eastAsia="宋体" w:cs="宋体"/>
                <w:b/>
                <w:bCs/>
                <w:color w:val="FF0000"/>
                <w:szCs w:val="21"/>
              </w:rPr>
              <w:t>物</w:t>
            </w:r>
            <w:r>
              <w:rPr>
                <w:rFonts w:hint="eastAsia" w:ascii="宋体" w:hAnsi="宋体" w:eastAsia="宋体" w:cs="宋体"/>
                <w:b/>
                <w:bCs/>
                <w:color w:val="FF0000"/>
                <w:szCs w:val="21"/>
              </w:rPr>
              <w:t>料</w:t>
            </w:r>
            <w:r>
              <w:rPr>
                <w:rFonts w:hint="eastAsia" w:hAnsi="宋体" w:cs="宋体"/>
                <w:b/>
                <w:bCs/>
                <w:color w:val="FF0000"/>
                <w:szCs w:val="21"/>
              </w:rPr>
              <w:t>平衡图  （单位：</w:t>
            </w:r>
            <w:r>
              <w:rPr>
                <w:rFonts w:hint="eastAsia" w:hAnsi="宋体" w:cs="宋体"/>
                <w:b/>
                <w:bCs/>
                <w:color w:val="FF0000"/>
                <w:szCs w:val="21"/>
                <w:lang w:val="en-US" w:eastAsia="zh-CN"/>
              </w:rPr>
              <w:t>kg</w:t>
            </w:r>
            <w:r>
              <w:rPr>
                <w:rFonts w:hint="eastAsia" w:hAnsi="宋体" w:cs="宋体"/>
                <w:b/>
                <w:bCs/>
                <w:color w:val="FF0000"/>
                <w:szCs w:val="21"/>
              </w:rPr>
              <w:t>/a）</w:t>
            </w:r>
          </w:p>
          <w:p w14:paraId="4AB7E6EC">
            <w:pPr>
              <w:ind w:firstLine="480" w:firstLineChars="200"/>
              <w:rPr>
                <w:b/>
                <w:bCs/>
                <w:color w:val="auto"/>
                <w:sz w:val="21"/>
                <w:szCs w:val="21"/>
              </w:rPr>
            </w:pPr>
            <w:r>
              <w:rPr>
                <w:rFonts w:hint="eastAsia" w:ascii="宋体" w:hAnsi="宋体" w:cs="宋体"/>
                <w:color w:val="auto"/>
                <w:sz w:val="24"/>
              </w:rPr>
              <w:t>本项</w:t>
            </w:r>
            <w:r>
              <w:rPr>
                <w:rFonts w:hint="eastAsia" w:ascii="宋体" w:hAnsi="宋体" w:eastAsia="宋体" w:cs="宋体"/>
                <w:color w:val="auto"/>
                <w:sz w:val="24"/>
              </w:rPr>
              <w:t>目</w:t>
            </w:r>
            <w:r>
              <w:rPr>
                <w:rFonts w:hint="eastAsia" w:ascii="宋体" w:hAnsi="宋体" w:eastAsia="宋体" w:cs="宋体"/>
                <w:color w:val="auto"/>
                <w:sz w:val="24"/>
                <w:lang w:val="en-US" w:eastAsia="zh-CN"/>
              </w:rPr>
              <w:t>冰凉</w:t>
            </w:r>
            <w:r>
              <w:rPr>
                <w:rFonts w:hint="eastAsia" w:ascii="宋体" w:hAnsi="宋体" w:eastAsia="宋体" w:cs="宋体"/>
                <w:color w:val="auto"/>
                <w:sz w:val="24"/>
                <w:lang w:val="en-US"/>
              </w:rPr>
              <w:t>贴</w:t>
            </w:r>
            <w:r>
              <w:rPr>
                <w:rFonts w:hint="eastAsia" w:ascii="宋体" w:hAnsi="宋体" w:eastAsia="宋体" w:cs="宋体"/>
                <w:color w:val="auto"/>
                <w:sz w:val="24"/>
              </w:rPr>
              <w:t>物料平</w:t>
            </w:r>
            <w:r>
              <w:rPr>
                <w:rFonts w:hint="eastAsia" w:ascii="宋体" w:hAnsi="宋体" w:cs="宋体"/>
                <w:color w:val="auto"/>
                <w:sz w:val="24"/>
              </w:rPr>
              <w:t>衡表</w:t>
            </w:r>
            <w:r>
              <w:rPr>
                <w:color w:val="auto"/>
                <w:sz w:val="24"/>
              </w:rPr>
              <w:t>见</w:t>
            </w:r>
            <w:r>
              <w:rPr>
                <w:rFonts w:hint="eastAsia"/>
                <w:color w:val="auto"/>
                <w:sz w:val="24"/>
                <w:lang w:val="en-US" w:eastAsia="zh-CN"/>
              </w:rPr>
              <w:t>下</w:t>
            </w:r>
            <w:r>
              <w:rPr>
                <w:color w:val="auto"/>
                <w:sz w:val="24"/>
              </w:rPr>
              <w:t>表</w:t>
            </w:r>
            <w:r>
              <w:rPr>
                <w:rFonts w:hint="eastAsia"/>
                <w:color w:val="auto"/>
                <w:sz w:val="24"/>
              </w:rPr>
              <w:t>。</w:t>
            </w:r>
          </w:p>
          <w:p w14:paraId="31713A9C">
            <w:pPr>
              <w:pStyle w:val="10"/>
              <w:spacing w:before="0" w:after="0" w:line="240" w:lineRule="auto"/>
              <w:ind w:right="0"/>
              <w:jc w:val="center"/>
              <w:rPr>
                <w:b/>
                <w:bCs/>
                <w:color w:val="auto"/>
                <w:sz w:val="21"/>
                <w:szCs w:val="21"/>
              </w:rPr>
            </w:pPr>
            <w:r>
              <w:rPr>
                <w:b/>
                <w:bCs/>
                <w:color w:val="auto"/>
                <w:sz w:val="21"/>
                <w:szCs w:val="21"/>
              </w:rPr>
              <w:t>表</w:t>
            </w:r>
            <w:r>
              <w:rPr>
                <w:rFonts w:hint="eastAsia"/>
                <w:b/>
                <w:bCs/>
                <w:color w:val="auto"/>
                <w:sz w:val="21"/>
                <w:szCs w:val="21"/>
              </w:rPr>
              <w:t>2-</w:t>
            </w:r>
            <w:r>
              <w:rPr>
                <w:rFonts w:hint="eastAsia"/>
                <w:b/>
                <w:bCs/>
                <w:color w:val="auto"/>
                <w:sz w:val="21"/>
                <w:szCs w:val="21"/>
                <w:lang w:val="en-US" w:eastAsia="zh-CN"/>
              </w:rPr>
              <w:t>22</w:t>
            </w:r>
            <w:r>
              <w:rPr>
                <w:rFonts w:hint="eastAsia"/>
                <w:b/>
                <w:bCs/>
                <w:color w:val="auto"/>
                <w:sz w:val="21"/>
                <w:szCs w:val="21"/>
              </w:rPr>
              <w:t xml:space="preserve">  </w:t>
            </w:r>
            <w:r>
              <w:rPr>
                <w:rFonts w:hint="eastAsia" w:ascii="Times New Roman" w:hAnsi="Times New Roman" w:eastAsia="宋体" w:cs="Times New Roman"/>
                <w:b/>
                <w:bCs/>
                <w:color w:val="auto"/>
                <w:sz w:val="21"/>
                <w:szCs w:val="21"/>
                <w:lang w:val="en-US" w:eastAsia="zh-CN"/>
              </w:rPr>
              <w:t>冰凉</w:t>
            </w:r>
            <w:r>
              <w:rPr>
                <w:rFonts w:hint="eastAsia" w:ascii="Times New Roman" w:hAnsi="Times New Roman" w:eastAsia="宋体" w:cs="Times New Roman"/>
                <w:b/>
                <w:bCs/>
                <w:color w:val="auto"/>
                <w:sz w:val="21"/>
                <w:szCs w:val="21"/>
                <w:lang w:val="en-US"/>
              </w:rPr>
              <w:t>贴</w:t>
            </w:r>
            <w:r>
              <w:rPr>
                <w:rFonts w:ascii="Times New Roman" w:hAnsi="Times New Roman" w:eastAsia="宋体" w:cs="Times New Roman"/>
                <w:b/>
                <w:bCs/>
                <w:color w:val="auto"/>
                <w:sz w:val="21"/>
                <w:szCs w:val="21"/>
              </w:rPr>
              <w:t>物</w:t>
            </w:r>
            <w:r>
              <w:rPr>
                <w:b/>
                <w:bCs/>
                <w:color w:val="auto"/>
                <w:sz w:val="21"/>
                <w:szCs w:val="21"/>
              </w:rPr>
              <w:t>料平衡表</w:t>
            </w:r>
          </w:p>
          <w:tbl>
            <w:tblPr>
              <w:tblStyle w:val="24"/>
              <w:tblW w:w="4973"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1355"/>
              <w:gridCol w:w="1115"/>
              <w:gridCol w:w="1865"/>
              <w:gridCol w:w="1463"/>
            </w:tblGrid>
            <w:tr w14:paraId="6E913E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222" w:type="pct"/>
                  <w:gridSpan w:val="2"/>
                  <w:tcBorders>
                    <w:bottom w:val="single" w:color="auto" w:sz="4" w:space="0"/>
                  </w:tcBorders>
                  <w:noWrap w:val="0"/>
                  <w:vAlign w:val="top"/>
                </w:tcPr>
                <w:p w14:paraId="1228B25C">
                  <w:pPr>
                    <w:autoSpaceDE w:val="0"/>
                    <w:autoSpaceDN w:val="0"/>
                    <w:adjustRightInd w:val="0"/>
                    <w:jc w:val="center"/>
                    <w:rPr>
                      <w:b/>
                      <w:bCs/>
                      <w:color w:val="auto"/>
                      <w:szCs w:val="21"/>
                    </w:rPr>
                  </w:pPr>
                  <w:r>
                    <w:rPr>
                      <w:b/>
                      <w:bCs/>
                      <w:color w:val="auto"/>
                      <w:szCs w:val="21"/>
                    </w:rPr>
                    <w:t>投入</w:t>
                  </w:r>
                </w:p>
              </w:tc>
              <w:tc>
                <w:tcPr>
                  <w:tcW w:w="2777" w:type="pct"/>
                  <w:gridSpan w:val="3"/>
                  <w:tcBorders>
                    <w:bottom w:val="single" w:color="auto" w:sz="4" w:space="0"/>
                  </w:tcBorders>
                  <w:noWrap w:val="0"/>
                  <w:vAlign w:val="top"/>
                </w:tcPr>
                <w:p w14:paraId="2C408A08">
                  <w:pPr>
                    <w:autoSpaceDE w:val="0"/>
                    <w:autoSpaceDN w:val="0"/>
                    <w:adjustRightInd w:val="0"/>
                    <w:jc w:val="center"/>
                    <w:rPr>
                      <w:b/>
                      <w:bCs/>
                      <w:color w:val="auto"/>
                      <w:szCs w:val="21"/>
                    </w:rPr>
                  </w:pPr>
                  <w:r>
                    <w:rPr>
                      <w:b/>
                      <w:bCs/>
                      <w:color w:val="auto"/>
                      <w:szCs w:val="21"/>
                    </w:rPr>
                    <w:t>产出</w:t>
                  </w:r>
                </w:p>
              </w:tc>
            </w:tr>
            <w:tr w14:paraId="3A96F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375" w:type="pct"/>
                  <w:tcBorders>
                    <w:top w:val="single" w:color="auto" w:sz="4" w:space="0"/>
                    <w:bottom w:val="single" w:color="auto" w:sz="4" w:space="0"/>
                  </w:tcBorders>
                  <w:noWrap w:val="0"/>
                  <w:vAlign w:val="center"/>
                </w:tcPr>
                <w:p w14:paraId="78F23C3E">
                  <w:pPr>
                    <w:autoSpaceDE w:val="0"/>
                    <w:autoSpaceDN w:val="0"/>
                    <w:adjustRightInd w:val="0"/>
                    <w:jc w:val="center"/>
                    <w:rPr>
                      <w:b/>
                      <w:bCs/>
                      <w:color w:val="auto"/>
                      <w:szCs w:val="21"/>
                    </w:rPr>
                  </w:pPr>
                  <w:r>
                    <w:rPr>
                      <w:b/>
                      <w:bCs/>
                      <w:color w:val="auto"/>
                      <w:szCs w:val="21"/>
                    </w:rPr>
                    <w:t>名称</w:t>
                  </w:r>
                </w:p>
              </w:tc>
              <w:tc>
                <w:tcPr>
                  <w:tcW w:w="846" w:type="pct"/>
                  <w:tcBorders>
                    <w:top w:val="single" w:color="auto" w:sz="4" w:space="0"/>
                    <w:bottom w:val="single" w:color="auto" w:sz="4" w:space="0"/>
                  </w:tcBorders>
                  <w:noWrap w:val="0"/>
                  <w:vAlign w:val="center"/>
                </w:tcPr>
                <w:p w14:paraId="6AFBDC63">
                  <w:pPr>
                    <w:autoSpaceDE w:val="0"/>
                    <w:autoSpaceDN w:val="0"/>
                    <w:adjustRightInd w:val="0"/>
                    <w:jc w:val="center"/>
                    <w:rPr>
                      <w:b/>
                      <w:bCs/>
                      <w:color w:val="auto"/>
                      <w:szCs w:val="21"/>
                    </w:rPr>
                  </w:pPr>
                  <w:r>
                    <w:rPr>
                      <w:b/>
                      <w:bCs/>
                      <w:color w:val="auto"/>
                      <w:szCs w:val="21"/>
                    </w:rPr>
                    <w:t>数量（</w:t>
                  </w:r>
                  <w:r>
                    <w:rPr>
                      <w:rFonts w:hint="eastAsia"/>
                      <w:b/>
                      <w:bCs/>
                      <w:color w:val="auto"/>
                      <w:szCs w:val="21"/>
                      <w:lang w:val="en-US" w:eastAsia="zh-CN"/>
                    </w:rPr>
                    <w:t>kg</w:t>
                  </w:r>
                  <w:r>
                    <w:rPr>
                      <w:b/>
                      <w:bCs/>
                      <w:color w:val="auto"/>
                      <w:szCs w:val="21"/>
                    </w:rPr>
                    <w:t>/</w:t>
                  </w:r>
                  <w:r>
                    <w:rPr>
                      <w:rFonts w:hint="eastAsia"/>
                      <w:b/>
                      <w:bCs/>
                      <w:color w:val="auto"/>
                      <w:szCs w:val="21"/>
                    </w:rPr>
                    <w:t>a</w:t>
                  </w:r>
                  <w:r>
                    <w:rPr>
                      <w:b/>
                      <w:bCs/>
                      <w:color w:val="auto"/>
                      <w:szCs w:val="21"/>
                    </w:rPr>
                    <w:t>）</w:t>
                  </w:r>
                </w:p>
              </w:tc>
              <w:tc>
                <w:tcPr>
                  <w:tcW w:w="1862" w:type="pct"/>
                  <w:gridSpan w:val="2"/>
                  <w:tcBorders>
                    <w:top w:val="single" w:color="auto" w:sz="4" w:space="0"/>
                    <w:bottom w:val="single" w:color="auto" w:sz="4" w:space="0"/>
                  </w:tcBorders>
                  <w:noWrap w:val="0"/>
                  <w:vAlign w:val="center"/>
                </w:tcPr>
                <w:p w14:paraId="7D891F14">
                  <w:pPr>
                    <w:autoSpaceDE w:val="0"/>
                    <w:autoSpaceDN w:val="0"/>
                    <w:adjustRightInd w:val="0"/>
                    <w:jc w:val="center"/>
                    <w:rPr>
                      <w:b/>
                      <w:bCs/>
                      <w:color w:val="auto"/>
                      <w:szCs w:val="21"/>
                    </w:rPr>
                  </w:pPr>
                  <w:r>
                    <w:rPr>
                      <w:b/>
                      <w:bCs/>
                      <w:color w:val="auto"/>
                      <w:szCs w:val="21"/>
                    </w:rPr>
                    <w:t>名称</w:t>
                  </w:r>
                </w:p>
              </w:tc>
              <w:tc>
                <w:tcPr>
                  <w:tcW w:w="914" w:type="pct"/>
                  <w:tcBorders>
                    <w:top w:val="single" w:color="auto" w:sz="4" w:space="0"/>
                    <w:bottom w:val="single" w:color="auto" w:sz="4" w:space="0"/>
                  </w:tcBorders>
                  <w:noWrap w:val="0"/>
                  <w:vAlign w:val="center"/>
                </w:tcPr>
                <w:p w14:paraId="012E7D77">
                  <w:pPr>
                    <w:autoSpaceDE w:val="0"/>
                    <w:autoSpaceDN w:val="0"/>
                    <w:adjustRightInd w:val="0"/>
                    <w:jc w:val="center"/>
                    <w:rPr>
                      <w:b/>
                      <w:bCs/>
                      <w:color w:val="auto"/>
                      <w:szCs w:val="21"/>
                    </w:rPr>
                  </w:pPr>
                  <w:r>
                    <w:rPr>
                      <w:b/>
                      <w:bCs/>
                      <w:color w:val="auto"/>
                      <w:szCs w:val="21"/>
                    </w:rPr>
                    <w:t>数量（</w:t>
                  </w:r>
                  <w:r>
                    <w:rPr>
                      <w:rFonts w:hint="eastAsia"/>
                      <w:b/>
                      <w:bCs/>
                      <w:color w:val="auto"/>
                      <w:szCs w:val="21"/>
                      <w:lang w:val="en-US" w:eastAsia="zh-CN"/>
                    </w:rPr>
                    <w:t>kg</w:t>
                  </w:r>
                  <w:r>
                    <w:rPr>
                      <w:b/>
                      <w:bCs/>
                      <w:color w:val="auto"/>
                      <w:szCs w:val="21"/>
                    </w:rPr>
                    <w:t>/</w:t>
                  </w:r>
                  <w:r>
                    <w:rPr>
                      <w:rFonts w:hint="eastAsia"/>
                      <w:b/>
                      <w:bCs/>
                      <w:color w:val="auto"/>
                      <w:szCs w:val="21"/>
                    </w:rPr>
                    <w:t>a</w:t>
                  </w:r>
                  <w:r>
                    <w:rPr>
                      <w:b/>
                      <w:bCs/>
                      <w:color w:val="auto"/>
                      <w:szCs w:val="21"/>
                    </w:rPr>
                    <w:t>）</w:t>
                  </w:r>
                </w:p>
              </w:tc>
            </w:tr>
            <w:tr w14:paraId="39A61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375" w:type="pct"/>
                  <w:tcBorders>
                    <w:top w:val="single" w:color="auto" w:sz="4" w:space="0"/>
                    <w:bottom w:val="single" w:color="auto" w:sz="4" w:space="0"/>
                  </w:tcBorders>
                  <w:noWrap w:val="0"/>
                  <w:vAlign w:val="center"/>
                </w:tcPr>
                <w:p w14:paraId="061F3695">
                  <w:pPr>
                    <w:snapToGrid w:val="0"/>
                    <w:spacing w:line="240" w:lineRule="auto"/>
                    <w:jc w:val="center"/>
                    <w:textAlignment w:val="auto"/>
                    <w:rPr>
                      <w:color w:val="auto"/>
                      <w:szCs w:val="21"/>
                    </w:rPr>
                  </w:pPr>
                  <w:r>
                    <w:rPr>
                      <w:rFonts w:hint="eastAsia"/>
                      <w:bCs/>
                      <w:color w:val="auto"/>
                      <w:szCs w:val="21"/>
                    </w:rPr>
                    <w:t>聚丙烯酸钠</w:t>
                  </w:r>
                </w:p>
              </w:tc>
              <w:tc>
                <w:tcPr>
                  <w:tcW w:w="846" w:type="pct"/>
                  <w:tcBorders>
                    <w:top w:val="single" w:color="auto" w:sz="4" w:space="0"/>
                    <w:bottom w:val="single" w:color="auto" w:sz="4" w:space="0"/>
                  </w:tcBorders>
                  <w:noWrap w:val="0"/>
                  <w:vAlign w:val="center"/>
                </w:tcPr>
                <w:p w14:paraId="64DC23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rPr>
                  </w:pPr>
                  <w:r>
                    <w:rPr>
                      <w:rFonts w:hint="eastAsia" w:ascii="Times New Roman" w:hAnsi="Times New Roman" w:eastAsia="宋体" w:cs="Times New Roman"/>
                      <w:b w:val="0"/>
                      <w:bCs w:val="0"/>
                      <w:color w:val="auto"/>
                      <w:sz w:val="21"/>
                      <w:szCs w:val="21"/>
                      <w:vertAlign w:val="baseline"/>
                      <w:lang w:val="en-US" w:eastAsia="zh-CN"/>
                    </w:rPr>
                    <w:t>66</w:t>
                  </w:r>
                  <w:r>
                    <w:rPr>
                      <w:rFonts w:hint="eastAsia" w:cs="Times New Roman"/>
                      <w:b w:val="0"/>
                      <w:bCs w:val="0"/>
                      <w:color w:val="auto"/>
                      <w:sz w:val="21"/>
                      <w:szCs w:val="21"/>
                      <w:vertAlign w:val="baseline"/>
                      <w:lang w:val="en-US" w:eastAsia="zh-CN"/>
                    </w:rPr>
                    <w:t>000</w:t>
                  </w:r>
                </w:p>
              </w:tc>
              <w:tc>
                <w:tcPr>
                  <w:tcW w:w="696" w:type="pct"/>
                  <w:tcBorders>
                    <w:top w:val="single" w:color="auto" w:sz="4" w:space="0"/>
                    <w:bottom w:val="single" w:color="auto" w:sz="4" w:space="0"/>
                  </w:tcBorders>
                  <w:noWrap w:val="0"/>
                  <w:vAlign w:val="center"/>
                </w:tcPr>
                <w:p w14:paraId="7A015DDA">
                  <w:pPr>
                    <w:autoSpaceDE w:val="0"/>
                    <w:autoSpaceDN w:val="0"/>
                    <w:adjustRightInd w:val="0"/>
                    <w:jc w:val="center"/>
                    <w:rPr>
                      <w:color w:val="auto"/>
                      <w:szCs w:val="21"/>
                    </w:rPr>
                  </w:pPr>
                  <w:r>
                    <w:rPr>
                      <w:rFonts w:hint="eastAsia"/>
                      <w:color w:val="auto"/>
                      <w:szCs w:val="21"/>
                    </w:rPr>
                    <w:t>产品</w:t>
                  </w:r>
                </w:p>
              </w:tc>
              <w:tc>
                <w:tcPr>
                  <w:tcW w:w="1165" w:type="pct"/>
                  <w:tcBorders>
                    <w:top w:val="single" w:color="auto" w:sz="4" w:space="0"/>
                    <w:bottom w:val="single" w:color="auto" w:sz="4" w:space="0"/>
                  </w:tcBorders>
                  <w:noWrap w:val="0"/>
                  <w:vAlign w:val="center"/>
                </w:tcPr>
                <w:p w14:paraId="2C488386">
                  <w:pPr>
                    <w:autoSpaceDE w:val="0"/>
                    <w:autoSpaceDN w:val="0"/>
                    <w:adjustRightInd w:val="0"/>
                    <w:jc w:val="center"/>
                    <w:rPr>
                      <w:rFonts w:hint="eastAsia"/>
                      <w:color w:val="auto"/>
                      <w:szCs w:val="21"/>
                    </w:rPr>
                  </w:pPr>
                  <w:r>
                    <w:rPr>
                      <w:rFonts w:hint="eastAsia"/>
                      <w:color w:val="auto"/>
                      <w:szCs w:val="21"/>
                      <w:lang w:val="en-US" w:eastAsia="zh-CN"/>
                    </w:rPr>
                    <w:t>冰凉</w:t>
                  </w:r>
                  <w:r>
                    <w:rPr>
                      <w:rFonts w:hint="eastAsia"/>
                      <w:color w:val="auto"/>
                      <w:szCs w:val="21"/>
                    </w:rPr>
                    <w:t>贴</w:t>
                  </w:r>
                </w:p>
              </w:tc>
              <w:tc>
                <w:tcPr>
                  <w:tcW w:w="914" w:type="pct"/>
                  <w:tcBorders>
                    <w:top w:val="single" w:color="auto" w:sz="4" w:space="0"/>
                    <w:bottom w:val="single" w:color="auto" w:sz="4" w:space="0"/>
                  </w:tcBorders>
                  <w:noWrap w:val="0"/>
                  <w:vAlign w:val="center"/>
                </w:tcPr>
                <w:p w14:paraId="47CB0137">
                  <w:pPr>
                    <w:autoSpaceDE w:val="0"/>
                    <w:autoSpaceDN w:val="0"/>
                    <w:adjustRightInd w:val="0"/>
                    <w:jc w:val="center"/>
                    <w:rPr>
                      <w:rFonts w:hint="default"/>
                      <w:color w:val="auto"/>
                      <w:szCs w:val="21"/>
                      <w:lang w:val="en-US" w:eastAsia="zh-CN"/>
                    </w:rPr>
                  </w:pPr>
                  <w:r>
                    <w:rPr>
                      <w:rFonts w:hint="default"/>
                      <w:color w:val="auto"/>
                      <w:szCs w:val="21"/>
                      <w:lang w:val="zh-CN" w:eastAsia="zh-CN"/>
                    </w:rPr>
                    <w:t>23</w:t>
                  </w:r>
                  <w:r>
                    <w:rPr>
                      <w:rFonts w:hint="eastAsia"/>
                      <w:color w:val="auto"/>
                      <w:szCs w:val="21"/>
                      <w:lang w:val="en-US" w:eastAsia="zh-CN"/>
                    </w:rPr>
                    <w:t>8</w:t>
                  </w:r>
                  <w:r>
                    <w:rPr>
                      <w:rFonts w:hint="default"/>
                      <w:color w:val="auto"/>
                      <w:szCs w:val="21"/>
                      <w:lang w:val="zh-CN" w:eastAsia="zh-CN"/>
                    </w:rPr>
                    <w:t>6</w:t>
                  </w:r>
                  <w:r>
                    <w:rPr>
                      <w:rFonts w:hint="eastAsia"/>
                      <w:color w:val="auto"/>
                      <w:szCs w:val="21"/>
                      <w:lang w:val="en-US" w:eastAsia="zh-CN"/>
                    </w:rPr>
                    <w:t>5</w:t>
                  </w:r>
                  <w:r>
                    <w:rPr>
                      <w:rFonts w:hint="default"/>
                      <w:color w:val="auto"/>
                      <w:szCs w:val="21"/>
                      <w:lang w:val="zh-CN" w:eastAsia="zh-CN"/>
                    </w:rPr>
                    <w:t>9.544</w:t>
                  </w:r>
                </w:p>
              </w:tc>
            </w:tr>
            <w:tr w14:paraId="7700C1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375" w:type="pct"/>
                  <w:tcBorders>
                    <w:top w:val="single" w:color="auto" w:sz="4" w:space="0"/>
                    <w:bottom w:val="single" w:color="auto" w:sz="4" w:space="0"/>
                  </w:tcBorders>
                  <w:noWrap w:val="0"/>
                  <w:vAlign w:val="center"/>
                </w:tcPr>
                <w:p w14:paraId="701EEA17">
                  <w:pPr>
                    <w:snapToGrid w:val="0"/>
                    <w:spacing w:line="240" w:lineRule="auto"/>
                    <w:jc w:val="center"/>
                    <w:textAlignment w:val="auto"/>
                    <w:rPr>
                      <w:color w:val="auto"/>
                      <w:szCs w:val="21"/>
                    </w:rPr>
                  </w:pPr>
                  <w:r>
                    <w:rPr>
                      <w:rFonts w:hint="eastAsia"/>
                      <w:bCs/>
                      <w:color w:val="auto"/>
                      <w:szCs w:val="21"/>
                    </w:rPr>
                    <w:t>二羟基氨基乙酸铝</w:t>
                  </w:r>
                </w:p>
              </w:tc>
              <w:tc>
                <w:tcPr>
                  <w:tcW w:w="846" w:type="pct"/>
                  <w:tcBorders>
                    <w:top w:val="single" w:color="auto" w:sz="4" w:space="0"/>
                    <w:bottom w:val="single" w:color="auto" w:sz="4" w:space="0"/>
                  </w:tcBorders>
                  <w:noWrap w:val="0"/>
                  <w:vAlign w:val="center"/>
                </w:tcPr>
                <w:p w14:paraId="40D0F1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rPr>
                  </w:pPr>
                  <w:r>
                    <w:rPr>
                      <w:rFonts w:hint="eastAsia" w:ascii="Times New Roman" w:hAnsi="Times New Roman" w:eastAsia="宋体" w:cs="Times New Roman"/>
                      <w:b w:val="0"/>
                      <w:bCs w:val="0"/>
                      <w:color w:val="auto"/>
                      <w:sz w:val="21"/>
                      <w:szCs w:val="21"/>
                      <w:vertAlign w:val="baseline"/>
                      <w:lang w:val="en-US" w:eastAsia="zh-CN"/>
                    </w:rPr>
                    <w:t>36</w:t>
                  </w:r>
                  <w:r>
                    <w:rPr>
                      <w:rFonts w:hint="eastAsia" w:cs="Times New Roman"/>
                      <w:b w:val="0"/>
                      <w:bCs w:val="0"/>
                      <w:color w:val="auto"/>
                      <w:sz w:val="21"/>
                      <w:szCs w:val="21"/>
                      <w:vertAlign w:val="baseline"/>
                      <w:lang w:val="en-US" w:eastAsia="zh-CN"/>
                    </w:rPr>
                    <w:t>000</w:t>
                  </w:r>
                </w:p>
              </w:tc>
              <w:tc>
                <w:tcPr>
                  <w:tcW w:w="696" w:type="pct"/>
                  <w:tcBorders>
                    <w:top w:val="single" w:color="auto" w:sz="4" w:space="0"/>
                    <w:bottom w:val="single" w:color="auto" w:sz="4" w:space="0"/>
                  </w:tcBorders>
                  <w:noWrap w:val="0"/>
                  <w:vAlign w:val="center"/>
                </w:tcPr>
                <w:p w14:paraId="09A8BA17">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涂布分切</w:t>
                  </w:r>
                </w:p>
              </w:tc>
              <w:tc>
                <w:tcPr>
                  <w:tcW w:w="1165" w:type="pct"/>
                  <w:tcBorders>
                    <w:top w:val="single" w:color="auto" w:sz="4" w:space="0"/>
                    <w:bottom w:val="single" w:color="auto" w:sz="4" w:space="0"/>
                  </w:tcBorders>
                  <w:noWrap w:val="0"/>
                  <w:vAlign w:val="center"/>
                </w:tcPr>
                <w:p w14:paraId="5D23FC2D">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边角料</w:t>
                  </w:r>
                </w:p>
              </w:tc>
              <w:tc>
                <w:tcPr>
                  <w:tcW w:w="914" w:type="pct"/>
                  <w:tcBorders>
                    <w:top w:val="single" w:color="auto" w:sz="4" w:space="0"/>
                    <w:bottom w:val="single" w:color="auto" w:sz="4" w:space="0"/>
                  </w:tcBorders>
                  <w:noWrap w:val="0"/>
                  <w:vAlign w:val="center"/>
                </w:tcPr>
                <w:p w14:paraId="59E2FE9F">
                  <w:pPr>
                    <w:autoSpaceDE w:val="0"/>
                    <w:autoSpaceDN w:val="0"/>
                    <w:adjustRightInd w:val="0"/>
                    <w:jc w:val="center"/>
                    <w:rPr>
                      <w:rFonts w:hint="default"/>
                      <w:color w:val="auto"/>
                      <w:szCs w:val="21"/>
                      <w:lang w:val="en-US" w:eastAsia="zh-CN"/>
                    </w:rPr>
                  </w:pPr>
                  <w:r>
                    <w:rPr>
                      <w:rFonts w:hint="eastAsia"/>
                      <w:color w:val="auto"/>
                      <w:szCs w:val="21"/>
                      <w:lang w:val="en-US" w:eastAsia="zh-CN"/>
                    </w:rPr>
                    <w:t>4000</w:t>
                  </w:r>
                </w:p>
              </w:tc>
            </w:tr>
            <w:tr w14:paraId="1C6B2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375" w:type="pct"/>
                  <w:tcBorders>
                    <w:top w:val="single" w:color="auto" w:sz="4" w:space="0"/>
                    <w:bottom w:val="single" w:color="auto" w:sz="4" w:space="0"/>
                  </w:tcBorders>
                  <w:noWrap w:val="0"/>
                  <w:vAlign w:val="center"/>
                </w:tcPr>
                <w:p w14:paraId="453A117B">
                  <w:pPr>
                    <w:snapToGrid w:val="0"/>
                    <w:spacing w:line="240" w:lineRule="auto"/>
                    <w:jc w:val="center"/>
                    <w:textAlignment w:val="auto"/>
                    <w:rPr>
                      <w:rFonts w:hint="eastAsia"/>
                      <w:color w:val="auto"/>
                      <w:szCs w:val="21"/>
                    </w:rPr>
                  </w:pPr>
                  <w:r>
                    <w:rPr>
                      <w:rFonts w:hint="eastAsia"/>
                      <w:color w:val="auto"/>
                      <w:szCs w:val="21"/>
                    </w:rPr>
                    <w:t>纯水</w:t>
                  </w:r>
                </w:p>
              </w:tc>
              <w:tc>
                <w:tcPr>
                  <w:tcW w:w="846" w:type="pct"/>
                  <w:tcBorders>
                    <w:top w:val="single" w:color="auto" w:sz="4" w:space="0"/>
                    <w:bottom w:val="single" w:color="auto" w:sz="4" w:space="0"/>
                  </w:tcBorders>
                  <w:noWrap w:val="0"/>
                  <w:vAlign w:val="center"/>
                </w:tcPr>
                <w:p w14:paraId="3E72F3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rPr>
                  </w:pPr>
                  <w:r>
                    <w:rPr>
                      <w:rFonts w:hint="eastAsia" w:ascii="Times New Roman" w:hAnsi="Times New Roman" w:eastAsia="宋体" w:cs="Times New Roman"/>
                      <w:b w:val="0"/>
                      <w:bCs w:val="0"/>
                      <w:color w:val="auto"/>
                      <w:sz w:val="21"/>
                      <w:szCs w:val="21"/>
                      <w:vertAlign w:val="baseline"/>
                      <w:lang w:val="en-US" w:eastAsia="zh-CN"/>
                    </w:rPr>
                    <w:t>8</w:t>
                  </w:r>
                  <w:r>
                    <w:rPr>
                      <w:rFonts w:hint="eastAsia" w:cs="Times New Roman"/>
                      <w:b w:val="0"/>
                      <w:bCs w:val="0"/>
                      <w:color w:val="auto"/>
                      <w:sz w:val="21"/>
                      <w:szCs w:val="21"/>
                      <w:vertAlign w:val="baseline"/>
                      <w:lang w:val="en-US" w:eastAsia="zh-CN"/>
                    </w:rPr>
                    <w:t>4000</w:t>
                  </w:r>
                </w:p>
              </w:tc>
              <w:tc>
                <w:tcPr>
                  <w:tcW w:w="696" w:type="pct"/>
                  <w:tcBorders>
                    <w:top w:val="single" w:color="auto" w:sz="4" w:space="0"/>
                  </w:tcBorders>
                  <w:noWrap w:val="0"/>
                  <w:vAlign w:val="center"/>
                </w:tcPr>
                <w:p w14:paraId="3F4DED44">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生产过程</w:t>
                  </w:r>
                </w:p>
              </w:tc>
              <w:tc>
                <w:tcPr>
                  <w:tcW w:w="1165" w:type="pct"/>
                  <w:tcBorders>
                    <w:top w:val="single" w:color="auto" w:sz="4" w:space="0"/>
                  </w:tcBorders>
                  <w:noWrap w:val="0"/>
                  <w:vAlign w:val="center"/>
                </w:tcPr>
                <w:p w14:paraId="68E2694B">
                  <w:pPr>
                    <w:autoSpaceDE w:val="0"/>
                    <w:autoSpaceDN w:val="0"/>
                    <w:adjustRightInd w:val="0"/>
                    <w:jc w:val="center"/>
                    <w:rPr>
                      <w:rFonts w:hint="default"/>
                      <w:color w:val="auto"/>
                      <w:szCs w:val="21"/>
                      <w:lang w:val="en-US" w:eastAsia="zh-CN"/>
                    </w:rPr>
                  </w:pPr>
                  <w:r>
                    <w:rPr>
                      <w:rFonts w:hint="eastAsia"/>
                      <w:color w:val="auto"/>
                      <w:szCs w:val="21"/>
                      <w:lang w:val="en-US" w:eastAsia="zh-CN"/>
                    </w:rPr>
                    <w:t>非甲烷总烃</w:t>
                  </w:r>
                </w:p>
              </w:tc>
              <w:tc>
                <w:tcPr>
                  <w:tcW w:w="914" w:type="pct"/>
                  <w:tcBorders>
                    <w:top w:val="single" w:color="auto" w:sz="4" w:space="0"/>
                  </w:tcBorders>
                  <w:noWrap w:val="0"/>
                  <w:vAlign w:val="center"/>
                </w:tcPr>
                <w:p w14:paraId="0CD5074E">
                  <w:pPr>
                    <w:autoSpaceDE w:val="0"/>
                    <w:autoSpaceDN w:val="0"/>
                    <w:adjustRightInd w:val="0"/>
                    <w:jc w:val="center"/>
                    <w:rPr>
                      <w:rFonts w:hint="default"/>
                      <w:color w:val="auto"/>
                      <w:szCs w:val="21"/>
                      <w:lang w:val="en-US" w:eastAsia="zh-CN"/>
                    </w:rPr>
                  </w:pPr>
                  <w:r>
                    <w:rPr>
                      <w:rFonts w:hint="eastAsia"/>
                      <w:color w:val="auto"/>
                      <w:szCs w:val="21"/>
                      <w:lang w:val="en-US" w:eastAsia="zh-CN"/>
                    </w:rPr>
                    <w:t>150</w:t>
                  </w:r>
                </w:p>
              </w:tc>
            </w:tr>
            <w:tr w14:paraId="2FA5F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375" w:type="pct"/>
                  <w:tcBorders>
                    <w:top w:val="single" w:color="auto" w:sz="4" w:space="0"/>
                    <w:bottom w:val="single" w:color="auto" w:sz="4" w:space="0"/>
                  </w:tcBorders>
                  <w:noWrap w:val="0"/>
                  <w:vAlign w:val="center"/>
                </w:tcPr>
                <w:p w14:paraId="41F65347">
                  <w:pPr>
                    <w:snapToGrid w:val="0"/>
                    <w:spacing w:line="240" w:lineRule="auto"/>
                    <w:jc w:val="center"/>
                    <w:textAlignment w:val="auto"/>
                    <w:rPr>
                      <w:rStyle w:val="84"/>
                      <w:rFonts w:hint="default" w:cs="宋体"/>
                      <w:color w:val="auto"/>
                      <w:kern w:val="0"/>
                      <w:sz w:val="21"/>
                      <w:szCs w:val="21"/>
                    </w:rPr>
                  </w:pPr>
                  <w:r>
                    <w:rPr>
                      <w:rFonts w:hint="eastAsia"/>
                      <w:bCs/>
                      <w:color w:val="auto"/>
                      <w:szCs w:val="21"/>
                    </w:rPr>
                    <w:t>EDTA二钠盐</w:t>
                  </w:r>
                </w:p>
              </w:tc>
              <w:tc>
                <w:tcPr>
                  <w:tcW w:w="846" w:type="pct"/>
                  <w:tcBorders>
                    <w:top w:val="single" w:color="auto" w:sz="4" w:space="0"/>
                    <w:bottom w:val="single" w:color="auto" w:sz="4" w:space="0"/>
                  </w:tcBorders>
                  <w:noWrap w:val="0"/>
                  <w:vAlign w:val="center"/>
                </w:tcPr>
                <w:p w14:paraId="223E71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rPr>
                  </w:pPr>
                  <w:r>
                    <w:rPr>
                      <w:rFonts w:hint="eastAsia" w:ascii="Times New Roman" w:hAnsi="Times New Roman" w:eastAsia="宋体" w:cs="Times New Roman"/>
                      <w:b w:val="0"/>
                      <w:bCs w:val="0"/>
                      <w:color w:val="auto"/>
                      <w:sz w:val="21"/>
                      <w:szCs w:val="21"/>
                      <w:vertAlign w:val="baseline"/>
                      <w:lang w:val="en-US" w:eastAsia="zh-CN"/>
                    </w:rPr>
                    <w:t>26</w:t>
                  </w:r>
                  <w:r>
                    <w:rPr>
                      <w:rFonts w:hint="eastAsia" w:cs="Times New Roman"/>
                      <w:b w:val="0"/>
                      <w:bCs w:val="0"/>
                      <w:color w:val="auto"/>
                      <w:sz w:val="21"/>
                      <w:szCs w:val="21"/>
                      <w:vertAlign w:val="baseline"/>
                      <w:lang w:val="en-US" w:eastAsia="zh-CN"/>
                    </w:rPr>
                    <w:t>00</w:t>
                  </w:r>
                </w:p>
              </w:tc>
              <w:tc>
                <w:tcPr>
                  <w:tcW w:w="696" w:type="pct"/>
                  <w:noWrap w:val="0"/>
                  <w:vAlign w:val="center"/>
                </w:tcPr>
                <w:p w14:paraId="061A2542">
                  <w:pPr>
                    <w:autoSpaceDE w:val="0"/>
                    <w:autoSpaceDN w:val="0"/>
                    <w:adjustRightInd w:val="0"/>
                    <w:jc w:val="center"/>
                    <w:rPr>
                      <w:rFonts w:hint="default"/>
                      <w:color w:val="FF0000"/>
                      <w:szCs w:val="21"/>
                      <w:lang w:val="en-US"/>
                    </w:rPr>
                  </w:pPr>
                  <w:commentRangeStart w:id="24"/>
                  <w:r>
                    <w:rPr>
                      <w:rFonts w:hint="eastAsia" w:cs="Times New Roman"/>
                      <w:b w:val="0"/>
                      <w:bCs/>
                      <w:color w:val="FF0000"/>
                      <w:spacing w:val="0"/>
                      <w:sz w:val="21"/>
                      <w:szCs w:val="24"/>
                      <w:vertAlign w:val="baseline"/>
                      <w:lang w:val="en-US" w:eastAsia="zh-CN"/>
                    </w:rPr>
                    <w:t>配粉</w:t>
                  </w:r>
                  <w:commentRangeEnd w:id="24"/>
                  <w:r>
                    <w:commentReference w:id="24"/>
                  </w:r>
                  <w:r>
                    <w:rPr>
                      <w:rFonts w:hint="eastAsia" w:cs="Times New Roman"/>
                      <w:b w:val="0"/>
                      <w:bCs/>
                      <w:color w:val="FF0000"/>
                      <w:spacing w:val="0"/>
                      <w:sz w:val="21"/>
                      <w:szCs w:val="24"/>
                      <w:vertAlign w:val="baseline"/>
                      <w:lang w:val="en-US" w:eastAsia="zh-CN"/>
                    </w:rPr>
                    <w:t>过程</w:t>
                  </w:r>
                </w:p>
              </w:tc>
              <w:tc>
                <w:tcPr>
                  <w:tcW w:w="1165" w:type="pct"/>
                  <w:noWrap w:val="0"/>
                  <w:vAlign w:val="center"/>
                </w:tcPr>
                <w:p w14:paraId="7FD9DEC1">
                  <w:pPr>
                    <w:autoSpaceDE w:val="0"/>
                    <w:autoSpaceDN w:val="0"/>
                    <w:adjustRightInd w:val="0"/>
                    <w:jc w:val="center"/>
                    <w:rPr>
                      <w:rFonts w:hint="eastAsia" w:eastAsia="宋体"/>
                      <w:color w:val="FF0000"/>
                      <w:szCs w:val="21"/>
                      <w:lang w:val="en-US" w:eastAsia="zh-CN"/>
                    </w:rPr>
                  </w:pPr>
                  <w:r>
                    <w:rPr>
                      <w:rFonts w:hint="eastAsia"/>
                      <w:color w:val="FF0000"/>
                      <w:szCs w:val="21"/>
                      <w:lang w:val="en-US" w:eastAsia="zh-CN"/>
                    </w:rPr>
                    <w:t>颗粒物</w:t>
                  </w:r>
                </w:p>
              </w:tc>
              <w:tc>
                <w:tcPr>
                  <w:tcW w:w="914" w:type="pct"/>
                  <w:noWrap w:val="0"/>
                  <w:vAlign w:val="center"/>
                </w:tcPr>
                <w:p w14:paraId="3E136F6C">
                  <w:pPr>
                    <w:autoSpaceDE w:val="0"/>
                    <w:autoSpaceDN w:val="0"/>
                    <w:adjustRightInd w:val="0"/>
                    <w:jc w:val="center"/>
                    <w:rPr>
                      <w:rFonts w:hint="default" w:eastAsia="宋体"/>
                      <w:color w:val="FF0000"/>
                      <w:szCs w:val="21"/>
                      <w:lang w:val="en-US" w:eastAsia="zh-CN"/>
                    </w:rPr>
                  </w:pPr>
                  <w:r>
                    <w:rPr>
                      <w:rFonts w:hint="eastAsia"/>
                      <w:color w:val="FF0000"/>
                      <w:szCs w:val="21"/>
                      <w:lang w:val="en-US" w:eastAsia="zh-CN"/>
                    </w:rPr>
                    <w:t>0.456</w:t>
                  </w:r>
                </w:p>
              </w:tc>
            </w:tr>
            <w:tr w14:paraId="6360C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375" w:type="pct"/>
                  <w:tcBorders>
                    <w:top w:val="single" w:color="auto" w:sz="4" w:space="0"/>
                    <w:bottom w:val="single" w:color="auto" w:sz="4" w:space="0"/>
                  </w:tcBorders>
                  <w:noWrap w:val="0"/>
                  <w:vAlign w:val="center"/>
                </w:tcPr>
                <w:p w14:paraId="1FA02809">
                  <w:pPr>
                    <w:snapToGrid w:val="0"/>
                    <w:spacing w:line="240" w:lineRule="auto"/>
                    <w:jc w:val="center"/>
                    <w:textAlignment w:val="auto"/>
                    <w:rPr>
                      <w:rStyle w:val="84"/>
                      <w:rFonts w:hint="default" w:cs="宋体"/>
                      <w:color w:val="auto"/>
                      <w:kern w:val="0"/>
                      <w:sz w:val="21"/>
                      <w:szCs w:val="21"/>
                    </w:rPr>
                  </w:pPr>
                  <w:r>
                    <w:rPr>
                      <w:rFonts w:hint="eastAsia"/>
                      <w:bCs/>
                      <w:color w:val="auto"/>
                      <w:szCs w:val="21"/>
                    </w:rPr>
                    <w:t>酒石酸</w:t>
                  </w:r>
                </w:p>
              </w:tc>
              <w:tc>
                <w:tcPr>
                  <w:tcW w:w="846" w:type="pct"/>
                  <w:tcBorders>
                    <w:top w:val="single" w:color="auto" w:sz="4" w:space="0"/>
                    <w:bottom w:val="single" w:color="auto" w:sz="4" w:space="0"/>
                  </w:tcBorders>
                  <w:noWrap w:val="0"/>
                  <w:vAlign w:val="center"/>
                </w:tcPr>
                <w:p w14:paraId="583934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Cs w:val="21"/>
                      <w:lang w:val="en-US"/>
                    </w:rPr>
                  </w:pPr>
                  <w:r>
                    <w:rPr>
                      <w:rFonts w:hint="eastAsia" w:ascii="Times New Roman" w:hAnsi="Times New Roman" w:eastAsia="宋体" w:cs="Times New Roman"/>
                      <w:b w:val="0"/>
                      <w:bCs w:val="0"/>
                      <w:color w:val="auto"/>
                      <w:sz w:val="21"/>
                      <w:szCs w:val="21"/>
                      <w:vertAlign w:val="baseline"/>
                      <w:lang w:val="en-US" w:eastAsia="zh-CN"/>
                    </w:rPr>
                    <w:t>16</w:t>
                  </w:r>
                  <w:r>
                    <w:rPr>
                      <w:rFonts w:hint="eastAsia" w:cs="Times New Roman"/>
                      <w:b w:val="0"/>
                      <w:bCs w:val="0"/>
                      <w:color w:val="auto"/>
                      <w:sz w:val="21"/>
                      <w:szCs w:val="21"/>
                      <w:vertAlign w:val="baseline"/>
                      <w:lang w:val="en-US" w:eastAsia="zh-CN"/>
                    </w:rPr>
                    <w:t>00</w:t>
                  </w:r>
                </w:p>
              </w:tc>
              <w:tc>
                <w:tcPr>
                  <w:tcW w:w="2777" w:type="pct"/>
                  <w:gridSpan w:val="3"/>
                  <w:vMerge w:val="restart"/>
                  <w:noWrap w:val="0"/>
                  <w:vAlign w:val="center"/>
                </w:tcPr>
                <w:p w14:paraId="51A50575">
                  <w:pPr>
                    <w:autoSpaceDE w:val="0"/>
                    <w:autoSpaceDN w:val="0"/>
                    <w:adjustRightInd w:val="0"/>
                    <w:jc w:val="center"/>
                    <w:rPr>
                      <w:rFonts w:hint="eastAsia"/>
                      <w:color w:val="auto"/>
                      <w:szCs w:val="21"/>
                    </w:rPr>
                  </w:pPr>
                  <w:r>
                    <w:rPr>
                      <w:rFonts w:hint="eastAsia"/>
                      <w:color w:val="auto"/>
                      <w:szCs w:val="21"/>
                      <w:lang w:val="en-US" w:eastAsia="zh-CN"/>
                    </w:rPr>
                    <w:t>/</w:t>
                  </w:r>
                </w:p>
              </w:tc>
            </w:tr>
            <w:tr w14:paraId="3E9E4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375" w:type="pct"/>
                  <w:tcBorders>
                    <w:top w:val="single" w:color="auto" w:sz="4" w:space="0"/>
                    <w:bottom w:val="single" w:color="auto" w:sz="4" w:space="0"/>
                  </w:tcBorders>
                  <w:noWrap w:val="0"/>
                  <w:vAlign w:val="center"/>
                </w:tcPr>
                <w:p w14:paraId="437916CD">
                  <w:pPr>
                    <w:snapToGrid w:val="0"/>
                    <w:spacing w:line="240" w:lineRule="auto"/>
                    <w:jc w:val="center"/>
                    <w:textAlignment w:val="auto"/>
                    <w:rPr>
                      <w:rStyle w:val="84"/>
                      <w:rFonts w:cs="宋体"/>
                      <w:color w:val="auto"/>
                      <w:kern w:val="0"/>
                      <w:sz w:val="21"/>
                      <w:szCs w:val="21"/>
                    </w:rPr>
                  </w:pPr>
                  <w:r>
                    <w:rPr>
                      <w:rFonts w:hint="eastAsia"/>
                      <w:bCs/>
                      <w:color w:val="auto"/>
                      <w:szCs w:val="21"/>
                    </w:rPr>
                    <w:t>聚乙烯吡咯烷酮</w:t>
                  </w:r>
                </w:p>
              </w:tc>
              <w:tc>
                <w:tcPr>
                  <w:tcW w:w="846" w:type="pct"/>
                  <w:tcBorders>
                    <w:top w:val="single" w:color="auto" w:sz="4" w:space="0"/>
                    <w:bottom w:val="single" w:color="auto" w:sz="4" w:space="0"/>
                  </w:tcBorders>
                  <w:noWrap w:val="0"/>
                  <w:vAlign w:val="center"/>
                </w:tcPr>
                <w:p w14:paraId="18BDE5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4"/>
                      <w:rFonts w:hint="default" w:cs="宋体"/>
                      <w:color w:val="auto"/>
                      <w:kern w:val="0"/>
                      <w:sz w:val="21"/>
                      <w:szCs w:val="21"/>
                      <w:lang w:val="en-US"/>
                    </w:rPr>
                  </w:pPr>
                  <w:r>
                    <w:rPr>
                      <w:rFonts w:hint="eastAsia" w:ascii="Times New Roman" w:hAnsi="Times New Roman" w:eastAsia="宋体" w:cs="Times New Roman"/>
                      <w:b w:val="0"/>
                      <w:bCs w:val="0"/>
                      <w:color w:val="auto"/>
                      <w:sz w:val="21"/>
                      <w:szCs w:val="21"/>
                      <w:vertAlign w:val="baseline"/>
                      <w:lang w:val="en-US" w:eastAsia="zh-CN"/>
                    </w:rPr>
                    <w:t>43</w:t>
                  </w:r>
                  <w:r>
                    <w:rPr>
                      <w:rFonts w:hint="eastAsia" w:cs="Times New Roman"/>
                      <w:b w:val="0"/>
                      <w:bCs w:val="0"/>
                      <w:color w:val="auto"/>
                      <w:sz w:val="21"/>
                      <w:szCs w:val="21"/>
                      <w:vertAlign w:val="baseline"/>
                      <w:lang w:val="en-US" w:eastAsia="zh-CN"/>
                    </w:rPr>
                    <w:t>000</w:t>
                  </w:r>
                </w:p>
              </w:tc>
              <w:tc>
                <w:tcPr>
                  <w:tcW w:w="2777" w:type="pct"/>
                  <w:gridSpan w:val="3"/>
                  <w:vMerge w:val="continue"/>
                  <w:noWrap w:val="0"/>
                  <w:vAlign w:val="center"/>
                </w:tcPr>
                <w:p w14:paraId="1F98CF8A">
                  <w:pPr>
                    <w:autoSpaceDE w:val="0"/>
                    <w:autoSpaceDN w:val="0"/>
                    <w:adjustRightInd w:val="0"/>
                    <w:jc w:val="center"/>
                    <w:rPr>
                      <w:rFonts w:hint="eastAsia"/>
                      <w:color w:val="auto"/>
                      <w:szCs w:val="21"/>
                    </w:rPr>
                  </w:pPr>
                </w:p>
              </w:tc>
            </w:tr>
            <w:tr w14:paraId="44F13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375" w:type="pct"/>
                  <w:tcBorders>
                    <w:top w:val="single" w:color="auto" w:sz="4" w:space="0"/>
                    <w:bottom w:val="single" w:color="auto" w:sz="4" w:space="0"/>
                  </w:tcBorders>
                  <w:noWrap w:val="0"/>
                  <w:vAlign w:val="center"/>
                </w:tcPr>
                <w:p w14:paraId="31EB29F7">
                  <w:pPr>
                    <w:snapToGrid w:val="0"/>
                    <w:spacing w:line="240" w:lineRule="auto"/>
                    <w:jc w:val="center"/>
                    <w:textAlignment w:val="auto"/>
                    <w:rPr>
                      <w:rStyle w:val="84"/>
                      <w:rFonts w:cs="宋体"/>
                      <w:color w:val="auto"/>
                      <w:kern w:val="0"/>
                      <w:sz w:val="21"/>
                      <w:szCs w:val="21"/>
                    </w:rPr>
                  </w:pPr>
                  <w:r>
                    <w:rPr>
                      <w:rFonts w:hint="eastAsia"/>
                      <w:bCs/>
                      <w:color w:val="auto"/>
                      <w:szCs w:val="21"/>
                    </w:rPr>
                    <w:t>甘油</w:t>
                  </w:r>
                </w:p>
              </w:tc>
              <w:tc>
                <w:tcPr>
                  <w:tcW w:w="846" w:type="pct"/>
                  <w:tcBorders>
                    <w:top w:val="single" w:color="auto" w:sz="4" w:space="0"/>
                    <w:bottom w:val="single" w:color="auto" w:sz="4" w:space="0"/>
                  </w:tcBorders>
                  <w:noWrap w:val="0"/>
                  <w:vAlign w:val="center"/>
                </w:tcPr>
                <w:p w14:paraId="7F5C5F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4"/>
                      <w:rFonts w:hint="default" w:cs="宋体"/>
                      <w:color w:val="auto"/>
                      <w:kern w:val="0"/>
                      <w:sz w:val="21"/>
                      <w:szCs w:val="21"/>
                      <w:lang w:val="en-US"/>
                    </w:rPr>
                  </w:pPr>
                  <w:r>
                    <w:rPr>
                      <w:rFonts w:hint="eastAsia"/>
                      <w:color w:val="auto"/>
                      <w:szCs w:val="21"/>
                      <w:lang w:val="en-US" w:eastAsia="zh-CN"/>
                    </w:rPr>
                    <w:t>3000</w:t>
                  </w:r>
                </w:p>
              </w:tc>
              <w:tc>
                <w:tcPr>
                  <w:tcW w:w="2777" w:type="pct"/>
                  <w:gridSpan w:val="3"/>
                  <w:vMerge w:val="continue"/>
                  <w:noWrap w:val="0"/>
                  <w:vAlign w:val="center"/>
                </w:tcPr>
                <w:p w14:paraId="5E7924B8">
                  <w:pPr>
                    <w:autoSpaceDE w:val="0"/>
                    <w:autoSpaceDN w:val="0"/>
                    <w:adjustRightInd w:val="0"/>
                    <w:jc w:val="center"/>
                    <w:rPr>
                      <w:rFonts w:hint="eastAsia"/>
                      <w:color w:val="auto"/>
                      <w:szCs w:val="21"/>
                    </w:rPr>
                  </w:pPr>
                </w:p>
              </w:tc>
            </w:tr>
            <w:tr w14:paraId="3B2A5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375" w:type="pct"/>
                  <w:tcBorders>
                    <w:top w:val="single" w:color="auto" w:sz="4" w:space="0"/>
                    <w:bottom w:val="single" w:color="auto" w:sz="4" w:space="0"/>
                  </w:tcBorders>
                  <w:noWrap w:val="0"/>
                  <w:vAlign w:val="center"/>
                </w:tcPr>
                <w:p w14:paraId="549206CD">
                  <w:pPr>
                    <w:snapToGrid w:val="0"/>
                    <w:spacing w:line="240" w:lineRule="auto"/>
                    <w:jc w:val="center"/>
                    <w:textAlignment w:val="auto"/>
                    <w:rPr>
                      <w:rStyle w:val="84"/>
                      <w:rFonts w:cs="宋体"/>
                      <w:color w:val="auto"/>
                      <w:kern w:val="0"/>
                      <w:sz w:val="21"/>
                      <w:szCs w:val="21"/>
                    </w:rPr>
                  </w:pPr>
                  <w:r>
                    <w:rPr>
                      <w:rFonts w:hint="eastAsia"/>
                      <w:bCs/>
                      <w:color w:val="auto"/>
                      <w:szCs w:val="21"/>
                    </w:rPr>
                    <w:t>无纺布</w:t>
                  </w:r>
                </w:p>
              </w:tc>
              <w:tc>
                <w:tcPr>
                  <w:tcW w:w="846" w:type="pct"/>
                  <w:tcBorders>
                    <w:top w:val="single" w:color="auto" w:sz="4" w:space="0"/>
                    <w:bottom w:val="single" w:color="auto" w:sz="4" w:space="0"/>
                  </w:tcBorders>
                  <w:noWrap w:val="0"/>
                  <w:vAlign w:val="center"/>
                </w:tcPr>
                <w:p w14:paraId="6F5826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Style w:val="84"/>
                      <w:rFonts w:hint="default" w:cs="宋体"/>
                      <w:color w:val="auto"/>
                      <w:kern w:val="0"/>
                      <w:sz w:val="21"/>
                      <w:szCs w:val="21"/>
                      <w:lang w:val="en-US"/>
                    </w:rPr>
                  </w:pPr>
                  <w:r>
                    <w:rPr>
                      <w:rFonts w:hint="eastAsia" w:cs="Times New Roman"/>
                      <w:b w:val="0"/>
                      <w:bCs w:val="0"/>
                      <w:color w:val="auto"/>
                      <w:sz w:val="21"/>
                      <w:szCs w:val="21"/>
                      <w:vertAlign w:val="baseline"/>
                      <w:lang w:val="en-US" w:eastAsia="zh-CN"/>
                    </w:rPr>
                    <w:t>6600</w:t>
                  </w:r>
                </w:p>
              </w:tc>
              <w:tc>
                <w:tcPr>
                  <w:tcW w:w="2777" w:type="pct"/>
                  <w:gridSpan w:val="3"/>
                  <w:vMerge w:val="continue"/>
                  <w:tcBorders>
                    <w:bottom w:val="single" w:color="auto" w:sz="4" w:space="0"/>
                  </w:tcBorders>
                  <w:noWrap w:val="0"/>
                  <w:vAlign w:val="center"/>
                </w:tcPr>
                <w:p w14:paraId="2D86F974">
                  <w:pPr>
                    <w:autoSpaceDE w:val="0"/>
                    <w:autoSpaceDN w:val="0"/>
                    <w:adjustRightInd w:val="0"/>
                    <w:jc w:val="center"/>
                    <w:rPr>
                      <w:rFonts w:hint="eastAsia"/>
                      <w:color w:val="auto"/>
                      <w:szCs w:val="21"/>
                    </w:rPr>
                  </w:pPr>
                </w:p>
              </w:tc>
            </w:tr>
            <w:tr w14:paraId="79728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375" w:type="pct"/>
                  <w:tcBorders>
                    <w:top w:val="single" w:color="auto" w:sz="4" w:space="0"/>
                    <w:bottom w:val="single" w:color="auto" w:sz="12" w:space="0"/>
                  </w:tcBorders>
                  <w:noWrap w:val="0"/>
                  <w:vAlign w:val="center"/>
                </w:tcPr>
                <w:p w14:paraId="61B58F81">
                  <w:pPr>
                    <w:pStyle w:val="83"/>
                    <w:spacing w:line="240" w:lineRule="auto"/>
                    <w:ind w:firstLine="0" w:firstLineChars="0"/>
                    <w:jc w:val="center"/>
                    <w:textAlignment w:val="baseline"/>
                    <w:rPr>
                      <w:rStyle w:val="84"/>
                      <w:color w:val="auto"/>
                      <w:kern w:val="0"/>
                      <w:sz w:val="21"/>
                      <w:szCs w:val="21"/>
                    </w:rPr>
                  </w:pPr>
                  <w:r>
                    <w:rPr>
                      <w:rStyle w:val="84"/>
                      <w:color w:val="auto"/>
                      <w:kern w:val="0"/>
                      <w:sz w:val="21"/>
                      <w:szCs w:val="21"/>
                    </w:rPr>
                    <w:t>合计</w:t>
                  </w:r>
                </w:p>
              </w:tc>
              <w:tc>
                <w:tcPr>
                  <w:tcW w:w="846" w:type="pct"/>
                  <w:tcBorders>
                    <w:top w:val="single" w:color="auto" w:sz="4" w:space="0"/>
                    <w:bottom w:val="single" w:color="auto" w:sz="12" w:space="0"/>
                  </w:tcBorders>
                  <w:noWrap w:val="0"/>
                  <w:vAlign w:val="center"/>
                </w:tcPr>
                <w:p w14:paraId="58F718BA">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242800</w:t>
                  </w:r>
                </w:p>
              </w:tc>
              <w:tc>
                <w:tcPr>
                  <w:tcW w:w="1862" w:type="pct"/>
                  <w:gridSpan w:val="2"/>
                  <w:tcBorders>
                    <w:top w:val="single" w:color="auto" w:sz="4" w:space="0"/>
                    <w:bottom w:val="single" w:color="auto" w:sz="12" w:space="0"/>
                  </w:tcBorders>
                  <w:noWrap w:val="0"/>
                  <w:vAlign w:val="center"/>
                </w:tcPr>
                <w:p w14:paraId="56BA5542">
                  <w:pPr>
                    <w:pStyle w:val="83"/>
                    <w:spacing w:line="240" w:lineRule="auto"/>
                    <w:ind w:firstLine="0" w:firstLineChars="0"/>
                    <w:jc w:val="center"/>
                    <w:textAlignment w:val="baseline"/>
                    <w:rPr>
                      <w:color w:val="auto"/>
                      <w:szCs w:val="21"/>
                    </w:rPr>
                  </w:pPr>
                  <w:r>
                    <w:rPr>
                      <w:rStyle w:val="84"/>
                      <w:color w:val="auto"/>
                      <w:kern w:val="0"/>
                      <w:sz w:val="21"/>
                      <w:szCs w:val="21"/>
                    </w:rPr>
                    <w:t>合计</w:t>
                  </w:r>
                </w:p>
              </w:tc>
              <w:tc>
                <w:tcPr>
                  <w:tcW w:w="914" w:type="pct"/>
                  <w:tcBorders>
                    <w:top w:val="single" w:color="auto" w:sz="4" w:space="0"/>
                    <w:bottom w:val="single" w:color="auto" w:sz="12" w:space="0"/>
                  </w:tcBorders>
                  <w:noWrap w:val="0"/>
                  <w:vAlign w:val="center"/>
                </w:tcPr>
                <w:p w14:paraId="7C58E2B9">
                  <w:pPr>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242800</w:t>
                  </w:r>
                </w:p>
              </w:tc>
            </w:tr>
          </w:tbl>
          <w:p w14:paraId="7061DDAB">
            <w:pPr>
              <w:keepNext w:val="0"/>
              <w:keepLines w:val="0"/>
              <w:widowControl/>
              <w:suppressLineNumbers w:val="0"/>
              <w:jc w:val="left"/>
              <w:rPr>
                <w:rFonts w:hint="default" w:cs="Times New Roman"/>
                <w:b/>
                <w:bCs w:val="0"/>
                <w:color w:val="FF0000"/>
                <w:sz w:val="24"/>
                <w:szCs w:val="21"/>
                <w:lang w:val="en-US" w:eastAsia="zh-CN"/>
              </w:rPr>
            </w:pPr>
            <w:commentRangeStart w:id="25"/>
            <w:r>
              <w:rPr>
                <w:rFonts w:hint="eastAsia" w:cs="Times New Roman"/>
                <w:b/>
                <w:bCs w:val="0"/>
                <w:color w:val="FF0000"/>
                <w:sz w:val="24"/>
                <w:szCs w:val="21"/>
                <w:lang w:val="en-US" w:eastAsia="zh-CN"/>
              </w:rPr>
              <w:t>6、</w:t>
            </w:r>
            <w:commentRangeEnd w:id="25"/>
            <w:r>
              <w:commentReference w:id="25"/>
            </w:r>
            <w:r>
              <w:rPr>
                <w:rFonts w:hint="eastAsia" w:cs="Times New Roman"/>
                <w:b/>
                <w:bCs w:val="0"/>
                <w:color w:val="FF0000"/>
                <w:sz w:val="24"/>
                <w:szCs w:val="21"/>
                <w:lang w:val="en-US" w:eastAsia="zh-CN"/>
              </w:rPr>
              <w:t>项目</w:t>
            </w:r>
            <w:r>
              <w:rPr>
                <w:rFonts w:hint="default" w:ascii="Times New Roman" w:hAnsi="Times New Roman" w:eastAsia="宋体" w:cs="Times New Roman"/>
                <w:b/>
                <w:bCs w:val="0"/>
                <w:color w:val="FF0000"/>
                <w:kern w:val="0"/>
                <w:sz w:val="24"/>
                <w:szCs w:val="24"/>
                <w:lang w:val="en-US" w:eastAsia="zh-CN" w:bidi="ar"/>
              </w:rPr>
              <w:t>VOCs</w:t>
            </w:r>
            <w:r>
              <w:rPr>
                <w:rFonts w:hint="eastAsia" w:ascii="宋体" w:hAnsi="宋体" w:eastAsia="宋体" w:cs="宋体"/>
                <w:b/>
                <w:bCs w:val="0"/>
                <w:color w:val="FF0000"/>
                <w:kern w:val="0"/>
                <w:sz w:val="24"/>
                <w:szCs w:val="24"/>
                <w:lang w:val="en-US" w:eastAsia="zh-CN" w:bidi="ar"/>
              </w:rPr>
              <w:t>及氨平衡</w:t>
            </w:r>
          </w:p>
          <w:p w14:paraId="40C5553B">
            <w:pPr>
              <w:pStyle w:val="37"/>
              <w:rPr>
                <w:rFonts w:hint="eastAsia" w:cs="Times New Roman"/>
                <w:b/>
                <w:bCs w:val="0"/>
                <w:color w:val="FF0000"/>
                <w:sz w:val="24"/>
                <w:szCs w:val="21"/>
                <w:lang w:val="en-US" w:eastAsia="zh-CN"/>
              </w:rPr>
            </w:pPr>
            <w:r>
              <w:rPr>
                <w:rFonts w:hint="eastAsia" w:cs="Times New Roman"/>
                <w:b/>
                <w:bCs w:val="0"/>
                <w:color w:val="FF0000"/>
                <w:sz w:val="24"/>
                <w:szCs w:val="21"/>
                <w:lang w:val="en-US" w:eastAsia="zh-CN"/>
              </w:rPr>
              <w:object>
                <v:shape id="_x0000_i1051" o:spt="75" type="#_x0000_t75" style="height:309.15pt;width:402pt;" o:ole="t" filled="f" o:preferrelative="t" stroked="f" coordsize="21600,21600">
                  <v:path/>
                  <v:fill on="f" focussize="0,0"/>
                  <v:stroke on="f"/>
                  <v:imagedata r:id="rId66" o:title=""/>
                  <o:lock v:ext="edit" aspectratio="f"/>
                  <w10:wrap type="none"/>
                  <w10:anchorlock/>
                </v:shape>
                <o:OLEObject Type="Embed" ProgID="Visio.Drawing.11" ShapeID="_x0000_i1051" DrawAspect="Content" ObjectID="_1468075751" r:id="rId65">
                  <o:LockedField>false</o:LockedField>
                </o:OLEObject>
              </w:object>
            </w:r>
          </w:p>
          <w:p w14:paraId="023B9C0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cs="Times New Roman"/>
                <w:b/>
                <w:bCs w:val="0"/>
                <w:color w:val="FF0000"/>
                <w:sz w:val="24"/>
                <w:szCs w:val="21"/>
                <w:lang w:val="en-US" w:eastAsia="zh-CN"/>
              </w:rPr>
            </w:pPr>
            <w:r>
              <w:rPr>
                <w:rFonts w:hint="default" w:ascii="Times New Roman" w:hAnsi="Times New Roman" w:eastAsia="宋体" w:cs="Times New Roman"/>
                <w:b/>
                <w:color w:val="FF0000"/>
                <w:kern w:val="0"/>
                <w:sz w:val="21"/>
                <w:szCs w:val="21"/>
                <w:lang w:val="en-US" w:eastAsia="zh-CN" w:bidi="ar-SA"/>
              </w:rPr>
              <w:t>图</w:t>
            </w:r>
            <w:r>
              <w:rPr>
                <w:rFonts w:hint="eastAsia" w:cs="Times New Roman"/>
                <w:b/>
                <w:color w:val="FF0000"/>
                <w:kern w:val="0"/>
                <w:sz w:val="21"/>
                <w:szCs w:val="21"/>
                <w:lang w:val="en-US" w:eastAsia="zh-CN" w:bidi="ar-SA"/>
              </w:rPr>
              <w:t>2</w:t>
            </w:r>
            <w:r>
              <w:rPr>
                <w:rFonts w:hint="eastAsia" w:ascii="Times New Roman" w:hAnsi="Times New Roman" w:eastAsia="宋体" w:cs="Times New Roman"/>
                <w:b/>
                <w:color w:val="FF0000"/>
                <w:kern w:val="0"/>
                <w:sz w:val="21"/>
                <w:szCs w:val="21"/>
                <w:lang w:val="en-US" w:eastAsia="zh-CN" w:bidi="ar-SA"/>
              </w:rPr>
              <w:t>-2</w:t>
            </w:r>
            <w:r>
              <w:rPr>
                <w:rFonts w:hint="eastAsia" w:cs="Times New Roman"/>
                <w:b/>
                <w:color w:val="FF0000"/>
                <w:kern w:val="0"/>
                <w:sz w:val="21"/>
                <w:szCs w:val="21"/>
                <w:lang w:val="en-US" w:eastAsia="zh-CN" w:bidi="ar-SA"/>
              </w:rPr>
              <w:t>8</w:t>
            </w:r>
            <w:r>
              <w:rPr>
                <w:rFonts w:hint="default" w:ascii="Times New Roman" w:hAnsi="Times New Roman" w:eastAsia="宋体" w:cs="Times New Roman"/>
                <w:b/>
                <w:color w:val="FF0000"/>
                <w:kern w:val="0"/>
                <w:sz w:val="21"/>
                <w:szCs w:val="21"/>
                <w:lang w:val="en-US" w:eastAsia="zh-CN" w:bidi="ar-SA"/>
              </w:rPr>
              <w:t xml:space="preserve">  项目VOCs及</w:t>
            </w:r>
            <w:r>
              <w:rPr>
                <w:rFonts w:hint="eastAsia" w:ascii="宋体" w:hAnsi="宋体" w:eastAsia="宋体" w:cs="宋体"/>
                <w:b/>
                <w:color w:val="FF0000"/>
                <w:kern w:val="0"/>
                <w:sz w:val="21"/>
                <w:szCs w:val="21"/>
                <w:lang w:val="en-US" w:eastAsia="zh-CN" w:bidi="ar-SA"/>
              </w:rPr>
              <w:t>氨平衡图  （单位：</w:t>
            </w:r>
            <w:r>
              <w:rPr>
                <w:rFonts w:hint="default" w:ascii="Times New Roman" w:hAnsi="Times New Roman" w:eastAsia="宋体" w:cs="Times New Roman"/>
                <w:b/>
                <w:color w:val="FF0000"/>
                <w:kern w:val="0"/>
                <w:sz w:val="21"/>
                <w:szCs w:val="21"/>
                <w:lang w:val="en-US" w:eastAsia="zh-CN" w:bidi="ar-SA"/>
              </w:rPr>
              <w:t>t/a）</w:t>
            </w:r>
          </w:p>
          <w:p w14:paraId="612CCEE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val="0"/>
                <w:color w:val="auto"/>
                <w:sz w:val="24"/>
                <w:szCs w:val="21"/>
                <w:lang w:val="en-US" w:eastAsia="zh-CN"/>
              </w:rPr>
            </w:pPr>
            <w:r>
              <w:rPr>
                <w:rFonts w:hint="eastAsia" w:cs="Times New Roman"/>
                <w:b/>
                <w:bCs w:val="0"/>
                <w:color w:val="auto"/>
                <w:sz w:val="24"/>
                <w:szCs w:val="21"/>
                <w:lang w:val="en-US" w:eastAsia="zh-CN"/>
              </w:rPr>
              <w:t>7</w:t>
            </w:r>
            <w:r>
              <w:rPr>
                <w:rFonts w:hint="eastAsia" w:ascii="Times New Roman" w:hAnsi="Times New Roman" w:eastAsia="宋体" w:cs="Times New Roman"/>
                <w:b/>
                <w:bCs w:val="0"/>
                <w:color w:val="auto"/>
                <w:sz w:val="24"/>
                <w:szCs w:val="21"/>
                <w:lang w:val="en-US" w:eastAsia="zh-CN"/>
              </w:rPr>
              <w:t>、主要产污工序</w:t>
            </w:r>
          </w:p>
          <w:p w14:paraId="316FF264">
            <w:pPr>
              <w:keepNext w:val="0"/>
              <w:keepLines w:val="0"/>
              <w:pageBreakBefore w:val="0"/>
              <w:kinsoku/>
              <w:wordWrap/>
              <w:bidi w:val="0"/>
              <w:adjustRightInd/>
              <w:snapToGrid/>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本项目运营期污染物主要来源于</w:t>
            </w:r>
            <w:r>
              <w:rPr>
                <w:rFonts w:hint="default" w:ascii="Times New Roman" w:hAnsi="Times New Roman" w:eastAsia="宋体" w:cs="Times New Roman"/>
                <w:color w:val="auto"/>
                <w:sz w:val="24"/>
                <w:szCs w:val="24"/>
                <w:lang w:eastAsia="zh-CN"/>
              </w:rPr>
              <w:t>生活污水</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生产废气、</w:t>
            </w:r>
            <w:r>
              <w:rPr>
                <w:rFonts w:hint="default" w:ascii="Times New Roman" w:hAnsi="Times New Roman" w:eastAsia="宋体" w:cs="Times New Roman"/>
                <w:color w:val="auto"/>
                <w:sz w:val="24"/>
                <w:szCs w:val="24"/>
              </w:rPr>
              <w:t>设备噪声</w:t>
            </w:r>
            <w:r>
              <w:rPr>
                <w:rFonts w:hint="default" w:ascii="Times New Roman" w:hAnsi="Times New Roman" w:eastAsia="宋体" w:cs="Times New Roman"/>
                <w:color w:val="auto"/>
                <w:sz w:val="24"/>
                <w:szCs w:val="24"/>
                <w:lang w:eastAsia="zh-CN"/>
              </w:rPr>
              <w:t>、生产固废以及</w:t>
            </w:r>
            <w:r>
              <w:rPr>
                <w:rFonts w:hint="default" w:ascii="Times New Roman" w:hAnsi="Times New Roman" w:eastAsia="宋体" w:cs="Times New Roman"/>
                <w:color w:val="auto"/>
                <w:sz w:val="24"/>
                <w:szCs w:val="24"/>
              </w:rPr>
              <w:t>员工生活垃圾等。</w:t>
            </w:r>
          </w:p>
          <w:p w14:paraId="0C82757F">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Cs/>
                <w:color w:val="auto"/>
                <w:sz w:val="24"/>
                <w:szCs w:val="21"/>
                <w:lang w:val="en-US" w:eastAsia="zh-CN"/>
              </w:rPr>
            </w:pPr>
            <w:r>
              <w:rPr>
                <w:rFonts w:hint="default"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w:t>
            </w:r>
            <w:r>
              <w:rPr>
                <w:rFonts w:hint="eastAsia" w:cs="Times New Roman"/>
                <w:b/>
                <w:bCs/>
                <w:color w:val="auto"/>
                <w:sz w:val="21"/>
                <w:szCs w:val="21"/>
                <w:lang w:val="en-US" w:eastAsia="zh-CN"/>
              </w:rPr>
              <w:t>23</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主要污染工序一览表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425"/>
              <w:gridCol w:w="1516"/>
              <w:gridCol w:w="3000"/>
              <w:gridCol w:w="2366"/>
            </w:tblGrid>
            <w:tr w14:paraId="18979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651" w:type="dxa"/>
                  <w:tcBorders>
                    <w:bottom w:val="single" w:color="auto" w:sz="12" w:space="0"/>
                  </w:tcBorders>
                  <w:noWrap w:val="0"/>
                  <w:vAlign w:val="center"/>
                </w:tcPr>
                <w:p w14:paraId="72D7A135">
                  <w:pPr>
                    <w:keepNext w:val="0"/>
                    <w:keepLines w:val="0"/>
                    <w:pageBreakBefore w:val="0"/>
                    <w:widowControl w:val="0"/>
                    <w:kinsoku/>
                    <w:wordWrap/>
                    <w:overflowPunct/>
                    <w:topLinePunct w:val="0"/>
                    <w:autoSpaceDE/>
                    <w:autoSpaceDN/>
                    <w:bidi w:val="0"/>
                    <w:spacing w:line="240" w:lineRule="auto"/>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时段</w:t>
                  </w:r>
                </w:p>
              </w:tc>
              <w:tc>
                <w:tcPr>
                  <w:tcW w:w="1941" w:type="dxa"/>
                  <w:gridSpan w:val="2"/>
                  <w:tcBorders>
                    <w:bottom w:val="single" w:color="auto" w:sz="12" w:space="0"/>
                  </w:tcBorders>
                  <w:noWrap w:val="0"/>
                  <w:vAlign w:val="center"/>
                </w:tcPr>
                <w:p w14:paraId="63142CA9">
                  <w:pPr>
                    <w:keepNext w:val="0"/>
                    <w:keepLines w:val="0"/>
                    <w:pageBreakBefore w:val="0"/>
                    <w:widowControl w:val="0"/>
                    <w:kinsoku/>
                    <w:wordWrap/>
                    <w:overflowPunct/>
                    <w:topLinePunct w:val="0"/>
                    <w:autoSpaceDE/>
                    <w:autoSpaceDN/>
                    <w:bidi w:val="0"/>
                    <w:spacing w:line="240" w:lineRule="auto"/>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污染因子</w:t>
                  </w:r>
                </w:p>
              </w:tc>
              <w:tc>
                <w:tcPr>
                  <w:tcW w:w="3000" w:type="dxa"/>
                  <w:tcBorders>
                    <w:bottom w:val="single" w:color="auto" w:sz="12" w:space="0"/>
                  </w:tcBorders>
                  <w:noWrap w:val="0"/>
                  <w:vAlign w:val="center"/>
                </w:tcPr>
                <w:p w14:paraId="66FF3570">
                  <w:pPr>
                    <w:keepNext w:val="0"/>
                    <w:keepLines w:val="0"/>
                    <w:pageBreakBefore w:val="0"/>
                    <w:widowControl w:val="0"/>
                    <w:kinsoku/>
                    <w:wordWrap/>
                    <w:overflowPunct/>
                    <w:topLinePunct w:val="0"/>
                    <w:autoSpaceDE/>
                    <w:autoSpaceDN/>
                    <w:bidi w:val="0"/>
                    <w:spacing w:line="240" w:lineRule="auto"/>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来源</w:t>
                  </w:r>
                </w:p>
              </w:tc>
              <w:tc>
                <w:tcPr>
                  <w:tcW w:w="2366" w:type="dxa"/>
                  <w:tcBorders>
                    <w:bottom w:val="single" w:color="auto" w:sz="12" w:space="0"/>
                  </w:tcBorders>
                  <w:noWrap w:val="0"/>
                  <w:vAlign w:val="center"/>
                </w:tcPr>
                <w:p w14:paraId="092A5A6B">
                  <w:pPr>
                    <w:keepNext w:val="0"/>
                    <w:keepLines w:val="0"/>
                    <w:pageBreakBefore w:val="0"/>
                    <w:widowControl w:val="0"/>
                    <w:kinsoku/>
                    <w:wordWrap/>
                    <w:overflowPunct/>
                    <w:topLinePunct w:val="0"/>
                    <w:autoSpaceDE/>
                    <w:autoSpaceDN/>
                    <w:bidi w:val="0"/>
                    <w:spacing w:line="240" w:lineRule="auto"/>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r>
            <w:tr w14:paraId="6E733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651" w:type="dxa"/>
                  <w:vMerge w:val="restart"/>
                  <w:noWrap w:val="0"/>
                  <w:vAlign w:val="center"/>
                </w:tcPr>
                <w:p w14:paraId="136E5881">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运</w:t>
                  </w:r>
                </w:p>
                <w:p w14:paraId="3F8289AA">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营</w:t>
                  </w:r>
                </w:p>
                <w:p w14:paraId="7A4CDEB0">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期</w:t>
                  </w:r>
                </w:p>
              </w:tc>
              <w:tc>
                <w:tcPr>
                  <w:tcW w:w="425" w:type="dxa"/>
                  <w:vMerge w:val="restart"/>
                  <w:noWrap w:val="0"/>
                  <w:vAlign w:val="center"/>
                </w:tcPr>
                <w:p w14:paraId="3D70B407">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废水</w:t>
                  </w:r>
                </w:p>
              </w:tc>
              <w:tc>
                <w:tcPr>
                  <w:tcW w:w="1516" w:type="dxa"/>
                  <w:noWrap w:val="0"/>
                  <w:vAlign w:val="center"/>
                </w:tcPr>
                <w:p w14:paraId="694FB211">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生活污水</w:t>
                  </w:r>
                </w:p>
              </w:tc>
              <w:tc>
                <w:tcPr>
                  <w:tcW w:w="3000" w:type="dxa"/>
                  <w:noWrap w:val="0"/>
                  <w:vAlign w:val="center"/>
                </w:tcPr>
                <w:p w14:paraId="6367EBA2">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员工日常生活</w:t>
                  </w:r>
                </w:p>
              </w:tc>
              <w:tc>
                <w:tcPr>
                  <w:tcW w:w="2366" w:type="dxa"/>
                  <w:noWrap w:val="0"/>
                  <w:vAlign w:val="center"/>
                </w:tcPr>
                <w:p w14:paraId="0EB05F29">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pH</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COD、BOD</w:t>
                  </w:r>
                  <w:r>
                    <w:rPr>
                      <w:rFonts w:hint="default" w:ascii="Times New Roman" w:hAnsi="Times New Roman" w:eastAsia="宋体" w:cs="Times New Roman"/>
                      <w:b w:val="0"/>
                      <w:bCs/>
                      <w:color w:val="auto"/>
                      <w:sz w:val="21"/>
                      <w:szCs w:val="21"/>
                      <w:vertAlign w:val="subscript"/>
                    </w:rPr>
                    <w:t>5</w:t>
                  </w:r>
                  <w:r>
                    <w:rPr>
                      <w:rFonts w:hint="default" w:ascii="Times New Roman" w:hAnsi="Times New Roman" w:eastAsia="宋体" w:cs="Times New Roman"/>
                      <w:b w:val="0"/>
                      <w:bCs/>
                      <w:color w:val="auto"/>
                      <w:sz w:val="21"/>
                      <w:szCs w:val="21"/>
                    </w:rPr>
                    <w:t>、SS、NH</w:t>
                  </w:r>
                  <w:r>
                    <w:rPr>
                      <w:rFonts w:hint="default" w:ascii="Times New Roman" w:hAnsi="Times New Roman" w:eastAsia="宋体" w:cs="Times New Roman"/>
                      <w:b w:val="0"/>
                      <w:bCs/>
                      <w:color w:val="auto"/>
                      <w:sz w:val="21"/>
                      <w:szCs w:val="21"/>
                      <w:vertAlign w:val="subscript"/>
                    </w:rPr>
                    <w:t>3</w:t>
                  </w:r>
                  <w:r>
                    <w:rPr>
                      <w:rFonts w:hint="default" w:ascii="Times New Roman" w:hAnsi="Times New Roman" w:eastAsia="宋体" w:cs="Times New Roman"/>
                      <w:b w:val="0"/>
                      <w:bCs/>
                      <w:color w:val="auto"/>
                      <w:sz w:val="21"/>
                      <w:szCs w:val="21"/>
                    </w:rPr>
                    <w:t>-N</w:t>
                  </w:r>
                  <w:r>
                    <w:rPr>
                      <w:rFonts w:hint="default"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lang w:val="en-US" w:eastAsia="zh-CN"/>
                    </w:rPr>
                    <w:t>TP、TN</w:t>
                  </w:r>
                  <w:r>
                    <w:rPr>
                      <w:rFonts w:hint="default" w:ascii="Times New Roman" w:hAnsi="Times New Roman" w:eastAsia="宋体" w:cs="Times New Roman"/>
                      <w:b w:val="0"/>
                      <w:bCs/>
                      <w:color w:val="auto"/>
                      <w:sz w:val="21"/>
                      <w:szCs w:val="21"/>
                    </w:rPr>
                    <w:t>等</w:t>
                  </w:r>
                </w:p>
              </w:tc>
            </w:tr>
            <w:tr w14:paraId="339A7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51" w:type="dxa"/>
                  <w:vMerge w:val="continue"/>
                  <w:noWrap w:val="0"/>
                  <w:vAlign w:val="center"/>
                </w:tcPr>
                <w:p w14:paraId="11F92E16">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425" w:type="dxa"/>
                  <w:vMerge w:val="continue"/>
                  <w:noWrap w:val="0"/>
                  <w:vAlign w:val="center"/>
                </w:tcPr>
                <w:p w14:paraId="716776CE">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1516" w:type="dxa"/>
                  <w:noWrap w:val="0"/>
                  <w:vAlign w:val="center"/>
                </w:tcPr>
                <w:p w14:paraId="2D969749">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lang w:val="en-US" w:eastAsia="zh-CN"/>
                    </w:rPr>
                    <w:t>纯水制备浓水</w:t>
                  </w:r>
                </w:p>
              </w:tc>
              <w:tc>
                <w:tcPr>
                  <w:tcW w:w="3000" w:type="dxa"/>
                  <w:noWrap w:val="0"/>
                  <w:vAlign w:val="center"/>
                </w:tcPr>
                <w:p w14:paraId="141B1644">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纯水制备</w:t>
                  </w:r>
                </w:p>
              </w:tc>
              <w:tc>
                <w:tcPr>
                  <w:tcW w:w="2366" w:type="dxa"/>
                  <w:noWrap w:val="0"/>
                  <w:vAlign w:val="center"/>
                </w:tcPr>
                <w:p w14:paraId="23E1E7B2">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pH、SS、全盐量</w:t>
                  </w:r>
                </w:p>
              </w:tc>
            </w:tr>
            <w:tr w14:paraId="358AA2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51" w:type="dxa"/>
                  <w:vMerge w:val="continue"/>
                  <w:noWrap w:val="0"/>
                  <w:vAlign w:val="center"/>
                </w:tcPr>
                <w:p w14:paraId="3F35F6CF">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425" w:type="dxa"/>
                  <w:vMerge w:val="continue"/>
                  <w:noWrap w:val="0"/>
                  <w:vAlign w:val="center"/>
                </w:tcPr>
                <w:p w14:paraId="229199C0">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1516" w:type="dxa"/>
                  <w:noWrap w:val="0"/>
                  <w:vAlign w:val="center"/>
                </w:tcPr>
                <w:p w14:paraId="0239C337">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设备清洗废水</w:t>
                  </w:r>
                </w:p>
              </w:tc>
              <w:tc>
                <w:tcPr>
                  <w:tcW w:w="3000" w:type="dxa"/>
                  <w:noWrap w:val="0"/>
                  <w:vAlign w:val="center"/>
                </w:tcPr>
                <w:p w14:paraId="26BF3B85">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FF0000"/>
                      <w:sz w:val="21"/>
                      <w:szCs w:val="21"/>
                      <w:lang w:val="en-US" w:eastAsia="zh-CN"/>
                    </w:rPr>
                  </w:pPr>
                  <w:r>
                    <w:rPr>
                      <w:rFonts w:hint="eastAsia" w:ascii="Times New Roman" w:hAnsi="Times New Roman" w:cs="Times New Roman"/>
                      <w:b w:val="0"/>
                      <w:bCs/>
                      <w:color w:val="FF0000"/>
                      <w:sz w:val="21"/>
                      <w:szCs w:val="21"/>
                      <w:lang w:val="en-US" w:eastAsia="zh-CN"/>
                    </w:rPr>
                    <w:t>设备清洗</w:t>
                  </w:r>
                </w:p>
              </w:tc>
              <w:tc>
                <w:tcPr>
                  <w:tcW w:w="2366" w:type="dxa"/>
                  <w:noWrap w:val="0"/>
                  <w:vAlign w:val="center"/>
                </w:tcPr>
                <w:p w14:paraId="062A40E3">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FF0000"/>
                      <w:sz w:val="21"/>
                      <w:szCs w:val="21"/>
                      <w:lang w:val="en-US" w:eastAsia="zh-CN"/>
                    </w:rPr>
                  </w:pPr>
                  <w:r>
                    <w:rPr>
                      <w:rFonts w:hint="default" w:ascii="Times New Roman" w:hAnsi="Times New Roman" w:eastAsia="宋体" w:cs="Times New Roman"/>
                      <w:b w:val="0"/>
                      <w:bCs/>
                      <w:color w:val="FF0000"/>
                      <w:sz w:val="21"/>
                      <w:szCs w:val="21"/>
                    </w:rPr>
                    <w:t>COD、BOD</w:t>
                  </w:r>
                  <w:r>
                    <w:rPr>
                      <w:rFonts w:hint="default" w:ascii="Times New Roman" w:hAnsi="Times New Roman" w:eastAsia="宋体" w:cs="Times New Roman"/>
                      <w:b w:val="0"/>
                      <w:bCs/>
                      <w:color w:val="FF0000"/>
                      <w:sz w:val="21"/>
                      <w:szCs w:val="21"/>
                      <w:vertAlign w:val="subscript"/>
                    </w:rPr>
                    <w:t>5</w:t>
                  </w:r>
                  <w:r>
                    <w:rPr>
                      <w:rFonts w:hint="default" w:ascii="Times New Roman" w:hAnsi="Times New Roman" w:eastAsia="宋体" w:cs="Times New Roman"/>
                      <w:b w:val="0"/>
                      <w:bCs/>
                      <w:color w:val="FF0000"/>
                      <w:sz w:val="21"/>
                      <w:szCs w:val="21"/>
                    </w:rPr>
                    <w:t>、SS、NH</w:t>
                  </w:r>
                  <w:r>
                    <w:rPr>
                      <w:rFonts w:hint="default" w:ascii="Times New Roman" w:hAnsi="Times New Roman" w:eastAsia="宋体" w:cs="Times New Roman"/>
                      <w:b w:val="0"/>
                      <w:bCs/>
                      <w:color w:val="FF0000"/>
                      <w:sz w:val="21"/>
                      <w:szCs w:val="21"/>
                      <w:vertAlign w:val="subscript"/>
                    </w:rPr>
                    <w:t>3</w:t>
                  </w:r>
                  <w:r>
                    <w:rPr>
                      <w:rFonts w:hint="default" w:ascii="Times New Roman" w:hAnsi="Times New Roman" w:eastAsia="宋体" w:cs="Times New Roman"/>
                      <w:b w:val="0"/>
                      <w:bCs/>
                      <w:color w:val="FF0000"/>
                      <w:sz w:val="21"/>
                      <w:szCs w:val="21"/>
                    </w:rPr>
                    <w:t>-N</w:t>
                  </w:r>
                  <w:r>
                    <w:rPr>
                      <w:rFonts w:hint="eastAsia" w:ascii="Times New Roman" w:hAnsi="Times New Roman" w:cs="Times New Roman"/>
                      <w:b w:val="0"/>
                      <w:bCs/>
                      <w:color w:val="FF0000"/>
                      <w:sz w:val="21"/>
                      <w:szCs w:val="21"/>
                      <w:lang w:eastAsia="zh-CN"/>
                    </w:rPr>
                    <w:t>、</w:t>
                  </w:r>
                  <w:r>
                    <w:rPr>
                      <w:rFonts w:hint="eastAsia" w:ascii="Times New Roman" w:hAnsi="Times New Roman" w:cs="Times New Roman"/>
                      <w:b w:val="0"/>
                      <w:bCs/>
                      <w:color w:val="FF0000"/>
                      <w:sz w:val="21"/>
                      <w:szCs w:val="21"/>
                      <w:lang w:val="en-US" w:eastAsia="zh-CN"/>
                    </w:rPr>
                    <w:t>总有机碳</w:t>
                  </w:r>
                </w:p>
              </w:tc>
            </w:tr>
            <w:tr w14:paraId="6AF63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651" w:type="dxa"/>
                  <w:vMerge w:val="continue"/>
                  <w:noWrap w:val="0"/>
                  <w:vAlign w:val="center"/>
                </w:tcPr>
                <w:p w14:paraId="5C2E38FE">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425" w:type="dxa"/>
                  <w:vMerge w:val="restart"/>
                  <w:noWrap w:val="0"/>
                  <w:vAlign w:val="center"/>
                </w:tcPr>
                <w:p w14:paraId="5C4E5BAF">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废气</w:t>
                  </w:r>
                </w:p>
              </w:tc>
              <w:tc>
                <w:tcPr>
                  <w:tcW w:w="1516" w:type="dxa"/>
                  <w:noWrap w:val="0"/>
                  <w:vAlign w:val="center"/>
                </w:tcPr>
                <w:p w14:paraId="23431BFE">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配粉粉尘</w:t>
                  </w:r>
                </w:p>
              </w:tc>
              <w:tc>
                <w:tcPr>
                  <w:tcW w:w="3000" w:type="dxa"/>
                  <w:noWrap w:val="0"/>
                  <w:vAlign w:val="center"/>
                </w:tcPr>
                <w:p w14:paraId="55A538F8">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配粉工序</w:t>
                  </w:r>
                </w:p>
              </w:tc>
              <w:tc>
                <w:tcPr>
                  <w:tcW w:w="2366" w:type="dxa"/>
                  <w:noWrap w:val="0"/>
                  <w:vAlign w:val="center"/>
                </w:tcPr>
                <w:p w14:paraId="26A090F5">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颗粒物</w:t>
                  </w:r>
                </w:p>
              </w:tc>
            </w:tr>
            <w:tr w14:paraId="07E40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51" w:type="dxa"/>
                  <w:vMerge w:val="continue"/>
                  <w:noWrap w:val="0"/>
                  <w:vAlign w:val="center"/>
                </w:tcPr>
                <w:p w14:paraId="19B4095D">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425" w:type="dxa"/>
                  <w:vMerge w:val="continue"/>
                  <w:noWrap w:val="0"/>
                  <w:vAlign w:val="center"/>
                </w:tcPr>
                <w:p w14:paraId="0A3469E1">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1516" w:type="dxa"/>
                  <w:vMerge w:val="restart"/>
                  <w:noWrap w:val="0"/>
                  <w:vAlign w:val="center"/>
                </w:tcPr>
                <w:p w14:paraId="3D0F582E">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cs="Times New Roman"/>
                      <w:b w:val="0"/>
                      <w:bCs/>
                      <w:color w:val="auto"/>
                      <w:sz w:val="21"/>
                      <w:szCs w:val="21"/>
                      <w:lang w:val="en-US" w:eastAsia="zh-CN"/>
                    </w:rPr>
                    <w:t>生产过程废气</w:t>
                  </w:r>
                </w:p>
              </w:tc>
              <w:tc>
                <w:tcPr>
                  <w:tcW w:w="3000" w:type="dxa"/>
                  <w:noWrap w:val="0"/>
                  <w:vAlign w:val="center"/>
                </w:tcPr>
                <w:p w14:paraId="5D7F5BF3">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重组胶原蛋白贴生产过程</w:t>
                  </w:r>
                </w:p>
              </w:tc>
              <w:tc>
                <w:tcPr>
                  <w:tcW w:w="2366" w:type="dxa"/>
                  <w:vMerge w:val="restart"/>
                  <w:noWrap w:val="0"/>
                  <w:vAlign w:val="center"/>
                </w:tcPr>
                <w:p w14:paraId="3C03A5DA">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cs="Times New Roman"/>
                      <w:b w:val="0"/>
                      <w:bCs/>
                      <w:color w:val="auto"/>
                      <w:sz w:val="21"/>
                      <w:szCs w:val="21"/>
                      <w:lang w:val="en-US" w:eastAsia="zh-CN"/>
                    </w:rPr>
                    <w:t>非甲烷总烃</w:t>
                  </w:r>
                </w:p>
              </w:tc>
            </w:tr>
            <w:tr w14:paraId="5835B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51" w:type="dxa"/>
                  <w:vMerge w:val="continue"/>
                  <w:noWrap w:val="0"/>
                  <w:vAlign w:val="center"/>
                </w:tcPr>
                <w:p w14:paraId="5A90A309">
                  <w:pPr>
                    <w:pStyle w:val="52"/>
                    <w:keepNext w:val="0"/>
                    <w:keepLines w:val="0"/>
                    <w:pageBreakBefore w:val="0"/>
                    <w:widowControl w:val="0"/>
                    <w:kinsoku/>
                    <w:wordWrap/>
                    <w:overflowPunct/>
                    <w:topLinePunct w:val="0"/>
                    <w:autoSpaceDE/>
                    <w:autoSpaceDN/>
                    <w:bidi w:val="0"/>
                    <w:spacing w:beforeLines="0" w:afterLines="0" w:line="240" w:lineRule="auto"/>
                    <w:ind w:firstLine="0"/>
                    <w:rPr>
                      <w:color w:val="auto"/>
                    </w:rPr>
                  </w:pPr>
                </w:p>
              </w:tc>
              <w:tc>
                <w:tcPr>
                  <w:tcW w:w="425" w:type="dxa"/>
                  <w:vMerge w:val="continue"/>
                  <w:noWrap w:val="0"/>
                  <w:vAlign w:val="center"/>
                </w:tcPr>
                <w:p w14:paraId="1D2CD406">
                  <w:pPr>
                    <w:pStyle w:val="52"/>
                    <w:keepNext w:val="0"/>
                    <w:keepLines w:val="0"/>
                    <w:pageBreakBefore w:val="0"/>
                    <w:widowControl w:val="0"/>
                    <w:kinsoku/>
                    <w:wordWrap/>
                    <w:overflowPunct/>
                    <w:topLinePunct w:val="0"/>
                    <w:autoSpaceDE/>
                    <w:autoSpaceDN/>
                    <w:bidi w:val="0"/>
                    <w:spacing w:beforeLines="0" w:afterLines="0" w:line="240" w:lineRule="auto"/>
                    <w:ind w:firstLine="0"/>
                    <w:rPr>
                      <w:color w:val="auto"/>
                    </w:rPr>
                  </w:pPr>
                </w:p>
              </w:tc>
              <w:tc>
                <w:tcPr>
                  <w:tcW w:w="1516" w:type="dxa"/>
                  <w:vMerge w:val="continue"/>
                  <w:noWrap w:val="0"/>
                  <w:vAlign w:val="center"/>
                </w:tcPr>
                <w:p w14:paraId="13E48454">
                  <w:pPr>
                    <w:pStyle w:val="52"/>
                    <w:keepNext w:val="0"/>
                    <w:keepLines w:val="0"/>
                    <w:pageBreakBefore w:val="0"/>
                    <w:widowControl w:val="0"/>
                    <w:kinsoku/>
                    <w:wordWrap/>
                    <w:overflowPunct/>
                    <w:topLinePunct w:val="0"/>
                    <w:autoSpaceDE/>
                    <w:autoSpaceDN/>
                    <w:bidi w:val="0"/>
                    <w:spacing w:beforeLines="0" w:afterLines="0" w:line="240" w:lineRule="auto"/>
                    <w:ind w:firstLine="0"/>
                    <w:rPr>
                      <w:color w:val="auto"/>
                    </w:rPr>
                  </w:pPr>
                </w:p>
              </w:tc>
              <w:tc>
                <w:tcPr>
                  <w:tcW w:w="3000" w:type="dxa"/>
                  <w:noWrap w:val="0"/>
                  <w:vAlign w:val="center"/>
                </w:tcPr>
                <w:p w14:paraId="45151460">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医用透明质酸钠敷贴生产过程</w:t>
                  </w:r>
                </w:p>
              </w:tc>
              <w:tc>
                <w:tcPr>
                  <w:tcW w:w="2366" w:type="dxa"/>
                  <w:vMerge w:val="continue"/>
                  <w:noWrap w:val="0"/>
                  <w:vAlign w:val="center"/>
                </w:tcPr>
                <w:p w14:paraId="2CEC7E57">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r>
            <w:tr w14:paraId="6D85B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51" w:type="dxa"/>
                  <w:vMerge w:val="continue"/>
                  <w:noWrap w:val="0"/>
                  <w:vAlign w:val="center"/>
                </w:tcPr>
                <w:p w14:paraId="1518F56A">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c>
                <w:tcPr>
                  <w:tcW w:w="425" w:type="dxa"/>
                  <w:vMerge w:val="continue"/>
                  <w:noWrap w:val="0"/>
                  <w:vAlign w:val="center"/>
                </w:tcPr>
                <w:p w14:paraId="5895A35B">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c>
                <w:tcPr>
                  <w:tcW w:w="1516" w:type="dxa"/>
                  <w:vMerge w:val="continue"/>
                  <w:noWrap w:val="0"/>
                  <w:vAlign w:val="center"/>
                </w:tcPr>
                <w:p w14:paraId="047E8934">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c>
                <w:tcPr>
                  <w:tcW w:w="3000" w:type="dxa"/>
                  <w:noWrap w:val="0"/>
                  <w:vAlign w:val="center"/>
                </w:tcPr>
                <w:p w14:paraId="10013BFA">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医用退热贴生产过程</w:t>
                  </w:r>
                </w:p>
              </w:tc>
              <w:tc>
                <w:tcPr>
                  <w:tcW w:w="2366" w:type="dxa"/>
                  <w:vMerge w:val="continue"/>
                  <w:noWrap w:val="0"/>
                  <w:vAlign w:val="center"/>
                </w:tcPr>
                <w:p w14:paraId="5B7A2020">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r>
            <w:tr w14:paraId="3B232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51" w:type="dxa"/>
                  <w:vMerge w:val="continue"/>
                  <w:noWrap w:val="0"/>
                  <w:vAlign w:val="center"/>
                </w:tcPr>
                <w:p w14:paraId="4A61354D">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c>
                <w:tcPr>
                  <w:tcW w:w="425" w:type="dxa"/>
                  <w:vMerge w:val="continue"/>
                  <w:noWrap w:val="0"/>
                  <w:vAlign w:val="center"/>
                </w:tcPr>
                <w:p w14:paraId="6C2CDBDD">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c>
                <w:tcPr>
                  <w:tcW w:w="1516" w:type="dxa"/>
                  <w:vMerge w:val="continue"/>
                  <w:noWrap w:val="0"/>
                  <w:vAlign w:val="center"/>
                </w:tcPr>
                <w:p w14:paraId="76C5366E">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c>
                <w:tcPr>
                  <w:tcW w:w="3000" w:type="dxa"/>
                  <w:noWrap w:val="0"/>
                  <w:vAlign w:val="center"/>
                </w:tcPr>
                <w:p w14:paraId="66C80062">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医用硅酮疤痕凝胶生产过程</w:t>
                  </w:r>
                </w:p>
              </w:tc>
              <w:tc>
                <w:tcPr>
                  <w:tcW w:w="2366" w:type="dxa"/>
                  <w:vMerge w:val="continue"/>
                  <w:noWrap w:val="0"/>
                  <w:vAlign w:val="center"/>
                </w:tcPr>
                <w:p w14:paraId="633146F7">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r>
            <w:tr w14:paraId="384BC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651" w:type="dxa"/>
                  <w:vMerge w:val="continue"/>
                  <w:noWrap w:val="0"/>
                  <w:vAlign w:val="center"/>
                </w:tcPr>
                <w:p w14:paraId="62ECCFE2">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c>
                <w:tcPr>
                  <w:tcW w:w="425" w:type="dxa"/>
                  <w:vMerge w:val="continue"/>
                  <w:noWrap w:val="0"/>
                  <w:vAlign w:val="center"/>
                </w:tcPr>
                <w:p w14:paraId="00BDB9FD">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c>
                <w:tcPr>
                  <w:tcW w:w="1516" w:type="dxa"/>
                  <w:vMerge w:val="continue"/>
                  <w:noWrap w:val="0"/>
                  <w:vAlign w:val="center"/>
                </w:tcPr>
                <w:p w14:paraId="56AAEC4D">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c>
                <w:tcPr>
                  <w:tcW w:w="3000" w:type="dxa"/>
                  <w:noWrap w:val="0"/>
                  <w:vAlign w:val="center"/>
                </w:tcPr>
                <w:p w14:paraId="0E0FB237">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冰凉贴生产过程</w:t>
                  </w:r>
                </w:p>
              </w:tc>
              <w:tc>
                <w:tcPr>
                  <w:tcW w:w="2366" w:type="dxa"/>
                  <w:vMerge w:val="continue"/>
                  <w:noWrap w:val="0"/>
                  <w:vAlign w:val="center"/>
                </w:tcPr>
                <w:p w14:paraId="63E83AB2">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eastAsia" w:ascii="Times New Roman" w:hAnsi="Times New Roman" w:eastAsia="宋体" w:cs="Times New Roman"/>
                      <w:b w:val="0"/>
                      <w:bCs/>
                      <w:color w:val="auto"/>
                      <w:sz w:val="21"/>
                      <w:szCs w:val="21"/>
                      <w:lang w:val="en-US" w:eastAsia="zh-CN"/>
                    </w:rPr>
                  </w:pPr>
                </w:p>
              </w:tc>
            </w:tr>
            <w:tr w14:paraId="430E0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51" w:type="dxa"/>
                  <w:vMerge w:val="continue"/>
                  <w:noWrap w:val="0"/>
                  <w:vAlign w:val="center"/>
                </w:tcPr>
                <w:p w14:paraId="306FF125">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425" w:type="dxa"/>
                  <w:vMerge w:val="continue"/>
                  <w:noWrap w:val="0"/>
                  <w:vAlign w:val="center"/>
                </w:tcPr>
                <w:p w14:paraId="41C42F08">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1516" w:type="dxa"/>
                  <w:noWrap w:val="0"/>
                  <w:vAlign w:val="center"/>
                </w:tcPr>
                <w:p w14:paraId="1F778EA2">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制胶废气</w:t>
                  </w:r>
                </w:p>
              </w:tc>
              <w:tc>
                <w:tcPr>
                  <w:tcW w:w="3000" w:type="dxa"/>
                  <w:noWrap w:val="0"/>
                  <w:vAlign w:val="center"/>
                </w:tcPr>
                <w:p w14:paraId="0D31AF09">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制胶工序</w:t>
                  </w:r>
                </w:p>
              </w:tc>
              <w:tc>
                <w:tcPr>
                  <w:tcW w:w="2366" w:type="dxa"/>
                  <w:noWrap w:val="0"/>
                  <w:vAlign w:val="center"/>
                </w:tcPr>
                <w:p w14:paraId="68C06D85">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非甲烷总烃</w:t>
                  </w:r>
                </w:p>
              </w:tc>
            </w:tr>
            <w:tr w14:paraId="259DE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651" w:type="dxa"/>
                  <w:vMerge w:val="continue"/>
                  <w:noWrap w:val="0"/>
                  <w:vAlign w:val="center"/>
                </w:tcPr>
                <w:p w14:paraId="021D38E7">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425" w:type="dxa"/>
                  <w:vMerge w:val="continue"/>
                  <w:noWrap w:val="0"/>
                  <w:vAlign w:val="center"/>
                </w:tcPr>
                <w:p w14:paraId="366B4197">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1516" w:type="dxa"/>
                  <w:noWrap w:val="0"/>
                  <w:vAlign w:val="center"/>
                </w:tcPr>
                <w:p w14:paraId="1042DDE9">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喷码废气</w:t>
                  </w:r>
                </w:p>
              </w:tc>
              <w:tc>
                <w:tcPr>
                  <w:tcW w:w="3000" w:type="dxa"/>
                  <w:noWrap w:val="0"/>
                  <w:vAlign w:val="center"/>
                </w:tcPr>
                <w:p w14:paraId="5E311FE7">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喷码工序</w:t>
                  </w:r>
                </w:p>
              </w:tc>
              <w:tc>
                <w:tcPr>
                  <w:tcW w:w="2366" w:type="dxa"/>
                  <w:noWrap w:val="0"/>
                  <w:vAlign w:val="center"/>
                </w:tcPr>
                <w:p w14:paraId="5847E53C">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非甲烷总烃</w:t>
                  </w:r>
                  <w:r>
                    <w:rPr>
                      <w:rFonts w:hint="eastAsia" w:ascii="Times New Roman" w:cs="Times New Roman"/>
                      <w:b w:val="0"/>
                      <w:bCs/>
                      <w:color w:val="auto"/>
                      <w:sz w:val="21"/>
                      <w:szCs w:val="21"/>
                      <w:lang w:val="en-US" w:eastAsia="zh-CN"/>
                    </w:rPr>
                    <w:t>、氨</w:t>
                  </w:r>
                </w:p>
              </w:tc>
            </w:tr>
            <w:tr w14:paraId="2D8D9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51" w:type="dxa"/>
                  <w:vMerge w:val="continue"/>
                  <w:noWrap w:val="0"/>
                  <w:vAlign w:val="center"/>
                </w:tcPr>
                <w:p w14:paraId="5DFAF6F3">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1941" w:type="dxa"/>
                  <w:gridSpan w:val="2"/>
                  <w:noWrap w:val="0"/>
                  <w:vAlign w:val="center"/>
                </w:tcPr>
                <w:p w14:paraId="21FBF06C">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噪声</w:t>
                  </w:r>
                </w:p>
              </w:tc>
              <w:tc>
                <w:tcPr>
                  <w:tcW w:w="3000" w:type="dxa"/>
                  <w:noWrap w:val="0"/>
                  <w:vAlign w:val="center"/>
                </w:tcPr>
                <w:p w14:paraId="28B12496">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生产工序</w:t>
                  </w:r>
                </w:p>
              </w:tc>
              <w:tc>
                <w:tcPr>
                  <w:tcW w:w="2366" w:type="dxa"/>
                  <w:noWrap w:val="0"/>
                  <w:vAlign w:val="center"/>
                </w:tcPr>
                <w:p w14:paraId="2B01F37B">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设备噪声</w:t>
                  </w:r>
                </w:p>
              </w:tc>
            </w:tr>
            <w:tr w14:paraId="6F2C1D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651" w:type="dxa"/>
                  <w:vMerge w:val="continue"/>
                  <w:noWrap w:val="0"/>
                  <w:vAlign w:val="center"/>
                </w:tcPr>
                <w:p w14:paraId="613FC6BD">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425" w:type="dxa"/>
                  <w:vMerge w:val="restart"/>
                  <w:noWrap w:val="0"/>
                  <w:vAlign w:val="center"/>
                </w:tcPr>
                <w:p w14:paraId="6328BD84">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固体废物</w:t>
                  </w:r>
                </w:p>
              </w:tc>
              <w:tc>
                <w:tcPr>
                  <w:tcW w:w="1516" w:type="dxa"/>
                  <w:noWrap w:val="0"/>
                  <w:vAlign w:val="center"/>
                </w:tcPr>
                <w:p w14:paraId="260E9AA6">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一般</w:t>
                  </w:r>
                  <w:r>
                    <w:rPr>
                      <w:rFonts w:hint="default" w:ascii="Times New Roman" w:hAnsi="Times New Roman" w:eastAsia="宋体" w:cs="Times New Roman"/>
                      <w:b w:val="0"/>
                      <w:bCs/>
                      <w:color w:val="auto"/>
                      <w:sz w:val="21"/>
                      <w:szCs w:val="21"/>
                    </w:rPr>
                    <w:t>固废</w:t>
                  </w:r>
                </w:p>
              </w:tc>
              <w:tc>
                <w:tcPr>
                  <w:tcW w:w="3000" w:type="dxa"/>
                  <w:noWrap w:val="0"/>
                  <w:vAlign w:val="center"/>
                </w:tcPr>
                <w:p w14:paraId="3AFED614">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lang w:val="en-US" w:eastAsia="zh-CN"/>
                    </w:rPr>
                    <w:t>生产</w:t>
                  </w:r>
                  <w:r>
                    <w:rPr>
                      <w:rFonts w:hint="default" w:ascii="Times New Roman" w:hAnsi="Times New Roman" w:eastAsia="宋体" w:cs="Times New Roman"/>
                      <w:b w:val="0"/>
                      <w:bCs/>
                      <w:color w:val="auto"/>
                      <w:sz w:val="21"/>
                      <w:szCs w:val="21"/>
                    </w:rPr>
                    <w:t>过程</w:t>
                  </w:r>
                </w:p>
              </w:tc>
              <w:tc>
                <w:tcPr>
                  <w:tcW w:w="2366" w:type="dxa"/>
                  <w:noWrap w:val="0"/>
                  <w:vAlign w:val="center"/>
                </w:tcPr>
                <w:p w14:paraId="29B0C1D2">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eastAsia="zh-CN"/>
                    </w:rPr>
                  </w:pPr>
                  <w:r>
                    <w:rPr>
                      <w:rFonts w:hint="eastAsia" w:ascii="Times New Roman" w:hAnsi="Times New Roman" w:eastAsia="宋体" w:cs="Times New Roman"/>
                      <w:b w:val="0"/>
                      <w:bCs/>
                      <w:color w:val="auto"/>
                      <w:sz w:val="21"/>
                      <w:szCs w:val="21"/>
                      <w:highlight w:val="none"/>
                      <w:lang w:val="en-US" w:eastAsia="zh-CN"/>
                    </w:rPr>
                    <w:t>废包装材料、纯水机耗材、</w:t>
                  </w:r>
                  <w:r>
                    <w:rPr>
                      <w:rFonts w:hint="eastAsia" w:ascii="Times New Roman" w:hAnsi="Times New Roman" w:eastAsia="宋体" w:cs="Times New Roman"/>
                      <w:b w:val="0"/>
                      <w:bCs/>
                      <w:color w:val="auto"/>
                      <w:spacing w:val="0"/>
                      <w:sz w:val="21"/>
                      <w:szCs w:val="21"/>
                      <w:lang w:val="en-US" w:eastAsia="zh-CN"/>
                    </w:rPr>
                    <w:t>不合格品、</w:t>
                  </w:r>
                  <w:r>
                    <w:rPr>
                      <w:rFonts w:hint="eastAsia" w:cs="Times New Roman"/>
                      <w:b w:val="0"/>
                      <w:bCs/>
                      <w:color w:val="auto"/>
                      <w:spacing w:val="0"/>
                      <w:sz w:val="21"/>
                      <w:szCs w:val="21"/>
                      <w:lang w:val="en-US" w:eastAsia="zh-CN"/>
                    </w:rPr>
                    <w:t>边角料</w:t>
                  </w:r>
                </w:p>
              </w:tc>
            </w:tr>
            <w:tr w14:paraId="1F30D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651" w:type="dxa"/>
                  <w:vMerge w:val="continue"/>
                  <w:noWrap w:val="0"/>
                  <w:vAlign w:val="center"/>
                </w:tcPr>
                <w:p w14:paraId="67A1B76D">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425" w:type="dxa"/>
                  <w:vMerge w:val="continue"/>
                  <w:noWrap w:val="0"/>
                  <w:vAlign w:val="center"/>
                </w:tcPr>
                <w:p w14:paraId="72904DA5">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1516" w:type="dxa"/>
                  <w:noWrap w:val="0"/>
                  <w:vAlign w:val="center"/>
                </w:tcPr>
                <w:p w14:paraId="2656A852">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危险废物</w:t>
                  </w:r>
                </w:p>
              </w:tc>
              <w:tc>
                <w:tcPr>
                  <w:tcW w:w="3000" w:type="dxa"/>
                  <w:noWrap w:val="0"/>
                  <w:vAlign w:val="center"/>
                </w:tcPr>
                <w:p w14:paraId="567E6B55">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生产过程</w:t>
                  </w:r>
                </w:p>
              </w:tc>
              <w:tc>
                <w:tcPr>
                  <w:tcW w:w="2366" w:type="dxa"/>
                  <w:noWrap w:val="0"/>
                  <w:vAlign w:val="center"/>
                </w:tcPr>
                <w:p w14:paraId="704C97CE">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pacing w:val="0"/>
                      <w:sz w:val="21"/>
                      <w:szCs w:val="21"/>
                      <w:lang w:val="en-US" w:eastAsia="zh-CN"/>
                    </w:rPr>
                    <w:t>实验废液、</w:t>
                  </w:r>
                  <w:r>
                    <w:rPr>
                      <w:rFonts w:hint="eastAsia" w:ascii="Times New Roman" w:hAnsi="Times New Roman" w:eastAsia="宋体" w:cs="Times New Roman"/>
                      <w:b w:val="0"/>
                      <w:bCs/>
                      <w:color w:val="auto"/>
                      <w:sz w:val="21"/>
                      <w:szCs w:val="21"/>
                      <w:highlight w:val="none"/>
                      <w:lang w:val="en-US" w:eastAsia="zh-CN"/>
                    </w:rPr>
                    <w:t>废油墨桶、废热熔胶桶、废矿物油、废矿物油桶、废含油抹布及手套</w:t>
                  </w:r>
                </w:p>
              </w:tc>
            </w:tr>
            <w:tr w14:paraId="073BB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1" w:type="dxa"/>
                  <w:vMerge w:val="continue"/>
                  <w:noWrap w:val="0"/>
                  <w:vAlign w:val="center"/>
                </w:tcPr>
                <w:p w14:paraId="2A81AD46">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425" w:type="dxa"/>
                  <w:vMerge w:val="continue"/>
                  <w:noWrap w:val="0"/>
                  <w:vAlign w:val="center"/>
                </w:tcPr>
                <w:p w14:paraId="74EB2C9F">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p>
              </w:tc>
              <w:tc>
                <w:tcPr>
                  <w:tcW w:w="1516" w:type="dxa"/>
                  <w:noWrap w:val="0"/>
                  <w:vAlign w:val="center"/>
                </w:tcPr>
                <w:p w14:paraId="23457C34">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生活垃圾</w:t>
                  </w:r>
                </w:p>
              </w:tc>
              <w:tc>
                <w:tcPr>
                  <w:tcW w:w="3000" w:type="dxa"/>
                  <w:noWrap w:val="0"/>
                  <w:vAlign w:val="center"/>
                </w:tcPr>
                <w:p w14:paraId="0E3FFC2A">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员工日常生活</w:t>
                  </w:r>
                </w:p>
              </w:tc>
              <w:tc>
                <w:tcPr>
                  <w:tcW w:w="2366" w:type="dxa"/>
                  <w:noWrap w:val="0"/>
                  <w:vAlign w:val="center"/>
                </w:tcPr>
                <w:p w14:paraId="37FC3119">
                  <w:pPr>
                    <w:pStyle w:val="52"/>
                    <w:keepNext w:val="0"/>
                    <w:keepLines w:val="0"/>
                    <w:pageBreakBefore w:val="0"/>
                    <w:widowControl w:val="0"/>
                    <w:kinsoku/>
                    <w:wordWrap/>
                    <w:overflowPunct/>
                    <w:topLinePunct w:val="0"/>
                    <w:autoSpaceDE/>
                    <w:autoSpaceDN/>
                    <w:bidi w:val="0"/>
                    <w:spacing w:beforeLines="0" w:afterLines="0" w:line="240" w:lineRule="auto"/>
                    <w:ind w:firstLine="0"/>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生活垃圾</w:t>
                  </w:r>
                </w:p>
              </w:tc>
            </w:tr>
          </w:tbl>
          <w:p w14:paraId="7C9DB731">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Cs/>
                <w:color w:val="auto"/>
                <w:sz w:val="24"/>
                <w:szCs w:val="21"/>
                <w:lang w:val="en-US" w:eastAsia="zh-CN"/>
              </w:rPr>
            </w:pPr>
          </w:p>
        </w:tc>
      </w:tr>
      <w:tr w14:paraId="2B569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23" w:hRule="atLeast"/>
          <w:jc w:val="center"/>
        </w:trPr>
        <w:tc>
          <w:tcPr>
            <w:tcW w:w="803" w:type="dxa"/>
            <w:noWrap w:val="0"/>
            <w:vAlign w:val="center"/>
          </w:tcPr>
          <w:p w14:paraId="48F3CAC2">
            <w:pPr>
              <w:pStyle w:val="20"/>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8257" w:type="dxa"/>
            <w:noWrap w:val="0"/>
            <w:vAlign w:val="center"/>
          </w:tcPr>
          <w:p w14:paraId="3F99C87F">
            <w:pPr>
              <w:keepNext w:val="0"/>
              <w:keepLines w:val="0"/>
              <w:pageBreakBefore w:val="0"/>
              <w:widowControl w:val="0"/>
              <w:kinsoku/>
              <w:wordWrap/>
              <w:overflowPunct/>
              <w:topLinePunct w:val="0"/>
              <w:autoSpaceDE/>
              <w:autoSpaceDN/>
              <w:bidi w:val="0"/>
              <w:adjustRightInd/>
              <w:snapToGrid/>
              <w:spacing w:line="360" w:lineRule="auto"/>
              <w:ind w:leftChars="0" w:firstLine="482" w:firstLineChars="200"/>
              <w:jc w:val="both"/>
              <w:textAlignment w:val="auto"/>
              <w:rPr>
                <w:rFonts w:hint="eastAsia" w:ascii="Times New Roman" w:hAnsi="Times New Roman" w:eastAsia="宋体" w:cs="Times New Roman"/>
                <w:color w:val="auto"/>
                <w:kern w:val="2"/>
                <w:sz w:val="24"/>
                <w:szCs w:val="24"/>
                <w:highlight w:val="none"/>
                <w:u w:val="none"/>
                <w:lang w:val="en-US" w:eastAsia="zh-CN" w:bidi="ar-SA"/>
              </w:rPr>
            </w:pPr>
            <w:r>
              <w:rPr>
                <w:rFonts w:hint="eastAsia"/>
                <w:b/>
                <w:bCs/>
                <w:color w:val="auto"/>
                <w:sz w:val="24"/>
                <w:lang w:val="en-US" w:eastAsia="zh-CN"/>
              </w:rPr>
              <w:t>一、现有项目环保手续相关情况说明</w:t>
            </w:r>
            <w:r>
              <w:rPr>
                <w:b/>
                <w:bCs/>
                <w:color w:val="auto"/>
                <w:sz w:val="24"/>
              </w:rPr>
              <w:t>：</w:t>
            </w:r>
          </w:p>
          <w:p w14:paraId="7D40B564">
            <w:pPr>
              <w:adjustRightInd w:val="0"/>
              <w:snapToGrid w:val="0"/>
              <w:spacing w:line="360" w:lineRule="auto"/>
              <w:ind w:firstLine="480" w:firstLineChars="200"/>
              <w:jc w:val="both"/>
              <w:rPr>
                <w:rFonts w:hint="eastAsia" w:ascii="Times New Roman" w:hAnsi="Times New Roman"/>
                <w:color w:val="auto"/>
                <w:sz w:val="24"/>
                <w:szCs w:val="24"/>
                <w:lang w:val="en-US" w:eastAsia="zh-CN"/>
              </w:rPr>
            </w:pPr>
            <w:r>
              <w:rPr>
                <w:rFonts w:hint="eastAsia" w:ascii="Times New Roman" w:hAnsi="Times New Roman" w:eastAsia="宋体" w:cs="Times New Roman"/>
                <w:color w:val="auto"/>
                <w:kern w:val="2"/>
                <w:sz w:val="24"/>
                <w:szCs w:val="24"/>
                <w:highlight w:val="none"/>
                <w:u w:val="none"/>
                <w:lang w:val="en-US" w:eastAsia="zh-CN" w:bidi="ar-SA"/>
              </w:rPr>
              <w:t>2023年6月21日委托江西领航环保有限公司编制了《江西捷报频传药业有限公司建设项目》</w:t>
            </w:r>
            <w:r>
              <w:rPr>
                <w:rFonts w:hint="default" w:ascii="Times New Roman" w:hAnsi="Times New Roman" w:eastAsia="宋体" w:cs="Times New Roman"/>
                <w:color w:val="auto"/>
                <w:kern w:val="2"/>
                <w:sz w:val="24"/>
                <w:szCs w:val="24"/>
                <w:highlight w:val="none"/>
                <w:u w:val="none"/>
                <w:lang w:val="en-US" w:eastAsia="zh-CN" w:bidi="ar-SA"/>
              </w:rPr>
              <w:t>，</w:t>
            </w:r>
            <w:r>
              <w:rPr>
                <w:rFonts w:hint="eastAsia" w:ascii="Times New Roman" w:hAnsi="Times New Roman" w:eastAsia="宋体" w:cs="Times New Roman"/>
                <w:color w:val="auto"/>
                <w:kern w:val="2"/>
                <w:sz w:val="24"/>
                <w:szCs w:val="24"/>
                <w:highlight w:val="none"/>
                <w:u w:val="none"/>
                <w:lang w:val="en-US" w:eastAsia="zh-CN" w:bidi="ar-SA"/>
              </w:rPr>
              <w:t>并于</w:t>
            </w:r>
            <w:r>
              <w:rPr>
                <w:rFonts w:hint="default" w:ascii="Times New Roman" w:hAnsi="Times New Roman" w:eastAsia="宋体" w:cs="Times New Roman"/>
                <w:color w:val="auto"/>
                <w:kern w:val="2"/>
                <w:sz w:val="24"/>
                <w:szCs w:val="24"/>
                <w:highlight w:val="none"/>
                <w:u w:val="none"/>
                <w:lang w:val="en-US" w:eastAsia="zh-CN" w:bidi="ar-SA"/>
              </w:rPr>
              <w:t>20</w:t>
            </w:r>
            <w:r>
              <w:rPr>
                <w:rFonts w:hint="eastAsia" w:ascii="Times New Roman" w:hAnsi="Times New Roman" w:eastAsia="宋体" w:cs="Times New Roman"/>
                <w:color w:val="auto"/>
                <w:kern w:val="2"/>
                <w:sz w:val="24"/>
                <w:szCs w:val="24"/>
                <w:highlight w:val="none"/>
                <w:u w:val="none"/>
                <w:lang w:val="en-US" w:eastAsia="zh-CN" w:bidi="ar-SA"/>
              </w:rPr>
              <w:t>23</w:t>
            </w:r>
            <w:r>
              <w:rPr>
                <w:rFonts w:hint="default" w:ascii="Times New Roman" w:hAnsi="Times New Roman" w:eastAsia="宋体" w:cs="Times New Roman"/>
                <w:color w:val="auto"/>
                <w:kern w:val="2"/>
                <w:sz w:val="24"/>
                <w:szCs w:val="24"/>
                <w:highlight w:val="none"/>
                <w:u w:val="none"/>
                <w:lang w:val="en-US" w:eastAsia="zh-CN" w:bidi="ar-SA"/>
              </w:rPr>
              <w:t>年</w:t>
            </w:r>
            <w:r>
              <w:rPr>
                <w:rFonts w:hint="eastAsia" w:ascii="Times New Roman" w:hAnsi="Times New Roman" w:eastAsia="宋体" w:cs="Times New Roman"/>
                <w:color w:val="auto"/>
                <w:kern w:val="2"/>
                <w:sz w:val="24"/>
                <w:szCs w:val="24"/>
                <w:highlight w:val="none"/>
                <w:u w:val="none"/>
                <w:lang w:val="en-US" w:eastAsia="zh-CN" w:bidi="ar-SA"/>
              </w:rPr>
              <w:t>11</w:t>
            </w:r>
            <w:r>
              <w:rPr>
                <w:rFonts w:hint="default" w:ascii="Times New Roman" w:hAnsi="Times New Roman" w:eastAsia="宋体" w:cs="Times New Roman"/>
                <w:color w:val="auto"/>
                <w:kern w:val="2"/>
                <w:sz w:val="24"/>
                <w:szCs w:val="24"/>
                <w:highlight w:val="none"/>
                <w:u w:val="none"/>
                <w:lang w:val="en-US" w:eastAsia="zh-CN" w:bidi="ar-SA"/>
              </w:rPr>
              <w:t>月</w:t>
            </w:r>
            <w:r>
              <w:rPr>
                <w:rFonts w:hint="eastAsia" w:ascii="Times New Roman" w:hAnsi="Times New Roman" w:eastAsia="宋体" w:cs="Times New Roman"/>
                <w:color w:val="auto"/>
                <w:kern w:val="2"/>
                <w:sz w:val="24"/>
                <w:szCs w:val="24"/>
                <w:highlight w:val="none"/>
                <w:u w:val="none"/>
                <w:lang w:val="en-US" w:eastAsia="zh-CN" w:bidi="ar-SA"/>
              </w:rPr>
              <w:t>20</w:t>
            </w:r>
            <w:r>
              <w:rPr>
                <w:rFonts w:hint="default" w:ascii="Times New Roman" w:hAnsi="Times New Roman" w:eastAsia="宋体" w:cs="Times New Roman"/>
                <w:color w:val="auto"/>
                <w:kern w:val="2"/>
                <w:sz w:val="24"/>
                <w:szCs w:val="24"/>
                <w:highlight w:val="none"/>
                <w:u w:val="none"/>
                <w:lang w:val="en-US" w:eastAsia="zh-CN" w:bidi="ar-SA"/>
              </w:rPr>
              <w:t>日取得</w:t>
            </w:r>
            <w:r>
              <w:rPr>
                <w:rFonts w:hint="eastAsia" w:ascii="Times New Roman" w:hAnsi="Times New Roman" w:eastAsia="宋体" w:cs="Times New Roman"/>
                <w:color w:val="auto"/>
                <w:kern w:val="2"/>
                <w:sz w:val="24"/>
                <w:szCs w:val="24"/>
                <w:highlight w:val="none"/>
                <w:u w:val="none"/>
                <w:lang w:val="en-US" w:eastAsia="zh-CN" w:bidi="ar-SA"/>
              </w:rPr>
              <w:t>九江市庐山生态环境局</w:t>
            </w:r>
            <w:r>
              <w:rPr>
                <w:rFonts w:hint="default" w:ascii="Times New Roman" w:hAnsi="Times New Roman" w:eastAsia="宋体" w:cs="Times New Roman"/>
                <w:color w:val="auto"/>
                <w:kern w:val="2"/>
                <w:sz w:val="24"/>
                <w:szCs w:val="24"/>
                <w:highlight w:val="none"/>
                <w:u w:val="none"/>
                <w:lang w:val="en-US" w:eastAsia="zh-CN" w:bidi="ar-SA"/>
              </w:rPr>
              <w:t>关于《</w:t>
            </w:r>
            <w:r>
              <w:rPr>
                <w:rFonts w:hint="eastAsia" w:ascii="Times New Roman" w:hAnsi="Times New Roman" w:eastAsia="宋体" w:cs="Times New Roman"/>
                <w:color w:val="auto"/>
                <w:sz w:val="24"/>
                <w:lang w:val="en-US" w:eastAsia="zh-CN"/>
              </w:rPr>
              <w:t>关于江西捷报频传药业有限公司建设项目环境影响评价文件的审批意见</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九庐环审〔2023〕</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1号</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w:t>
            </w:r>
          </w:p>
          <w:p w14:paraId="13368203">
            <w:pPr>
              <w:adjustRightInd w:val="0"/>
              <w:snapToGrid w:val="0"/>
              <w:spacing w:line="360" w:lineRule="auto"/>
              <w:ind w:firstLine="480" w:firstLineChars="200"/>
              <w:jc w:val="both"/>
              <w:rPr>
                <w:rFonts w:hint="eastAsia" w:ascii="Times New Roman" w:hAnsi="Times New Roman"/>
                <w:color w:val="auto"/>
                <w:sz w:val="24"/>
                <w:szCs w:val="24"/>
                <w:lang w:val="en-US" w:eastAsia="zh-CN"/>
              </w:rPr>
            </w:pPr>
            <w:r>
              <w:rPr>
                <w:rFonts w:hint="eastAsia" w:ascii="Times New Roman" w:hAnsi="Times New Roman" w:eastAsia="宋体" w:cs="Times New Roman"/>
                <w:color w:val="auto"/>
                <w:sz w:val="24"/>
              </w:rPr>
              <w:t>根据建设单位提供信息，原评价项目</w:t>
            </w:r>
            <w:r>
              <w:rPr>
                <w:rFonts w:hint="eastAsia" w:ascii="Times New Roman" w:hAnsi="Times New Roman" w:eastAsia="宋体" w:cs="Times New Roman"/>
                <w:color w:val="auto"/>
                <w:sz w:val="24"/>
                <w:lang w:val="en-US" w:eastAsia="zh-CN"/>
              </w:rPr>
              <w:t>产品为</w:t>
            </w:r>
            <w:r>
              <w:rPr>
                <w:rFonts w:hint="default" w:ascii="Times New Roman" w:hAnsi="Times New Roman" w:eastAsia="宋体" w:cs="Times New Roman"/>
                <w:color w:val="auto"/>
                <w:sz w:val="24"/>
                <w:lang w:val="en-US" w:eastAsia="zh-CN"/>
              </w:rPr>
              <w:t>退热贴</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生理性海水鼻腔喷雾剂</w:t>
            </w:r>
            <w:r>
              <w:rPr>
                <w:rFonts w:hint="eastAsia" w:ascii="Times New Roman" w:hAnsi="Times New Roman" w:eastAsia="宋体" w:cs="Times New Roman"/>
                <w:color w:val="auto"/>
                <w:sz w:val="24"/>
                <w:lang w:val="en-US" w:eastAsia="zh-CN"/>
              </w:rPr>
              <w:t>和</w:t>
            </w:r>
            <w:r>
              <w:rPr>
                <w:rFonts w:hint="default" w:ascii="Times New Roman" w:hAnsi="Times New Roman" w:eastAsia="宋体" w:cs="Times New Roman"/>
                <w:color w:val="auto"/>
                <w:sz w:val="24"/>
                <w:lang w:val="en-US" w:eastAsia="zh-CN"/>
              </w:rPr>
              <w:t>硅酮疤痕凝胶</w:t>
            </w:r>
            <w:r>
              <w:rPr>
                <w:rFonts w:hint="eastAsia" w:ascii="Times New Roman" w:hAnsi="Times New Roman" w:eastAsia="宋体" w:cs="Times New Roman"/>
                <w:color w:val="auto"/>
                <w:sz w:val="24"/>
                <w:lang w:val="en-US" w:eastAsia="zh-CN"/>
              </w:rPr>
              <w:t>，但根据市场需求，</w:t>
            </w:r>
            <w:r>
              <w:rPr>
                <w:rFonts w:hint="eastAsia" w:ascii="Times New Roman" w:hAnsi="Times New Roman" w:eastAsia="宋体" w:cs="Times New Roman"/>
                <w:color w:val="auto"/>
                <w:sz w:val="24"/>
              </w:rPr>
              <w:t>建设单位</w:t>
            </w:r>
            <w:r>
              <w:rPr>
                <w:rFonts w:hint="eastAsia" w:ascii="Times New Roman" w:hAnsi="Times New Roman" w:eastAsia="宋体" w:cs="Times New Roman"/>
                <w:color w:val="auto"/>
                <w:sz w:val="24"/>
                <w:lang w:val="en-US" w:eastAsia="zh-CN"/>
              </w:rPr>
              <w:t>新增了产品（</w:t>
            </w:r>
            <w:r>
              <w:rPr>
                <w:rFonts w:hint="eastAsia" w:ascii="Times New Roman" w:hAnsi="Times New Roman" w:eastAsia="宋体" w:cs="Times New Roman"/>
                <w:color w:val="auto"/>
                <w:sz w:val="24"/>
              </w:rPr>
              <w:t>穴位压力刺激贴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通气鼻贴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重组胶原蛋白贴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壳聚糖止血粉</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医用透明质酸钠敷贴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创口贴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晕车贴</w:t>
            </w:r>
            <w:r>
              <w:rPr>
                <w:rFonts w:hint="eastAsia" w:ascii="Times New Roman" w:hAnsi="Times New Roman" w:eastAsia="宋体" w:cs="Times New Roman"/>
                <w:color w:val="auto"/>
                <w:sz w:val="24"/>
                <w:lang w:val="en-US" w:eastAsia="zh-CN"/>
              </w:rPr>
              <w:t>及</w:t>
            </w:r>
            <w:r>
              <w:rPr>
                <w:rFonts w:hint="default" w:ascii="Times New Roman" w:hAnsi="Times New Roman" w:eastAsia="宋体" w:cs="Times New Roman"/>
                <w:color w:val="auto"/>
                <w:sz w:val="24"/>
                <w:lang w:val="en-US" w:eastAsia="zh-CN"/>
              </w:rPr>
              <w:t>贴</w:t>
            </w:r>
            <w:r>
              <w:rPr>
                <w:rFonts w:hint="eastAsia" w:ascii="Times New Roman" w:hAnsi="Times New Roman" w:eastAsia="宋体" w:cs="Times New Roman"/>
                <w:color w:val="auto"/>
                <w:sz w:val="24"/>
              </w:rPr>
              <w:t>三伏贴</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rPr>
              <w:t>。</w:t>
            </w:r>
          </w:p>
          <w:p w14:paraId="3E56DB6F">
            <w:pPr>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hint="eastAsia"/>
                <w:color w:val="auto"/>
                <w:sz w:val="24"/>
                <w:szCs w:val="24"/>
                <w:lang w:val="en-US" w:eastAsia="zh-CN"/>
              </w:rPr>
            </w:pPr>
            <w:r>
              <w:rPr>
                <w:rFonts w:hint="eastAsia"/>
                <w:color w:val="auto"/>
                <w:sz w:val="24"/>
                <w:szCs w:val="24"/>
                <w:lang w:val="en-US" w:eastAsia="zh-CN"/>
              </w:rPr>
              <w:t>二、现有项目生产工艺</w:t>
            </w:r>
          </w:p>
          <w:p w14:paraId="34149A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val="0"/>
                <w:bCs/>
                <w:color w:val="auto"/>
                <w:sz w:val="24"/>
                <w:szCs w:val="21"/>
                <w:lang w:val="en-US" w:eastAsia="zh-CN"/>
              </w:rPr>
              <w:t>1、医用退热贴</w:t>
            </w:r>
          </w:p>
          <w:p w14:paraId="0A292A8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drawing>
                <wp:inline distT="0" distB="0" distL="114300" distR="114300">
                  <wp:extent cx="4869815" cy="1270000"/>
                  <wp:effectExtent l="0" t="0" r="6985" b="0"/>
                  <wp:docPr id="26" name="ECB019B1-382A-4266-B25C-5B523AA43C14-1" descr="C:/Users/df/AppData/Local/Temp/wps.NmTDa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CB019B1-382A-4266-B25C-5B523AA43C14-1" descr="C:/Users/df/AppData/Local/Temp/wps.NmTDapwps"/>
                          <pic:cNvPicPr>
                            <a:picLocks noChangeAspect="1"/>
                          </pic:cNvPicPr>
                        </pic:nvPicPr>
                        <pic:blipFill>
                          <a:blip r:embed="rId67"/>
                          <a:srcRect l="3768" t="17407" r="3037" b="5846"/>
                          <a:stretch>
                            <a:fillRect/>
                          </a:stretch>
                        </pic:blipFill>
                        <pic:spPr>
                          <a:xfrm>
                            <a:off x="0" y="0"/>
                            <a:ext cx="4869815" cy="1270000"/>
                          </a:xfrm>
                          <a:prstGeom prst="rect">
                            <a:avLst/>
                          </a:prstGeom>
                        </pic:spPr>
                      </pic:pic>
                    </a:graphicData>
                  </a:graphic>
                </wp:inline>
              </w:drawing>
            </w:r>
          </w:p>
          <w:p w14:paraId="5CBFB0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2、生理性海水喷雾</w:t>
            </w:r>
          </w:p>
          <w:p w14:paraId="5D1955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bCs/>
                <w:color w:val="auto"/>
                <w:sz w:val="24"/>
                <w:szCs w:val="21"/>
                <w:lang w:val="en-US" w:eastAsia="zh-CN"/>
              </w:rPr>
            </w:pPr>
            <w:r>
              <w:rPr>
                <w:rFonts w:hint="default" w:ascii="Times New Roman" w:hAnsi="Times New Roman" w:eastAsia="宋体" w:cs="Times New Roman"/>
                <w:bCs/>
                <w:color w:val="auto"/>
                <w:sz w:val="24"/>
                <w:szCs w:val="21"/>
                <w:lang w:val="en-US" w:eastAsia="zh-CN"/>
              </w:rPr>
              <w:drawing>
                <wp:inline distT="0" distB="0" distL="114300" distR="114300">
                  <wp:extent cx="3220085" cy="1175385"/>
                  <wp:effectExtent l="0" t="0" r="18415" b="0"/>
                  <wp:docPr id="40"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CB019B1-382A-4266-B25C-5B523AA43C14-2" descr="wps"/>
                          <pic:cNvPicPr>
                            <a:picLocks noChangeAspect="1"/>
                          </pic:cNvPicPr>
                        </pic:nvPicPr>
                        <pic:blipFill>
                          <a:blip r:embed="rId68"/>
                          <a:srcRect l="9413" t="22157" r="3843" b="4385"/>
                          <a:stretch>
                            <a:fillRect/>
                          </a:stretch>
                        </pic:blipFill>
                        <pic:spPr>
                          <a:xfrm>
                            <a:off x="0" y="0"/>
                            <a:ext cx="3220085" cy="1175385"/>
                          </a:xfrm>
                          <a:prstGeom prst="rect">
                            <a:avLst/>
                          </a:prstGeom>
                        </pic:spPr>
                      </pic:pic>
                    </a:graphicData>
                  </a:graphic>
                </wp:inline>
              </w:drawing>
            </w:r>
          </w:p>
          <w:p w14:paraId="122F49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配置与灌装皆在十万级净化区域内完成。</w:t>
            </w:r>
          </w:p>
          <w:p w14:paraId="1FD459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3、硅酮凝胶敷料</w:t>
            </w:r>
          </w:p>
          <w:p w14:paraId="443129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bCs/>
                <w:color w:val="auto"/>
                <w:sz w:val="24"/>
                <w:szCs w:val="21"/>
                <w:lang w:val="en-US" w:eastAsia="zh-CN"/>
              </w:rPr>
            </w:pPr>
            <w:r>
              <w:rPr>
                <w:rFonts w:hint="default" w:ascii="Times New Roman" w:hAnsi="Times New Roman" w:eastAsia="宋体" w:cs="Times New Roman"/>
                <w:bCs/>
                <w:color w:val="auto"/>
                <w:sz w:val="24"/>
                <w:szCs w:val="21"/>
                <w:lang w:val="en-US" w:eastAsia="zh-CN"/>
              </w:rPr>
              <w:drawing>
                <wp:inline distT="0" distB="0" distL="114300" distR="114300">
                  <wp:extent cx="3362960" cy="880110"/>
                  <wp:effectExtent l="0" t="0" r="0" b="0"/>
                  <wp:docPr id="41"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B019B1-382A-4266-B25C-5B523AA43C14-3" descr="wps"/>
                          <pic:cNvPicPr>
                            <a:picLocks noChangeAspect="1"/>
                          </pic:cNvPicPr>
                        </pic:nvPicPr>
                        <pic:blipFill>
                          <a:blip r:embed="rId69"/>
                          <a:srcRect l="7557" t="18280" r="2519" b="6629"/>
                          <a:stretch>
                            <a:fillRect/>
                          </a:stretch>
                        </pic:blipFill>
                        <pic:spPr>
                          <a:xfrm>
                            <a:off x="0" y="0"/>
                            <a:ext cx="3362960" cy="880110"/>
                          </a:xfrm>
                          <a:prstGeom prst="rect">
                            <a:avLst/>
                          </a:prstGeom>
                        </pic:spPr>
                      </pic:pic>
                    </a:graphicData>
                  </a:graphic>
                </wp:inline>
              </w:drawing>
            </w:r>
          </w:p>
          <w:p w14:paraId="2314D9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配置与灌装皆在十万级净化区域内完成。</w:t>
            </w:r>
          </w:p>
          <w:p w14:paraId="12D6E19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val="0"/>
                <w:color w:val="auto"/>
                <w:sz w:val="24"/>
                <w:szCs w:val="21"/>
                <w:lang w:val="en-US" w:eastAsia="zh-CN"/>
              </w:rPr>
            </w:pPr>
            <w:r>
              <w:rPr>
                <w:rFonts w:hint="eastAsia" w:ascii="Times New Roman" w:hAnsi="Times New Roman" w:eastAsia="宋体" w:cs="Times New Roman"/>
                <w:b/>
                <w:bCs w:val="0"/>
                <w:color w:val="auto"/>
                <w:sz w:val="24"/>
                <w:szCs w:val="21"/>
                <w:lang w:val="en-US" w:eastAsia="zh-CN"/>
              </w:rPr>
              <w:t>部分工艺说明</w:t>
            </w:r>
          </w:p>
          <w:p w14:paraId="5F1E63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val="0"/>
                <w:bCs/>
                <w:color w:val="auto"/>
                <w:sz w:val="24"/>
                <w:szCs w:val="21"/>
                <w:lang w:val="en-US" w:eastAsia="zh-CN"/>
              </w:rPr>
              <w:t>①配粉：按照配方表依次叠加的方法将粉类原料装入PVC袋中混合备用；按定量量配好份数，记为混合粉。</w:t>
            </w:r>
          </w:p>
          <w:p w14:paraId="230B8A89">
            <w:pPr>
              <w:pStyle w:val="37"/>
              <w:keepNext w:val="0"/>
              <w:keepLines w:val="0"/>
              <w:pageBreakBefore w:val="0"/>
              <w:widowControl w:val="0"/>
              <w:kinsoku/>
              <w:wordWrap/>
              <w:overflowPunct/>
              <w:topLinePunct w:val="0"/>
              <w:bidi w:val="0"/>
              <w:adjustRightInd w:val="0"/>
              <w:spacing w:before="0" w:after="0" w:line="360" w:lineRule="auto"/>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②配水：按配方表以及生产数量要求，称好相应水的质量；依次往搅拌锅中添加酒石酸、分散液、作用剂、增粘剂等，同时搅拌均匀。称为配比水。</w:t>
            </w:r>
          </w:p>
          <w:p w14:paraId="0D8B30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val="0"/>
                <w:bCs/>
                <w:color w:val="auto"/>
                <w:sz w:val="24"/>
                <w:szCs w:val="21"/>
                <w:lang w:val="en-US" w:eastAsia="zh-CN"/>
              </w:rPr>
              <w:t>③制浆：将定量的甘油放入搅拌锅中，加入混合粉，同时用搅拌棍不停搅拌；将搅拌锅安装在搅拌机上，在常温下使用搅拌机继续搅拌，直到搅拌均匀，至无颗粒状粉团为止。</w:t>
            </w:r>
          </w:p>
          <w:p w14:paraId="306DA5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val="0"/>
                <w:bCs/>
                <w:color w:val="auto"/>
                <w:sz w:val="24"/>
                <w:szCs w:val="21"/>
                <w:lang w:val="en-US" w:eastAsia="zh-CN"/>
              </w:rPr>
              <w:t>④固化：将已经涂布好的胶体进行常温固化，根据季节变化、温度、湿度不同，固化时间也不同。</w:t>
            </w:r>
          </w:p>
          <w:p w14:paraId="0420DB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1"/>
                <w:lang w:val="en-US" w:eastAsia="zh-CN"/>
              </w:rPr>
            </w:pPr>
            <w:r>
              <w:rPr>
                <w:rFonts w:hint="eastAsia" w:ascii="Times New Roman" w:hAnsi="Times New Roman" w:eastAsia="宋体" w:cs="Times New Roman"/>
                <w:b w:val="0"/>
                <w:bCs/>
                <w:color w:val="auto"/>
                <w:sz w:val="24"/>
                <w:szCs w:val="21"/>
                <w:lang w:val="en-US" w:eastAsia="zh-CN"/>
              </w:rPr>
              <w:t>⑤</w:t>
            </w:r>
            <w:r>
              <w:rPr>
                <w:rFonts w:hint="eastAsia" w:cs="Times New Roman"/>
                <w:b w:val="0"/>
                <w:bCs/>
                <w:color w:val="auto"/>
                <w:sz w:val="24"/>
                <w:szCs w:val="21"/>
                <w:lang w:val="en-US" w:eastAsia="zh-CN"/>
              </w:rPr>
              <w:t>分切</w:t>
            </w:r>
            <w:r>
              <w:rPr>
                <w:rFonts w:hint="eastAsia" w:ascii="Times New Roman" w:hAnsi="Times New Roman" w:eastAsia="宋体" w:cs="Times New Roman"/>
                <w:b w:val="0"/>
                <w:bCs/>
                <w:color w:val="auto"/>
                <w:sz w:val="24"/>
                <w:szCs w:val="21"/>
                <w:lang w:val="en-US" w:eastAsia="zh-CN"/>
              </w:rPr>
              <w:t>：</w:t>
            </w:r>
            <w:r>
              <w:rPr>
                <w:rFonts w:hint="eastAsia" w:cs="Times New Roman"/>
                <w:b w:val="0"/>
                <w:bCs/>
                <w:color w:val="auto"/>
                <w:sz w:val="24"/>
                <w:szCs w:val="21"/>
                <w:lang w:val="en-US" w:eastAsia="zh-CN"/>
              </w:rPr>
              <w:t>将涂料完成的无纺布按规格要求进行分切。</w:t>
            </w:r>
          </w:p>
          <w:p w14:paraId="2BEAED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color w:val="auto"/>
                <w:sz w:val="24"/>
                <w:szCs w:val="21"/>
                <w:lang w:val="en-US" w:eastAsia="zh-CN"/>
              </w:rPr>
            </w:pPr>
            <w:r>
              <w:rPr>
                <w:rFonts w:hint="eastAsia" w:cs="Times New Roman"/>
                <w:b w:val="0"/>
                <w:bCs/>
                <w:color w:val="auto"/>
                <w:sz w:val="24"/>
                <w:szCs w:val="21"/>
                <w:lang w:val="en-US" w:eastAsia="zh-CN"/>
              </w:rPr>
              <w:t>⑥消毒：生产环境、设备与器具的消毒剂为：1%新洁尔灭溶液和医用75%酒精。两者交替使用，每月更换一次，每天进行一次消毒。</w:t>
            </w:r>
          </w:p>
          <w:p w14:paraId="48FF5BB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val="0"/>
                <w:color w:val="auto"/>
                <w:sz w:val="24"/>
                <w:szCs w:val="21"/>
                <w:lang w:val="en-US" w:eastAsia="zh-CN"/>
              </w:rPr>
            </w:pPr>
            <w:r>
              <w:rPr>
                <w:rFonts w:hint="eastAsia" w:ascii="Times New Roman" w:hAnsi="Times New Roman" w:eastAsia="宋体" w:cs="Times New Roman"/>
                <w:b/>
                <w:bCs w:val="0"/>
                <w:color w:val="auto"/>
                <w:sz w:val="24"/>
                <w:szCs w:val="21"/>
                <w:lang w:val="en-US" w:eastAsia="zh-CN"/>
              </w:rPr>
              <w:t>纯水制备工艺</w:t>
            </w:r>
          </w:p>
          <w:p w14:paraId="1C97D6AC">
            <w:pPr>
              <w:pStyle w:val="37"/>
              <w:keepNext w:val="0"/>
              <w:keepLines w:val="0"/>
              <w:pageBreakBefore w:val="0"/>
              <w:widowControl w:val="0"/>
              <w:kinsoku/>
              <w:wordWrap/>
              <w:overflowPunct/>
              <w:topLinePunct w:val="0"/>
              <w:bidi w:val="0"/>
              <w:adjustRightInd w:val="0"/>
              <w:spacing w:before="0" w:after="0" w:line="360" w:lineRule="auto"/>
              <w:ind w:firstLine="480" w:firstLineChars="200"/>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本项目采用RO膜制备纯水，自来水进入纯水机后，先经过石英砂和活性炭的过滤，再通过RO膜制成纯水。</w:t>
            </w:r>
          </w:p>
          <w:p w14:paraId="10BA8523">
            <w:pPr>
              <w:keepNext w:val="0"/>
              <w:keepLines w:val="0"/>
              <w:pageBreakBefore w:val="0"/>
              <w:kinsoku/>
              <w:wordWrap/>
              <w:autoSpaceDN/>
              <w:bidi w:val="0"/>
              <w:adjustRightInd/>
              <w:snapToGrid/>
              <w:spacing w:line="348" w:lineRule="auto"/>
              <w:ind w:left="0" w:firstLine="480" w:firstLineChars="200"/>
              <w:rPr>
                <w:rFonts w:hint="default" w:ascii="Times New Roman" w:hAnsi="Times New Roman" w:eastAsia="宋体" w:cs="Times New Roman"/>
                <w:b w:val="0"/>
                <w:bCs/>
                <w:color w:val="auto"/>
                <w:sz w:val="24"/>
                <w:szCs w:val="24"/>
                <w:highlight w:val="none"/>
                <w:shd w:val="clear" w:color="auto" w:fill="auto"/>
                <w:lang w:val="en-US" w:eastAsia="zh-CN"/>
              </w:rPr>
            </w:pPr>
            <w:r>
              <w:rPr>
                <w:rFonts w:hint="eastAsia" w:ascii="Times New Roman" w:hAnsi="Times New Roman" w:cs="Times New Roman"/>
                <w:b w:val="0"/>
                <w:bCs/>
                <w:color w:val="auto"/>
                <w:sz w:val="24"/>
                <w:szCs w:val="24"/>
                <w:highlight w:val="none"/>
                <w:shd w:val="clear" w:color="auto" w:fill="auto"/>
                <w:lang w:val="en-US" w:eastAsia="zh-CN"/>
              </w:rPr>
              <w:t>（2）现有项目污染</w:t>
            </w:r>
            <w:r>
              <w:rPr>
                <w:rFonts w:hint="default" w:ascii="Times New Roman" w:hAnsi="Times New Roman" w:cs="Times New Roman"/>
                <w:b w:val="0"/>
                <w:bCs/>
                <w:snapToGrid w:val="0"/>
                <w:color w:val="auto"/>
                <w:sz w:val="24"/>
                <w:szCs w:val="24"/>
                <w:highlight w:val="none"/>
                <w:shd w:val="clear" w:color="auto" w:fill="auto"/>
              </w:rPr>
              <w:t>工序</w:t>
            </w:r>
          </w:p>
          <w:p w14:paraId="6B7038B3">
            <w:pPr>
              <w:keepNext w:val="0"/>
              <w:keepLines w:val="0"/>
              <w:pageBreakBefore w:val="0"/>
              <w:kinsoku/>
              <w:wordWrap/>
              <w:autoSpaceDN/>
              <w:bidi w:val="0"/>
              <w:adjustRightInd/>
              <w:snapToGrid/>
              <w:spacing w:line="348" w:lineRule="auto"/>
              <w:ind w:left="0" w:firstLine="480" w:firstLineChars="200"/>
              <w:rPr>
                <w:rFonts w:hint="default" w:ascii="Times New Roman" w:hAnsi="Times New Roman" w:cs="Times New Roman"/>
                <w:bCs/>
                <w:color w:val="auto"/>
                <w:sz w:val="24"/>
                <w:szCs w:val="24"/>
                <w:highlight w:val="none"/>
                <w:shd w:val="clear" w:color="auto" w:fill="auto"/>
              </w:rPr>
            </w:pPr>
            <w:r>
              <w:rPr>
                <w:rFonts w:hint="eastAsia" w:ascii="Times New Roman" w:hAnsi="Times New Roman" w:cs="Times New Roman"/>
                <w:bCs/>
                <w:color w:val="auto"/>
                <w:sz w:val="24"/>
                <w:szCs w:val="24"/>
                <w:highlight w:val="none"/>
                <w:shd w:val="clear" w:color="auto" w:fill="auto"/>
                <w:lang w:val="en-US" w:eastAsia="zh-CN"/>
              </w:rPr>
              <w:t>现有</w:t>
            </w:r>
            <w:r>
              <w:rPr>
                <w:rFonts w:hint="default" w:ascii="Times New Roman" w:hAnsi="Times New Roman" w:cs="Times New Roman"/>
                <w:bCs/>
                <w:color w:val="auto"/>
                <w:sz w:val="24"/>
                <w:szCs w:val="24"/>
                <w:highlight w:val="none"/>
                <w:shd w:val="clear" w:color="auto" w:fill="auto"/>
              </w:rPr>
              <w:t>项目污染物主要产生情况详见</w:t>
            </w:r>
            <w:r>
              <w:rPr>
                <w:rFonts w:hint="eastAsia" w:ascii="Times New Roman" w:hAnsi="Times New Roman" w:cs="Times New Roman"/>
                <w:bCs/>
                <w:color w:val="auto"/>
                <w:sz w:val="24"/>
                <w:szCs w:val="24"/>
                <w:highlight w:val="none"/>
                <w:shd w:val="clear" w:color="auto" w:fill="auto"/>
                <w:lang w:val="en-US" w:eastAsia="zh-CN"/>
              </w:rPr>
              <w:t>下</w:t>
            </w:r>
            <w:r>
              <w:rPr>
                <w:rFonts w:hint="default" w:ascii="Times New Roman" w:hAnsi="Times New Roman" w:cs="Times New Roman"/>
                <w:bCs/>
                <w:color w:val="auto"/>
                <w:sz w:val="24"/>
                <w:szCs w:val="24"/>
                <w:highlight w:val="none"/>
                <w:shd w:val="clear" w:color="auto" w:fill="auto"/>
              </w:rPr>
              <w:t>表。</w:t>
            </w:r>
          </w:p>
          <w:p w14:paraId="38B6EB1E">
            <w:pPr>
              <w:keepNext w:val="0"/>
              <w:keepLines w:val="0"/>
              <w:pageBreakBefore w:val="0"/>
              <w:widowControl/>
              <w:tabs>
                <w:tab w:val="left" w:pos="0"/>
              </w:tabs>
              <w:kinsoku/>
              <w:wordWrap/>
              <w:overflowPunct w:val="0"/>
              <w:topLinePunct/>
              <w:autoSpaceDE w:val="0"/>
              <w:autoSpaceDN/>
              <w:bidi w:val="0"/>
              <w:adjustRightInd/>
              <w:snapToGrid/>
              <w:jc w:val="center"/>
              <w:textAlignment w:val="baseline"/>
              <w:rPr>
                <w:rFonts w:hint="default" w:ascii="Times New Roman" w:hAnsi="Times New Roman" w:cs="Times New Roman"/>
                <w:b/>
                <w:bCs/>
                <w:snapToGrid w:val="0"/>
                <w:color w:val="auto"/>
                <w:sz w:val="21"/>
                <w:szCs w:val="21"/>
                <w:highlight w:val="none"/>
                <w:shd w:val="clear" w:color="auto" w:fill="auto"/>
              </w:rPr>
            </w:pPr>
            <w:r>
              <w:rPr>
                <w:rFonts w:hint="default" w:ascii="Times New Roman" w:hAnsi="Times New Roman" w:cs="Times New Roman"/>
                <w:b/>
                <w:bCs/>
                <w:snapToGrid w:val="0"/>
                <w:color w:val="auto"/>
                <w:sz w:val="21"/>
                <w:szCs w:val="21"/>
                <w:highlight w:val="none"/>
                <w:shd w:val="clear" w:color="auto" w:fill="auto"/>
              </w:rPr>
              <w:t>表</w:t>
            </w:r>
            <w:r>
              <w:rPr>
                <w:rFonts w:hint="eastAsia" w:ascii="Times New Roman" w:hAnsi="Times New Roman" w:cs="Times New Roman"/>
                <w:b/>
                <w:bCs/>
                <w:snapToGrid w:val="0"/>
                <w:color w:val="auto"/>
                <w:sz w:val="21"/>
                <w:szCs w:val="21"/>
                <w:highlight w:val="none"/>
                <w:shd w:val="clear" w:color="auto" w:fill="auto"/>
                <w:lang w:val="en-US" w:eastAsia="zh-CN"/>
              </w:rPr>
              <w:t>2-</w:t>
            </w:r>
            <w:r>
              <w:rPr>
                <w:rFonts w:hint="eastAsia" w:cs="Times New Roman"/>
                <w:b/>
                <w:bCs/>
                <w:snapToGrid w:val="0"/>
                <w:color w:val="auto"/>
                <w:sz w:val="21"/>
                <w:szCs w:val="21"/>
                <w:highlight w:val="none"/>
                <w:shd w:val="clear" w:color="auto" w:fill="auto"/>
                <w:lang w:val="en-US" w:eastAsia="zh-CN"/>
              </w:rPr>
              <w:t xml:space="preserve">24 </w:t>
            </w:r>
            <w:r>
              <w:rPr>
                <w:rFonts w:hint="default" w:ascii="Times New Roman" w:hAnsi="Times New Roman" w:cs="Times New Roman"/>
                <w:b/>
                <w:bCs/>
                <w:snapToGrid w:val="0"/>
                <w:color w:val="auto"/>
                <w:sz w:val="21"/>
                <w:szCs w:val="21"/>
                <w:highlight w:val="none"/>
                <w:shd w:val="clear" w:color="auto" w:fill="auto"/>
              </w:rPr>
              <w:t xml:space="preserve"> 主要污染工序一览表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50"/>
              <w:gridCol w:w="1611"/>
              <w:gridCol w:w="1339"/>
              <w:gridCol w:w="3643"/>
            </w:tblGrid>
            <w:tr w14:paraId="39A93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1" w:hRule="atLeast"/>
                <w:jc w:val="center"/>
              </w:trPr>
              <w:tc>
                <w:tcPr>
                  <w:tcW w:w="434" w:type="pct"/>
                  <w:tcBorders>
                    <w:bottom w:val="single" w:color="auto" w:sz="12" w:space="0"/>
                  </w:tcBorders>
                  <w:noWrap w:val="0"/>
                  <w:vAlign w:val="center"/>
                </w:tcPr>
                <w:p w14:paraId="3857DA3A">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color w:val="auto"/>
                      <w:sz w:val="21"/>
                      <w:szCs w:val="21"/>
                    </w:rPr>
                  </w:pPr>
                  <w:r>
                    <w:rPr>
                      <w:rFonts w:hint="default"/>
                      <w:b/>
                      <w:bCs/>
                      <w:color w:val="auto"/>
                      <w:sz w:val="21"/>
                      <w:szCs w:val="21"/>
                    </w:rPr>
                    <w:t>时段</w:t>
                  </w:r>
                </w:p>
              </w:tc>
              <w:tc>
                <w:tcPr>
                  <w:tcW w:w="1468" w:type="pct"/>
                  <w:gridSpan w:val="2"/>
                  <w:tcBorders>
                    <w:bottom w:val="single" w:color="auto" w:sz="12" w:space="0"/>
                  </w:tcBorders>
                  <w:noWrap w:val="0"/>
                  <w:vAlign w:val="center"/>
                </w:tcPr>
                <w:p w14:paraId="6EF79A7E">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color w:val="auto"/>
                      <w:sz w:val="21"/>
                      <w:szCs w:val="21"/>
                    </w:rPr>
                  </w:pPr>
                  <w:r>
                    <w:rPr>
                      <w:rFonts w:hint="default"/>
                      <w:b/>
                      <w:bCs/>
                      <w:color w:val="auto"/>
                      <w:sz w:val="21"/>
                      <w:szCs w:val="21"/>
                    </w:rPr>
                    <w:t>类别</w:t>
                  </w:r>
                </w:p>
              </w:tc>
              <w:tc>
                <w:tcPr>
                  <w:tcW w:w="832" w:type="pct"/>
                  <w:tcBorders>
                    <w:bottom w:val="single" w:color="auto" w:sz="12" w:space="0"/>
                  </w:tcBorders>
                  <w:noWrap w:val="0"/>
                  <w:vAlign w:val="center"/>
                </w:tcPr>
                <w:p w14:paraId="41030991">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color w:val="auto"/>
                      <w:sz w:val="21"/>
                      <w:szCs w:val="21"/>
                    </w:rPr>
                  </w:pPr>
                  <w:r>
                    <w:rPr>
                      <w:rFonts w:hint="default"/>
                      <w:b/>
                      <w:bCs/>
                      <w:color w:val="auto"/>
                      <w:sz w:val="21"/>
                      <w:szCs w:val="21"/>
                    </w:rPr>
                    <w:t>来  源</w:t>
                  </w:r>
                </w:p>
              </w:tc>
              <w:tc>
                <w:tcPr>
                  <w:tcW w:w="2265" w:type="pct"/>
                  <w:tcBorders>
                    <w:bottom w:val="single" w:color="auto" w:sz="12" w:space="0"/>
                  </w:tcBorders>
                  <w:noWrap w:val="0"/>
                  <w:vAlign w:val="center"/>
                </w:tcPr>
                <w:p w14:paraId="25C1D0EB">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b/>
                      <w:bCs/>
                      <w:color w:val="auto"/>
                      <w:sz w:val="21"/>
                      <w:szCs w:val="21"/>
                    </w:rPr>
                  </w:pPr>
                  <w:r>
                    <w:rPr>
                      <w:rFonts w:hint="default"/>
                      <w:b/>
                      <w:bCs/>
                      <w:color w:val="auto"/>
                      <w:sz w:val="21"/>
                      <w:szCs w:val="21"/>
                    </w:rPr>
                    <w:t>污染物种类</w:t>
                  </w:r>
                </w:p>
              </w:tc>
            </w:tr>
            <w:tr w14:paraId="0233E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restart"/>
                  <w:noWrap w:val="0"/>
                  <w:vAlign w:val="center"/>
                </w:tcPr>
                <w:p w14:paraId="534B73D0">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b w:val="0"/>
                      <w:bCs w:val="0"/>
                      <w:color w:val="auto"/>
                      <w:sz w:val="21"/>
                      <w:szCs w:val="21"/>
                    </w:rPr>
                  </w:pPr>
                  <w:r>
                    <w:rPr>
                      <w:rFonts w:hint="eastAsia"/>
                      <w:b w:val="0"/>
                      <w:bCs w:val="0"/>
                      <w:color w:val="auto"/>
                      <w:sz w:val="21"/>
                      <w:szCs w:val="21"/>
                      <w:lang w:eastAsia="zh-CN"/>
                    </w:rPr>
                    <w:t>运营</w:t>
                  </w:r>
                  <w:r>
                    <w:rPr>
                      <w:rFonts w:hint="default"/>
                      <w:b w:val="0"/>
                      <w:bCs w:val="0"/>
                      <w:color w:val="auto"/>
                      <w:sz w:val="21"/>
                      <w:szCs w:val="21"/>
                    </w:rPr>
                    <w:t>期</w:t>
                  </w:r>
                </w:p>
              </w:tc>
              <w:tc>
                <w:tcPr>
                  <w:tcW w:w="466" w:type="pct"/>
                  <w:vMerge w:val="restart"/>
                  <w:noWrap w:val="0"/>
                  <w:vAlign w:val="center"/>
                </w:tcPr>
                <w:p w14:paraId="04901D5E">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textAlignment w:val="auto"/>
                    <w:rPr>
                      <w:rFonts w:hint="default"/>
                      <w:b w:val="0"/>
                      <w:bCs w:val="0"/>
                      <w:color w:val="auto"/>
                      <w:sz w:val="21"/>
                      <w:szCs w:val="21"/>
                    </w:rPr>
                  </w:pPr>
                  <w:r>
                    <w:rPr>
                      <w:rFonts w:hint="default"/>
                      <w:b w:val="0"/>
                      <w:bCs w:val="0"/>
                      <w:color w:val="auto"/>
                      <w:sz w:val="21"/>
                      <w:szCs w:val="21"/>
                    </w:rPr>
                    <w:t>废水</w:t>
                  </w:r>
                </w:p>
              </w:tc>
              <w:tc>
                <w:tcPr>
                  <w:tcW w:w="1001" w:type="pct"/>
                  <w:noWrap w:val="0"/>
                  <w:vAlign w:val="center"/>
                </w:tcPr>
                <w:p w14:paraId="41FF50B7">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b w:val="0"/>
                      <w:bCs w:val="0"/>
                      <w:color w:val="auto"/>
                      <w:sz w:val="21"/>
                      <w:szCs w:val="21"/>
                    </w:rPr>
                  </w:pPr>
                  <w:r>
                    <w:rPr>
                      <w:rFonts w:hint="default"/>
                      <w:b w:val="0"/>
                      <w:bCs w:val="0"/>
                      <w:color w:val="auto"/>
                      <w:sz w:val="21"/>
                      <w:szCs w:val="21"/>
                    </w:rPr>
                    <w:t>生活污水</w:t>
                  </w:r>
                </w:p>
              </w:tc>
              <w:tc>
                <w:tcPr>
                  <w:tcW w:w="832" w:type="pct"/>
                  <w:noWrap w:val="0"/>
                  <w:vAlign w:val="center"/>
                </w:tcPr>
                <w:p w14:paraId="5FD0163A">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b w:val="0"/>
                      <w:bCs w:val="0"/>
                      <w:color w:val="auto"/>
                      <w:sz w:val="21"/>
                      <w:szCs w:val="21"/>
                    </w:rPr>
                  </w:pPr>
                  <w:r>
                    <w:rPr>
                      <w:rFonts w:hint="default"/>
                      <w:b w:val="0"/>
                      <w:bCs w:val="0"/>
                      <w:color w:val="auto"/>
                      <w:sz w:val="21"/>
                      <w:szCs w:val="21"/>
                    </w:rPr>
                    <w:t>日常生活</w:t>
                  </w:r>
                </w:p>
              </w:tc>
              <w:tc>
                <w:tcPr>
                  <w:tcW w:w="2265" w:type="pct"/>
                  <w:noWrap w:val="0"/>
                  <w:vAlign w:val="center"/>
                </w:tcPr>
                <w:p w14:paraId="7B9E9FA0">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val="en-US" w:eastAsia="zh-CN"/>
                    </w:rPr>
                    <w:t>pH、</w:t>
                  </w:r>
                  <w:r>
                    <w:rPr>
                      <w:rFonts w:hint="default" w:ascii="Times New Roman" w:hAnsi="Times New Roman" w:cs="Times New Roman"/>
                      <w:b w:val="0"/>
                      <w:bCs w:val="0"/>
                      <w:color w:val="auto"/>
                      <w:sz w:val="21"/>
                      <w:szCs w:val="21"/>
                    </w:rPr>
                    <w:t>COD、BOD</w:t>
                  </w:r>
                  <w:r>
                    <w:rPr>
                      <w:rFonts w:hint="default" w:ascii="Times New Roman" w:hAnsi="Times New Roman" w:cs="Times New Roman"/>
                      <w:b w:val="0"/>
                      <w:bCs w:val="0"/>
                      <w:color w:val="auto"/>
                      <w:sz w:val="21"/>
                      <w:szCs w:val="21"/>
                      <w:vertAlign w:val="subscript"/>
                    </w:rPr>
                    <w:t>5</w:t>
                  </w:r>
                  <w:r>
                    <w:rPr>
                      <w:rFonts w:hint="default" w:ascii="Times New Roman" w:hAnsi="Times New Roman" w:cs="Times New Roman"/>
                      <w:b w:val="0"/>
                      <w:bCs w:val="0"/>
                      <w:color w:val="auto"/>
                      <w:sz w:val="21"/>
                      <w:szCs w:val="21"/>
                    </w:rPr>
                    <w:t>、SS、NH</w:t>
                  </w:r>
                  <w:r>
                    <w:rPr>
                      <w:rFonts w:hint="default" w:ascii="Times New Roman" w:hAnsi="Times New Roman" w:cs="Times New Roman"/>
                      <w:b w:val="0"/>
                      <w:bCs w:val="0"/>
                      <w:color w:val="auto"/>
                      <w:sz w:val="21"/>
                      <w:szCs w:val="21"/>
                      <w:vertAlign w:val="subscript"/>
                    </w:rPr>
                    <w:t>3</w:t>
                  </w:r>
                  <w:r>
                    <w:rPr>
                      <w:rFonts w:hint="default" w:ascii="Times New Roman" w:hAnsi="Times New Roman" w:cs="Times New Roman"/>
                      <w:b w:val="0"/>
                      <w:bCs w:val="0"/>
                      <w:color w:val="auto"/>
                      <w:sz w:val="21"/>
                      <w:szCs w:val="21"/>
                    </w:rPr>
                    <w:t>-N</w:t>
                  </w:r>
                  <w:r>
                    <w:rPr>
                      <w:rFonts w:hint="eastAsia" w:ascii="Times New Roman" w:hAnsi="Times New Roman" w:cs="Times New Roman"/>
                      <w:b w:val="0"/>
                      <w:bCs w:val="0"/>
                      <w:color w:val="auto"/>
                      <w:sz w:val="21"/>
                      <w:szCs w:val="21"/>
                      <w:lang w:eastAsia="zh-CN"/>
                    </w:rPr>
                    <w:t>、</w:t>
                  </w:r>
                  <w:r>
                    <w:rPr>
                      <w:rFonts w:hint="eastAsia" w:ascii="Times New Roman" w:hAnsi="Times New Roman" w:eastAsia="宋体" w:cs="Times New Roman"/>
                      <w:b w:val="0"/>
                      <w:bCs w:val="0"/>
                      <w:color w:val="auto"/>
                      <w:spacing w:val="0"/>
                      <w:sz w:val="21"/>
                      <w:szCs w:val="21"/>
                      <w:vertAlign w:val="baseline"/>
                      <w:lang w:val="en-US" w:eastAsia="zh-CN"/>
                    </w:rPr>
                    <w:t>TP、TN</w:t>
                  </w:r>
                  <w:r>
                    <w:rPr>
                      <w:rFonts w:hint="default" w:ascii="Times New Roman" w:hAnsi="Times New Roman" w:cs="Times New Roman"/>
                      <w:b w:val="0"/>
                      <w:bCs w:val="0"/>
                      <w:color w:val="auto"/>
                      <w:sz w:val="21"/>
                      <w:szCs w:val="21"/>
                    </w:rPr>
                    <w:t>等</w:t>
                  </w:r>
                </w:p>
              </w:tc>
            </w:tr>
            <w:tr w14:paraId="3C622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noWrap w:val="0"/>
                  <w:vAlign w:val="center"/>
                </w:tcPr>
                <w:p w14:paraId="4C7E5DC4">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b w:val="0"/>
                      <w:bCs w:val="0"/>
                      <w:color w:val="auto"/>
                      <w:sz w:val="21"/>
                      <w:szCs w:val="21"/>
                      <w:lang w:eastAsia="zh-CN"/>
                    </w:rPr>
                  </w:pPr>
                </w:p>
              </w:tc>
              <w:tc>
                <w:tcPr>
                  <w:tcW w:w="466" w:type="pct"/>
                  <w:vMerge w:val="continue"/>
                  <w:noWrap w:val="0"/>
                  <w:vAlign w:val="center"/>
                </w:tcPr>
                <w:p w14:paraId="2B8E482C">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textAlignment w:val="auto"/>
                    <w:rPr>
                      <w:rFonts w:hint="default"/>
                      <w:b w:val="0"/>
                      <w:bCs w:val="0"/>
                      <w:color w:val="auto"/>
                      <w:sz w:val="21"/>
                      <w:szCs w:val="21"/>
                    </w:rPr>
                  </w:pPr>
                </w:p>
              </w:tc>
              <w:tc>
                <w:tcPr>
                  <w:tcW w:w="1001" w:type="pct"/>
                  <w:noWrap w:val="0"/>
                  <w:vAlign w:val="center"/>
                </w:tcPr>
                <w:p w14:paraId="22E23F2A">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eastAsia" w:ascii="宋体" w:hAnsi="Times New Roman" w:eastAsia="宋体" w:cs="Times New Roman"/>
                      <w:b w:val="0"/>
                      <w:bCs w:val="0"/>
                      <w:color w:val="auto"/>
                      <w:sz w:val="21"/>
                      <w:szCs w:val="21"/>
                      <w:lang w:eastAsia="zh-CN"/>
                    </w:rPr>
                  </w:pPr>
                  <w:r>
                    <w:rPr>
                      <w:rFonts w:hint="eastAsia" w:ascii="宋体" w:hAnsi="Times New Roman" w:eastAsia="宋体" w:cs="Times New Roman"/>
                      <w:b w:val="0"/>
                      <w:bCs w:val="0"/>
                      <w:color w:val="auto"/>
                      <w:sz w:val="21"/>
                      <w:szCs w:val="21"/>
                      <w:lang w:val="en-US" w:eastAsia="zh-CN"/>
                    </w:rPr>
                    <w:t>设备清洗废水</w:t>
                  </w:r>
                </w:p>
              </w:tc>
              <w:tc>
                <w:tcPr>
                  <w:tcW w:w="832" w:type="pct"/>
                  <w:vMerge w:val="restart"/>
                  <w:noWrap w:val="0"/>
                  <w:vAlign w:val="center"/>
                </w:tcPr>
                <w:p w14:paraId="7500A57E">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eastAsia" w:eastAsia="宋体"/>
                      <w:b w:val="0"/>
                      <w:bCs w:val="0"/>
                      <w:color w:val="auto"/>
                      <w:sz w:val="21"/>
                      <w:szCs w:val="21"/>
                      <w:lang w:val="en-US" w:eastAsia="zh-CN"/>
                    </w:rPr>
                  </w:pPr>
                  <w:r>
                    <w:rPr>
                      <w:rFonts w:hint="eastAsia"/>
                      <w:b w:val="0"/>
                      <w:bCs w:val="0"/>
                      <w:color w:val="auto"/>
                      <w:sz w:val="21"/>
                      <w:szCs w:val="21"/>
                      <w:lang w:eastAsia="zh-CN"/>
                    </w:rPr>
                    <w:t>生产工序</w:t>
                  </w:r>
                </w:p>
              </w:tc>
              <w:tc>
                <w:tcPr>
                  <w:tcW w:w="2265" w:type="pct"/>
                  <w:noWrap w:val="0"/>
                  <w:vAlign w:val="center"/>
                </w:tcPr>
                <w:p w14:paraId="5C3A43DA">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pH、</w:t>
                  </w:r>
                  <w:r>
                    <w:rPr>
                      <w:rFonts w:hint="default" w:ascii="Times New Roman" w:hAnsi="Times New Roman" w:cs="Times New Roman"/>
                      <w:b w:val="0"/>
                      <w:bCs w:val="0"/>
                      <w:color w:val="auto"/>
                      <w:sz w:val="21"/>
                      <w:szCs w:val="21"/>
                    </w:rPr>
                    <w:t>COD、BOD</w:t>
                  </w:r>
                  <w:r>
                    <w:rPr>
                      <w:rFonts w:hint="default" w:ascii="Times New Roman" w:hAnsi="Times New Roman" w:cs="Times New Roman"/>
                      <w:b w:val="0"/>
                      <w:bCs w:val="0"/>
                      <w:color w:val="auto"/>
                      <w:sz w:val="21"/>
                      <w:szCs w:val="21"/>
                      <w:vertAlign w:val="subscript"/>
                    </w:rPr>
                    <w:t>5</w:t>
                  </w:r>
                  <w:r>
                    <w:rPr>
                      <w:rFonts w:hint="default" w:ascii="Times New Roman" w:hAnsi="Times New Roman" w:cs="Times New Roman"/>
                      <w:b w:val="0"/>
                      <w:bCs w:val="0"/>
                      <w:color w:val="auto"/>
                      <w:sz w:val="21"/>
                      <w:szCs w:val="21"/>
                    </w:rPr>
                    <w:t>、</w:t>
                  </w:r>
                  <w:r>
                    <w:rPr>
                      <w:rFonts w:hint="default" w:ascii="Times New Roman" w:hAnsi="Times New Roman" w:eastAsia="宋体" w:cs="Times New Roman"/>
                      <w:b w:val="0"/>
                      <w:bCs w:val="0"/>
                      <w:color w:val="auto"/>
                      <w:sz w:val="21"/>
                      <w:szCs w:val="21"/>
                    </w:rPr>
                    <w:t>SS</w:t>
                  </w:r>
                </w:p>
              </w:tc>
            </w:tr>
            <w:tr w14:paraId="03011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noWrap w:val="0"/>
                  <w:vAlign w:val="center"/>
                </w:tcPr>
                <w:p w14:paraId="12D87CCC">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b w:val="0"/>
                      <w:bCs w:val="0"/>
                      <w:color w:val="auto"/>
                      <w:sz w:val="21"/>
                      <w:szCs w:val="21"/>
                    </w:rPr>
                  </w:pPr>
                </w:p>
              </w:tc>
              <w:tc>
                <w:tcPr>
                  <w:tcW w:w="466" w:type="pct"/>
                  <w:vMerge w:val="continue"/>
                  <w:noWrap w:val="0"/>
                  <w:vAlign w:val="center"/>
                </w:tcPr>
                <w:p w14:paraId="49D603CF">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b w:val="0"/>
                      <w:bCs w:val="0"/>
                      <w:color w:val="auto"/>
                      <w:sz w:val="21"/>
                      <w:szCs w:val="21"/>
                    </w:rPr>
                  </w:pPr>
                </w:p>
              </w:tc>
              <w:tc>
                <w:tcPr>
                  <w:tcW w:w="1001" w:type="pct"/>
                  <w:noWrap w:val="0"/>
                  <w:vAlign w:val="center"/>
                </w:tcPr>
                <w:p w14:paraId="2AC251FE">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ascii="宋体" w:hAnsi="Times New Roman" w:eastAsia="宋体" w:cs="Times New Roman"/>
                      <w:b w:val="0"/>
                      <w:bCs w:val="0"/>
                      <w:color w:val="auto"/>
                      <w:sz w:val="21"/>
                      <w:szCs w:val="21"/>
                      <w:lang w:val="en-US" w:eastAsia="zh-CN"/>
                    </w:rPr>
                  </w:pPr>
                  <w:r>
                    <w:rPr>
                      <w:rFonts w:hint="eastAsia" w:ascii="宋体" w:hAnsi="Times New Roman" w:eastAsia="宋体" w:cs="Times New Roman"/>
                      <w:b w:val="0"/>
                      <w:bCs w:val="0"/>
                      <w:color w:val="auto"/>
                      <w:sz w:val="21"/>
                      <w:szCs w:val="21"/>
                      <w:lang w:val="en-US" w:eastAsia="zh-CN"/>
                    </w:rPr>
                    <w:t>纯水制备浓水</w:t>
                  </w:r>
                </w:p>
              </w:tc>
              <w:tc>
                <w:tcPr>
                  <w:tcW w:w="832" w:type="pct"/>
                  <w:vMerge w:val="continue"/>
                  <w:noWrap w:val="0"/>
                  <w:vAlign w:val="center"/>
                </w:tcPr>
                <w:p w14:paraId="7D3F947D">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eastAsia" w:eastAsia="宋体"/>
                      <w:b w:val="0"/>
                      <w:bCs w:val="0"/>
                      <w:color w:val="auto"/>
                      <w:sz w:val="21"/>
                      <w:szCs w:val="21"/>
                      <w:lang w:val="en-US" w:eastAsia="zh-CN"/>
                    </w:rPr>
                  </w:pPr>
                </w:p>
              </w:tc>
              <w:tc>
                <w:tcPr>
                  <w:tcW w:w="2265" w:type="pct"/>
                  <w:noWrap w:val="0"/>
                  <w:vAlign w:val="center"/>
                </w:tcPr>
                <w:p w14:paraId="5A80BC91">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r>
            <w:tr w14:paraId="0905F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34" w:type="pct"/>
                  <w:vMerge w:val="continue"/>
                  <w:noWrap w:val="0"/>
                  <w:vAlign w:val="center"/>
                </w:tcPr>
                <w:p w14:paraId="75851821">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b w:val="0"/>
                      <w:bCs w:val="0"/>
                      <w:color w:val="auto"/>
                      <w:sz w:val="21"/>
                      <w:szCs w:val="21"/>
                    </w:rPr>
                  </w:pPr>
                </w:p>
              </w:tc>
              <w:tc>
                <w:tcPr>
                  <w:tcW w:w="466" w:type="pct"/>
                  <w:noWrap w:val="0"/>
                  <w:vAlign w:val="center"/>
                </w:tcPr>
                <w:p w14:paraId="647745F3">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b w:val="0"/>
                      <w:bCs w:val="0"/>
                      <w:color w:val="auto"/>
                      <w:sz w:val="21"/>
                      <w:szCs w:val="21"/>
                    </w:rPr>
                  </w:pPr>
                  <w:r>
                    <w:rPr>
                      <w:rFonts w:hint="default"/>
                      <w:b w:val="0"/>
                      <w:bCs w:val="0"/>
                      <w:color w:val="auto"/>
                      <w:sz w:val="21"/>
                      <w:szCs w:val="21"/>
                    </w:rPr>
                    <w:t>废气</w:t>
                  </w:r>
                </w:p>
              </w:tc>
              <w:tc>
                <w:tcPr>
                  <w:tcW w:w="1834" w:type="pct"/>
                  <w:gridSpan w:val="2"/>
                  <w:noWrap w:val="0"/>
                  <w:vAlign w:val="center"/>
                </w:tcPr>
                <w:p w14:paraId="1666CD20">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Times New Roman" w:eastAsia="宋体" w:cs="Times New Roman"/>
                      <w:b w:val="0"/>
                      <w:bCs w:val="0"/>
                      <w:color w:val="auto"/>
                      <w:sz w:val="21"/>
                      <w:szCs w:val="21"/>
                      <w:lang w:val="en-US" w:eastAsia="zh-CN"/>
                    </w:rPr>
                  </w:pPr>
                  <w:r>
                    <w:rPr>
                      <w:rFonts w:hint="eastAsia" w:ascii="宋体" w:hAnsi="Times New Roman" w:eastAsia="宋体" w:cs="Times New Roman"/>
                      <w:b w:val="0"/>
                      <w:bCs w:val="0"/>
                      <w:color w:val="auto"/>
                      <w:sz w:val="21"/>
                      <w:szCs w:val="21"/>
                      <w:lang w:val="en-US" w:eastAsia="zh-CN"/>
                    </w:rPr>
                    <w:t>配粉粉尘</w:t>
                  </w:r>
                </w:p>
              </w:tc>
              <w:tc>
                <w:tcPr>
                  <w:tcW w:w="2265" w:type="pct"/>
                  <w:noWrap w:val="0"/>
                  <w:vAlign w:val="center"/>
                </w:tcPr>
                <w:p w14:paraId="20CD23BA">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b w:val="0"/>
                      <w:bCs w:val="0"/>
                      <w:color w:val="auto"/>
                      <w:sz w:val="21"/>
                      <w:szCs w:val="21"/>
                      <w:lang w:val="en-US" w:eastAsia="zh-CN"/>
                    </w:rPr>
                  </w:pPr>
                  <w:r>
                    <w:rPr>
                      <w:rFonts w:hint="eastAsia"/>
                      <w:b w:val="0"/>
                      <w:bCs w:val="0"/>
                      <w:color w:val="auto"/>
                      <w:sz w:val="21"/>
                      <w:szCs w:val="21"/>
                      <w:lang w:val="en-US" w:eastAsia="zh-CN"/>
                    </w:rPr>
                    <w:t>颗粒物、有机废气</w:t>
                  </w:r>
                </w:p>
              </w:tc>
            </w:tr>
            <w:tr w14:paraId="39E2A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noWrap w:val="0"/>
                  <w:vAlign w:val="center"/>
                </w:tcPr>
                <w:p w14:paraId="6D338FD7">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b w:val="0"/>
                      <w:bCs w:val="0"/>
                      <w:color w:val="auto"/>
                      <w:sz w:val="21"/>
                      <w:szCs w:val="21"/>
                    </w:rPr>
                  </w:pPr>
                </w:p>
              </w:tc>
              <w:tc>
                <w:tcPr>
                  <w:tcW w:w="466" w:type="pct"/>
                  <w:vMerge w:val="restart"/>
                  <w:noWrap w:val="0"/>
                  <w:vAlign w:val="center"/>
                </w:tcPr>
                <w:p w14:paraId="4A6A0208">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b w:val="0"/>
                      <w:bCs w:val="0"/>
                      <w:color w:val="auto"/>
                      <w:sz w:val="21"/>
                      <w:szCs w:val="21"/>
                    </w:rPr>
                  </w:pPr>
                  <w:r>
                    <w:rPr>
                      <w:rFonts w:hint="default"/>
                      <w:b w:val="0"/>
                      <w:bCs w:val="0"/>
                      <w:color w:val="auto"/>
                      <w:sz w:val="21"/>
                      <w:szCs w:val="21"/>
                    </w:rPr>
                    <w:t>固体废物</w:t>
                  </w:r>
                </w:p>
              </w:tc>
              <w:tc>
                <w:tcPr>
                  <w:tcW w:w="1001" w:type="pct"/>
                  <w:noWrap w:val="0"/>
                  <w:vAlign w:val="center"/>
                </w:tcPr>
                <w:p w14:paraId="6A3805FE">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b w:val="0"/>
                      <w:bCs w:val="0"/>
                      <w:color w:val="auto"/>
                      <w:sz w:val="21"/>
                      <w:szCs w:val="21"/>
                    </w:rPr>
                  </w:pPr>
                  <w:r>
                    <w:rPr>
                      <w:rFonts w:hint="default"/>
                      <w:b w:val="0"/>
                      <w:bCs w:val="0"/>
                      <w:color w:val="auto"/>
                      <w:sz w:val="21"/>
                      <w:szCs w:val="21"/>
                    </w:rPr>
                    <w:t>一般固废</w:t>
                  </w:r>
                </w:p>
              </w:tc>
              <w:tc>
                <w:tcPr>
                  <w:tcW w:w="832" w:type="pct"/>
                  <w:noWrap w:val="0"/>
                  <w:vAlign w:val="center"/>
                </w:tcPr>
                <w:p w14:paraId="136D408D">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生产过程</w:t>
                  </w:r>
                </w:p>
              </w:tc>
              <w:tc>
                <w:tcPr>
                  <w:tcW w:w="2265" w:type="pct"/>
                  <w:noWrap w:val="0"/>
                  <w:vAlign w:val="center"/>
                </w:tcPr>
                <w:p w14:paraId="346B4711">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Times New Roman" w:eastAsia="宋体" w:cs="Times New Roman"/>
                      <w:b w:val="0"/>
                      <w:bCs w:val="0"/>
                      <w:color w:val="auto"/>
                      <w:kern w:val="0"/>
                      <w:sz w:val="21"/>
                      <w:szCs w:val="21"/>
                      <w:lang w:val="en-US" w:eastAsia="zh-CN" w:bidi="ar-SA"/>
                    </w:rPr>
                  </w:pPr>
                  <w:r>
                    <w:rPr>
                      <w:rFonts w:hint="eastAsia" w:ascii="宋体" w:hAnsi="Times New Roman" w:eastAsia="宋体" w:cs="Times New Roman"/>
                      <w:b w:val="0"/>
                      <w:bCs w:val="0"/>
                      <w:color w:val="auto"/>
                      <w:kern w:val="0"/>
                      <w:sz w:val="21"/>
                      <w:szCs w:val="21"/>
                      <w:lang w:val="en-US" w:eastAsia="zh-CN" w:bidi="ar-SA"/>
                    </w:rPr>
                    <w:t>废包装材料、纯水机耗材、不合格品、边角料</w:t>
                  </w:r>
                </w:p>
              </w:tc>
            </w:tr>
            <w:tr w14:paraId="3E890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noWrap w:val="0"/>
                  <w:vAlign w:val="center"/>
                </w:tcPr>
                <w:p w14:paraId="05A56543">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b w:val="0"/>
                      <w:bCs w:val="0"/>
                      <w:color w:val="auto"/>
                      <w:sz w:val="21"/>
                      <w:szCs w:val="21"/>
                    </w:rPr>
                  </w:pPr>
                </w:p>
              </w:tc>
              <w:tc>
                <w:tcPr>
                  <w:tcW w:w="466" w:type="pct"/>
                  <w:vMerge w:val="continue"/>
                  <w:noWrap w:val="0"/>
                  <w:vAlign w:val="center"/>
                </w:tcPr>
                <w:p w14:paraId="4A0E1035">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b w:val="0"/>
                      <w:bCs w:val="0"/>
                      <w:color w:val="auto"/>
                      <w:sz w:val="21"/>
                      <w:szCs w:val="21"/>
                    </w:rPr>
                  </w:pPr>
                </w:p>
              </w:tc>
              <w:tc>
                <w:tcPr>
                  <w:tcW w:w="1001" w:type="pct"/>
                  <w:noWrap w:val="0"/>
                  <w:vAlign w:val="center"/>
                </w:tcPr>
                <w:p w14:paraId="1B08E1C4">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eastAsia"/>
                      <w:b w:val="0"/>
                      <w:bCs w:val="0"/>
                      <w:color w:val="auto"/>
                      <w:sz w:val="21"/>
                      <w:szCs w:val="21"/>
                      <w:lang w:eastAsia="zh-CN"/>
                    </w:rPr>
                  </w:pPr>
                  <w:r>
                    <w:rPr>
                      <w:rFonts w:hint="eastAsia"/>
                      <w:b w:val="0"/>
                      <w:bCs w:val="0"/>
                      <w:color w:val="auto"/>
                      <w:sz w:val="21"/>
                      <w:szCs w:val="21"/>
                      <w:lang w:eastAsia="zh-CN"/>
                    </w:rPr>
                    <w:t>危险废物</w:t>
                  </w:r>
                </w:p>
              </w:tc>
              <w:tc>
                <w:tcPr>
                  <w:tcW w:w="832" w:type="pct"/>
                  <w:noWrap w:val="0"/>
                  <w:vAlign w:val="center"/>
                </w:tcPr>
                <w:p w14:paraId="5604CED2">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生产过程</w:t>
                  </w:r>
                </w:p>
              </w:tc>
              <w:tc>
                <w:tcPr>
                  <w:tcW w:w="2265" w:type="pct"/>
                  <w:noWrap w:val="0"/>
                  <w:vAlign w:val="center"/>
                </w:tcPr>
                <w:p w14:paraId="7366E4C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宋体" w:hAnsi="Times New Roman" w:eastAsia="宋体" w:cs="Times New Roman"/>
                      <w:b w:val="0"/>
                      <w:bCs w:val="0"/>
                      <w:color w:val="auto"/>
                      <w:kern w:val="0"/>
                      <w:sz w:val="21"/>
                      <w:szCs w:val="21"/>
                      <w:lang w:val="en-US" w:eastAsia="zh-CN" w:bidi="ar-SA"/>
                    </w:rPr>
                  </w:pPr>
                  <w:r>
                    <w:rPr>
                      <w:rFonts w:hint="eastAsia" w:ascii="宋体" w:hAnsi="Times New Roman" w:eastAsia="宋体" w:cs="Times New Roman"/>
                      <w:b w:val="0"/>
                      <w:bCs w:val="0"/>
                      <w:color w:val="auto"/>
                      <w:kern w:val="0"/>
                      <w:sz w:val="21"/>
                      <w:szCs w:val="21"/>
                      <w:lang w:val="en-US" w:eastAsia="zh-CN" w:bidi="ar-SA"/>
                    </w:rPr>
                    <w:t>实验废液、废机油、废油桶</w:t>
                  </w:r>
                </w:p>
              </w:tc>
            </w:tr>
            <w:tr w14:paraId="07503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4" w:type="pct"/>
                  <w:vMerge w:val="continue"/>
                  <w:noWrap w:val="0"/>
                  <w:vAlign w:val="center"/>
                </w:tcPr>
                <w:p w14:paraId="559BE269">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b w:val="0"/>
                      <w:bCs w:val="0"/>
                      <w:color w:val="auto"/>
                      <w:sz w:val="21"/>
                      <w:szCs w:val="21"/>
                    </w:rPr>
                  </w:pPr>
                </w:p>
              </w:tc>
              <w:tc>
                <w:tcPr>
                  <w:tcW w:w="466" w:type="pct"/>
                  <w:vMerge w:val="continue"/>
                  <w:noWrap w:val="0"/>
                  <w:vAlign w:val="center"/>
                </w:tcPr>
                <w:p w14:paraId="422510A5">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b w:val="0"/>
                      <w:bCs w:val="0"/>
                      <w:color w:val="auto"/>
                      <w:sz w:val="21"/>
                      <w:szCs w:val="21"/>
                    </w:rPr>
                  </w:pPr>
                </w:p>
              </w:tc>
              <w:tc>
                <w:tcPr>
                  <w:tcW w:w="1001" w:type="pct"/>
                  <w:noWrap w:val="0"/>
                  <w:vAlign w:val="center"/>
                </w:tcPr>
                <w:p w14:paraId="74521273">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default"/>
                      <w:b w:val="0"/>
                      <w:bCs w:val="0"/>
                      <w:color w:val="auto"/>
                      <w:sz w:val="21"/>
                      <w:szCs w:val="21"/>
                    </w:rPr>
                  </w:pPr>
                  <w:r>
                    <w:rPr>
                      <w:rFonts w:hint="default"/>
                      <w:b w:val="0"/>
                      <w:bCs w:val="0"/>
                      <w:color w:val="auto"/>
                      <w:sz w:val="21"/>
                      <w:szCs w:val="21"/>
                    </w:rPr>
                    <w:t>生活垃圾</w:t>
                  </w:r>
                </w:p>
              </w:tc>
              <w:tc>
                <w:tcPr>
                  <w:tcW w:w="832" w:type="pct"/>
                  <w:noWrap w:val="0"/>
                  <w:vAlign w:val="center"/>
                </w:tcPr>
                <w:p w14:paraId="128FA7EF">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b w:val="0"/>
                      <w:bCs w:val="0"/>
                      <w:color w:val="auto"/>
                      <w:sz w:val="21"/>
                      <w:szCs w:val="21"/>
                    </w:rPr>
                  </w:pPr>
                  <w:r>
                    <w:rPr>
                      <w:rFonts w:hint="default"/>
                      <w:b w:val="0"/>
                      <w:bCs w:val="0"/>
                      <w:color w:val="auto"/>
                      <w:sz w:val="21"/>
                      <w:szCs w:val="21"/>
                    </w:rPr>
                    <w:t>日常生活</w:t>
                  </w:r>
                </w:p>
              </w:tc>
              <w:tc>
                <w:tcPr>
                  <w:tcW w:w="2265" w:type="pct"/>
                  <w:noWrap w:val="0"/>
                  <w:vAlign w:val="center"/>
                </w:tcPr>
                <w:p w14:paraId="7991E733">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ascii="宋体" w:hAnsi="Times New Roman" w:eastAsia="宋体" w:cs="Times New Roman"/>
                      <w:b w:val="0"/>
                      <w:bCs w:val="0"/>
                      <w:color w:val="auto"/>
                      <w:sz w:val="21"/>
                      <w:szCs w:val="21"/>
                    </w:rPr>
                  </w:pPr>
                  <w:r>
                    <w:rPr>
                      <w:rFonts w:hint="default" w:ascii="宋体" w:hAnsi="Times New Roman" w:eastAsia="宋体" w:cs="Times New Roman"/>
                      <w:b w:val="0"/>
                      <w:bCs w:val="0"/>
                      <w:color w:val="auto"/>
                      <w:sz w:val="21"/>
                      <w:szCs w:val="21"/>
                    </w:rPr>
                    <w:t>生活垃圾</w:t>
                  </w:r>
                </w:p>
              </w:tc>
            </w:tr>
            <w:tr w14:paraId="434A1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34" w:type="pct"/>
                  <w:vMerge w:val="continue"/>
                  <w:noWrap w:val="0"/>
                  <w:vAlign w:val="center"/>
                </w:tcPr>
                <w:p w14:paraId="2B772D80">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b w:val="0"/>
                      <w:bCs w:val="0"/>
                      <w:color w:val="auto"/>
                      <w:sz w:val="21"/>
                      <w:szCs w:val="21"/>
                    </w:rPr>
                  </w:pPr>
                </w:p>
              </w:tc>
              <w:tc>
                <w:tcPr>
                  <w:tcW w:w="1468" w:type="pct"/>
                  <w:gridSpan w:val="2"/>
                  <w:noWrap w:val="0"/>
                  <w:vAlign w:val="center"/>
                </w:tcPr>
                <w:p w14:paraId="05269FBF">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textAlignment w:val="auto"/>
                    <w:rPr>
                      <w:rFonts w:hint="default"/>
                      <w:b w:val="0"/>
                      <w:bCs w:val="0"/>
                      <w:color w:val="auto"/>
                      <w:sz w:val="21"/>
                      <w:szCs w:val="21"/>
                    </w:rPr>
                  </w:pPr>
                  <w:r>
                    <w:rPr>
                      <w:rFonts w:hint="default"/>
                      <w:b w:val="0"/>
                      <w:bCs w:val="0"/>
                      <w:color w:val="auto"/>
                      <w:sz w:val="21"/>
                      <w:szCs w:val="21"/>
                    </w:rPr>
                    <w:t>噪声</w:t>
                  </w:r>
                </w:p>
              </w:tc>
              <w:tc>
                <w:tcPr>
                  <w:tcW w:w="832" w:type="pct"/>
                  <w:noWrap w:val="0"/>
                  <w:vAlign w:val="center"/>
                </w:tcPr>
                <w:p w14:paraId="49A9F744">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b w:val="0"/>
                      <w:bCs w:val="0"/>
                      <w:color w:val="auto"/>
                      <w:sz w:val="21"/>
                      <w:szCs w:val="21"/>
                    </w:rPr>
                  </w:pPr>
                  <w:r>
                    <w:rPr>
                      <w:rFonts w:hint="default"/>
                      <w:b w:val="0"/>
                      <w:bCs w:val="0"/>
                      <w:color w:val="auto"/>
                      <w:sz w:val="21"/>
                      <w:szCs w:val="21"/>
                    </w:rPr>
                    <w:t>生产工序</w:t>
                  </w:r>
                </w:p>
              </w:tc>
              <w:tc>
                <w:tcPr>
                  <w:tcW w:w="2265" w:type="pct"/>
                  <w:noWrap w:val="0"/>
                  <w:vAlign w:val="center"/>
                </w:tcPr>
                <w:p w14:paraId="29D45E8D">
                  <w:pPr>
                    <w:pStyle w:val="52"/>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b w:val="0"/>
                      <w:bCs w:val="0"/>
                      <w:color w:val="auto"/>
                      <w:sz w:val="21"/>
                      <w:szCs w:val="21"/>
                    </w:rPr>
                  </w:pPr>
                  <w:r>
                    <w:rPr>
                      <w:rFonts w:hint="default"/>
                      <w:b w:val="0"/>
                      <w:bCs w:val="0"/>
                      <w:color w:val="auto"/>
                      <w:sz w:val="21"/>
                      <w:szCs w:val="21"/>
                    </w:rPr>
                    <w:t>设备噪声</w:t>
                  </w:r>
                </w:p>
              </w:tc>
            </w:tr>
          </w:tbl>
          <w:p w14:paraId="40D7B7DF">
            <w:pPr>
              <w:keepNext w:val="0"/>
              <w:keepLines w:val="0"/>
              <w:pageBreakBefore w:val="0"/>
              <w:widowControl w:val="0"/>
              <w:kinsoku/>
              <w:wordWrap/>
              <w:overflowPunct/>
              <w:topLinePunct w:val="0"/>
              <w:autoSpaceDE/>
              <w:autoSpaceDN/>
              <w:bidi w:val="0"/>
              <w:adjustRightInd/>
              <w:snapToGrid/>
              <w:spacing w:line="356" w:lineRule="auto"/>
              <w:ind w:left="0" w:leftChars="0" w:right="0" w:rightChars="0" w:firstLine="361" w:firstLineChars="150"/>
              <w:jc w:val="both"/>
              <w:textAlignment w:val="auto"/>
              <w:outlineLvl w:val="9"/>
              <w:rPr>
                <w:rFonts w:hint="default" w:ascii="Times New Roman" w:hAnsi="Times New Roman" w:eastAsia="宋体" w:cs="Times New Roman"/>
                <w:color w:val="auto"/>
                <w:spacing w:val="6"/>
                <w:sz w:val="24"/>
                <w:szCs w:val="22"/>
                <w:highlight w:val="none"/>
                <w:lang w:val="en-US" w:eastAsia="zh-CN"/>
              </w:rPr>
            </w:pPr>
            <w:r>
              <w:rPr>
                <w:rFonts w:hint="eastAsia" w:cs="Times New Roman"/>
                <w:b/>
                <w:color w:val="auto"/>
                <w:sz w:val="24"/>
                <w:lang w:val="en-US" w:eastAsia="zh-CN"/>
              </w:rPr>
              <w:t>三</w:t>
            </w:r>
            <w:r>
              <w:rPr>
                <w:rFonts w:hint="eastAsia" w:ascii="Times New Roman" w:hAnsi="Times New Roman" w:eastAsia="宋体" w:cs="Times New Roman"/>
                <w:b/>
                <w:color w:val="auto"/>
                <w:sz w:val="24"/>
                <w:lang w:val="en-US" w:eastAsia="zh-CN"/>
              </w:rPr>
              <w:t>、现有项目污染物实际排放总量</w:t>
            </w:r>
          </w:p>
          <w:p w14:paraId="6EA4D818">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b/>
                <w:bCs/>
                <w:snapToGrid w:val="0"/>
                <w:color w:val="auto"/>
                <w:spacing w:val="4"/>
                <w:kern w:val="2"/>
                <w:sz w:val="21"/>
                <w:szCs w:val="21"/>
                <w:highlight w:val="none"/>
                <w:lang w:val="en-US" w:eastAsia="zh-CN" w:bidi="ar-SA"/>
              </w:rPr>
            </w:pPr>
            <w:r>
              <w:rPr>
                <w:rFonts w:hint="default" w:ascii="Times New Roman" w:hAnsi="Times New Roman" w:eastAsia="宋体" w:cs="Times New Roman"/>
                <w:b/>
                <w:bCs/>
                <w:snapToGrid w:val="0"/>
                <w:color w:val="auto"/>
                <w:spacing w:val="4"/>
                <w:kern w:val="2"/>
                <w:sz w:val="21"/>
                <w:szCs w:val="21"/>
                <w:highlight w:val="none"/>
                <w:lang w:val="en-US" w:eastAsia="zh-CN" w:bidi="ar-SA"/>
              </w:rPr>
              <w:t>表2-</w:t>
            </w:r>
            <w:r>
              <w:rPr>
                <w:rFonts w:hint="eastAsia" w:ascii="Times New Roman" w:hAnsi="Times New Roman" w:eastAsia="宋体" w:cs="Times New Roman"/>
                <w:b/>
                <w:bCs/>
                <w:snapToGrid w:val="0"/>
                <w:color w:val="auto"/>
                <w:spacing w:val="4"/>
                <w:kern w:val="2"/>
                <w:sz w:val="21"/>
                <w:szCs w:val="21"/>
                <w:highlight w:val="none"/>
                <w:lang w:val="en-US" w:eastAsia="zh-CN" w:bidi="ar-SA"/>
              </w:rPr>
              <w:t>25</w:t>
            </w:r>
            <w:r>
              <w:rPr>
                <w:rFonts w:hint="default" w:ascii="Times New Roman" w:hAnsi="Times New Roman" w:eastAsia="宋体" w:cs="Times New Roman"/>
                <w:b/>
                <w:bCs/>
                <w:snapToGrid w:val="0"/>
                <w:color w:val="auto"/>
                <w:spacing w:val="4"/>
                <w:kern w:val="2"/>
                <w:sz w:val="21"/>
                <w:szCs w:val="21"/>
                <w:highlight w:val="none"/>
                <w:lang w:val="en-US" w:eastAsia="zh-CN" w:bidi="ar-SA"/>
              </w:rPr>
              <w:t xml:space="preserve">  现有项目污染物排放情况表</w:t>
            </w:r>
          </w:p>
          <w:tbl>
            <w:tblPr>
              <w:tblStyle w:val="25"/>
              <w:tblW w:w="821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2736"/>
              <w:gridCol w:w="3586"/>
            </w:tblGrid>
            <w:tr w14:paraId="0DFE2F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6" w:type="dxa"/>
                  <w:vMerge w:val="restart"/>
                  <w:tcBorders>
                    <w:top w:val="single" w:color="auto" w:sz="12" w:space="0"/>
                  </w:tcBorders>
                  <w:noWrap w:val="0"/>
                  <w:vAlign w:val="center"/>
                </w:tcPr>
                <w:p w14:paraId="114FBCCA">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bCs/>
                      <w:snapToGrid w:val="0"/>
                      <w:color w:val="auto"/>
                      <w:spacing w:val="4"/>
                      <w:kern w:val="2"/>
                      <w:sz w:val="21"/>
                      <w:szCs w:val="21"/>
                      <w:highlight w:val="none"/>
                      <w:vertAlign w:val="baseline"/>
                      <w:lang w:val="en-US" w:eastAsia="zh-CN" w:bidi="ar-SA"/>
                    </w:rPr>
                  </w:pPr>
                  <w:r>
                    <w:rPr>
                      <w:rFonts w:hint="eastAsia" w:ascii="Times New Roman" w:hAnsi="Times New Roman" w:eastAsia="宋体" w:cs="Times New Roman"/>
                      <w:b/>
                      <w:bCs/>
                      <w:snapToGrid w:val="0"/>
                      <w:color w:val="auto"/>
                      <w:spacing w:val="4"/>
                      <w:kern w:val="2"/>
                      <w:sz w:val="21"/>
                      <w:szCs w:val="21"/>
                      <w:highlight w:val="none"/>
                      <w:vertAlign w:val="baseline"/>
                      <w:lang w:val="en-US" w:eastAsia="zh-CN" w:bidi="ar-SA"/>
                    </w:rPr>
                    <w:t>类别</w:t>
                  </w:r>
                </w:p>
              </w:tc>
              <w:tc>
                <w:tcPr>
                  <w:tcW w:w="2736" w:type="dxa"/>
                  <w:vMerge w:val="restart"/>
                  <w:tcBorders>
                    <w:top w:val="single" w:color="auto" w:sz="12" w:space="0"/>
                  </w:tcBorders>
                  <w:noWrap w:val="0"/>
                  <w:vAlign w:val="center"/>
                </w:tcPr>
                <w:p w14:paraId="0E586BC9">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bCs/>
                      <w:snapToGrid w:val="0"/>
                      <w:color w:val="auto"/>
                      <w:spacing w:val="4"/>
                      <w:kern w:val="2"/>
                      <w:sz w:val="21"/>
                      <w:szCs w:val="21"/>
                      <w:highlight w:val="none"/>
                      <w:vertAlign w:val="baseline"/>
                      <w:lang w:val="en-US" w:eastAsia="zh-CN" w:bidi="ar-SA"/>
                    </w:rPr>
                  </w:pPr>
                  <w:r>
                    <w:rPr>
                      <w:rFonts w:hint="eastAsia" w:ascii="Times New Roman" w:hAnsi="Times New Roman" w:eastAsia="宋体" w:cs="Times New Roman"/>
                      <w:b/>
                      <w:bCs/>
                      <w:snapToGrid w:val="0"/>
                      <w:color w:val="auto"/>
                      <w:spacing w:val="4"/>
                      <w:kern w:val="2"/>
                      <w:sz w:val="21"/>
                      <w:szCs w:val="21"/>
                      <w:highlight w:val="none"/>
                      <w:vertAlign w:val="baseline"/>
                      <w:lang w:val="en-US" w:eastAsia="zh-CN" w:bidi="ar-SA"/>
                    </w:rPr>
                    <w:t>污染物名称</w:t>
                  </w:r>
                </w:p>
              </w:tc>
              <w:tc>
                <w:tcPr>
                  <w:tcW w:w="3586" w:type="dxa"/>
                  <w:tcBorders>
                    <w:top w:val="single" w:color="auto" w:sz="12" w:space="0"/>
                  </w:tcBorders>
                  <w:noWrap w:val="0"/>
                  <w:vAlign w:val="center"/>
                </w:tcPr>
                <w:p w14:paraId="1C7C9F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snapToGrid w:val="0"/>
                      <w:color w:val="auto"/>
                      <w:spacing w:val="4"/>
                      <w:kern w:val="2"/>
                      <w:sz w:val="21"/>
                      <w:szCs w:val="21"/>
                      <w:highlight w:val="none"/>
                      <w:vertAlign w:val="baseline"/>
                      <w:lang w:val="en-US" w:eastAsia="zh-CN" w:bidi="ar-SA"/>
                    </w:rPr>
                  </w:pPr>
                  <w:r>
                    <w:rPr>
                      <w:rFonts w:hint="eastAsia" w:ascii="Times New Roman" w:hAnsi="Times New Roman" w:eastAsia="宋体" w:cs="Times New Roman"/>
                      <w:b/>
                      <w:bCs/>
                      <w:snapToGrid w:val="0"/>
                      <w:color w:val="auto"/>
                      <w:spacing w:val="4"/>
                      <w:kern w:val="2"/>
                      <w:sz w:val="21"/>
                      <w:szCs w:val="21"/>
                      <w:highlight w:val="none"/>
                      <w:vertAlign w:val="baseline"/>
                      <w:lang w:val="en-US" w:eastAsia="zh-CN" w:bidi="ar-SA"/>
                    </w:rPr>
                    <w:t>现有项目</w:t>
                  </w:r>
                  <w:r>
                    <w:rPr>
                      <w:rFonts w:hint="default" w:ascii="Times New Roman" w:hAnsi="Times New Roman" w:eastAsia="宋体" w:cs="Times New Roman"/>
                      <w:b/>
                      <w:bCs/>
                      <w:snapToGrid w:val="0"/>
                      <w:color w:val="auto"/>
                      <w:spacing w:val="0"/>
                      <w:kern w:val="21"/>
                      <w:sz w:val="21"/>
                      <w:szCs w:val="21"/>
                      <w:highlight w:val="none"/>
                      <w:lang w:val="en-US" w:eastAsia="zh-CN" w:bidi="ar-SA"/>
                    </w:rPr>
                    <w:t>排放量</w:t>
                  </w:r>
                  <w:r>
                    <w:rPr>
                      <w:rFonts w:hint="eastAsia" w:ascii="Times New Roman" w:hAnsi="Times New Roman" w:eastAsia="宋体" w:cs="Times New Roman"/>
                      <w:b/>
                      <w:bCs/>
                      <w:snapToGrid w:val="0"/>
                      <w:color w:val="auto"/>
                      <w:spacing w:val="0"/>
                      <w:kern w:val="21"/>
                      <w:sz w:val="21"/>
                      <w:szCs w:val="21"/>
                      <w:highlight w:val="none"/>
                      <w:lang w:val="en-US" w:eastAsia="zh-CN" w:bidi="ar-SA"/>
                    </w:rPr>
                    <w:t>（固体废物产生量）</w:t>
                  </w:r>
                </w:p>
              </w:tc>
            </w:tr>
            <w:tr w14:paraId="65B897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6" w:type="dxa"/>
                  <w:vMerge w:val="continue"/>
                  <w:noWrap w:val="0"/>
                  <w:vAlign w:val="center"/>
                </w:tcPr>
                <w:p w14:paraId="237BD07F">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bCs/>
                      <w:snapToGrid w:val="0"/>
                      <w:color w:val="auto"/>
                      <w:spacing w:val="4"/>
                      <w:kern w:val="2"/>
                      <w:sz w:val="21"/>
                      <w:szCs w:val="21"/>
                      <w:highlight w:val="none"/>
                      <w:vertAlign w:val="baseline"/>
                      <w:lang w:val="en-US" w:eastAsia="zh-CN" w:bidi="ar-SA"/>
                    </w:rPr>
                  </w:pPr>
                </w:p>
              </w:tc>
              <w:tc>
                <w:tcPr>
                  <w:tcW w:w="2736" w:type="dxa"/>
                  <w:vMerge w:val="continue"/>
                  <w:noWrap w:val="0"/>
                  <w:vAlign w:val="center"/>
                </w:tcPr>
                <w:p w14:paraId="1EE4D6AC">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Times New Roman" w:hAnsi="Times New Roman" w:eastAsia="宋体" w:cs="Times New Roman"/>
                      <w:b/>
                      <w:bCs/>
                      <w:snapToGrid w:val="0"/>
                      <w:color w:val="auto"/>
                      <w:spacing w:val="4"/>
                      <w:kern w:val="2"/>
                      <w:sz w:val="21"/>
                      <w:szCs w:val="21"/>
                      <w:highlight w:val="none"/>
                      <w:vertAlign w:val="baseline"/>
                      <w:lang w:val="en-US" w:eastAsia="zh-CN" w:bidi="ar-SA"/>
                    </w:rPr>
                  </w:pPr>
                </w:p>
              </w:tc>
              <w:tc>
                <w:tcPr>
                  <w:tcW w:w="3586" w:type="dxa"/>
                  <w:tcBorders>
                    <w:top w:val="single" w:color="auto" w:sz="12" w:space="0"/>
                  </w:tcBorders>
                  <w:noWrap w:val="0"/>
                  <w:vAlign w:val="center"/>
                </w:tcPr>
                <w:p w14:paraId="3D9706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snapToGrid w:val="0"/>
                      <w:color w:val="auto"/>
                      <w:spacing w:val="4"/>
                      <w:kern w:val="2"/>
                      <w:sz w:val="21"/>
                      <w:szCs w:val="21"/>
                      <w:highlight w:val="none"/>
                      <w:vertAlign w:val="baseline"/>
                      <w:lang w:val="en-US" w:eastAsia="zh-CN" w:bidi="ar-SA"/>
                    </w:rPr>
                  </w:pPr>
                  <w:r>
                    <w:rPr>
                      <w:rFonts w:hint="eastAsia" w:ascii="Times New Roman" w:hAnsi="Times New Roman" w:eastAsia="宋体" w:cs="Times New Roman"/>
                      <w:b/>
                      <w:bCs/>
                      <w:snapToGrid w:val="0"/>
                      <w:color w:val="auto"/>
                      <w:spacing w:val="4"/>
                      <w:kern w:val="2"/>
                      <w:sz w:val="21"/>
                      <w:szCs w:val="21"/>
                      <w:highlight w:val="none"/>
                      <w:vertAlign w:val="baseline"/>
                      <w:lang w:val="en-US" w:eastAsia="zh-CN" w:bidi="ar-SA"/>
                    </w:rPr>
                    <w:t>已建工程排放量</w:t>
                  </w:r>
                </w:p>
              </w:tc>
            </w:tr>
            <w:tr w14:paraId="28B0B6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3" w:hRule="atLeast"/>
              </w:trPr>
              <w:tc>
                <w:tcPr>
                  <w:tcW w:w="1896" w:type="dxa"/>
                  <w:tcBorders>
                    <w:top w:val="single" w:color="auto" w:sz="12" w:space="0"/>
                    <w:tl2br w:val="nil"/>
                    <w:tr2bl w:val="nil"/>
                  </w:tcBorders>
                  <w:noWrap w:val="0"/>
                  <w:vAlign w:val="center"/>
                </w:tcPr>
                <w:p w14:paraId="4ECCDDE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napToGrid w:val="0"/>
                      <w:color w:val="auto"/>
                      <w:spacing w:val="4"/>
                      <w:kern w:val="2"/>
                      <w:sz w:val="21"/>
                      <w:szCs w:val="21"/>
                      <w:highlight w:val="none"/>
                      <w:vertAlign w:val="baseline"/>
                      <w:lang w:val="en-US" w:eastAsia="zh-CN" w:bidi="ar-SA"/>
                    </w:rPr>
                  </w:pPr>
                  <w:r>
                    <w:rPr>
                      <w:rFonts w:hint="eastAsia" w:ascii="Times New Roman" w:hAnsi="Times New Roman" w:eastAsia="宋体" w:cs="Times New Roman"/>
                      <w:b w:val="0"/>
                      <w:bCs w:val="0"/>
                      <w:snapToGrid w:val="0"/>
                      <w:color w:val="auto"/>
                      <w:spacing w:val="4"/>
                      <w:kern w:val="2"/>
                      <w:sz w:val="21"/>
                      <w:szCs w:val="21"/>
                      <w:highlight w:val="none"/>
                      <w:vertAlign w:val="baseline"/>
                      <w:lang w:val="en-US" w:eastAsia="zh-CN" w:bidi="ar-SA"/>
                    </w:rPr>
                    <w:t>废气</w:t>
                  </w:r>
                </w:p>
              </w:tc>
              <w:tc>
                <w:tcPr>
                  <w:tcW w:w="2736" w:type="dxa"/>
                  <w:tcBorders>
                    <w:top w:val="single" w:color="auto" w:sz="12" w:space="0"/>
                    <w:tl2br w:val="nil"/>
                    <w:tr2bl w:val="nil"/>
                  </w:tcBorders>
                  <w:noWrap w:val="0"/>
                  <w:vAlign w:val="center"/>
                </w:tcPr>
                <w:p w14:paraId="2B0BC2DF">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b w:val="0"/>
                      <w:bCs w:val="0"/>
                      <w:snapToGrid w:val="0"/>
                      <w:color w:val="auto"/>
                      <w:kern w:val="21"/>
                      <w:sz w:val="21"/>
                      <w:szCs w:val="21"/>
                      <w:lang w:eastAsia="zh-CN"/>
                    </w:rPr>
                    <w:t>颗粒物</w:t>
                  </w:r>
                </w:p>
              </w:tc>
              <w:tc>
                <w:tcPr>
                  <w:tcW w:w="3586" w:type="dxa"/>
                  <w:tcBorders>
                    <w:top w:val="single" w:color="auto" w:sz="12" w:space="0"/>
                    <w:tl2br w:val="nil"/>
                    <w:tr2bl w:val="nil"/>
                  </w:tcBorders>
                  <w:noWrap w:val="0"/>
                  <w:vAlign w:val="center"/>
                </w:tcPr>
                <w:p w14:paraId="1B87BC4C">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bCs/>
                      <w:snapToGrid w:val="0"/>
                      <w:color w:val="auto"/>
                      <w:kern w:val="21"/>
                      <w:sz w:val="21"/>
                      <w:szCs w:val="21"/>
                      <w:lang w:val="en-US" w:eastAsia="zh-CN" w:bidi="ar-SA"/>
                    </w:rPr>
                  </w:pPr>
                  <w:r>
                    <w:rPr>
                      <w:rFonts w:hint="default" w:ascii="Times New Roman" w:hAnsi="Times New Roman" w:cs="Times New Roman"/>
                      <w:b w:val="0"/>
                      <w:bCs/>
                      <w:color w:val="auto"/>
                      <w:spacing w:val="0"/>
                      <w:sz w:val="21"/>
                      <w:szCs w:val="24"/>
                      <w:vertAlign w:val="baseline"/>
                      <w:lang w:val="en-US" w:eastAsia="zh-CN"/>
                    </w:rPr>
                    <w:t>0.00138</w:t>
                  </w:r>
                  <w:r>
                    <w:rPr>
                      <w:rFonts w:hint="default" w:ascii="Times New Roman" w:hAnsi="Times New Roman" w:eastAsia="宋体" w:cs="Times New Roman"/>
                      <w:b w:val="0"/>
                      <w:bCs w:val="0"/>
                      <w:snapToGrid w:val="0"/>
                      <w:color w:val="auto"/>
                      <w:kern w:val="21"/>
                      <w:sz w:val="21"/>
                      <w:szCs w:val="21"/>
                      <w:lang w:val="en-US" w:eastAsia="zh-CN"/>
                    </w:rPr>
                    <w:t>t/a</w:t>
                  </w:r>
                </w:p>
              </w:tc>
            </w:tr>
            <w:tr w14:paraId="2F2335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6" w:type="dxa"/>
                  <w:vMerge w:val="restart"/>
                  <w:tcBorders>
                    <w:tl2br w:val="nil"/>
                    <w:tr2bl w:val="nil"/>
                  </w:tcBorders>
                  <w:noWrap w:val="0"/>
                  <w:vAlign w:val="center"/>
                </w:tcPr>
                <w:p w14:paraId="04DE8696">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val="0"/>
                      <w:bCs w:val="0"/>
                      <w:snapToGrid w:val="0"/>
                      <w:color w:val="auto"/>
                      <w:kern w:val="21"/>
                      <w:sz w:val="21"/>
                      <w:szCs w:val="21"/>
                      <w:highlight w:val="none"/>
                      <w:lang w:val="en-US" w:eastAsia="zh-CN" w:bidi="ar-SA"/>
                    </w:rPr>
                  </w:pPr>
                  <w:r>
                    <w:rPr>
                      <w:rFonts w:hint="eastAsia" w:ascii="Times New Roman" w:hAnsi="Times New Roman" w:eastAsia="宋体" w:cs="Times New Roman"/>
                      <w:b w:val="0"/>
                      <w:bCs w:val="0"/>
                      <w:snapToGrid w:val="0"/>
                      <w:color w:val="auto"/>
                      <w:kern w:val="21"/>
                      <w:sz w:val="21"/>
                      <w:szCs w:val="21"/>
                      <w:highlight w:val="none"/>
                      <w:lang w:val="en-US" w:eastAsia="zh-CN" w:bidi="ar-SA"/>
                    </w:rPr>
                    <w:t>废水</w:t>
                  </w:r>
                </w:p>
              </w:tc>
              <w:tc>
                <w:tcPr>
                  <w:tcW w:w="2736" w:type="dxa"/>
                  <w:tcBorders>
                    <w:tl2br w:val="nil"/>
                    <w:tr2bl w:val="nil"/>
                  </w:tcBorders>
                  <w:noWrap w:val="0"/>
                  <w:vAlign w:val="center"/>
                </w:tcPr>
                <w:p w14:paraId="3A222F62">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napToGrid w:val="0"/>
                      <w:color w:val="auto"/>
                      <w:kern w:val="21"/>
                      <w:sz w:val="21"/>
                      <w:szCs w:val="21"/>
                      <w:lang w:val="en-US" w:eastAsia="zh-CN"/>
                    </w:rPr>
                    <w:t>COD</w:t>
                  </w:r>
                </w:p>
              </w:tc>
              <w:tc>
                <w:tcPr>
                  <w:tcW w:w="3586" w:type="dxa"/>
                  <w:tcBorders>
                    <w:tl2br w:val="nil"/>
                    <w:tr2bl w:val="nil"/>
                  </w:tcBorders>
                  <w:noWrap w:val="0"/>
                  <w:vAlign w:val="center"/>
                </w:tcPr>
                <w:p w14:paraId="179A5BF7">
                  <w:pPr>
                    <w:pStyle w:val="93"/>
                    <w:keepNext w:val="0"/>
                    <w:keepLines w:val="0"/>
                    <w:pageBreakBefore w:val="0"/>
                    <w:widowControl w:val="0"/>
                    <w:kinsoku/>
                    <w:wordWrap/>
                    <w:overflowPunct/>
                    <w:topLinePunct w:val="0"/>
                    <w:autoSpaceDE/>
                    <w:autoSpaceDN/>
                    <w:bidi w:val="0"/>
                    <w:spacing w:before="0" w:after="0"/>
                    <w:ind w:firstLine="0" w:firstLineChars="0"/>
                    <w:textAlignment w:val="auto"/>
                    <w:rPr>
                      <w:rFonts w:hint="default" w:ascii="Times New Roman" w:hAnsi="Times New Roman" w:cs="Times New Roman"/>
                      <w:snapToGrid w:val="0"/>
                      <w:color w:val="auto"/>
                      <w:kern w:val="21"/>
                      <w:sz w:val="21"/>
                      <w:szCs w:val="21"/>
                      <w:lang w:val="en-US" w:eastAsia="zh-CN" w:bidi="ar-SA"/>
                    </w:rPr>
                  </w:pPr>
                  <w:r>
                    <w:rPr>
                      <w:rFonts w:hint="default" w:ascii="Times New Roman" w:hAnsi="Times New Roman" w:eastAsia="宋体" w:cs="Times New Roman"/>
                      <w:b w:val="0"/>
                      <w:bCs/>
                      <w:color w:val="auto"/>
                      <w:spacing w:val="0"/>
                      <w:position w:val="0"/>
                      <w:sz w:val="21"/>
                      <w:szCs w:val="21"/>
                      <w:vertAlign w:val="baseline"/>
                      <w:lang w:val="en-US" w:eastAsia="zh-CN"/>
                    </w:rPr>
                    <w:t>0.371</w:t>
                  </w:r>
                  <w:r>
                    <w:rPr>
                      <w:rFonts w:hint="default" w:ascii="Times New Roman" w:hAnsi="Times New Roman" w:eastAsia="宋体" w:cs="Times New Roman"/>
                      <w:b w:val="0"/>
                      <w:bCs w:val="0"/>
                      <w:snapToGrid w:val="0"/>
                      <w:color w:val="auto"/>
                      <w:kern w:val="21"/>
                      <w:sz w:val="21"/>
                      <w:szCs w:val="21"/>
                      <w:lang w:val="en-US" w:eastAsia="zh-CN"/>
                    </w:rPr>
                    <w:t>t/a</w:t>
                  </w:r>
                </w:p>
              </w:tc>
            </w:tr>
            <w:tr w14:paraId="3ACFA0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6" w:type="dxa"/>
                  <w:vMerge w:val="continue"/>
                  <w:tcBorders>
                    <w:tl2br w:val="nil"/>
                    <w:tr2bl w:val="nil"/>
                  </w:tcBorders>
                  <w:noWrap w:val="0"/>
                  <w:vAlign w:val="center"/>
                </w:tcPr>
                <w:p w14:paraId="5F44A50F">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736" w:type="dxa"/>
                  <w:tcBorders>
                    <w:tl2br w:val="nil"/>
                    <w:tr2bl w:val="nil"/>
                  </w:tcBorders>
                  <w:noWrap w:val="0"/>
                  <w:vAlign w:val="center"/>
                </w:tcPr>
                <w:p w14:paraId="572C5CA6">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napToGrid w:val="0"/>
                      <w:color w:val="auto"/>
                      <w:kern w:val="21"/>
                      <w:sz w:val="21"/>
                      <w:szCs w:val="21"/>
                      <w:lang w:val="en-US" w:eastAsia="zh-CN"/>
                    </w:rPr>
                    <w:t>BOD</w:t>
                  </w:r>
                  <w:r>
                    <w:rPr>
                      <w:rFonts w:hint="default" w:ascii="Times New Roman" w:hAnsi="Times New Roman" w:eastAsia="宋体" w:cs="Times New Roman"/>
                      <w:b w:val="0"/>
                      <w:bCs w:val="0"/>
                      <w:snapToGrid w:val="0"/>
                      <w:color w:val="auto"/>
                      <w:kern w:val="21"/>
                      <w:sz w:val="21"/>
                      <w:szCs w:val="21"/>
                      <w:vertAlign w:val="subscript"/>
                      <w:lang w:val="en-US" w:eastAsia="zh-CN"/>
                    </w:rPr>
                    <w:t>5</w:t>
                  </w:r>
                </w:p>
              </w:tc>
              <w:tc>
                <w:tcPr>
                  <w:tcW w:w="3586" w:type="dxa"/>
                  <w:tcBorders>
                    <w:tl2br w:val="nil"/>
                    <w:tr2bl w:val="nil"/>
                  </w:tcBorders>
                  <w:noWrap w:val="0"/>
                  <w:vAlign w:val="center"/>
                </w:tcPr>
                <w:p w14:paraId="187B7B4C">
                  <w:pPr>
                    <w:pStyle w:val="93"/>
                    <w:keepNext w:val="0"/>
                    <w:keepLines w:val="0"/>
                    <w:pageBreakBefore w:val="0"/>
                    <w:widowControl w:val="0"/>
                    <w:kinsoku/>
                    <w:wordWrap/>
                    <w:overflowPunct/>
                    <w:topLinePunct w:val="0"/>
                    <w:autoSpaceDE/>
                    <w:autoSpaceDN/>
                    <w:bidi w:val="0"/>
                    <w:spacing w:before="0" w:after="0"/>
                    <w:ind w:firstLine="0" w:firstLineChars="0"/>
                    <w:textAlignment w:val="auto"/>
                    <w:rPr>
                      <w:rFonts w:hint="default" w:ascii="Times New Roman" w:hAnsi="Times New Roman" w:cs="Times New Roman"/>
                      <w:snapToGrid w:val="0"/>
                      <w:color w:val="auto"/>
                      <w:kern w:val="21"/>
                      <w:sz w:val="21"/>
                      <w:szCs w:val="21"/>
                      <w:lang w:val="en-US" w:eastAsia="zh-CN" w:bidi="ar-SA"/>
                    </w:rPr>
                  </w:pPr>
                  <w:r>
                    <w:rPr>
                      <w:rFonts w:hint="default" w:ascii="Times New Roman" w:hAnsi="Times New Roman" w:eastAsia="宋体" w:cs="Times New Roman"/>
                      <w:b w:val="0"/>
                      <w:bCs/>
                      <w:color w:val="auto"/>
                      <w:spacing w:val="0"/>
                      <w:position w:val="0"/>
                      <w:sz w:val="21"/>
                      <w:szCs w:val="21"/>
                      <w:vertAlign w:val="baseline"/>
                      <w:lang w:val="en-US" w:eastAsia="zh-CN"/>
                    </w:rPr>
                    <w:t>0.17</w:t>
                  </w:r>
                  <w:r>
                    <w:rPr>
                      <w:rFonts w:hint="default" w:ascii="Times New Roman" w:hAnsi="Times New Roman" w:eastAsia="宋体" w:cs="Times New Roman"/>
                      <w:b w:val="0"/>
                      <w:bCs w:val="0"/>
                      <w:snapToGrid w:val="0"/>
                      <w:color w:val="auto"/>
                      <w:kern w:val="21"/>
                      <w:sz w:val="21"/>
                      <w:szCs w:val="21"/>
                      <w:lang w:val="en-US" w:eastAsia="zh-CN"/>
                    </w:rPr>
                    <w:t>t/a</w:t>
                  </w:r>
                </w:p>
              </w:tc>
            </w:tr>
            <w:tr w14:paraId="0BE60F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6" w:type="dxa"/>
                  <w:vMerge w:val="continue"/>
                  <w:tcBorders>
                    <w:tl2br w:val="nil"/>
                    <w:tr2bl w:val="nil"/>
                  </w:tcBorders>
                  <w:noWrap w:val="0"/>
                  <w:vAlign w:val="center"/>
                </w:tcPr>
                <w:p w14:paraId="72EE280A">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736" w:type="dxa"/>
                  <w:tcBorders>
                    <w:tl2br w:val="nil"/>
                    <w:tr2bl w:val="nil"/>
                  </w:tcBorders>
                  <w:noWrap w:val="0"/>
                  <w:vAlign w:val="center"/>
                </w:tcPr>
                <w:p w14:paraId="0FFCF259">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napToGrid w:val="0"/>
                      <w:color w:val="auto"/>
                      <w:kern w:val="21"/>
                      <w:sz w:val="21"/>
                      <w:szCs w:val="21"/>
                      <w:lang w:val="en-US" w:eastAsia="zh-CN"/>
                    </w:rPr>
                    <w:t>SS</w:t>
                  </w:r>
                </w:p>
              </w:tc>
              <w:tc>
                <w:tcPr>
                  <w:tcW w:w="3586" w:type="dxa"/>
                  <w:tcBorders>
                    <w:tl2br w:val="nil"/>
                    <w:tr2bl w:val="nil"/>
                  </w:tcBorders>
                  <w:noWrap w:val="0"/>
                  <w:vAlign w:val="center"/>
                </w:tcPr>
                <w:p w14:paraId="0D57C788">
                  <w:pPr>
                    <w:pStyle w:val="93"/>
                    <w:keepNext w:val="0"/>
                    <w:keepLines w:val="0"/>
                    <w:pageBreakBefore w:val="0"/>
                    <w:widowControl w:val="0"/>
                    <w:kinsoku/>
                    <w:wordWrap/>
                    <w:overflowPunct/>
                    <w:topLinePunct w:val="0"/>
                    <w:autoSpaceDE/>
                    <w:autoSpaceDN/>
                    <w:bidi w:val="0"/>
                    <w:spacing w:before="0" w:after="0"/>
                    <w:ind w:firstLine="0" w:firstLineChars="0"/>
                    <w:textAlignment w:val="auto"/>
                    <w:rPr>
                      <w:rFonts w:hint="default" w:ascii="Times New Roman" w:hAnsi="Times New Roman" w:cs="Times New Roman"/>
                      <w:snapToGrid w:val="0"/>
                      <w:color w:val="auto"/>
                      <w:kern w:val="21"/>
                      <w:sz w:val="21"/>
                      <w:szCs w:val="21"/>
                      <w:lang w:val="en-US" w:eastAsia="zh-CN" w:bidi="ar-SA"/>
                    </w:rPr>
                  </w:pPr>
                  <w:r>
                    <w:rPr>
                      <w:rFonts w:hint="default" w:ascii="Times New Roman" w:hAnsi="Times New Roman" w:eastAsia="宋体" w:cs="Times New Roman"/>
                      <w:b w:val="0"/>
                      <w:bCs/>
                      <w:color w:val="auto"/>
                      <w:spacing w:val="0"/>
                      <w:position w:val="0"/>
                      <w:sz w:val="21"/>
                      <w:szCs w:val="21"/>
                      <w:vertAlign w:val="baseline"/>
                      <w:lang w:val="en-US" w:eastAsia="zh-CN"/>
                    </w:rPr>
                    <w:t>0.24</w:t>
                  </w:r>
                  <w:r>
                    <w:rPr>
                      <w:rFonts w:hint="default" w:ascii="Times New Roman" w:hAnsi="Times New Roman" w:eastAsia="宋体" w:cs="Times New Roman"/>
                      <w:b w:val="0"/>
                      <w:bCs w:val="0"/>
                      <w:snapToGrid w:val="0"/>
                      <w:color w:val="auto"/>
                      <w:kern w:val="21"/>
                      <w:sz w:val="21"/>
                      <w:szCs w:val="21"/>
                      <w:lang w:val="en-US" w:eastAsia="zh-CN"/>
                    </w:rPr>
                    <w:t>t/a</w:t>
                  </w:r>
                </w:p>
              </w:tc>
            </w:tr>
            <w:tr w14:paraId="7A6CE6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6" w:type="dxa"/>
                  <w:vMerge w:val="continue"/>
                  <w:tcBorders>
                    <w:tl2br w:val="nil"/>
                    <w:tr2bl w:val="nil"/>
                  </w:tcBorders>
                  <w:noWrap w:val="0"/>
                  <w:vAlign w:val="center"/>
                </w:tcPr>
                <w:p w14:paraId="21B71B24">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736" w:type="dxa"/>
                  <w:tcBorders>
                    <w:tl2br w:val="nil"/>
                    <w:tr2bl w:val="nil"/>
                  </w:tcBorders>
                  <w:noWrap w:val="0"/>
                  <w:vAlign w:val="center"/>
                </w:tcPr>
                <w:p w14:paraId="3962DA9A">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snapToGrid w:val="0"/>
                      <w:color w:val="auto"/>
                      <w:kern w:val="21"/>
                      <w:sz w:val="21"/>
                      <w:szCs w:val="21"/>
                      <w:lang w:val="en-US" w:eastAsia="zh-CN"/>
                    </w:rPr>
                    <w:t>NH</w:t>
                  </w:r>
                  <w:r>
                    <w:rPr>
                      <w:rFonts w:hint="default" w:ascii="Times New Roman" w:hAnsi="Times New Roman" w:eastAsia="宋体" w:cs="Times New Roman"/>
                      <w:b w:val="0"/>
                      <w:bCs w:val="0"/>
                      <w:snapToGrid w:val="0"/>
                      <w:color w:val="auto"/>
                      <w:kern w:val="21"/>
                      <w:sz w:val="21"/>
                      <w:szCs w:val="21"/>
                      <w:vertAlign w:val="subscript"/>
                      <w:lang w:val="en-US" w:eastAsia="zh-CN"/>
                    </w:rPr>
                    <w:t>3</w:t>
                  </w:r>
                  <w:r>
                    <w:rPr>
                      <w:rFonts w:hint="default" w:ascii="Times New Roman" w:hAnsi="Times New Roman" w:eastAsia="宋体" w:cs="Times New Roman"/>
                      <w:b w:val="0"/>
                      <w:bCs w:val="0"/>
                      <w:snapToGrid w:val="0"/>
                      <w:color w:val="auto"/>
                      <w:kern w:val="21"/>
                      <w:sz w:val="21"/>
                      <w:szCs w:val="21"/>
                      <w:lang w:val="en-US" w:eastAsia="zh-CN"/>
                    </w:rPr>
                    <w:t>-N</w:t>
                  </w:r>
                </w:p>
              </w:tc>
              <w:tc>
                <w:tcPr>
                  <w:tcW w:w="3586" w:type="dxa"/>
                  <w:tcBorders>
                    <w:tl2br w:val="nil"/>
                    <w:tr2bl w:val="nil"/>
                  </w:tcBorders>
                  <w:noWrap w:val="0"/>
                  <w:vAlign w:val="center"/>
                </w:tcPr>
                <w:p w14:paraId="036C7DFC">
                  <w:pPr>
                    <w:pStyle w:val="93"/>
                    <w:keepNext w:val="0"/>
                    <w:keepLines w:val="0"/>
                    <w:pageBreakBefore w:val="0"/>
                    <w:widowControl w:val="0"/>
                    <w:kinsoku/>
                    <w:wordWrap/>
                    <w:overflowPunct/>
                    <w:topLinePunct w:val="0"/>
                    <w:autoSpaceDE/>
                    <w:autoSpaceDN/>
                    <w:bidi w:val="0"/>
                    <w:spacing w:before="0" w:after="0"/>
                    <w:ind w:firstLine="0" w:firstLineChars="0"/>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b w:val="0"/>
                      <w:bCs/>
                      <w:color w:val="auto"/>
                      <w:spacing w:val="0"/>
                      <w:position w:val="0"/>
                      <w:sz w:val="21"/>
                      <w:szCs w:val="21"/>
                      <w:vertAlign w:val="baseline"/>
                      <w:lang w:val="en-US" w:eastAsia="zh-CN"/>
                    </w:rPr>
                    <w:t>0.0171</w:t>
                  </w:r>
                  <w:r>
                    <w:rPr>
                      <w:rFonts w:hint="default" w:ascii="Times New Roman" w:hAnsi="Times New Roman" w:eastAsia="宋体" w:cs="Times New Roman"/>
                      <w:b w:val="0"/>
                      <w:bCs w:val="0"/>
                      <w:snapToGrid w:val="0"/>
                      <w:color w:val="auto"/>
                      <w:kern w:val="21"/>
                      <w:sz w:val="21"/>
                      <w:szCs w:val="21"/>
                      <w:lang w:val="en-US" w:eastAsia="zh-CN"/>
                    </w:rPr>
                    <w:t>t/a</w:t>
                  </w:r>
                </w:p>
              </w:tc>
            </w:tr>
            <w:tr w14:paraId="4DA4C5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896" w:type="dxa"/>
                  <w:vMerge w:val="continue"/>
                  <w:tcBorders>
                    <w:tl2br w:val="nil"/>
                    <w:tr2bl w:val="nil"/>
                  </w:tcBorders>
                  <w:noWrap w:val="0"/>
                  <w:vAlign w:val="center"/>
                </w:tcPr>
                <w:p w14:paraId="08A5F4F9">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736" w:type="dxa"/>
                  <w:tcBorders>
                    <w:tl2br w:val="nil"/>
                    <w:tr2bl w:val="nil"/>
                  </w:tcBorders>
                  <w:noWrap w:val="0"/>
                  <w:vAlign w:val="center"/>
                </w:tcPr>
                <w:p w14:paraId="6843D69E">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cs="Times New Roman"/>
                      <w:b w:val="0"/>
                      <w:bCs/>
                      <w:color w:val="auto"/>
                      <w:sz w:val="21"/>
                      <w:szCs w:val="21"/>
                      <w:highlight w:val="none"/>
                      <w:shd w:val="clear" w:color="auto" w:fill="auto"/>
                    </w:rPr>
                  </w:pPr>
                  <w:r>
                    <w:rPr>
                      <w:rFonts w:hint="eastAsia" w:ascii="Times New Roman" w:cs="Times New Roman"/>
                      <w:b w:val="0"/>
                      <w:bCs w:val="0"/>
                      <w:snapToGrid w:val="0"/>
                      <w:color w:val="auto"/>
                      <w:kern w:val="21"/>
                      <w:sz w:val="21"/>
                      <w:szCs w:val="21"/>
                      <w:lang w:val="en-US" w:eastAsia="zh-CN"/>
                    </w:rPr>
                    <w:t>TP</w:t>
                  </w:r>
                </w:p>
              </w:tc>
              <w:tc>
                <w:tcPr>
                  <w:tcW w:w="3586" w:type="dxa"/>
                  <w:tcBorders>
                    <w:tl2br w:val="nil"/>
                    <w:tr2bl w:val="nil"/>
                  </w:tcBorders>
                  <w:noWrap w:val="0"/>
                  <w:vAlign w:val="center"/>
                </w:tcPr>
                <w:p w14:paraId="302FA9B5">
                  <w:pPr>
                    <w:pStyle w:val="93"/>
                    <w:keepNext w:val="0"/>
                    <w:keepLines w:val="0"/>
                    <w:pageBreakBefore w:val="0"/>
                    <w:widowControl w:val="0"/>
                    <w:kinsoku/>
                    <w:wordWrap/>
                    <w:overflowPunct/>
                    <w:topLinePunct w:val="0"/>
                    <w:autoSpaceDE/>
                    <w:autoSpaceDN/>
                    <w:bidi w:val="0"/>
                    <w:spacing w:before="0" w:after="0"/>
                    <w:ind w:firstLine="0" w:firstLineChars="0"/>
                    <w:textAlignment w:val="auto"/>
                    <w:rPr>
                      <w:rFonts w:hint="default" w:ascii="Times New Roman" w:hAnsi="Times New Roman" w:cs="Times New Roman"/>
                      <w:b w:val="0"/>
                      <w:bCs/>
                      <w:color w:val="auto"/>
                      <w:szCs w:val="21"/>
                    </w:rPr>
                  </w:pPr>
                  <w:r>
                    <w:rPr>
                      <w:rFonts w:hint="default" w:ascii="Times New Roman" w:hAnsi="Times New Roman" w:eastAsia="宋体" w:cs="Times New Roman"/>
                      <w:b w:val="0"/>
                      <w:bCs/>
                      <w:color w:val="auto"/>
                      <w:spacing w:val="0"/>
                      <w:sz w:val="21"/>
                      <w:szCs w:val="21"/>
                      <w:lang w:val="en-US" w:eastAsia="zh-CN"/>
                    </w:rPr>
                    <w:t>0.0036</w:t>
                  </w:r>
                  <w:r>
                    <w:rPr>
                      <w:rFonts w:hint="default" w:ascii="Times New Roman" w:hAnsi="Times New Roman" w:eastAsia="宋体" w:cs="Times New Roman"/>
                      <w:b w:val="0"/>
                      <w:bCs w:val="0"/>
                      <w:snapToGrid w:val="0"/>
                      <w:color w:val="auto"/>
                      <w:kern w:val="21"/>
                      <w:sz w:val="21"/>
                      <w:szCs w:val="21"/>
                      <w:lang w:val="en-US" w:eastAsia="zh-CN"/>
                    </w:rPr>
                    <w:t>t/a</w:t>
                  </w:r>
                </w:p>
              </w:tc>
            </w:tr>
            <w:tr w14:paraId="198498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896" w:type="dxa"/>
                  <w:vMerge w:val="continue"/>
                  <w:tcBorders>
                    <w:tl2br w:val="nil"/>
                    <w:tr2bl w:val="nil"/>
                  </w:tcBorders>
                  <w:noWrap w:val="0"/>
                  <w:vAlign w:val="center"/>
                </w:tcPr>
                <w:p w14:paraId="40B42B19">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736" w:type="dxa"/>
                  <w:tcBorders>
                    <w:tl2br w:val="nil"/>
                    <w:tr2bl w:val="nil"/>
                  </w:tcBorders>
                  <w:noWrap w:val="0"/>
                  <w:vAlign w:val="center"/>
                </w:tcPr>
                <w:p w14:paraId="5C9DDAE0">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eastAsia" w:ascii="Times New Roman"/>
                      <w:b w:val="0"/>
                      <w:bCs/>
                      <w:snapToGrid w:val="0"/>
                      <w:color w:val="auto"/>
                      <w:kern w:val="21"/>
                      <w:szCs w:val="21"/>
                      <w:lang w:val="en-US" w:eastAsia="zh-CN"/>
                    </w:rPr>
                  </w:pPr>
                  <w:r>
                    <w:rPr>
                      <w:rFonts w:hint="eastAsia" w:ascii="Times New Roman" w:cs="Times New Roman"/>
                      <w:b w:val="0"/>
                      <w:bCs w:val="0"/>
                      <w:snapToGrid w:val="0"/>
                      <w:color w:val="auto"/>
                      <w:kern w:val="21"/>
                      <w:sz w:val="21"/>
                      <w:szCs w:val="21"/>
                      <w:lang w:val="en-US" w:eastAsia="zh-CN"/>
                    </w:rPr>
                    <w:t>TN</w:t>
                  </w:r>
                </w:p>
              </w:tc>
              <w:tc>
                <w:tcPr>
                  <w:tcW w:w="3586" w:type="dxa"/>
                  <w:tcBorders>
                    <w:tl2br w:val="nil"/>
                    <w:tr2bl w:val="nil"/>
                  </w:tcBorders>
                  <w:noWrap w:val="0"/>
                  <w:vAlign w:val="center"/>
                </w:tcPr>
                <w:p w14:paraId="5564E7F9">
                  <w:pPr>
                    <w:pStyle w:val="93"/>
                    <w:keepNext w:val="0"/>
                    <w:keepLines w:val="0"/>
                    <w:pageBreakBefore w:val="0"/>
                    <w:widowControl w:val="0"/>
                    <w:kinsoku/>
                    <w:wordWrap/>
                    <w:overflowPunct/>
                    <w:topLinePunct w:val="0"/>
                    <w:autoSpaceDE/>
                    <w:autoSpaceDN/>
                    <w:bidi w:val="0"/>
                    <w:spacing w:before="0" w:after="0"/>
                    <w:ind w:firstLine="0" w:firstLineChars="0"/>
                    <w:textAlignment w:val="auto"/>
                    <w:rPr>
                      <w:rFonts w:hint="default" w:ascii="Times New Roman" w:hAnsi="Times New Roman" w:cs="Times New Roman"/>
                      <w:b w:val="0"/>
                      <w:bCs/>
                      <w:color w:val="auto"/>
                      <w:szCs w:val="21"/>
                    </w:rPr>
                  </w:pPr>
                  <w:r>
                    <w:rPr>
                      <w:rFonts w:hint="default" w:ascii="Times New Roman" w:hAnsi="Times New Roman" w:eastAsia="宋体" w:cs="Times New Roman"/>
                      <w:b w:val="0"/>
                      <w:bCs/>
                      <w:color w:val="auto"/>
                      <w:spacing w:val="0"/>
                      <w:sz w:val="21"/>
                      <w:szCs w:val="21"/>
                      <w:lang w:val="en-US" w:eastAsia="zh-CN"/>
                    </w:rPr>
                    <w:t>0.0265</w:t>
                  </w:r>
                  <w:r>
                    <w:rPr>
                      <w:rFonts w:hint="default" w:ascii="Times New Roman" w:hAnsi="Times New Roman" w:eastAsia="宋体" w:cs="Times New Roman"/>
                      <w:b w:val="0"/>
                      <w:bCs w:val="0"/>
                      <w:snapToGrid w:val="0"/>
                      <w:color w:val="auto"/>
                      <w:kern w:val="21"/>
                      <w:sz w:val="21"/>
                      <w:szCs w:val="21"/>
                      <w:lang w:val="en-US" w:eastAsia="zh-CN"/>
                    </w:rPr>
                    <w:t>t/a</w:t>
                  </w:r>
                </w:p>
              </w:tc>
            </w:tr>
            <w:tr w14:paraId="57C605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6" w:type="dxa"/>
                  <w:vMerge w:val="restart"/>
                  <w:tcBorders>
                    <w:tl2br w:val="nil"/>
                    <w:tr2bl w:val="nil"/>
                  </w:tcBorders>
                  <w:noWrap w:val="0"/>
                  <w:vAlign w:val="center"/>
                </w:tcPr>
                <w:p w14:paraId="645714ED">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snapToGrid w:val="0"/>
                      <w:color w:val="auto"/>
                      <w:kern w:val="21"/>
                      <w:sz w:val="21"/>
                      <w:szCs w:val="21"/>
                      <w:highlight w:val="none"/>
                      <w:lang w:val="en-US" w:eastAsia="zh-CN" w:bidi="ar-SA"/>
                    </w:rPr>
                    <w:t>一般工业固体废物</w:t>
                  </w:r>
                </w:p>
              </w:tc>
              <w:tc>
                <w:tcPr>
                  <w:tcW w:w="2736" w:type="dxa"/>
                  <w:tcBorders>
                    <w:tl2br w:val="nil"/>
                    <w:tr2bl w:val="nil"/>
                  </w:tcBorders>
                  <w:noWrap w:val="0"/>
                  <w:vAlign w:val="center"/>
                </w:tcPr>
                <w:p w14:paraId="27B17898">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宋体" w:hAnsi="宋体" w:eastAsia="宋体" w:cs="宋体"/>
                      <w:i w:val="0"/>
                      <w:iCs w:val="0"/>
                      <w:color w:val="auto"/>
                      <w:kern w:val="2"/>
                      <w:sz w:val="21"/>
                      <w:szCs w:val="21"/>
                      <w:u w:val="none"/>
                      <w:lang w:val="en-US" w:eastAsia="zh-CN" w:bidi="ar-SA"/>
                    </w:rPr>
                  </w:pPr>
                  <w:r>
                    <w:rPr>
                      <w:rFonts w:hint="eastAsia" w:ascii="宋体" w:hAnsi="Times New Roman" w:eastAsia="宋体" w:cs="Times New Roman"/>
                      <w:b w:val="0"/>
                      <w:bCs w:val="0"/>
                      <w:color w:val="auto"/>
                      <w:kern w:val="0"/>
                      <w:sz w:val="21"/>
                      <w:szCs w:val="21"/>
                      <w:lang w:val="en-US" w:eastAsia="zh-CN" w:bidi="ar-SA"/>
                    </w:rPr>
                    <w:t>废包装材料</w:t>
                  </w:r>
                </w:p>
              </w:tc>
              <w:tc>
                <w:tcPr>
                  <w:tcW w:w="3586" w:type="dxa"/>
                  <w:tcBorders>
                    <w:tl2br w:val="nil"/>
                    <w:tr2bl w:val="nil"/>
                  </w:tcBorders>
                  <w:noWrap w:val="0"/>
                  <w:vAlign w:val="center"/>
                </w:tcPr>
                <w:p w14:paraId="16166389">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b w:val="0"/>
                      <w:bCs w:val="0"/>
                      <w:snapToGrid w:val="0"/>
                      <w:color w:val="auto"/>
                      <w:kern w:val="21"/>
                      <w:sz w:val="21"/>
                      <w:szCs w:val="21"/>
                      <w:lang w:val="en-US" w:eastAsia="zh-CN"/>
                    </w:rPr>
                    <w:t>1t/a</w:t>
                  </w:r>
                </w:p>
              </w:tc>
            </w:tr>
            <w:tr w14:paraId="41CB15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896" w:type="dxa"/>
                  <w:vMerge w:val="continue"/>
                  <w:tcBorders>
                    <w:tl2br w:val="nil"/>
                    <w:tr2bl w:val="nil"/>
                  </w:tcBorders>
                  <w:noWrap w:val="0"/>
                  <w:vAlign w:val="center"/>
                </w:tcPr>
                <w:p w14:paraId="3FD3D77A">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p>
              </w:tc>
              <w:tc>
                <w:tcPr>
                  <w:tcW w:w="2736" w:type="dxa"/>
                  <w:tcBorders>
                    <w:tl2br w:val="nil"/>
                    <w:tr2bl w:val="nil"/>
                  </w:tcBorders>
                  <w:noWrap w:val="0"/>
                  <w:vAlign w:val="center"/>
                </w:tcPr>
                <w:p w14:paraId="6917DF38">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eastAsia" w:ascii="宋体" w:hAnsi="宋体" w:eastAsia="宋体" w:cs="宋体"/>
                      <w:i w:val="0"/>
                      <w:iCs w:val="0"/>
                      <w:color w:val="auto"/>
                      <w:kern w:val="0"/>
                      <w:sz w:val="21"/>
                      <w:szCs w:val="21"/>
                      <w:u w:val="none"/>
                      <w:lang w:val="en-US" w:eastAsia="zh-CN" w:bidi="ar"/>
                    </w:rPr>
                  </w:pPr>
                  <w:r>
                    <w:rPr>
                      <w:rFonts w:hint="eastAsia" w:ascii="宋体" w:hAnsi="Times New Roman" w:eastAsia="宋体" w:cs="Times New Roman"/>
                      <w:b w:val="0"/>
                      <w:bCs w:val="0"/>
                      <w:color w:val="auto"/>
                      <w:kern w:val="0"/>
                      <w:sz w:val="21"/>
                      <w:szCs w:val="21"/>
                      <w:lang w:val="en-US" w:eastAsia="zh-CN" w:bidi="ar-SA"/>
                    </w:rPr>
                    <w:t>纯水机耗材</w:t>
                  </w:r>
                </w:p>
              </w:tc>
              <w:tc>
                <w:tcPr>
                  <w:tcW w:w="3586" w:type="dxa"/>
                  <w:tcBorders>
                    <w:tl2br w:val="nil"/>
                    <w:tr2bl w:val="nil"/>
                  </w:tcBorders>
                  <w:noWrap w:val="0"/>
                  <w:vAlign w:val="center"/>
                </w:tcPr>
                <w:p w14:paraId="2F15CB87">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b w:val="0"/>
                      <w:bCs w:val="0"/>
                      <w:snapToGrid w:val="0"/>
                      <w:color w:val="auto"/>
                      <w:kern w:val="21"/>
                      <w:sz w:val="21"/>
                      <w:szCs w:val="21"/>
                      <w:lang w:val="en-US" w:eastAsia="zh-CN"/>
                    </w:rPr>
                    <w:t>1</w:t>
                  </w:r>
                  <w:r>
                    <w:rPr>
                      <w:rFonts w:hint="eastAsia" w:ascii="Times New Roman" w:hAnsi="Times New Roman" w:eastAsia="宋体" w:cs="Times New Roman"/>
                      <w:b w:val="0"/>
                      <w:bCs w:val="0"/>
                      <w:snapToGrid w:val="0"/>
                      <w:color w:val="auto"/>
                      <w:kern w:val="21"/>
                      <w:sz w:val="21"/>
                      <w:szCs w:val="21"/>
                      <w:lang w:val="en-US" w:eastAsia="zh-CN"/>
                    </w:rPr>
                    <w:t>t/a</w:t>
                  </w:r>
                </w:p>
              </w:tc>
            </w:tr>
            <w:tr w14:paraId="23BA08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96" w:type="dxa"/>
                  <w:vMerge w:val="continue"/>
                  <w:noWrap w:val="0"/>
                  <w:vAlign w:val="center"/>
                </w:tcPr>
                <w:p w14:paraId="436686FD">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b/>
                      <w:bCs/>
                      <w:snapToGrid w:val="0"/>
                      <w:color w:val="auto"/>
                      <w:spacing w:val="4"/>
                      <w:kern w:val="2"/>
                      <w:sz w:val="21"/>
                      <w:szCs w:val="21"/>
                      <w:highlight w:val="none"/>
                      <w:vertAlign w:val="baseline"/>
                      <w:lang w:val="en-US" w:eastAsia="zh-CN" w:bidi="ar-SA"/>
                    </w:rPr>
                  </w:pPr>
                </w:p>
              </w:tc>
              <w:tc>
                <w:tcPr>
                  <w:tcW w:w="2736" w:type="dxa"/>
                  <w:noWrap w:val="0"/>
                  <w:vAlign w:val="center"/>
                </w:tcPr>
                <w:p w14:paraId="2760F8AB">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宋体" w:hAnsi="Times New Roman" w:eastAsia="宋体" w:cs="Times New Roman"/>
                      <w:b w:val="0"/>
                      <w:bCs w:val="0"/>
                      <w:color w:val="auto"/>
                      <w:kern w:val="0"/>
                      <w:sz w:val="21"/>
                      <w:szCs w:val="21"/>
                      <w:lang w:val="en-US" w:eastAsia="zh-CN" w:bidi="ar-SA"/>
                    </w:rPr>
                    <w:t>不合格品</w:t>
                  </w:r>
                </w:p>
              </w:tc>
              <w:tc>
                <w:tcPr>
                  <w:tcW w:w="3586" w:type="dxa"/>
                  <w:noWrap w:val="0"/>
                  <w:vAlign w:val="center"/>
                </w:tcPr>
                <w:p w14:paraId="2E048A6B">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cs="Times New Roman"/>
                      <w:snapToGrid w:val="0"/>
                      <w:color w:val="auto"/>
                      <w:kern w:val="21"/>
                      <w:sz w:val="21"/>
                      <w:szCs w:val="21"/>
                      <w:lang w:val="en-US" w:eastAsia="zh-CN" w:bidi="ar-SA"/>
                    </w:rPr>
                  </w:pPr>
                  <w:r>
                    <w:rPr>
                      <w:rFonts w:hint="eastAsia" w:ascii="Times New Roman" w:cs="Times New Roman"/>
                      <w:b w:val="0"/>
                      <w:bCs w:val="0"/>
                      <w:snapToGrid w:val="0"/>
                      <w:color w:val="auto"/>
                      <w:kern w:val="21"/>
                      <w:sz w:val="21"/>
                      <w:szCs w:val="21"/>
                      <w:lang w:val="en-US" w:eastAsia="zh-CN"/>
                    </w:rPr>
                    <w:t>10t/a</w:t>
                  </w:r>
                </w:p>
              </w:tc>
            </w:tr>
            <w:tr w14:paraId="3B4B71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896" w:type="dxa"/>
                  <w:vMerge w:val="continue"/>
                  <w:noWrap w:val="0"/>
                  <w:vAlign w:val="center"/>
                </w:tcPr>
                <w:p w14:paraId="74846FD6">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rFonts w:hint="eastAsia" w:ascii="Times New Roman" w:hAnsi="Times New Roman" w:eastAsia="宋体" w:cs="Times New Roman"/>
                      <w:b/>
                      <w:bCs/>
                      <w:snapToGrid w:val="0"/>
                      <w:color w:val="auto"/>
                      <w:spacing w:val="4"/>
                      <w:kern w:val="2"/>
                      <w:sz w:val="21"/>
                      <w:szCs w:val="21"/>
                      <w:highlight w:val="none"/>
                      <w:vertAlign w:val="baseline"/>
                      <w:lang w:val="en-US" w:eastAsia="zh-CN" w:bidi="ar-SA"/>
                    </w:rPr>
                  </w:pPr>
                </w:p>
              </w:tc>
              <w:tc>
                <w:tcPr>
                  <w:tcW w:w="2736" w:type="dxa"/>
                  <w:noWrap w:val="0"/>
                  <w:vAlign w:val="center"/>
                </w:tcPr>
                <w:p w14:paraId="41D06E0F">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eastAsia" w:ascii="宋体" w:hAnsi="Times New Roman" w:eastAsia="宋体" w:cs="Times New Roman"/>
                      <w:b w:val="0"/>
                      <w:bCs w:val="0"/>
                      <w:color w:val="auto"/>
                      <w:kern w:val="0"/>
                      <w:sz w:val="21"/>
                      <w:szCs w:val="21"/>
                      <w:lang w:val="en-US" w:eastAsia="zh-CN" w:bidi="ar-SA"/>
                    </w:rPr>
                  </w:pPr>
                  <w:r>
                    <w:rPr>
                      <w:rFonts w:hint="eastAsia" w:ascii="宋体" w:hAnsi="Times New Roman" w:eastAsia="宋体" w:cs="Times New Roman"/>
                      <w:b w:val="0"/>
                      <w:bCs w:val="0"/>
                      <w:color w:val="auto"/>
                      <w:kern w:val="0"/>
                      <w:sz w:val="21"/>
                      <w:szCs w:val="21"/>
                      <w:lang w:val="en-US" w:eastAsia="zh-CN" w:bidi="ar-SA"/>
                    </w:rPr>
                    <w:t>边角料</w:t>
                  </w:r>
                </w:p>
              </w:tc>
              <w:tc>
                <w:tcPr>
                  <w:tcW w:w="3586" w:type="dxa"/>
                  <w:noWrap w:val="0"/>
                  <w:vAlign w:val="center"/>
                </w:tcPr>
                <w:p w14:paraId="537C2C0C">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eastAsia" w:ascii="Times New Roman" w:cs="Times New Roman"/>
                      <w:b w:val="0"/>
                      <w:bCs w:val="0"/>
                      <w:snapToGrid w:val="0"/>
                      <w:color w:val="auto"/>
                      <w:kern w:val="21"/>
                      <w:sz w:val="21"/>
                      <w:szCs w:val="21"/>
                      <w:lang w:val="en-US" w:eastAsia="zh-CN"/>
                    </w:rPr>
                  </w:pPr>
                  <w:r>
                    <w:rPr>
                      <w:rFonts w:hint="eastAsia" w:ascii="Times New Roman" w:cs="Times New Roman"/>
                      <w:b w:val="0"/>
                      <w:bCs w:val="0"/>
                      <w:snapToGrid w:val="0"/>
                      <w:color w:val="auto"/>
                      <w:kern w:val="21"/>
                      <w:sz w:val="21"/>
                      <w:szCs w:val="21"/>
                      <w:lang w:val="en-US" w:eastAsia="zh-CN"/>
                    </w:rPr>
                    <w:t>1.5t/a</w:t>
                  </w:r>
                </w:p>
              </w:tc>
            </w:tr>
            <w:tr w14:paraId="66E5A3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6" w:type="dxa"/>
                  <w:vMerge w:val="restart"/>
                  <w:noWrap w:val="0"/>
                  <w:vAlign w:val="center"/>
                </w:tcPr>
                <w:p w14:paraId="6B97AF0F">
                  <w:pPr>
                    <w:widowControl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hAnsi="Times New Roman" w:eastAsia="宋体" w:cs="Times New Roman"/>
                      <w:snapToGrid w:val="0"/>
                      <w:color w:val="auto"/>
                      <w:kern w:val="21"/>
                      <w:sz w:val="21"/>
                      <w:szCs w:val="21"/>
                      <w:highlight w:val="none"/>
                      <w:lang w:val="en-US" w:eastAsia="zh-CN" w:bidi="ar-SA"/>
                    </w:rPr>
                    <w:t>危险废物</w:t>
                  </w:r>
                </w:p>
              </w:tc>
              <w:tc>
                <w:tcPr>
                  <w:tcW w:w="2736" w:type="dxa"/>
                  <w:noWrap w:val="0"/>
                  <w:vAlign w:val="center"/>
                </w:tcPr>
                <w:p w14:paraId="6852920C">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Ansi="宋体"/>
                      <w:b w:val="0"/>
                      <w:bCs/>
                      <w:color w:val="auto"/>
                      <w:szCs w:val="21"/>
                    </w:rPr>
                  </w:pPr>
                  <w:r>
                    <w:rPr>
                      <w:rFonts w:hint="eastAsia" w:ascii="宋体" w:hAnsi="Times New Roman" w:eastAsia="宋体" w:cs="Times New Roman"/>
                      <w:b w:val="0"/>
                      <w:bCs w:val="0"/>
                      <w:color w:val="auto"/>
                      <w:kern w:val="0"/>
                      <w:sz w:val="21"/>
                      <w:szCs w:val="21"/>
                      <w:lang w:val="en-US" w:eastAsia="zh-CN" w:bidi="ar-SA"/>
                    </w:rPr>
                    <w:t>实验废液</w:t>
                  </w:r>
                </w:p>
              </w:tc>
              <w:tc>
                <w:tcPr>
                  <w:tcW w:w="3586" w:type="dxa"/>
                  <w:noWrap w:val="0"/>
                  <w:vAlign w:val="center"/>
                </w:tcPr>
                <w:p w14:paraId="0714EED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b w:val="0"/>
                      <w:bCs/>
                      <w:color w:val="auto"/>
                      <w:szCs w:val="21"/>
                    </w:rPr>
                  </w:pPr>
                  <w:r>
                    <w:rPr>
                      <w:rFonts w:hint="eastAsia" w:ascii="Times New Roman" w:hAnsi="Times New Roman" w:eastAsia="宋体" w:cs="Times New Roman"/>
                      <w:b w:val="0"/>
                      <w:bCs w:val="0"/>
                      <w:color w:val="auto"/>
                      <w:sz w:val="21"/>
                      <w:szCs w:val="21"/>
                      <w:vertAlign w:val="baseline"/>
                      <w:lang w:val="en-US" w:eastAsia="zh-CN"/>
                    </w:rPr>
                    <w:t>0.5</w:t>
                  </w:r>
                  <w:r>
                    <w:rPr>
                      <w:rFonts w:hint="eastAsia" w:ascii="Times New Roman" w:hAnsi="Times New Roman" w:eastAsia="宋体" w:cs="Times New Roman"/>
                      <w:b w:val="0"/>
                      <w:bCs w:val="0"/>
                      <w:snapToGrid w:val="0"/>
                      <w:color w:val="auto"/>
                      <w:kern w:val="21"/>
                      <w:sz w:val="21"/>
                      <w:szCs w:val="21"/>
                      <w:lang w:val="en-US" w:eastAsia="zh-CN"/>
                    </w:rPr>
                    <w:t>t/a</w:t>
                  </w:r>
                </w:p>
              </w:tc>
            </w:tr>
            <w:tr w14:paraId="4B1D0F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6" w:type="dxa"/>
                  <w:vMerge w:val="continue"/>
                  <w:noWrap w:val="0"/>
                  <w:vAlign w:val="center"/>
                </w:tcPr>
                <w:p w14:paraId="3B208D85">
                  <w:pPr>
                    <w:widowControl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p>
              </w:tc>
              <w:tc>
                <w:tcPr>
                  <w:tcW w:w="2736" w:type="dxa"/>
                  <w:noWrap w:val="0"/>
                  <w:vAlign w:val="center"/>
                </w:tcPr>
                <w:p w14:paraId="0B37A766">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Ansi="宋体"/>
                      <w:b w:val="0"/>
                      <w:bCs/>
                      <w:color w:val="auto"/>
                      <w:szCs w:val="21"/>
                    </w:rPr>
                  </w:pPr>
                  <w:r>
                    <w:rPr>
                      <w:rFonts w:hint="eastAsia" w:ascii="宋体" w:hAnsi="Times New Roman" w:eastAsia="宋体" w:cs="Times New Roman"/>
                      <w:b w:val="0"/>
                      <w:bCs w:val="0"/>
                      <w:color w:val="auto"/>
                      <w:kern w:val="0"/>
                      <w:sz w:val="21"/>
                      <w:szCs w:val="21"/>
                      <w:lang w:val="en-US" w:eastAsia="zh-CN" w:bidi="ar-SA"/>
                    </w:rPr>
                    <w:t>废机油</w:t>
                  </w:r>
                </w:p>
              </w:tc>
              <w:tc>
                <w:tcPr>
                  <w:tcW w:w="3586" w:type="dxa"/>
                  <w:noWrap w:val="0"/>
                  <w:vAlign w:val="center"/>
                </w:tcPr>
                <w:p w14:paraId="302FEC6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b w:val="0"/>
                      <w:bCs/>
                      <w:color w:val="auto"/>
                      <w:szCs w:val="21"/>
                    </w:rPr>
                  </w:pPr>
                  <w:r>
                    <w:rPr>
                      <w:rFonts w:hint="eastAsia" w:ascii="Times New Roman" w:hAnsi="Times New Roman" w:eastAsia="宋体" w:cs="Times New Roman"/>
                      <w:b w:val="0"/>
                      <w:bCs w:val="0"/>
                      <w:color w:val="auto"/>
                      <w:sz w:val="21"/>
                      <w:szCs w:val="21"/>
                      <w:vertAlign w:val="baseline"/>
                      <w:lang w:val="en-US" w:eastAsia="zh-CN"/>
                    </w:rPr>
                    <w:t>0.05</w:t>
                  </w:r>
                  <w:r>
                    <w:rPr>
                      <w:rFonts w:hint="eastAsia" w:ascii="Times New Roman" w:hAnsi="Times New Roman" w:eastAsia="宋体" w:cs="Times New Roman"/>
                      <w:b w:val="0"/>
                      <w:bCs w:val="0"/>
                      <w:snapToGrid w:val="0"/>
                      <w:color w:val="auto"/>
                      <w:kern w:val="21"/>
                      <w:sz w:val="21"/>
                      <w:szCs w:val="21"/>
                      <w:lang w:val="en-US" w:eastAsia="zh-CN"/>
                    </w:rPr>
                    <w:t>t/a</w:t>
                  </w:r>
                </w:p>
              </w:tc>
            </w:tr>
            <w:tr w14:paraId="592E61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6" w:type="dxa"/>
                  <w:vMerge w:val="continue"/>
                  <w:noWrap w:val="0"/>
                  <w:vAlign w:val="center"/>
                </w:tcPr>
                <w:p w14:paraId="0555C41B">
                  <w:pPr>
                    <w:widowControl w:val="0"/>
                    <w:adjustRightInd w:val="0"/>
                    <w:snapToGrid w:val="0"/>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p>
              </w:tc>
              <w:tc>
                <w:tcPr>
                  <w:tcW w:w="2736" w:type="dxa"/>
                  <w:noWrap w:val="0"/>
                  <w:vAlign w:val="center"/>
                </w:tcPr>
                <w:p w14:paraId="5F0E2DE4">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Ansi="宋体"/>
                      <w:b w:val="0"/>
                      <w:bCs/>
                      <w:color w:val="auto"/>
                      <w:szCs w:val="21"/>
                    </w:rPr>
                  </w:pPr>
                  <w:r>
                    <w:rPr>
                      <w:rFonts w:hint="eastAsia" w:ascii="宋体" w:hAnsi="Times New Roman" w:eastAsia="宋体" w:cs="Times New Roman"/>
                      <w:b w:val="0"/>
                      <w:bCs w:val="0"/>
                      <w:color w:val="auto"/>
                      <w:kern w:val="0"/>
                      <w:sz w:val="21"/>
                      <w:szCs w:val="21"/>
                      <w:lang w:val="en-US" w:eastAsia="zh-CN" w:bidi="ar-SA"/>
                    </w:rPr>
                    <w:t>废油桶</w:t>
                  </w:r>
                </w:p>
              </w:tc>
              <w:tc>
                <w:tcPr>
                  <w:tcW w:w="3586" w:type="dxa"/>
                  <w:noWrap w:val="0"/>
                  <w:vAlign w:val="center"/>
                </w:tcPr>
                <w:p w14:paraId="2C0200D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b w:val="0"/>
                      <w:bCs/>
                      <w:color w:val="auto"/>
                      <w:szCs w:val="21"/>
                    </w:rPr>
                  </w:pPr>
                  <w:r>
                    <w:rPr>
                      <w:rFonts w:hint="eastAsia" w:cs="Times New Roman"/>
                      <w:b w:val="0"/>
                      <w:bCs w:val="0"/>
                      <w:color w:val="auto"/>
                      <w:sz w:val="21"/>
                      <w:szCs w:val="21"/>
                      <w:vertAlign w:val="baseline"/>
                      <w:lang w:val="en-US" w:eastAsia="zh-CN"/>
                    </w:rPr>
                    <w:t>0.1</w:t>
                  </w:r>
                  <w:r>
                    <w:rPr>
                      <w:rFonts w:hint="eastAsia" w:ascii="Times New Roman" w:hAnsi="Times New Roman" w:eastAsia="宋体" w:cs="Times New Roman"/>
                      <w:b w:val="0"/>
                      <w:bCs w:val="0"/>
                      <w:snapToGrid w:val="0"/>
                      <w:color w:val="auto"/>
                      <w:kern w:val="21"/>
                      <w:sz w:val="21"/>
                      <w:szCs w:val="21"/>
                      <w:lang w:val="en-US" w:eastAsia="zh-CN"/>
                    </w:rPr>
                    <w:t>t/a</w:t>
                  </w:r>
                </w:p>
              </w:tc>
            </w:tr>
            <w:tr w14:paraId="7B2EB2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2" w:type="dxa"/>
                  <w:gridSpan w:val="2"/>
                  <w:tcBorders>
                    <w:bottom w:val="single" w:color="auto" w:sz="12" w:space="0"/>
                  </w:tcBorders>
                  <w:noWrap w:val="0"/>
                  <w:vAlign w:val="center"/>
                </w:tcPr>
                <w:p w14:paraId="170576CA">
                  <w:pPr>
                    <w:adjustRightInd w:val="0"/>
                    <w:spacing w:line="300" w:lineRule="exact"/>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rPr>
                    <w:t>生活垃圾</w:t>
                  </w:r>
                </w:p>
              </w:tc>
              <w:tc>
                <w:tcPr>
                  <w:tcW w:w="3586" w:type="dxa"/>
                  <w:tcBorders>
                    <w:bottom w:val="single" w:color="auto" w:sz="12" w:space="0"/>
                  </w:tcBorders>
                  <w:noWrap w:val="0"/>
                  <w:vAlign w:val="center"/>
                </w:tcPr>
                <w:p w14:paraId="53D9F972">
                  <w:pPr>
                    <w:adjustRightInd w:val="0"/>
                    <w:snapToGrid w:val="0"/>
                    <w:spacing w:line="240" w:lineRule="atLeast"/>
                    <w:jc w:val="center"/>
                    <w:rPr>
                      <w:rFonts w:hint="default" w:ascii="Times New Roman" w:hAnsi="Times New Roman" w:eastAsia="宋体" w:cs="Times New Roman"/>
                      <w:color w:val="auto"/>
                      <w:kern w:val="2"/>
                      <w:sz w:val="21"/>
                      <w:szCs w:val="21"/>
                      <w:lang w:val="en-US" w:eastAsia="zh-CN" w:bidi="ar-SA"/>
                    </w:rPr>
                  </w:pPr>
                  <w:r>
                    <w:rPr>
                      <w:rFonts w:hint="eastAsia"/>
                      <w:b w:val="0"/>
                      <w:bCs/>
                      <w:color w:val="auto"/>
                      <w:szCs w:val="21"/>
                      <w:lang w:val="en-US" w:eastAsia="zh-CN"/>
                    </w:rPr>
                    <w:t>3</w:t>
                  </w:r>
                  <w:r>
                    <w:rPr>
                      <w:b w:val="0"/>
                      <w:bCs/>
                      <w:color w:val="auto"/>
                      <w:szCs w:val="21"/>
                    </w:rPr>
                    <w:t>t/a</w:t>
                  </w:r>
                </w:p>
              </w:tc>
            </w:tr>
          </w:tbl>
          <w:p w14:paraId="4606FED6">
            <w:pPr>
              <w:keepNext w:val="0"/>
              <w:keepLines w:val="0"/>
              <w:pageBreakBefore w:val="0"/>
              <w:kinsoku/>
              <w:wordWrap/>
              <w:autoSpaceDN/>
              <w:bidi w:val="0"/>
              <w:adjustRightInd/>
              <w:snapToGrid/>
              <w:spacing w:line="348" w:lineRule="auto"/>
              <w:ind w:left="0" w:firstLine="482" w:firstLineChars="200"/>
              <w:rPr>
                <w:rFonts w:hint="default" w:eastAsia="宋体"/>
                <w:color w:val="FF0000"/>
                <w:lang w:val="en-US" w:eastAsia="zh-CN"/>
              </w:rPr>
            </w:pPr>
            <w:commentRangeStart w:id="26"/>
            <w:r>
              <w:rPr>
                <w:rFonts w:hint="eastAsia"/>
                <w:b/>
                <w:color w:val="FF0000"/>
                <w:sz w:val="24"/>
                <w:lang w:val="en-US" w:eastAsia="zh-CN"/>
              </w:rPr>
              <w:t>四、</w:t>
            </w:r>
            <w:commentRangeEnd w:id="26"/>
            <w:r>
              <w:commentReference w:id="26"/>
            </w:r>
            <w:r>
              <w:rPr>
                <w:rFonts w:hint="eastAsia"/>
                <w:b/>
                <w:color w:val="FF0000"/>
                <w:sz w:val="24"/>
                <w:lang w:val="en-US" w:eastAsia="zh-CN"/>
              </w:rPr>
              <w:t>与该项目有关的主要环境问题及整改措施</w:t>
            </w:r>
          </w:p>
          <w:p w14:paraId="0140B21D">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before="0" w:after="0" w:line="360" w:lineRule="auto"/>
              <w:ind w:leftChars="0" w:firstLine="480" w:firstLineChars="200"/>
              <w:textAlignment w:val="auto"/>
              <w:rPr>
                <w:rFonts w:hint="default"/>
                <w:color w:val="FF0000"/>
                <w:lang w:val="en-US" w:eastAsia="zh-CN"/>
              </w:rPr>
            </w:pPr>
            <w:r>
              <w:rPr>
                <w:rFonts w:hint="eastAsia"/>
                <w:color w:val="FF0000"/>
                <w:lang w:val="en-US" w:eastAsia="zh-CN"/>
              </w:rPr>
              <w:t>对项目现场进行踏勘后，发现以下主要问题：</w:t>
            </w:r>
          </w:p>
          <w:p w14:paraId="70432E8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480" w:firstLineChars="200"/>
              <w:textAlignment w:val="auto"/>
              <w:rPr>
                <w:rFonts w:hint="eastAsia" w:cs="Times New Roman"/>
                <w:b w:val="0"/>
                <w:bCs w:val="0"/>
                <w:color w:val="FF0000"/>
                <w:sz w:val="24"/>
                <w:szCs w:val="32"/>
                <w:highlight w:val="none"/>
                <w:lang w:val="en-US" w:eastAsia="zh-CN"/>
              </w:rPr>
            </w:pPr>
            <w:r>
              <w:rPr>
                <w:rFonts w:hint="eastAsia" w:cs="Times New Roman"/>
                <w:color w:val="FF0000"/>
                <w:sz w:val="24"/>
                <w:szCs w:val="21"/>
                <w:highlight w:val="none"/>
                <w:lang w:val="en-US" w:eastAsia="zh-CN"/>
              </w:rPr>
              <w:t>（1）</w:t>
            </w:r>
            <w:r>
              <w:rPr>
                <w:rFonts w:hint="default" w:ascii="Times New Roman" w:hAnsi="Times New Roman" w:eastAsia="宋体" w:cs="Times New Roman"/>
                <w:b w:val="0"/>
                <w:bCs w:val="0"/>
                <w:color w:val="FF0000"/>
                <w:sz w:val="24"/>
                <w:szCs w:val="32"/>
                <w:highlight w:val="none"/>
                <w:lang w:val="en-US" w:eastAsia="zh-CN"/>
              </w:rPr>
              <w:t>车间现场不够规范，存在边角料</w:t>
            </w:r>
            <w:r>
              <w:rPr>
                <w:rFonts w:hint="eastAsia" w:ascii="Times New Roman" w:hAnsi="Times New Roman" w:cs="Times New Roman"/>
                <w:b w:val="0"/>
                <w:bCs w:val="0"/>
                <w:color w:val="FF0000"/>
                <w:sz w:val="24"/>
                <w:szCs w:val="32"/>
                <w:highlight w:val="none"/>
                <w:lang w:val="en-US" w:eastAsia="zh-CN"/>
              </w:rPr>
              <w:t>、杂物</w:t>
            </w:r>
            <w:r>
              <w:rPr>
                <w:rFonts w:hint="default" w:ascii="Times New Roman" w:hAnsi="Times New Roman" w:eastAsia="宋体" w:cs="Times New Roman"/>
                <w:b w:val="0"/>
                <w:bCs w:val="0"/>
                <w:color w:val="FF0000"/>
                <w:sz w:val="24"/>
                <w:szCs w:val="32"/>
                <w:highlight w:val="none"/>
                <w:lang w:val="en-US" w:eastAsia="zh-CN"/>
              </w:rPr>
              <w:t>未堆放于固废库的情况</w:t>
            </w:r>
            <w:r>
              <w:rPr>
                <w:rFonts w:hint="eastAsia" w:cs="Times New Roman"/>
                <w:b w:val="0"/>
                <w:bCs w:val="0"/>
                <w:color w:val="FF0000"/>
                <w:sz w:val="24"/>
                <w:szCs w:val="32"/>
                <w:highlight w:val="none"/>
                <w:lang w:val="en-US" w:eastAsia="zh-CN"/>
              </w:rPr>
              <w:t>。</w:t>
            </w:r>
          </w:p>
          <w:p w14:paraId="6B0407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leftChars="0" w:right="0" w:firstLine="482" w:firstLineChars="200"/>
              <w:textAlignment w:val="auto"/>
              <w:rPr>
                <w:rFonts w:hint="eastAsia" w:cs="Times New Roman"/>
                <w:b/>
                <w:bCs/>
                <w:color w:val="FF0000"/>
                <w:sz w:val="24"/>
                <w:szCs w:val="32"/>
                <w:highlight w:val="none"/>
                <w:lang w:val="en-US" w:eastAsia="zh-CN"/>
              </w:rPr>
            </w:pPr>
            <w:r>
              <w:rPr>
                <w:rFonts w:hint="eastAsia" w:cs="Times New Roman"/>
                <w:b/>
                <w:bCs/>
                <w:color w:val="FF0000"/>
                <w:sz w:val="24"/>
                <w:szCs w:val="32"/>
                <w:highlight w:val="none"/>
                <w:lang w:val="en-US" w:eastAsia="zh-CN"/>
              </w:rPr>
              <w:t>针对上述存在的环保问题，本次评价要求建设单位落实以下改进措施：</w:t>
            </w:r>
          </w:p>
          <w:p w14:paraId="029D181F">
            <w:pPr>
              <w:keepNext w:val="0"/>
              <w:keepLines w:val="0"/>
              <w:pageBreakBefore w:val="0"/>
              <w:kinsoku/>
              <w:wordWrap/>
              <w:autoSpaceDN/>
              <w:bidi w:val="0"/>
              <w:adjustRightInd/>
              <w:snapToGrid/>
              <w:spacing w:line="348" w:lineRule="auto"/>
              <w:ind w:left="0" w:firstLine="480" w:firstLineChars="200"/>
              <w:rPr>
                <w:rFonts w:hint="default" w:ascii="Times New Roman" w:hAnsi="Times New Roman" w:cs="Times New Roman"/>
                <w:bCs/>
                <w:color w:val="FF0000"/>
                <w:sz w:val="24"/>
                <w:szCs w:val="24"/>
                <w:highlight w:val="none"/>
                <w:shd w:val="clear" w:color="auto" w:fill="auto"/>
              </w:rPr>
            </w:pPr>
            <w:r>
              <w:rPr>
                <w:rFonts w:hint="eastAsia" w:cs="Times New Roman"/>
                <w:b w:val="0"/>
                <w:bCs w:val="0"/>
                <w:color w:val="FF0000"/>
                <w:sz w:val="24"/>
                <w:szCs w:val="32"/>
                <w:highlight w:val="none"/>
                <w:lang w:val="en-US" w:eastAsia="zh-CN"/>
              </w:rPr>
              <w:t>（1）一般工业固体废物放置在暂存间内，规范堆放边角料、杂物等一般工业固体废物。</w:t>
            </w:r>
          </w:p>
          <w:p w14:paraId="26BCEE94">
            <w:pPr>
              <w:keepNext w:val="0"/>
              <w:keepLines w:val="0"/>
              <w:pageBreakBefore w:val="0"/>
              <w:kinsoku/>
              <w:wordWrap/>
              <w:autoSpaceDN/>
              <w:bidi w:val="0"/>
              <w:adjustRightInd/>
              <w:snapToGrid/>
              <w:spacing w:line="348" w:lineRule="auto"/>
              <w:ind w:left="0" w:firstLine="480" w:firstLineChars="200"/>
              <w:rPr>
                <w:rFonts w:hint="default" w:ascii="Times New Roman" w:hAnsi="Times New Roman" w:cs="Times New Roman"/>
                <w:bCs/>
                <w:color w:val="FF0000"/>
                <w:sz w:val="24"/>
                <w:szCs w:val="24"/>
                <w:highlight w:val="none"/>
                <w:shd w:val="clear" w:color="auto" w:fill="auto"/>
              </w:rPr>
            </w:pPr>
            <w:r>
              <w:rPr>
                <w:rFonts w:hint="eastAsia"/>
                <w:color w:val="FF0000"/>
                <w:sz w:val="24"/>
                <w:szCs w:val="24"/>
                <w:lang w:val="en-US" w:eastAsia="zh-CN"/>
              </w:rPr>
              <w:t>本项目现有工程已进行环境影响评价，未进行竣工环保验收，本次重大变动后进行竣工环保验收工作</w:t>
            </w:r>
            <w:r>
              <w:rPr>
                <w:rFonts w:hint="eastAsia" w:ascii="Times New Roman" w:hAnsi="Times New Roman"/>
                <w:color w:val="FF0000"/>
                <w:sz w:val="24"/>
                <w:szCs w:val="24"/>
                <w:lang w:val="en-US" w:eastAsia="zh-CN"/>
              </w:rPr>
              <w:t>。</w:t>
            </w:r>
          </w:p>
          <w:p w14:paraId="6084647F">
            <w:pPr>
              <w:adjustRightInd w:val="0"/>
              <w:snapToGrid w:val="0"/>
              <w:spacing w:line="360" w:lineRule="auto"/>
              <w:ind w:firstLine="480" w:firstLineChars="200"/>
              <w:jc w:val="both"/>
              <w:rPr>
                <w:rFonts w:ascii="Times New Roman" w:hAnsi="Times New Roman"/>
                <w:bCs/>
                <w:color w:val="auto"/>
                <w:sz w:val="24"/>
                <w:szCs w:val="21"/>
              </w:rPr>
            </w:pPr>
          </w:p>
        </w:tc>
      </w:tr>
    </w:tbl>
    <w:p w14:paraId="2E3E0B9F">
      <w:pP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16D50EA">
      <w:pPr>
        <w:pStyle w:val="20"/>
        <w:adjustRightInd w:val="0"/>
        <w:snapToGrid w:val="0"/>
        <w:spacing w:before="0" w:beforeAutospacing="0" w:after="0" w:afterAutospacing="0" w:line="14" w:lineRule="auto"/>
        <w:jc w:val="center"/>
        <w:outlineLvl w:val="9"/>
        <w:rPr>
          <w:rFonts w:hint="eastAsia" w:ascii="黑体" w:hAnsi="黑体" w:eastAsia="黑体"/>
          <w:snapToGrid w:val="0"/>
          <w:color w:val="auto"/>
          <w:sz w:val="30"/>
          <w:szCs w:val="30"/>
        </w:rPr>
      </w:pPr>
    </w:p>
    <w:p w14:paraId="721E77A9">
      <w:pPr>
        <w:pStyle w:val="20"/>
        <w:jc w:val="center"/>
        <w:outlineLvl w:val="0"/>
        <w:rPr>
          <w:rFonts w:ascii="黑体" w:hAnsi="黑体" w:eastAsia="黑体"/>
          <w:snapToGrid w:val="0"/>
          <w:color w:val="auto"/>
          <w:sz w:val="30"/>
          <w:szCs w:val="30"/>
        </w:rPr>
      </w:pPr>
      <w:bookmarkStart w:id="10" w:name="_Toc6893"/>
      <w:r>
        <w:rPr>
          <w:rFonts w:hint="eastAsia" w:ascii="黑体" w:hAnsi="黑体" w:eastAsia="黑体"/>
          <w:snapToGrid w:val="0"/>
          <w:color w:val="auto"/>
          <w:sz w:val="30"/>
          <w:szCs w:val="30"/>
        </w:rPr>
        <w:t>三、区域环境质量现状、环境保护目标及评价标准</w:t>
      </w:r>
      <w:bookmarkEnd w:id="10"/>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8365"/>
      </w:tblGrid>
      <w:tr w14:paraId="0BF06F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6" w:hRule="atLeast"/>
          <w:jc w:val="center"/>
        </w:trPr>
        <w:tc>
          <w:tcPr>
            <w:tcW w:w="800" w:type="dxa"/>
            <w:noWrap w:val="0"/>
            <w:vAlign w:val="center"/>
          </w:tcPr>
          <w:p w14:paraId="45DFBB9F">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14:paraId="56C0F52E">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19DA0CE8">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14:paraId="1A0601D7">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190" w:type="dxa"/>
            <w:noWrap w:val="0"/>
            <w:vAlign w:val="center"/>
          </w:tcPr>
          <w:p w14:paraId="737FBA5C">
            <w:pPr>
              <w:pStyle w:val="10"/>
              <w:numPr>
                <w:ilvl w:val="0"/>
                <w:numId w:val="0"/>
              </w:numPr>
              <w:ind w:right="113" w:rightChars="0" w:firstLine="480" w:firstLineChars="0"/>
              <w:rPr>
                <w:rFonts w:hint="default" w:ascii="Times New Roman" w:hAnsi="Times New Roman" w:eastAsia="宋体" w:cs="Times New Roman"/>
                <w:b/>
                <w:bCs/>
                <w:color w:val="auto"/>
                <w:sz w:val="24"/>
                <w:szCs w:val="24"/>
                <w:lang w:eastAsia="zh-CN"/>
              </w:rPr>
            </w:pPr>
            <w:r>
              <w:rPr>
                <w:rFonts w:hint="eastAsia" w:cs="Times New Roman"/>
                <w:b/>
                <w:bCs/>
                <w:color w:val="auto"/>
                <w:kern w:val="0"/>
                <w:sz w:val="24"/>
                <w:szCs w:val="24"/>
                <w:lang w:val="en-US" w:eastAsia="zh-CN" w:bidi="ar-SA"/>
              </w:rPr>
              <w:t>一</w:t>
            </w:r>
            <w:r>
              <w:rPr>
                <w:rFonts w:hint="eastAsia" w:ascii="Times New Roman" w:hAnsi="Times New Roman" w:eastAsia="宋体" w:cs="Times New Roman"/>
                <w:b/>
                <w:bCs/>
                <w:color w:val="auto"/>
                <w:kern w:val="0"/>
                <w:sz w:val="24"/>
                <w:szCs w:val="24"/>
                <w:lang w:val="en-US" w:eastAsia="zh-CN" w:bidi="ar-SA"/>
              </w:rPr>
              <w:t>、</w:t>
            </w:r>
            <w:r>
              <w:rPr>
                <w:rFonts w:hint="default" w:ascii="Times New Roman" w:hAnsi="Times New Roman" w:eastAsia="宋体" w:cs="Times New Roman"/>
                <w:b/>
                <w:bCs/>
                <w:color w:val="auto"/>
                <w:sz w:val="24"/>
                <w:szCs w:val="24"/>
                <w:lang w:eastAsia="zh-CN"/>
              </w:rPr>
              <w:t>环境空气质量现状</w:t>
            </w:r>
          </w:p>
          <w:p w14:paraId="658361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建设项目环境影响报告表编制技术指南（污染影响类）（试行）》，环境空气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0B7EFA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（1）区域达标情况</w:t>
            </w:r>
          </w:p>
          <w:p w14:paraId="51BC43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本项目所在区域达标判定采用《2023</w:t>
            </w:r>
            <w:r>
              <w:rPr>
                <w:rFonts w:hint="eastAsia" w:ascii="Times New Roman" w:hAnsi="Times New Roman" w:eastAsia="宋体" w:cs="Times New Roman"/>
                <w:color w:val="auto"/>
                <w:kern w:val="0"/>
                <w:sz w:val="24"/>
                <w:szCs w:val="24"/>
                <w:highlight w:val="none"/>
                <w:shd w:val="clear" w:color="auto" w:fill="auto"/>
                <w:lang w:val="en-US" w:eastAsia="zh-CN"/>
              </w:rPr>
              <w:t>年江西省各县（市、区）六项污染物浓度年均值</w:t>
            </w:r>
            <w:r>
              <w:rPr>
                <w:rFonts w:hint="eastAsia" w:ascii="Times New Roman" w:hAnsi="Times New Roman" w:eastAsia="宋体" w:cs="Times New Roman"/>
                <w:color w:val="auto"/>
                <w:sz w:val="24"/>
                <w:szCs w:val="24"/>
                <w:highlight w:val="none"/>
                <w:lang w:val="en-US" w:eastAsia="zh-CN"/>
              </w:rPr>
              <w:t>》中庐山市年平均空气质量</w:t>
            </w:r>
            <w:r>
              <w:rPr>
                <w:rFonts w:hint="eastAsia" w:ascii="Times New Roman" w:hAnsi="Times New Roman" w:eastAsia="宋体" w:cs="Times New Roman"/>
                <w:color w:val="auto"/>
                <w:sz w:val="24"/>
                <w:szCs w:val="24"/>
                <w:lang w:val="en-US" w:eastAsia="zh-CN"/>
              </w:rPr>
              <w:t>检测数据</w:t>
            </w:r>
            <w:r>
              <w:rPr>
                <w:rFonts w:hint="eastAsia" w:ascii="Times New Roman" w:hAnsi="Times New Roman" w:eastAsia="宋体" w:cs="Times New Roman"/>
                <w:color w:val="auto"/>
                <w:sz w:val="24"/>
                <w:szCs w:val="24"/>
                <w:highlight w:val="none"/>
                <w:lang w:val="en-US" w:eastAsia="zh-CN"/>
              </w:rPr>
              <w:t>，统计结果见表3-1。</w:t>
            </w:r>
          </w:p>
          <w:p w14:paraId="305652D2">
            <w:pPr>
              <w:pStyle w:val="65"/>
              <w:bidi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表3-1</w:t>
            </w:r>
            <w:r>
              <w:rPr>
                <w:rFonts w:hint="eastAsia" w:cs="Times New Roman"/>
                <w:color w:val="auto"/>
                <w:sz w:val="21"/>
                <w:szCs w:val="21"/>
                <w:lang w:val="en-US" w:eastAsia="zh-CN"/>
              </w:rPr>
              <w:t xml:space="preserve">  </w:t>
            </w:r>
            <w:r>
              <w:rPr>
                <w:rFonts w:hint="eastAsia" w:ascii="Times New Roman" w:hAnsi="Times New Roman" w:cs="Times New Roman"/>
                <w:b/>
                <w:bCs/>
                <w:color w:val="auto"/>
                <w:sz w:val="21"/>
                <w:szCs w:val="21"/>
                <w:highlight w:val="none"/>
                <w:shd w:val="clear" w:color="auto" w:fill="auto"/>
                <w:lang w:val="en-US" w:eastAsia="zh-CN"/>
              </w:rPr>
              <w:t>庐山市</w:t>
            </w:r>
            <w:r>
              <w:rPr>
                <w:rFonts w:hint="default" w:ascii="Times New Roman" w:hAnsi="Times New Roman" w:eastAsia="宋体" w:cs="Times New Roman"/>
                <w:color w:val="auto"/>
                <w:sz w:val="21"/>
                <w:szCs w:val="21"/>
                <w:lang w:eastAsia="zh-CN"/>
              </w:rPr>
              <w:t>区域空气质量现状评价表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540"/>
              <w:gridCol w:w="709"/>
              <w:gridCol w:w="2665"/>
              <w:gridCol w:w="1143"/>
              <w:gridCol w:w="1318"/>
              <w:gridCol w:w="941"/>
              <w:gridCol w:w="833"/>
            </w:tblGrid>
            <w:tr w14:paraId="09C76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234" w:hRule="atLeast"/>
                <w:jc w:val="center"/>
              </w:trPr>
              <w:tc>
                <w:tcPr>
                  <w:tcW w:w="331" w:type="pct"/>
                  <w:tcBorders>
                    <w:tl2br w:val="nil"/>
                    <w:tr2bl w:val="nil"/>
                  </w:tcBorders>
                  <w:noWrap w:val="0"/>
                  <w:vAlign w:val="center"/>
                </w:tcPr>
                <w:p w14:paraId="7E604766">
                  <w:pPr>
                    <w:pStyle w:val="5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序号</w:t>
                  </w:r>
                </w:p>
              </w:tc>
              <w:tc>
                <w:tcPr>
                  <w:tcW w:w="435" w:type="pct"/>
                  <w:tcBorders>
                    <w:tl2br w:val="nil"/>
                    <w:tr2bl w:val="nil"/>
                  </w:tcBorders>
                  <w:noWrap w:val="0"/>
                  <w:vAlign w:val="center"/>
                </w:tcPr>
                <w:p w14:paraId="461CADDB">
                  <w:pPr>
                    <w:pStyle w:val="5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污染物</w:t>
                  </w:r>
                </w:p>
              </w:tc>
              <w:tc>
                <w:tcPr>
                  <w:tcW w:w="1634" w:type="pct"/>
                  <w:tcBorders>
                    <w:tl2br w:val="nil"/>
                    <w:tr2bl w:val="nil"/>
                  </w:tcBorders>
                  <w:noWrap w:val="0"/>
                  <w:vAlign w:val="center"/>
                </w:tcPr>
                <w:p w14:paraId="42B4C101">
                  <w:pPr>
                    <w:pStyle w:val="5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年评价指标</w:t>
                  </w:r>
                </w:p>
              </w:tc>
              <w:tc>
                <w:tcPr>
                  <w:tcW w:w="701" w:type="pct"/>
                  <w:tcBorders>
                    <w:tl2br w:val="nil"/>
                    <w:tr2bl w:val="nil"/>
                  </w:tcBorders>
                  <w:noWrap w:val="0"/>
                  <w:vAlign w:val="center"/>
                </w:tcPr>
                <w:p w14:paraId="26F40CDC">
                  <w:pPr>
                    <w:pStyle w:val="5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现状浓度</w:t>
                  </w:r>
                </w:p>
                <w:p w14:paraId="14AA9A81">
                  <w:pPr>
                    <w:pStyle w:val="5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/（μg/m</w:t>
                  </w:r>
                  <w:r>
                    <w:rPr>
                      <w:rFonts w:hint="default" w:ascii="Times New Roman" w:hAnsi="Times New Roman" w:eastAsia="宋体" w:cs="Times New Roman"/>
                      <w:b/>
                      <w:bCs/>
                      <w:color w:val="auto"/>
                      <w:sz w:val="21"/>
                      <w:szCs w:val="21"/>
                      <w:vertAlign w:val="superscript"/>
                      <w:lang w:bidi="ar"/>
                    </w:rPr>
                    <w:t>3</w:t>
                  </w:r>
                  <w:r>
                    <w:rPr>
                      <w:rFonts w:hint="default" w:ascii="Times New Roman" w:hAnsi="Times New Roman" w:eastAsia="宋体" w:cs="Times New Roman"/>
                      <w:b/>
                      <w:bCs/>
                      <w:color w:val="auto"/>
                      <w:sz w:val="21"/>
                      <w:szCs w:val="21"/>
                      <w:lang w:bidi="ar"/>
                    </w:rPr>
                    <w:t>）</w:t>
                  </w:r>
                </w:p>
              </w:tc>
              <w:tc>
                <w:tcPr>
                  <w:tcW w:w="808" w:type="pct"/>
                  <w:tcBorders>
                    <w:tl2br w:val="nil"/>
                    <w:tr2bl w:val="nil"/>
                  </w:tcBorders>
                  <w:noWrap w:val="0"/>
                  <w:vAlign w:val="center"/>
                </w:tcPr>
                <w:p w14:paraId="16F5F26D">
                  <w:pPr>
                    <w:pStyle w:val="5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标准值</w:t>
                  </w:r>
                </w:p>
                <w:p w14:paraId="1A87F0C7">
                  <w:pPr>
                    <w:pStyle w:val="5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/（μg/m</w:t>
                  </w:r>
                  <w:r>
                    <w:rPr>
                      <w:rFonts w:hint="default" w:ascii="Times New Roman" w:hAnsi="Times New Roman" w:eastAsia="宋体" w:cs="Times New Roman"/>
                      <w:b/>
                      <w:bCs/>
                      <w:color w:val="auto"/>
                      <w:sz w:val="21"/>
                      <w:szCs w:val="21"/>
                      <w:vertAlign w:val="superscript"/>
                      <w:lang w:bidi="ar"/>
                    </w:rPr>
                    <w:t>3</w:t>
                  </w:r>
                  <w:r>
                    <w:rPr>
                      <w:rFonts w:hint="default" w:ascii="Times New Roman" w:hAnsi="Times New Roman" w:eastAsia="宋体" w:cs="Times New Roman"/>
                      <w:b/>
                      <w:bCs/>
                      <w:color w:val="auto"/>
                      <w:sz w:val="21"/>
                      <w:szCs w:val="21"/>
                      <w:lang w:bidi="ar"/>
                    </w:rPr>
                    <w:t>）</w:t>
                  </w:r>
                </w:p>
              </w:tc>
              <w:tc>
                <w:tcPr>
                  <w:tcW w:w="577" w:type="pct"/>
                  <w:tcBorders>
                    <w:tl2br w:val="nil"/>
                    <w:tr2bl w:val="nil"/>
                  </w:tcBorders>
                  <w:noWrap w:val="0"/>
                  <w:vAlign w:val="center"/>
                </w:tcPr>
                <w:p w14:paraId="7EE38501">
                  <w:pPr>
                    <w:pStyle w:val="5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占标率</w:t>
                  </w:r>
                </w:p>
                <w:p w14:paraId="28ECAC56">
                  <w:pPr>
                    <w:pStyle w:val="5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w:t>
                  </w:r>
                </w:p>
              </w:tc>
              <w:tc>
                <w:tcPr>
                  <w:tcW w:w="511" w:type="pct"/>
                  <w:tcBorders>
                    <w:tl2br w:val="nil"/>
                    <w:tr2bl w:val="nil"/>
                  </w:tcBorders>
                  <w:noWrap w:val="0"/>
                  <w:vAlign w:val="center"/>
                </w:tcPr>
                <w:p w14:paraId="02266753">
                  <w:pPr>
                    <w:pStyle w:val="5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达标</w:t>
                  </w:r>
                </w:p>
                <w:p w14:paraId="5B327112">
                  <w:pPr>
                    <w:pStyle w:val="52"/>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bidi="ar"/>
                    </w:rPr>
                    <w:t>情况</w:t>
                  </w:r>
                </w:p>
              </w:tc>
            </w:tr>
            <w:tr w14:paraId="1FB91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135" w:hRule="atLeast"/>
                <w:jc w:val="center"/>
              </w:trPr>
              <w:tc>
                <w:tcPr>
                  <w:tcW w:w="331" w:type="pct"/>
                  <w:tcBorders>
                    <w:tl2br w:val="nil"/>
                    <w:tr2bl w:val="nil"/>
                  </w:tcBorders>
                  <w:noWrap w:val="0"/>
                  <w:vAlign w:val="center"/>
                </w:tcPr>
                <w:p w14:paraId="4BF5C3DE">
                  <w:pPr>
                    <w:pStyle w:val="52"/>
                    <w:rPr>
                      <w:rFonts w:hint="default" w:ascii="Times New Roman" w:hAnsi="Times New Roman" w:eastAsia="宋体" w:cs="Times New Roman"/>
                      <w:b w:val="0"/>
                      <w:bCs/>
                      <w:color w:val="auto"/>
                      <w:sz w:val="21"/>
                      <w:szCs w:val="21"/>
                    </w:rPr>
                  </w:pPr>
                  <w:bookmarkStart w:id="11" w:name="OLE_LINK1" w:colFirst="1" w:colLast="1"/>
                  <w:r>
                    <w:rPr>
                      <w:rFonts w:hint="default" w:ascii="Times New Roman" w:hAnsi="Times New Roman" w:eastAsia="宋体" w:cs="Times New Roman"/>
                      <w:b w:val="0"/>
                      <w:bCs/>
                      <w:color w:val="auto"/>
                      <w:sz w:val="21"/>
                      <w:szCs w:val="21"/>
                      <w:lang w:bidi="ar"/>
                    </w:rPr>
                    <w:t>1</w:t>
                  </w:r>
                </w:p>
              </w:tc>
              <w:tc>
                <w:tcPr>
                  <w:tcW w:w="435" w:type="pct"/>
                  <w:tcBorders>
                    <w:tl2br w:val="nil"/>
                    <w:tr2bl w:val="nil"/>
                  </w:tcBorders>
                  <w:noWrap w:val="0"/>
                  <w:vAlign w:val="center"/>
                </w:tcPr>
                <w:p w14:paraId="43348D04">
                  <w:pPr>
                    <w:pStyle w:val="52"/>
                    <w:tabs>
                      <w:tab w:val="right" w:pos="0"/>
                    </w:tabs>
                    <w:outlineLvl w:val="1"/>
                    <w:rPr>
                      <w:rFonts w:hint="default" w:ascii="Times New Roman" w:hAnsi="Times New Roman" w:eastAsia="宋体" w:cs="Times New Roman"/>
                      <w:b w:val="0"/>
                      <w:bCs/>
                      <w:color w:val="auto"/>
                      <w:sz w:val="21"/>
                      <w:szCs w:val="21"/>
                    </w:rPr>
                  </w:pPr>
                  <w:bookmarkStart w:id="12" w:name="_Toc20356"/>
                  <w:r>
                    <w:rPr>
                      <w:rFonts w:hint="default" w:ascii="Times New Roman" w:hAnsi="Times New Roman" w:eastAsia="宋体" w:cs="Times New Roman"/>
                      <w:b w:val="0"/>
                      <w:bCs/>
                      <w:color w:val="auto"/>
                      <w:sz w:val="21"/>
                      <w:szCs w:val="21"/>
                    </w:rPr>
                    <w:t>SO</w:t>
                  </w:r>
                  <w:r>
                    <w:rPr>
                      <w:rFonts w:hint="default" w:ascii="Times New Roman" w:hAnsi="Times New Roman" w:eastAsia="宋体" w:cs="Times New Roman"/>
                      <w:b w:val="0"/>
                      <w:bCs/>
                      <w:color w:val="auto"/>
                      <w:sz w:val="21"/>
                      <w:szCs w:val="21"/>
                      <w:vertAlign w:val="subscript"/>
                    </w:rPr>
                    <w:t>2</w:t>
                  </w:r>
                  <w:bookmarkEnd w:id="12"/>
                </w:p>
              </w:tc>
              <w:tc>
                <w:tcPr>
                  <w:tcW w:w="1634" w:type="pct"/>
                  <w:tcBorders>
                    <w:tl2br w:val="nil"/>
                    <w:tr2bl w:val="nil"/>
                  </w:tcBorders>
                  <w:noWrap w:val="0"/>
                  <w:vAlign w:val="center"/>
                </w:tcPr>
                <w:p w14:paraId="4B36F1F9">
                  <w:pPr>
                    <w:pStyle w:val="52"/>
                    <w:tabs>
                      <w:tab w:val="right" w:pos="0"/>
                    </w:tabs>
                    <w:outlineLvl w:val="1"/>
                    <w:rPr>
                      <w:rFonts w:hint="default" w:ascii="Times New Roman" w:hAnsi="Times New Roman" w:eastAsia="宋体" w:cs="Times New Roman"/>
                      <w:b w:val="0"/>
                      <w:bCs/>
                      <w:color w:val="auto"/>
                      <w:sz w:val="21"/>
                      <w:szCs w:val="21"/>
                    </w:rPr>
                  </w:pPr>
                  <w:bookmarkStart w:id="13" w:name="_Toc11679"/>
                  <w:r>
                    <w:rPr>
                      <w:rFonts w:hint="default" w:ascii="Times New Roman" w:hAnsi="Times New Roman" w:eastAsia="宋体" w:cs="Times New Roman"/>
                      <w:b w:val="0"/>
                      <w:bCs/>
                      <w:color w:val="auto"/>
                      <w:sz w:val="21"/>
                      <w:szCs w:val="21"/>
                    </w:rPr>
                    <w:t>年平均质量浓度</w:t>
                  </w:r>
                  <w:bookmarkEnd w:id="13"/>
                </w:p>
              </w:tc>
              <w:tc>
                <w:tcPr>
                  <w:tcW w:w="1119" w:type="dxa"/>
                  <w:tcBorders>
                    <w:tl2br w:val="nil"/>
                    <w:tr2bl w:val="nil"/>
                  </w:tcBorders>
                  <w:noWrap w:val="0"/>
                  <w:vAlign w:val="center"/>
                </w:tcPr>
                <w:p w14:paraId="1F8DAE03">
                  <w:pPr>
                    <w:keepNext w:val="0"/>
                    <w:keepLines w:val="0"/>
                    <w:widowControl/>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eastAsia" w:cs="Times New Roman"/>
                      <w:color w:val="auto"/>
                      <w:kern w:val="0"/>
                      <w:sz w:val="21"/>
                      <w:szCs w:val="21"/>
                      <w:lang w:val="en-US" w:eastAsia="zh-CN"/>
                    </w:rPr>
                    <w:t>6</w:t>
                  </w:r>
                </w:p>
              </w:tc>
              <w:tc>
                <w:tcPr>
                  <w:tcW w:w="808" w:type="pct"/>
                  <w:tcBorders>
                    <w:tl2br w:val="nil"/>
                    <w:tr2bl w:val="nil"/>
                  </w:tcBorders>
                  <w:noWrap w:val="0"/>
                  <w:vAlign w:val="center"/>
                </w:tcPr>
                <w:p w14:paraId="314795F0">
                  <w:pPr>
                    <w:pStyle w:val="52"/>
                    <w:tabs>
                      <w:tab w:val="right" w:pos="0"/>
                    </w:tabs>
                    <w:outlineLvl w:val="1"/>
                    <w:rPr>
                      <w:rFonts w:hint="default" w:ascii="Times New Roman" w:hAnsi="Times New Roman" w:eastAsia="宋体" w:cs="Times New Roman"/>
                      <w:b w:val="0"/>
                      <w:bCs/>
                      <w:color w:val="auto"/>
                      <w:sz w:val="21"/>
                      <w:szCs w:val="21"/>
                      <w:lang w:val="en-US"/>
                    </w:rPr>
                  </w:pPr>
                  <w:bookmarkStart w:id="14" w:name="_Toc218"/>
                  <w:r>
                    <w:rPr>
                      <w:rFonts w:hint="default" w:ascii="Times New Roman" w:hAnsi="Times New Roman" w:eastAsia="宋体" w:cs="Times New Roman"/>
                      <w:b w:val="0"/>
                      <w:bCs/>
                      <w:color w:val="auto"/>
                      <w:sz w:val="21"/>
                      <w:szCs w:val="21"/>
                      <w:lang w:val="en-US" w:eastAsia="zh-CN"/>
                    </w:rPr>
                    <w:t>60</w:t>
                  </w:r>
                  <w:bookmarkEnd w:id="14"/>
                </w:p>
              </w:tc>
              <w:tc>
                <w:tcPr>
                  <w:tcW w:w="921" w:type="dxa"/>
                  <w:tcBorders>
                    <w:tl2br w:val="nil"/>
                    <w:tr2bl w:val="nil"/>
                  </w:tcBorders>
                  <w:noWrap w:val="0"/>
                  <w:vAlign w:val="center"/>
                </w:tcPr>
                <w:p w14:paraId="4E3507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color w:val="auto"/>
                      <w:kern w:val="0"/>
                      <w:sz w:val="21"/>
                      <w:szCs w:val="21"/>
                      <w:lang w:val="en-US" w:eastAsia="zh-CN"/>
                    </w:rPr>
                    <w:t>1</w:t>
                  </w:r>
                  <w:r>
                    <w:rPr>
                      <w:rFonts w:hint="eastAsia" w:cs="Times New Roman"/>
                      <w:color w:val="auto"/>
                      <w:kern w:val="0"/>
                      <w:sz w:val="21"/>
                      <w:szCs w:val="21"/>
                      <w:lang w:val="en-US" w:eastAsia="zh-CN"/>
                    </w:rPr>
                    <w:t>0%</w:t>
                  </w:r>
                </w:p>
              </w:tc>
              <w:tc>
                <w:tcPr>
                  <w:tcW w:w="511" w:type="pct"/>
                  <w:tcBorders>
                    <w:tl2br w:val="nil"/>
                    <w:tr2bl w:val="nil"/>
                  </w:tcBorders>
                  <w:noWrap w:val="0"/>
                  <w:vAlign w:val="center"/>
                </w:tcPr>
                <w:p w14:paraId="2A761540">
                  <w:pPr>
                    <w:pStyle w:val="52"/>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达标</w:t>
                  </w:r>
                </w:p>
              </w:tc>
            </w:tr>
            <w:tr w14:paraId="77441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340" w:hRule="atLeast"/>
                <w:jc w:val="center"/>
              </w:trPr>
              <w:tc>
                <w:tcPr>
                  <w:tcW w:w="331" w:type="pct"/>
                  <w:tcBorders>
                    <w:tl2br w:val="nil"/>
                    <w:tr2bl w:val="nil"/>
                  </w:tcBorders>
                  <w:noWrap w:val="0"/>
                  <w:vAlign w:val="center"/>
                </w:tcPr>
                <w:p w14:paraId="07FEF3E1">
                  <w:pPr>
                    <w:pStyle w:val="52"/>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2</w:t>
                  </w:r>
                </w:p>
              </w:tc>
              <w:tc>
                <w:tcPr>
                  <w:tcW w:w="435" w:type="pct"/>
                  <w:tcBorders>
                    <w:tl2br w:val="nil"/>
                    <w:tr2bl w:val="nil"/>
                  </w:tcBorders>
                  <w:noWrap w:val="0"/>
                  <w:vAlign w:val="center"/>
                </w:tcPr>
                <w:p w14:paraId="043315ED">
                  <w:pPr>
                    <w:pStyle w:val="52"/>
                    <w:tabs>
                      <w:tab w:val="right" w:pos="0"/>
                    </w:tabs>
                    <w:outlineLvl w:val="1"/>
                    <w:rPr>
                      <w:rFonts w:hint="default" w:ascii="Times New Roman" w:hAnsi="Times New Roman" w:eastAsia="宋体" w:cs="Times New Roman"/>
                      <w:b w:val="0"/>
                      <w:bCs/>
                      <w:color w:val="auto"/>
                      <w:sz w:val="21"/>
                      <w:szCs w:val="21"/>
                    </w:rPr>
                  </w:pPr>
                  <w:bookmarkStart w:id="15" w:name="_Toc27636"/>
                  <w:r>
                    <w:rPr>
                      <w:rFonts w:hint="default" w:ascii="Times New Roman" w:hAnsi="Times New Roman" w:eastAsia="宋体" w:cs="Times New Roman"/>
                      <w:b w:val="0"/>
                      <w:bCs/>
                      <w:color w:val="auto"/>
                      <w:sz w:val="21"/>
                      <w:szCs w:val="21"/>
                    </w:rPr>
                    <w:t>NO</w:t>
                  </w:r>
                  <w:r>
                    <w:rPr>
                      <w:rFonts w:hint="default" w:ascii="Times New Roman" w:hAnsi="Times New Roman" w:eastAsia="宋体" w:cs="Times New Roman"/>
                      <w:b w:val="0"/>
                      <w:bCs/>
                      <w:color w:val="auto"/>
                      <w:sz w:val="21"/>
                      <w:szCs w:val="21"/>
                      <w:vertAlign w:val="subscript"/>
                    </w:rPr>
                    <w:t>2</w:t>
                  </w:r>
                  <w:bookmarkEnd w:id="15"/>
                </w:p>
              </w:tc>
              <w:tc>
                <w:tcPr>
                  <w:tcW w:w="1634" w:type="pct"/>
                  <w:tcBorders>
                    <w:tl2br w:val="nil"/>
                    <w:tr2bl w:val="nil"/>
                  </w:tcBorders>
                  <w:noWrap w:val="0"/>
                  <w:vAlign w:val="center"/>
                </w:tcPr>
                <w:p w14:paraId="6BE3C6A0">
                  <w:pPr>
                    <w:pStyle w:val="52"/>
                    <w:tabs>
                      <w:tab w:val="right" w:pos="0"/>
                    </w:tabs>
                    <w:outlineLvl w:val="1"/>
                    <w:rPr>
                      <w:rFonts w:hint="default" w:ascii="Times New Roman" w:hAnsi="Times New Roman" w:eastAsia="宋体" w:cs="Times New Roman"/>
                      <w:b w:val="0"/>
                      <w:bCs/>
                      <w:color w:val="auto"/>
                      <w:sz w:val="21"/>
                      <w:szCs w:val="21"/>
                    </w:rPr>
                  </w:pPr>
                  <w:bookmarkStart w:id="16" w:name="_Toc13302"/>
                  <w:r>
                    <w:rPr>
                      <w:rFonts w:hint="default" w:ascii="Times New Roman" w:hAnsi="Times New Roman" w:eastAsia="宋体" w:cs="Times New Roman"/>
                      <w:b w:val="0"/>
                      <w:bCs/>
                      <w:color w:val="auto"/>
                      <w:sz w:val="21"/>
                      <w:szCs w:val="21"/>
                    </w:rPr>
                    <w:t>年平均质量浓度</w:t>
                  </w:r>
                  <w:bookmarkEnd w:id="16"/>
                </w:p>
              </w:tc>
              <w:tc>
                <w:tcPr>
                  <w:tcW w:w="1119" w:type="dxa"/>
                  <w:tcBorders>
                    <w:tl2br w:val="nil"/>
                    <w:tr2bl w:val="nil"/>
                  </w:tcBorders>
                  <w:noWrap w:val="0"/>
                  <w:vAlign w:val="center"/>
                </w:tcPr>
                <w:p w14:paraId="1A7DFC7D">
                  <w:pPr>
                    <w:keepNext w:val="0"/>
                    <w:keepLines w:val="0"/>
                    <w:widowControl/>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eastAsia" w:cs="Times New Roman"/>
                      <w:color w:val="auto"/>
                      <w:kern w:val="0"/>
                      <w:sz w:val="21"/>
                      <w:szCs w:val="21"/>
                      <w:lang w:val="en-US" w:eastAsia="zh-CN"/>
                    </w:rPr>
                    <w:t>13</w:t>
                  </w:r>
                </w:p>
              </w:tc>
              <w:tc>
                <w:tcPr>
                  <w:tcW w:w="808" w:type="pct"/>
                  <w:tcBorders>
                    <w:tl2br w:val="nil"/>
                    <w:tr2bl w:val="nil"/>
                  </w:tcBorders>
                  <w:noWrap w:val="0"/>
                  <w:vAlign w:val="center"/>
                </w:tcPr>
                <w:p w14:paraId="5626B91D">
                  <w:pPr>
                    <w:pStyle w:val="52"/>
                    <w:tabs>
                      <w:tab w:val="right" w:pos="0"/>
                    </w:tabs>
                    <w:outlineLvl w:val="1"/>
                    <w:rPr>
                      <w:rFonts w:hint="default" w:ascii="Times New Roman" w:hAnsi="Times New Roman" w:eastAsia="宋体" w:cs="Times New Roman"/>
                      <w:b w:val="0"/>
                      <w:bCs/>
                      <w:color w:val="auto"/>
                      <w:sz w:val="21"/>
                      <w:szCs w:val="21"/>
                    </w:rPr>
                  </w:pPr>
                  <w:bookmarkStart w:id="17" w:name="_Toc22766"/>
                  <w:r>
                    <w:rPr>
                      <w:rFonts w:hint="default" w:ascii="Times New Roman" w:hAnsi="Times New Roman" w:eastAsia="宋体" w:cs="Times New Roman"/>
                      <w:b w:val="0"/>
                      <w:bCs/>
                      <w:color w:val="auto"/>
                      <w:sz w:val="21"/>
                      <w:szCs w:val="21"/>
                      <w:lang w:val="en-US" w:eastAsia="zh-CN"/>
                    </w:rPr>
                    <w:t>40</w:t>
                  </w:r>
                  <w:bookmarkEnd w:id="17"/>
                </w:p>
              </w:tc>
              <w:tc>
                <w:tcPr>
                  <w:tcW w:w="921" w:type="dxa"/>
                  <w:tcBorders>
                    <w:tl2br w:val="nil"/>
                    <w:tr2bl w:val="nil"/>
                  </w:tcBorders>
                  <w:noWrap w:val="0"/>
                  <w:vAlign w:val="center"/>
                </w:tcPr>
                <w:p w14:paraId="613B3E8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color w:val="auto"/>
                      <w:kern w:val="0"/>
                      <w:sz w:val="21"/>
                      <w:szCs w:val="21"/>
                      <w:lang w:val="en-US" w:eastAsia="zh-CN"/>
                    </w:rPr>
                    <w:t>32.5%</w:t>
                  </w:r>
                </w:p>
              </w:tc>
              <w:tc>
                <w:tcPr>
                  <w:tcW w:w="511" w:type="pct"/>
                  <w:tcBorders>
                    <w:tl2br w:val="nil"/>
                    <w:tr2bl w:val="nil"/>
                  </w:tcBorders>
                  <w:noWrap w:val="0"/>
                  <w:vAlign w:val="center"/>
                </w:tcPr>
                <w:p w14:paraId="71F94F87">
                  <w:pPr>
                    <w:pStyle w:val="52"/>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达标</w:t>
                  </w:r>
                </w:p>
              </w:tc>
            </w:tr>
            <w:tr w14:paraId="554A3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340" w:hRule="atLeast"/>
                <w:jc w:val="center"/>
              </w:trPr>
              <w:tc>
                <w:tcPr>
                  <w:tcW w:w="331" w:type="pct"/>
                  <w:tcBorders>
                    <w:tl2br w:val="nil"/>
                    <w:tr2bl w:val="nil"/>
                  </w:tcBorders>
                  <w:noWrap w:val="0"/>
                  <w:vAlign w:val="center"/>
                </w:tcPr>
                <w:p w14:paraId="235898D8">
                  <w:pPr>
                    <w:pStyle w:val="52"/>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3</w:t>
                  </w:r>
                </w:p>
              </w:tc>
              <w:tc>
                <w:tcPr>
                  <w:tcW w:w="435" w:type="pct"/>
                  <w:tcBorders>
                    <w:tl2br w:val="nil"/>
                    <w:tr2bl w:val="nil"/>
                  </w:tcBorders>
                  <w:noWrap w:val="0"/>
                  <w:vAlign w:val="center"/>
                </w:tcPr>
                <w:p w14:paraId="2E59D881">
                  <w:pPr>
                    <w:pStyle w:val="52"/>
                    <w:tabs>
                      <w:tab w:val="right" w:pos="0"/>
                    </w:tabs>
                    <w:outlineLvl w:val="1"/>
                    <w:rPr>
                      <w:rFonts w:hint="default" w:ascii="Times New Roman" w:hAnsi="Times New Roman" w:eastAsia="宋体" w:cs="Times New Roman"/>
                      <w:b w:val="0"/>
                      <w:bCs/>
                      <w:color w:val="auto"/>
                      <w:sz w:val="21"/>
                      <w:szCs w:val="21"/>
                    </w:rPr>
                  </w:pPr>
                  <w:bookmarkStart w:id="18" w:name="_Toc26690"/>
                  <w:r>
                    <w:rPr>
                      <w:rFonts w:hint="default" w:ascii="Times New Roman" w:hAnsi="Times New Roman" w:eastAsia="宋体" w:cs="Times New Roman"/>
                      <w:b w:val="0"/>
                      <w:bCs/>
                      <w:color w:val="auto"/>
                      <w:sz w:val="21"/>
                      <w:szCs w:val="21"/>
                    </w:rPr>
                    <w:t>PM</w:t>
                  </w:r>
                  <w:r>
                    <w:rPr>
                      <w:rFonts w:hint="default" w:ascii="Times New Roman" w:hAnsi="Times New Roman" w:eastAsia="宋体" w:cs="Times New Roman"/>
                      <w:b w:val="0"/>
                      <w:bCs/>
                      <w:color w:val="auto"/>
                      <w:sz w:val="21"/>
                      <w:szCs w:val="21"/>
                      <w:vertAlign w:val="subscript"/>
                    </w:rPr>
                    <w:t>10</w:t>
                  </w:r>
                  <w:bookmarkEnd w:id="18"/>
                </w:p>
              </w:tc>
              <w:tc>
                <w:tcPr>
                  <w:tcW w:w="1634" w:type="pct"/>
                  <w:tcBorders>
                    <w:tl2br w:val="nil"/>
                    <w:tr2bl w:val="nil"/>
                  </w:tcBorders>
                  <w:noWrap w:val="0"/>
                  <w:vAlign w:val="center"/>
                </w:tcPr>
                <w:p w14:paraId="7F13AF02">
                  <w:pPr>
                    <w:pStyle w:val="52"/>
                    <w:tabs>
                      <w:tab w:val="right" w:pos="0"/>
                    </w:tabs>
                    <w:outlineLvl w:val="1"/>
                    <w:rPr>
                      <w:rFonts w:hint="default" w:ascii="Times New Roman" w:hAnsi="Times New Roman" w:eastAsia="宋体" w:cs="Times New Roman"/>
                      <w:b w:val="0"/>
                      <w:bCs/>
                      <w:color w:val="auto"/>
                      <w:sz w:val="21"/>
                      <w:szCs w:val="21"/>
                    </w:rPr>
                  </w:pPr>
                  <w:bookmarkStart w:id="19" w:name="_Toc8189"/>
                  <w:r>
                    <w:rPr>
                      <w:rFonts w:hint="default" w:ascii="Times New Roman" w:hAnsi="Times New Roman" w:eastAsia="宋体" w:cs="Times New Roman"/>
                      <w:b w:val="0"/>
                      <w:bCs/>
                      <w:color w:val="auto"/>
                      <w:sz w:val="21"/>
                      <w:szCs w:val="21"/>
                    </w:rPr>
                    <w:t>年平均质量浓度</w:t>
                  </w:r>
                  <w:bookmarkEnd w:id="19"/>
                </w:p>
              </w:tc>
              <w:tc>
                <w:tcPr>
                  <w:tcW w:w="1119" w:type="dxa"/>
                  <w:tcBorders>
                    <w:tl2br w:val="nil"/>
                    <w:tr2bl w:val="nil"/>
                  </w:tcBorders>
                  <w:noWrap w:val="0"/>
                  <w:vAlign w:val="center"/>
                </w:tcPr>
                <w:p w14:paraId="63DEBB0C">
                  <w:pPr>
                    <w:keepNext w:val="0"/>
                    <w:keepLines w:val="0"/>
                    <w:widowControl/>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eastAsia" w:cs="Times New Roman"/>
                      <w:color w:val="auto"/>
                      <w:kern w:val="0"/>
                      <w:sz w:val="21"/>
                      <w:szCs w:val="21"/>
                      <w:lang w:val="en-US" w:eastAsia="zh-CN"/>
                    </w:rPr>
                    <w:t>48</w:t>
                  </w:r>
                </w:p>
              </w:tc>
              <w:tc>
                <w:tcPr>
                  <w:tcW w:w="808" w:type="pct"/>
                  <w:tcBorders>
                    <w:tl2br w:val="nil"/>
                    <w:tr2bl w:val="nil"/>
                  </w:tcBorders>
                  <w:noWrap w:val="0"/>
                  <w:vAlign w:val="center"/>
                </w:tcPr>
                <w:p w14:paraId="116B249B">
                  <w:pPr>
                    <w:pStyle w:val="52"/>
                    <w:tabs>
                      <w:tab w:val="right" w:pos="0"/>
                    </w:tabs>
                    <w:outlineLvl w:val="1"/>
                    <w:rPr>
                      <w:rFonts w:hint="default" w:ascii="Times New Roman" w:hAnsi="Times New Roman" w:eastAsia="宋体" w:cs="Times New Roman"/>
                      <w:b w:val="0"/>
                      <w:bCs/>
                      <w:color w:val="auto"/>
                      <w:sz w:val="21"/>
                      <w:szCs w:val="21"/>
                      <w:lang w:val="en-US"/>
                    </w:rPr>
                  </w:pPr>
                  <w:bookmarkStart w:id="20" w:name="_Toc26197"/>
                  <w:r>
                    <w:rPr>
                      <w:rFonts w:hint="default" w:ascii="Times New Roman" w:hAnsi="Times New Roman" w:eastAsia="宋体" w:cs="Times New Roman"/>
                      <w:b w:val="0"/>
                      <w:bCs/>
                      <w:color w:val="auto"/>
                      <w:sz w:val="21"/>
                      <w:szCs w:val="21"/>
                      <w:lang w:val="en-US" w:eastAsia="zh-CN"/>
                    </w:rPr>
                    <w:t>70</w:t>
                  </w:r>
                  <w:bookmarkEnd w:id="20"/>
                </w:p>
              </w:tc>
              <w:tc>
                <w:tcPr>
                  <w:tcW w:w="921" w:type="dxa"/>
                  <w:tcBorders>
                    <w:tl2br w:val="nil"/>
                    <w:tr2bl w:val="nil"/>
                  </w:tcBorders>
                  <w:noWrap w:val="0"/>
                  <w:vAlign w:val="center"/>
                </w:tcPr>
                <w:p w14:paraId="1078E0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color w:val="auto"/>
                      <w:kern w:val="0"/>
                      <w:sz w:val="21"/>
                      <w:szCs w:val="21"/>
                      <w:lang w:val="en-US" w:eastAsia="zh-CN"/>
                    </w:rPr>
                    <w:t>6</w:t>
                  </w:r>
                  <w:r>
                    <w:rPr>
                      <w:rFonts w:hint="eastAsia" w:cs="Times New Roman"/>
                      <w:color w:val="auto"/>
                      <w:kern w:val="0"/>
                      <w:sz w:val="21"/>
                      <w:szCs w:val="21"/>
                      <w:lang w:val="en-US" w:eastAsia="zh-CN"/>
                    </w:rPr>
                    <w:t>8.58%</w:t>
                  </w:r>
                </w:p>
              </w:tc>
              <w:tc>
                <w:tcPr>
                  <w:tcW w:w="511" w:type="pct"/>
                  <w:tcBorders>
                    <w:tl2br w:val="nil"/>
                    <w:tr2bl w:val="nil"/>
                  </w:tcBorders>
                  <w:noWrap w:val="0"/>
                  <w:vAlign w:val="center"/>
                </w:tcPr>
                <w:p w14:paraId="4F0AE9DB">
                  <w:pPr>
                    <w:pStyle w:val="52"/>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达标</w:t>
                  </w:r>
                </w:p>
              </w:tc>
            </w:tr>
            <w:tr w14:paraId="2ADC7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340" w:hRule="atLeast"/>
                <w:jc w:val="center"/>
              </w:trPr>
              <w:tc>
                <w:tcPr>
                  <w:tcW w:w="331" w:type="pct"/>
                  <w:tcBorders>
                    <w:tl2br w:val="nil"/>
                    <w:tr2bl w:val="nil"/>
                  </w:tcBorders>
                  <w:noWrap w:val="0"/>
                  <w:vAlign w:val="center"/>
                </w:tcPr>
                <w:p w14:paraId="4A55C252">
                  <w:pPr>
                    <w:pStyle w:val="52"/>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4</w:t>
                  </w:r>
                </w:p>
              </w:tc>
              <w:tc>
                <w:tcPr>
                  <w:tcW w:w="435" w:type="pct"/>
                  <w:tcBorders>
                    <w:tl2br w:val="nil"/>
                    <w:tr2bl w:val="nil"/>
                  </w:tcBorders>
                  <w:noWrap w:val="0"/>
                  <w:vAlign w:val="center"/>
                </w:tcPr>
                <w:p w14:paraId="52565975">
                  <w:pPr>
                    <w:pStyle w:val="52"/>
                    <w:tabs>
                      <w:tab w:val="right" w:pos="0"/>
                    </w:tabs>
                    <w:outlineLvl w:val="1"/>
                    <w:rPr>
                      <w:rFonts w:hint="default" w:ascii="Times New Roman" w:hAnsi="Times New Roman" w:eastAsia="宋体" w:cs="Times New Roman"/>
                      <w:b w:val="0"/>
                      <w:bCs/>
                      <w:color w:val="auto"/>
                      <w:sz w:val="21"/>
                      <w:szCs w:val="21"/>
                    </w:rPr>
                  </w:pPr>
                  <w:bookmarkStart w:id="21" w:name="_Toc11942"/>
                  <w:r>
                    <w:rPr>
                      <w:rFonts w:hint="default" w:ascii="Times New Roman" w:hAnsi="Times New Roman" w:eastAsia="宋体" w:cs="Times New Roman"/>
                      <w:b w:val="0"/>
                      <w:bCs/>
                      <w:color w:val="auto"/>
                      <w:sz w:val="21"/>
                      <w:szCs w:val="21"/>
                    </w:rPr>
                    <w:t>PM</w:t>
                  </w:r>
                  <w:r>
                    <w:rPr>
                      <w:rFonts w:hint="default" w:ascii="Times New Roman" w:hAnsi="Times New Roman" w:eastAsia="宋体" w:cs="Times New Roman"/>
                      <w:b w:val="0"/>
                      <w:bCs/>
                      <w:color w:val="auto"/>
                      <w:sz w:val="21"/>
                      <w:szCs w:val="21"/>
                      <w:vertAlign w:val="subscript"/>
                    </w:rPr>
                    <w:t>2.5</w:t>
                  </w:r>
                  <w:bookmarkEnd w:id="21"/>
                </w:p>
              </w:tc>
              <w:tc>
                <w:tcPr>
                  <w:tcW w:w="1634" w:type="pct"/>
                  <w:tcBorders>
                    <w:tl2br w:val="nil"/>
                    <w:tr2bl w:val="nil"/>
                  </w:tcBorders>
                  <w:noWrap w:val="0"/>
                  <w:vAlign w:val="center"/>
                </w:tcPr>
                <w:p w14:paraId="7C76824F">
                  <w:pPr>
                    <w:pStyle w:val="52"/>
                    <w:tabs>
                      <w:tab w:val="right" w:pos="0"/>
                    </w:tabs>
                    <w:outlineLvl w:val="1"/>
                    <w:rPr>
                      <w:rFonts w:hint="default" w:ascii="Times New Roman" w:hAnsi="Times New Roman" w:eastAsia="宋体" w:cs="Times New Roman"/>
                      <w:b w:val="0"/>
                      <w:bCs/>
                      <w:color w:val="auto"/>
                      <w:sz w:val="21"/>
                      <w:szCs w:val="21"/>
                    </w:rPr>
                  </w:pPr>
                  <w:bookmarkStart w:id="22" w:name="_Toc6109"/>
                  <w:r>
                    <w:rPr>
                      <w:rFonts w:hint="default" w:ascii="Times New Roman" w:hAnsi="Times New Roman" w:eastAsia="宋体" w:cs="Times New Roman"/>
                      <w:b w:val="0"/>
                      <w:bCs/>
                      <w:color w:val="auto"/>
                      <w:sz w:val="21"/>
                      <w:szCs w:val="21"/>
                    </w:rPr>
                    <w:t>年平均质量浓度</w:t>
                  </w:r>
                  <w:bookmarkEnd w:id="22"/>
                </w:p>
              </w:tc>
              <w:tc>
                <w:tcPr>
                  <w:tcW w:w="1119" w:type="dxa"/>
                  <w:tcBorders>
                    <w:tl2br w:val="nil"/>
                    <w:tr2bl w:val="nil"/>
                  </w:tcBorders>
                  <w:noWrap w:val="0"/>
                  <w:vAlign w:val="center"/>
                </w:tcPr>
                <w:p w14:paraId="0685AFD5">
                  <w:pPr>
                    <w:keepNext w:val="0"/>
                    <w:keepLines w:val="0"/>
                    <w:widowControl/>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eastAsia" w:cs="Times New Roman"/>
                      <w:color w:val="auto"/>
                      <w:kern w:val="0"/>
                      <w:sz w:val="21"/>
                      <w:szCs w:val="21"/>
                      <w:lang w:val="en-US" w:eastAsia="zh-CN"/>
                    </w:rPr>
                    <w:t>27</w:t>
                  </w:r>
                </w:p>
              </w:tc>
              <w:tc>
                <w:tcPr>
                  <w:tcW w:w="808" w:type="pct"/>
                  <w:tcBorders>
                    <w:tl2br w:val="nil"/>
                    <w:tr2bl w:val="nil"/>
                  </w:tcBorders>
                  <w:noWrap w:val="0"/>
                  <w:vAlign w:val="center"/>
                </w:tcPr>
                <w:p w14:paraId="010DBC9E">
                  <w:pPr>
                    <w:pStyle w:val="52"/>
                    <w:tabs>
                      <w:tab w:val="right" w:pos="0"/>
                    </w:tabs>
                    <w:outlineLvl w:val="1"/>
                    <w:rPr>
                      <w:rFonts w:hint="default" w:ascii="Times New Roman" w:hAnsi="Times New Roman" w:eastAsia="宋体" w:cs="Times New Roman"/>
                      <w:b w:val="0"/>
                      <w:bCs/>
                      <w:color w:val="auto"/>
                      <w:sz w:val="21"/>
                      <w:szCs w:val="21"/>
                      <w:lang w:val="en-US"/>
                    </w:rPr>
                  </w:pPr>
                  <w:bookmarkStart w:id="23" w:name="_Toc6440"/>
                  <w:r>
                    <w:rPr>
                      <w:rFonts w:hint="default" w:ascii="Times New Roman" w:hAnsi="Times New Roman" w:eastAsia="宋体" w:cs="Times New Roman"/>
                      <w:b w:val="0"/>
                      <w:bCs/>
                      <w:color w:val="auto"/>
                      <w:sz w:val="21"/>
                      <w:szCs w:val="21"/>
                      <w:lang w:val="en-US" w:eastAsia="zh-CN"/>
                    </w:rPr>
                    <w:t>35</w:t>
                  </w:r>
                  <w:bookmarkEnd w:id="23"/>
                </w:p>
              </w:tc>
              <w:tc>
                <w:tcPr>
                  <w:tcW w:w="921" w:type="dxa"/>
                  <w:tcBorders>
                    <w:tl2br w:val="nil"/>
                    <w:tr2bl w:val="nil"/>
                  </w:tcBorders>
                  <w:noWrap w:val="0"/>
                  <w:vAlign w:val="center"/>
                </w:tcPr>
                <w:p w14:paraId="073C8BD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color w:val="auto"/>
                      <w:kern w:val="0"/>
                      <w:sz w:val="21"/>
                      <w:szCs w:val="21"/>
                      <w:lang w:val="en-US" w:eastAsia="zh-CN"/>
                    </w:rPr>
                    <w:t>77.15%</w:t>
                  </w:r>
                </w:p>
              </w:tc>
              <w:tc>
                <w:tcPr>
                  <w:tcW w:w="511" w:type="pct"/>
                  <w:tcBorders>
                    <w:tl2br w:val="nil"/>
                    <w:tr2bl w:val="nil"/>
                  </w:tcBorders>
                  <w:noWrap w:val="0"/>
                  <w:vAlign w:val="center"/>
                </w:tcPr>
                <w:p w14:paraId="666324F2">
                  <w:pPr>
                    <w:pStyle w:val="52"/>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达标</w:t>
                  </w:r>
                </w:p>
              </w:tc>
            </w:tr>
            <w:tr w14:paraId="6980F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340" w:hRule="atLeast"/>
                <w:jc w:val="center"/>
              </w:trPr>
              <w:tc>
                <w:tcPr>
                  <w:tcW w:w="331" w:type="pct"/>
                  <w:tcBorders>
                    <w:tl2br w:val="nil"/>
                    <w:tr2bl w:val="nil"/>
                  </w:tcBorders>
                  <w:noWrap w:val="0"/>
                  <w:vAlign w:val="center"/>
                </w:tcPr>
                <w:p w14:paraId="393437DE">
                  <w:pPr>
                    <w:pStyle w:val="52"/>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5</w:t>
                  </w:r>
                </w:p>
              </w:tc>
              <w:tc>
                <w:tcPr>
                  <w:tcW w:w="435" w:type="pct"/>
                  <w:tcBorders>
                    <w:tl2br w:val="nil"/>
                    <w:tr2bl w:val="nil"/>
                  </w:tcBorders>
                  <w:noWrap w:val="0"/>
                  <w:vAlign w:val="center"/>
                </w:tcPr>
                <w:p w14:paraId="2F582163">
                  <w:pPr>
                    <w:pStyle w:val="52"/>
                    <w:tabs>
                      <w:tab w:val="right" w:pos="0"/>
                    </w:tabs>
                    <w:outlineLvl w:val="1"/>
                    <w:rPr>
                      <w:rFonts w:hint="default" w:ascii="Times New Roman" w:hAnsi="Times New Roman" w:eastAsia="宋体" w:cs="Times New Roman"/>
                      <w:b w:val="0"/>
                      <w:bCs/>
                      <w:color w:val="auto"/>
                      <w:sz w:val="21"/>
                      <w:szCs w:val="21"/>
                    </w:rPr>
                  </w:pPr>
                  <w:bookmarkStart w:id="24" w:name="_Toc5153"/>
                  <w:r>
                    <w:rPr>
                      <w:rFonts w:hint="default" w:ascii="Times New Roman" w:hAnsi="Times New Roman" w:eastAsia="宋体" w:cs="Times New Roman"/>
                      <w:b w:val="0"/>
                      <w:bCs/>
                      <w:color w:val="auto"/>
                      <w:sz w:val="21"/>
                      <w:szCs w:val="21"/>
                    </w:rPr>
                    <w:t>CO</w:t>
                  </w:r>
                  <w:bookmarkEnd w:id="24"/>
                </w:p>
              </w:tc>
              <w:tc>
                <w:tcPr>
                  <w:tcW w:w="1634" w:type="pct"/>
                  <w:tcBorders>
                    <w:tl2br w:val="nil"/>
                    <w:tr2bl w:val="nil"/>
                  </w:tcBorders>
                  <w:noWrap w:val="0"/>
                  <w:vAlign w:val="center"/>
                </w:tcPr>
                <w:p w14:paraId="411956FD">
                  <w:pPr>
                    <w:pStyle w:val="52"/>
                    <w:tabs>
                      <w:tab w:val="right" w:pos="0"/>
                    </w:tabs>
                    <w:outlineLvl w:val="1"/>
                    <w:rPr>
                      <w:rFonts w:hint="default" w:ascii="Times New Roman" w:hAnsi="Times New Roman" w:eastAsia="宋体" w:cs="Times New Roman"/>
                      <w:b w:val="0"/>
                      <w:bCs/>
                      <w:color w:val="auto"/>
                      <w:sz w:val="21"/>
                      <w:szCs w:val="21"/>
                    </w:rPr>
                  </w:pPr>
                  <w:bookmarkStart w:id="25" w:name="_Toc17815"/>
                  <w:r>
                    <w:rPr>
                      <w:rFonts w:hint="default" w:ascii="Times New Roman" w:hAnsi="Times New Roman" w:eastAsia="宋体" w:cs="Times New Roman"/>
                      <w:b w:val="0"/>
                      <w:bCs/>
                      <w:color w:val="auto"/>
                      <w:sz w:val="21"/>
                      <w:szCs w:val="21"/>
                    </w:rPr>
                    <w:t>日平均质量浓度95%位数值</w:t>
                  </w:r>
                  <w:bookmarkEnd w:id="25"/>
                </w:p>
              </w:tc>
              <w:tc>
                <w:tcPr>
                  <w:tcW w:w="1119" w:type="dxa"/>
                  <w:tcBorders>
                    <w:tl2br w:val="nil"/>
                    <w:tr2bl w:val="nil"/>
                  </w:tcBorders>
                  <w:noWrap w:val="0"/>
                  <w:vAlign w:val="center"/>
                </w:tcPr>
                <w:p w14:paraId="196BFF9E">
                  <w:pPr>
                    <w:keepNext w:val="0"/>
                    <w:keepLines w:val="0"/>
                    <w:widowControl/>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eastAsia" w:cs="Times New Roman"/>
                      <w:color w:val="auto"/>
                      <w:sz w:val="21"/>
                      <w:szCs w:val="21"/>
                      <w:lang w:val="en-US" w:eastAsia="zh-CN"/>
                    </w:rPr>
                    <w:t>800</w:t>
                  </w:r>
                </w:p>
              </w:tc>
              <w:tc>
                <w:tcPr>
                  <w:tcW w:w="808" w:type="pct"/>
                  <w:tcBorders>
                    <w:tl2br w:val="nil"/>
                    <w:tr2bl w:val="nil"/>
                  </w:tcBorders>
                  <w:noWrap w:val="0"/>
                  <w:vAlign w:val="center"/>
                </w:tcPr>
                <w:p w14:paraId="46D6CFA8">
                  <w:pPr>
                    <w:pStyle w:val="52"/>
                    <w:tabs>
                      <w:tab w:val="right" w:pos="0"/>
                    </w:tabs>
                    <w:outlineLvl w:val="1"/>
                    <w:rPr>
                      <w:rFonts w:hint="default" w:ascii="Times New Roman" w:hAnsi="Times New Roman" w:eastAsia="宋体" w:cs="Times New Roman"/>
                      <w:b w:val="0"/>
                      <w:bCs/>
                      <w:color w:val="auto"/>
                      <w:sz w:val="21"/>
                      <w:szCs w:val="21"/>
                    </w:rPr>
                  </w:pPr>
                  <w:bookmarkStart w:id="26" w:name="_Toc11590"/>
                  <w:r>
                    <w:rPr>
                      <w:rFonts w:hint="default" w:ascii="Times New Roman" w:hAnsi="Times New Roman" w:eastAsia="宋体" w:cs="Times New Roman"/>
                      <w:b w:val="0"/>
                      <w:bCs/>
                      <w:color w:val="auto"/>
                      <w:sz w:val="21"/>
                      <w:szCs w:val="21"/>
                      <w:lang w:val="en-US" w:eastAsia="zh-CN"/>
                    </w:rPr>
                    <w:t>4000</w:t>
                  </w:r>
                  <w:bookmarkEnd w:id="26"/>
                </w:p>
              </w:tc>
              <w:tc>
                <w:tcPr>
                  <w:tcW w:w="921" w:type="dxa"/>
                  <w:tcBorders>
                    <w:tl2br w:val="nil"/>
                    <w:tr2bl w:val="nil"/>
                  </w:tcBorders>
                  <w:noWrap w:val="0"/>
                  <w:vAlign w:val="center"/>
                </w:tcPr>
                <w:p w14:paraId="7AD0286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color w:val="auto"/>
                      <w:kern w:val="0"/>
                      <w:sz w:val="21"/>
                      <w:szCs w:val="21"/>
                      <w:lang w:val="en-US" w:eastAsia="zh-CN"/>
                    </w:rPr>
                    <w:t>20%</w:t>
                  </w:r>
                </w:p>
              </w:tc>
              <w:tc>
                <w:tcPr>
                  <w:tcW w:w="511" w:type="pct"/>
                  <w:tcBorders>
                    <w:tl2br w:val="nil"/>
                    <w:tr2bl w:val="nil"/>
                  </w:tcBorders>
                  <w:noWrap w:val="0"/>
                  <w:vAlign w:val="center"/>
                </w:tcPr>
                <w:p w14:paraId="54DA5451">
                  <w:pPr>
                    <w:pStyle w:val="52"/>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达标</w:t>
                  </w:r>
                </w:p>
              </w:tc>
            </w:tr>
            <w:tr w14:paraId="71804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cantSplit/>
                <w:trHeight w:val="340" w:hRule="atLeast"/>
                <w:jc w:val="center"/>
              </w:trPr>
              <w:tc>
                <w:tcPr>
                  <w:tcW w:w="331" w:type="pct"/>
                  <w:tcBorders>
                    <w:tl2br w:val="nil"/>
                    <w:tr2bl w:val="nil"/>
                  </w:tcBorders>
                  <w:noWrap w:val="0"/>
                  <w:vAlign w:val="center"/>
                </w:tcPr>
                <w:p w14:paraId="6FF74920">
                  <w:pPr>
                    <w:pStyle w:val="52"/>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6</w:t>
                  </w:r>
                </w:p>
              </w:tc>
              <w:tc>
                <w:tcPr>
                  <w:tcW w:w="435" w:type="pct"/>
                  <w:tcBorders>
                    <w:tl2br w:val="nil"/>
                    <w:tr2bl w:val="nil"/>
                  </w:tcBorders>
                  <w:noWrap w:val="0"/>
                  <w:vAlign w:val="center"/>
                </w:tcPr>
                <w:p w14:paraId="266831D4">
                  <w:pPr>
                    <w:pStyle w:val="52"/>
                    <w:tabs>
                      <w:tab w:val="right" w:pos="0"/>
                    </w:tabs>
                    <w:outlineLvl w:val="1"/>
                    <w:rPr>
                      <w:rFonts w:hint="default" w:ascii="Times New Roman" w:hAnsi="Times New Roman" w:eastAsia="宋体" w:cs="Times New Roman"/>
                      <w:b w:val="0"/>
                      <w:bCs/>
                      <w:color w:val="auto"/>
                      <w:sz w:val="21"/>
                      <w:szCs w:val="21"/>
                    </w:rPr>
                  </w:pPr>
                  <w:bookmarkStart w:id="27" w:name="_Toc6258"/>
                  <w:r>
                    <w:rPr>
                      <w:rFonts w:hint="default" w:ascii="Times New Roman" w:hAnsi="Times New Roman" w:eastAsia="宋体" w:cs="Times New Roman"/>
                      <w:b w:val="0"/>
                      <w:bCs/>
                      <w:color w:val="auto"/>
                      <w:sz w:val="21"/>
                      <w:szCs w:val="21"/>
                    </w:rPr>
                    <w:t>O</w:t>
                  </w:r>
                  <w:r>
                    <w:rPr>
                      <w:rFonts w:hint="default" w:ascii="Times New Roman" w:hAnsi="Times New Roman" w:eastAsia="宋体" w:cs="Times New Roman"/>
                      <w:b w:val="0"/>
                      <w:bCs/>
                      <w:color w:val="auto"/>
                      <w:sz w:val="21"/>
                      <w:szCs w:val="21"/>
                      <w:vertAlign w:val="subscript"/>
                      <w:lang w:val="en-US" w:eastAsia="zh-CN"/>
                    </w:rPr>
                    <w:t>3</w:t>
                  </w:r>
                  <w:bookmarkEnd w:id="27"/>
                </w:p>
              </w:tc>
              <w:tc>
                <w:tcPr>
                  <w:tcW w:w="1634" w:type="pct"/>
                  <w:tcBorders>
                    <w:tl2br w:val="nil"/>
                    <w:tr2bl w:val="nil"/>
                  </w:tcBorders>
                  <w:noWrap w:val="0"/>
                  <w:vAlign w:val="center"/>
                </w:tcPr>
                <w:p w14:paraId="06E4B513">
                  <w:pPr>
                    <w:pStyle w:val="52"/>
                    <w:tabs>
                      <w:tab w:val="right" w:pos="0"/>
                    </w:tabs>
                    <w:outlineLvl w:val="1"/>
                    <w:rPr>
                      <w:rFonts w:hint="default" w:ascii="Times New Roman" w:hAnsi="Times New Roman" w:eastAsia="宋体" w:cs="Times New Roman"/>
                      <w:b w:val="0"/>
                      <w:bCs/>
                      <w:color w:val="auto"/>
                      <w:sz w:val="21"/>
                      <w:szCs w:val="21"/>
                    </w:rPr>
                  </w:pPr>
                  <w:bookmarkStart w:id="28" w:name="_Toc27895"/>
                  <w:r>
                    <w:rPr>
                      <w:rFonts w:hint="default" w:ascii="Times New Roman" w:hAnsi="Times New Roman" w:eastAsia="宋体" w:cs="Times New Roman"/>
                      <w:b w:val="0"/>
                      <w:bCs/>
                      <w:color w:val="auto"/>
                      <w:sz w:val="21"/>
                      <w:szCs w:val="21"/>
                    </w:rPr>
                    <w:t>日最大8h平均质量浓度90%位数值</w:t>
                  </w:r>
                  <w:bookmarkEnd w:id="28"/>
                </w:p>
              </w:tc>
              <w:tc>
                <w:tcPr>
                  <w:tcW w:w="1119" w:type="dxa"/>
                  <w:tcBorders>
                    <w:tl2br w:val="nil"/>
                    <w:tr2bl w:val="nil"/>
                  </w:tcBorders>
                  <w:noWrap w:val="0"/>
                  <w:vAlign w:val="center"/>
                </w:tcPr>
                <w:p w14:paraId="441B7F27">
                  <w:pPr>
                    <w:keepNext w:val="0"/>
                    <w:keepLines w:val="0"/>
                    <w:widowControl/>
                    <w:suppressLineNumbers w:val="0"/>
                    <w:snapToGrid w:val="0"/>
                    <w:spacing w:before="0" w:beforeAutospacing="0" w:after="0" w:afterAutospacing="0"/>
                    <w:ind w:left="0" w:leftChars="0" w:right="0" w:right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color w:val="auto"/>
                      <w:kern w:val="0"/>
                      <w:sz w:val="21"/>
                      <w:szCs w:val="21"/>
                      <w:lang w:val="en-US" w:eastAsia="zh-CN"/>
                    </w:rPr>
                    <w:t>1</w:t>
                  </w:r>
                  <w:r>
                    <w:rPr>
                      <w:rFonts w:hint="eastAsia" w:cs="Times New Roman"/>
                      <w:color w:val="auto"/>
                      <w:kern w:val="0"/>
                      <w:sz w:val="21"/>
                      <w:szCs w:val="21"/>
                      <w:lang w:val="en-US" w:eastAsia="zh-CN"/>
                    </w:rPr>
                    <w:t>34</w:t>
                  </w:r>
                </w:p>
              </w:tc>
              <w:tc>
                <w:tcPr>
                  <w:tcW w:w="808" w:type="pct"/>
                  <w:tcBorders>
                    <w:tl2br w:val="nil"/>
                    <w:tr2bl w:val="nil"/>
                  </w:tcBorders>
                  <w:noWrap w:val="0"/>
                  <w:vAlign w:val="center"/>
                </w:tcPr>
                <w:p w14:paraId="081D45B7">
                  <w:pPr>
                    <w:pStyle w:val="52"/>
                    <w:tabs>
                      <w:tab w:val="right" w:pos="0"/>
                    </w:tabs>
                    <w:outlineLvl w:val="1"/>
                    <w:rPr>
                      <w:rFonts w:hint="default" w:ascii="Times New Roman" w:hAnsi="Times New Roman" w:eastAsia="宋体" w:cs="Times New Roman"/>
                      <w:b w:val="0"/>
                      <w:bCs/>
                      <w:color w:val="auto"/>
                      <w:sz w:val="21"/>
                      <w:szCs w:val="21"/>
                      <w:lang w:val="en-US"/>
                    </w:rPr>
                  </w:pPr>
                  <w:bookmarkStart w:id="29" w:name="_Toc30522"/>
                  <w:r>
                    <w:rPr>
                      <w:rFonts w:hint="default" w:ascii="Times New Roman" w:hAnsi="Times New Roman" w:eastAsia="宋体" w:cs="Times New Roman"/>
                      <w:b w:val="0"/>
                      <w:bCs/>
                      <w:color w:val="auto"/>
                      <w:sz w:val="21"/>
                      <w:szCs w:val="21"/>
                      <w:lang w:val="en-US" w:eastAsia="zh-CN"/>
                    </w:rPr>
                    <w:t>160</w:t>
                  </w:r>
                  <w:bookmarkEnd w:id="29"/>
                </w:p>
              </w:tc>
              <w:tc>
                <w:tcPr>
                  <w:tcW w:w="921" w:type="dxa"/>
                  <w:tcBorders>
                    <w:tl2br w:val="nil"/>
                    <w:tr2bl w:val="nil"/>
                  </w:tcBorders>
                  <w:noWrap w:val="0"/>
                  <w:vAlign w:val="center"/>
                </w:tcPr>
                <w:p w14:paraId="5492C77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color w:val="auto"/>
                      <w:kern w:val="0"/>
                      <w:sz w:val="21"/>
                      <w:szCs w:val="21"/>
                      <w:lang w:val="en-US" w:eastAsia="zh-CN"/>
                    </w:rPr>
                    <w:t>83.75%</w:t>
                  </w:r>
                </w:p>
              </w:tc>
              <w:tc>
                <w:tcPr>
                  <w:tcW w:w="511" w:type="pct"/>
                  <w:tcBorders>
                    <w:tl2br w:val="nil"/>
                    <w:tr2bl w:val="nil"/>
                  </w:tcBorders>
                  <w:noWrap w:val="0"/>
                  <w:vAlign w:val="center"/>
                </w:tcPr>
                <w:p w14:paraId="3B55D083">
                  <w:pPr>
                    <w:pStyle w:val="52"/>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bidi="ar"/>
                    </w:rPr>
                    <w:t>达标</w:t>
                  </w:r>
                </w:p>
              </w:tc>
            </w:tr>
            <w:bookmarkEnd w:id="11"/>
          </w:tbl>
          <w:p w14:paraId="6762BBB6">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由表3-1可知，</w:t>
            </w:r>
            <w:r>
              <w:rPr>
                <w:rFonts w:hint="default" w:ascii="Times New Roman" w:hAnsi="Times New Roman" w:eastAsia="宋体" w:cs="Times New Roman"/>
                <w:color w:val="auto"/>
                <w:sz w:val="24"/>
                <w:szCs w:val="24"/>
                <w:lang w:val="en-GB" w:eastAsia="zh-CN"/>
              </w:rPr>
              <w:t>项目</w:t>
            </w:r>
            <w:r>
              <w:rPr>
                <w:rFonts w:hint="default" w:ascii="Times New Roman" w:hAnsi="Times New Roman" w:eastAsia="宋体" w:cs="Times New Roman"/>
                <w:color w:val="auto"/>
                <w:sz w:val="24"/>
                <w:szCs w:val="24"/>
                <w:lang w:eastAsia="zh-CN"/>
              </w:rPr>
              <w:t>所在区域常规监测因子</w:t>
            </w:r>
            <w:r>
              <w:rPr>
                <w:rFonts w:hint="default" w:ascii="Times New Roman" w:hAnsi="Times New Roman" w:eastAsia="宋体" w:cs="Times New Roman"/>
                <w:color w:val="auto"/>
                <w:sz w:val="24"/>
                <w:szCs w:val="24"/>
                <w:lang w:val="en-US" w:eastAsia="zh-CN"/>
              </w:rPr>
              <w:t>均</w:t>
            </w:r>
            <w:r>
              <w:rPr>
                <w:rFonts w:hint="default" w:ascii="Times New Roman" w:hAnsi="Times New Roman" w:eastAsia="宋体" w:cs="Times New Roman"/>
                <w:color w:val="auto"/>
                <w:sz w:val="24"/>
                <w:szCs w:val="24"/>
                <w:lang w:eastAsia="zh-CN"/>
              </w:rPr>
              <w:t>达到《环境空气质量标准》（GB3095-2012）二级标准要求，说明项目所在区域空气质量</w:t>
            </w:r>
            <w:r>
              <w:rPr>
                <w:rFonts w:hint="default" w:ascii="Times New Roman" w:hAnsi="Times New Roman" w:eastAsia="宋体" w:cs="Times New Roman"/>
                <w:color w:val="auto"/>
                <w:sz w:val="24"/>
                <w:szCs w:val="24"/>
                <w:lang w:val="en-US" w:eastAsia="zh-CN"/>
              </w:rPr>
              <w:t>良好</w:t>
            </w:r>
            <w:r>
              <w:rPr>
                <w:rFonts w:hint="default" w:ascii="Times New Roman" w:hAnsi="Times New Roman" w:eastAsia="宋体" w:cs="Times New Roman"/>
                <w:color w:val="auto"/>
                <w:sz w:val="24"/>
                <w:szCs w:val="24"/>
                <w:lang w:eastAsia="zh-CN"/>
              </w:rPr>
              <w:t>。项目所在地属于大气环境质量达标区。</w:t>
            </w:r>
          </w:p>
          <w:p w14:paraId="6C57CD50">
            <w:pPr>
              <w:spacing w:line="360" w:lineRule="auto"/>
              <w:ind w:firstLine="480" w:firstLineChars="200"/>
              <w:rPr>
                <w:rFonts w:ascii="Times New Roman" w:hAnsi="Times New Roman" w:eastAsia="宋体" w:cs="Times New Roman"/>
                <w:b/>
                <w:color w:val="auto"/>
                <w:sz w:val="24"/>
              </w:rPr>
            </w:pPr>
            <w:r>
              <w:rPr>
                <w:rFonts w:hint="eastAsia" w:ascii="Times New Roman" w:hAnsi="Times New Roman" w:eastAsia="宋体" w:cs="Times New Roman"/>
                <w:b w:val="0"/>
                <w:bCs/>
                <w:color w:val="auto"/>
                <w:sz w:val="24"/>
                <w:lang w:val="en-US" w:eastAsia="zh-CN"/>
              </w:rPr>
              <w:t>（2）特征因子环境空气质量现状</w:t>
            </w:r>
          </w:p>
          <w:p w14:paraId="34F77D98">
            <w:pPr>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项目位于</w:t>
            </w:r>
            <w:r>
              <w:rPr>
                <w:rFonts w:hint="eastAsia" w:ascii="Times New Roman" w:hAnsi="Times New Roman" w:eastAsia="宋体" w:cs="Times New Roman"/>
                <w:color w:val="auto"/>
                <w:sz w:val="24"/>
                <w:lang w:val="en-US" w:eastAsia="zh-CN"/>
              </w:rPr>
              <w:t>江西省九江市庐山市工业园金鹿科技园</w:t>
            </w:r>
            <w:r>
              <w:rPr>
                <w:rFonts w:hint="default" w:ascii="Times New Roman" w:hAnsi="Times New Roman" w:eastAsia="宋体" w:cs="Times New Roman"/>
                <w:color w:val="auto"/>
                <w:sz w:val="24"/>
                <w:lang w:eastAsia="zh-CN"/>
              </w:rPr>
              <w:t>，此次评价环境空气现状监测因子</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TSP、NMHC、TVOC</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引用</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庐山工业园环境质量现状监测</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中委托江西贯通检测有限公司于2022年11月28日~12月4日对A1汪贻彩希望小学距离本项目厂界最近为</w:t>
            </w:r>
            <w:r>
              <w:rPr>
                <w:rFonts w:hint="eastAsia" w:ascii="Times New Roman" w:hAnsi="Times New Roman" w:eastAsia="宋体" w:cs="Times New Roman"/>
                <w:color w:val="auto"/>
                <w:sz w:val="24"/>
                <w:lang w:val="en-US" w:eastAsia="zh-CN"/>
              </w:rPr>
              <w:t>550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lang w:eastAsia="zh-CN"/>
              </w:rPr>
              <w:t>的监测数据</w:t>
            </w:r>
            <w:r>
              <w:rPr>
                <w:rFonts w:hint="eastAsia" w:ascii="Times New Roman" w:hAnsi="Times New Roman" w:eastAsia="宋体" w:cs="Times New Roman"/>
                <w:color w:val="auto"/>
                <w:sz w:val="24"/>
                <w:lang w:eastAsia="zh-CN"/>
              </w:rPr>
              <w:t>。</w:t>
            </w:r>
          </w:p>
          <w:p w14:paraId="7E0403FE">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default" w:ascii="宋体" w:hAnsi="宋体" w:eastAsia="宋体" w:cs="宋体"/>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w:t>
            </w:r>
            <w:r>
              <w:rPr>
                <w:rFonts w:hint="eastAsia" w:ascii="Times New Roman" w:hAnsi="Times New Roman" w:eastAsia="宋体" w:cs="Times New Roman"/>
                <w:b/>
                <w:bCs/>
                <w:color w:val="auto"/>
                <w:kern w:val="0"/>
                <w:sz w:val="21"/>
                <w:szCs w:val="21"/>
                <w:lang w:val="en-US" w:eastAsia="zh-CN" w:bidi="ar"/>
              </w:rPr>
              <w:t>3</w:t>
            </w:r>
            <w:r>
              <w:rPr>
                <w:rFonts w:hint="default" w:ascii="Times New Roman" w:hAnsi="Times New Roman" w:eastAsia="宋体" w:cs="Times New Roman"/>
                <w:b/>
                <w:bCs/>
                <w:color w:val="auto"/>
                <w:kern w:val="0"/>
                <w:sz w:val="21"/>
                <w:szCs w:val="21"/>
                <w:lang w:val="en-US" w:eastAsia="zh-CN" w:bidi="ar"/>
              </w:rPr>
              <w:t xml:space="preserve">-2 </w:t>
            </w:r>
            <w:r>
              <w:rPr>
                <w:rFonts w:hint="eastAsia" w:ascii="Times New Roman" w:hAnsi="Times New Roman" w:eastAsia="宋体"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环境空气特征因子补充监测结果   单位：mg/m</w:t>
            </w:r>
            <w:r>
              <w:rPr>
                <w:rFonts w:hint="eastAsia" w:ascii="Times New Roman" w:hAnsi="Times New Roman" w:eastAsia="宋体" w:cs="Times New Roman"/>
                <w:b/>
                <w:bCs/>
                <w:color w:val="auto"/>
                <w:kern w:val="0"/>
                <w:sz w:val="21"/>
                <w:szCs w:val="21"/>
                <w:vertAlign w:val="superscript"/>
                <w:lang w:val="en-US" w:eastAsia="zh-CN" w:bidi="ar"/>
              </w:rPr>
              <w:t>3</w:t>
            </w:r>
          </w:p>
          <w:tbl>
            <w:tblPr>
              <w:tblStyle w:val="77"/>
              <w:tblW w:w="797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070"/>
              <w:gridCol w:w="1816"/>
              <w:gridCol w:w="1272"/>
              <w:gridCol w:w="1341"/>
              <w:gridCol w:w="1184"/>
              <w:gridCol w:w="1294"/>
            </w:tblGrid>
            <w:tr w14:paraId="05FBF0C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3" w:hRule="atLeast"/>
                <w:jc w:val="center"/>
              </w:trPr>
              <w:tc>
                <w:tcPr>
                  <w:tcW w:w="1070" w:type="dxa"/>
                  <w:tcBorders>
                    <w:bottom w:val="single" w:color="000000" w:sz="12" w:space="0"/>
                  </w:tcBorders>
                  <w:noWrap w:val="0"/>
                  <w:vAlign w:val="center"/>
                </w:tcPr>
                <w:p w14:paraId="21FD20C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b/>
                      <w:bCs/>
                      <w:color w:val="auto"/>
                      <w:sz w:val="21"/>
                      <w:szCs w:val="21"/>
                    </w:rPr>
                  </w:pPr>
                  <w:bookmarkStart w:id="30" w:name="_Toc10433"/>
                  <w:bookmarkStart w:id="31" w:name="_Toc12622"/>
                  <w:bookmarkStart w:id="32" w:name="_Toc17574"/>
                  <w:r>
                    <w:rPr>
                      <w:rFonts w:hint="default" w:ascii="Times New Roman" w:hAnsi="Times New Roman" w:eastAsia="宋体" w:cs="Times New Roman"/>
                      <w:b/>
                      <w:bCs/>
                      <w:color w:val="auto"/>
                      <w:spacing w:val="-4"/>
                      <w:sz w:val="21"/>
                      <w:szCs w:val="21"/>
                    </w:rPr>
                    <w:t>监测点</w:t>
                  </w:r>
                  <w:bookmarkEnd w:id="30"/>
                  <w:bookmarkEnd w:id="31"/>
                  <w:bookmarkEnd w:id="32"/>
                </w:p>
              </w:tc>
              <w:tc>
                <w:tcPr>
                  <w:tcW w:w="1816" w:type="dxa"/>
                  <w:tcBorders>
                    <w:bottom w:val="single" w:color="000000" w:sz="12" w:space="0"/>
                  </w:tcBorders>
                  <w:noWrap w:val="0"/>
                  <w:vAlign w:val="center"/>
                </w:tcPr>
                <w:p w14:paraId="2A3FC06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b/>
                      <w:bCs/>
                      <w:color w:val="auto"/>
                      <w:spacing w:val="-1"/>
                      <w:sz w:val="21"/>
                      <w:szCs w:val="21"/>
                      <w:lang w:val="en-US" w:eastAsia="zh-CN"/>
                    </w:rPr>
                  </w:pPr>
                  <w:bookmarkStart w:id="33" w:name="_Toc31927"/>
                  <w:bookmarkStart w:id="34" w:name="_Toc6902"/>
                  <w:bookmarkStart w:id="35" w:name="_Toc10985"/>
                  <w:r>
                    <w:rPr>
                      <w:rFonts w:hint="eastAsia" w:ascii="Times New Roman" w:hAnsi="Times New Roman" w:eastAsia="宋体" w:cs="Times New Roman"/>
                      <w:b/>
                      <w:bCs/>
                      <w:color w:val="auto"/>
                      <w:spacing w:val="-1"/>
                      <w:sz w:val="21"/>
                      <w:szCs w:val="21"/>
                      <w:lang w:val="en-US" w:eastAsia="zh-CN"/>
                    </w:rPr>
                    <w:t>经纬度</w:t>
                  </w:r>
                  <w:bookmarkEnd w:id="33"/>
                  <w:bookmarkEnd w:id="34"/>
                  <w:bookmarkEnd w:id="35"/>
                </w:p>
              </w:tc>
              <w:tc>
                <w:tcPr>
                  <w:tcW w:w="1272" w:type="dxa"/>
                  <w:tcBorders>
                    <w:bottom w:val="single" w:color="000000" w:sz="12" w:space="0"/>
                  </w:tcBorders>
                  <w:noWrap w:val="0"/>
                  <w:vAlign w:val="center"/>
                </w:tcPr>
                <w:p w14:paraId="1019F7B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eastAsia" w:ascii="Times New Roman" w:hAnsi="Times New Roman" w:eastAsia="宋体" w:cs="Times New Roman"/>
                      <w:b/>
                      <w:bCs/>
                      <w:color w:val="auto"/>
                      <w:spacing w:val="-1"/>
                      <w:sz w:val="21"/>
                      <w:szCs w:val="21"/>
                      <w:lang w:val="en-US" w:eastAsia="zh-CN"/>
                    </w:rPr>
                  </w:pPr>
                  <w:bookmarkStart w:id="36" w:name="_Toc12097"/>
                  <w:bookmarkStart w:id="37" w:name="_Toc10826"/>
                  <w:bookmarkStart w:id="38" w:name="_Toc18645"/>
                  <w:r>
                    <w:rPr>
                      <w:rFonts w:hint="eastAsia" w:ascii="Times New Roman" w:hAnsi="Times New Roman" w:eastAsia="宋体" w:cs="Times New Roman"/>
                      <w:b/>
                      <w:bCs/>
                      <w:color w:val="auto"/>
                      <w:spacing w:val="-1"/>
                      <w:sz w:val="21"/>
                      <w:szCs w:val="21"/>
                      <w:lang w:val="en-US" w:eastAsia="zh-CN"/>
                    </w:rPr>
                    <w:t>监测因子</w:t>
                  </w:r>
                  <w:bookmarkEnd w:id="36"/>
                  <w:bookmarkEnd w:id="37"/>
                  <w:bookmarkEnd w:id="38"/>
                </w:p>
              </w:tc>
              <w:tc>
                <w:tcPr>
                  <w:tcW w:w="1341" w:type="dxa"/>
                  <w:tcBorders>
                    <w:bottom w:val="single" w:color="000000" w:sz="12" w:space="0"/>
                  </w:tcBorders>
                  <w:noWrap w:val="0"/>
                  <w:vAlign w:val="center"/>
                </w:tcPr>
                <w:p w14:paraId="01C81390">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b/>
                      <w:bCs/>
                      <w:color w:val="auto"/>
                      <w:sz w:val="21"/>
                      <w:szCs w:val="21"/>
                      <w:lang w:val="en-US" w:eastAsia="zh-CN"/>
                    </w:rPr>
                  </w:pPr>
                  <w:bookmarkStart w:id="39" w:name="_Toc1383"/>
                  <w:bookmarkStart w:id="40" w:name="_Toc7431"/>
                  <w:bookmarkStart w:id="41" w:name="_Toc22558"/>
                  <w:r>
                    <w:rPr>
                      <w:rFonts w:hint="eastAsia" w:ascii="Times New Roman" w:hAnsi="Times New Roman" w:eastAsia="宋体" w:cs="Times New Roman"/>
                      <w:b/>
                      <w:bCs/>
                      <w:color w:val="auto"/>
                      <w:sz w:val="21"/>
                      <w:szCs w:val="21"/>
                      <w:lang w:val="en-US" w:eastAsia="zh-CN"/>
                    </w:rPr>
                    <w:t>监测值</w:t>
                  </w:r>
                  <w:bookmarkEnd w:id="39"/>
                  <w:bookmarkEnd w:id="40"/>
                  <w:bookmarkEnd w:id="41"/>
                </w:p>
              </w:tc>
              <w:tc>
                <w:tcPr>
                  <w:tcW w:w="1184" w:type="dxa"/>
                  <w:tcBorders>
                    <w:bottom w:val="single" w:color="000000" w:sz="12" w:space="0"/>
                  </w:tcBorders>
                  <w:noWrap w:val="0"/>
                  <w:vAlign w:val="center"/>
                </w:tcPr>
                <w:p w14:paraId="0939626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b/>
                      <w:bCs/>
                      <w:color w:val="auto"/>
                      <w:sz w:val="21"/>
                      <w:szCs w:val="21"/>
                      <w:lang w:val="en-US" w:eastAsia="zh-CN"/>
                    </w:rPr>
                  </w:pPr>
                  <w:bookmarkStart w:id="42" w:name="_Toc27144"/>
                  <w:bookmarkStart w:id="43" w:name="_Toc27647"/>
                  <w:bookmarkStart w:id="44" w:name="_Toc26611"/>
                  <w:r>
                    <w:rPr>
                      <w:rFonts w:hint="eastAsia" w:ascii="Times New Roman" w:hAnsi="Times New Roman" w:eastAsia="宋体" w:cs="Times New Roman"/>
                      <w:b/>
                      <w:bCs/>
                      <w:color w:val="auto"/>
                      <w:sz w:val="21"/>
                      <w:szCs w:val="21"/>
                      <w:lang w:val="en-US" w:eastAsia="zh-CN"/>
                    </w:rPr>
                    <w:t>标准值</w:t>
                  </w:r>
                  <w:bookmarkEnd w:id="42"/>
                  <w:bookmarkEnd w:id="43"/>
                  <w:bookmarkEnd w:id="44"/>
                </w:p>
              </w:tc>
              <w:tc>
                <w:tcPr>
                  <w:tcW w:w="1294" w:type="dxa"/>
                  <w:tcBorders>
                    <w:bottom w:val="single" w:color="000000" w:sz="12" w:space="0"/>
                  </w:tcBorders>
                  <w:noWrap w:val="0"/>
                  <w:vAlign w:val="center"/>
                </w:tcPr>
                <w:p w14:paraId="33CFB3F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b/>
                      <w:bCs/>
                      <w:color w:val="auto"/>
                      <w:sz w:val="21"/>
                      <w:szCs w:val="21"/>
                      <w:lang w:val="en-US" w:eastAsia="zh-CN"/>
                    </w:rPr>
                  </w:pPr>
                  <w:bookmarkStart w:id="45" w:name="_Toc23585"/>
                  <w:bookmarkStart w:id="46" w:name="_Toc25851"/>
                  <w:bookmarkStart w:id="47" w:name="_Toc30488"/>
                  <w:r>
                    <w:rPr>
                      <w:rFonts w:hint="eastAsia" w:ascii="Times New Roman" w:hAnsi="Times New Roman" w:eastAsia="宋体" w:cs="Times New Roman"/>
                      <w:b/>
                      <w:bCs/>
                      <w:color w:val="auto"/>
                      <w:sz w:val="21"/>
                      <w:szCs w:val="21"/>
                      <w:lang w:val="en-US" w:eastAsia="zh-CN"/>
                    </w:rPr>
                    <w:t>标准指数</w:t>
                  </w:r>
                  <w:bookmarkEnd w:id="45"/>
                  <w:bookmarkEnd w:id="46"/>
                  <w:bookmarkEnd w:id="47"/>
                </w:p>
              </w:tc>
            </w:tr>
            <w:tr w14:paraId="335FB8F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3" w:hRule="atLeast"/>
                <w:jc w:val="center"/>
              </w:trPr>
              <w:tc>
                <w:tcPr>
                  <w:tcW w:w="1070" w:type="dxa"/>
                  <w:vMerge w:val="restart"/>
                  <w:tcBorders>
                    <w:top w:val="single" w:color="000000" w:sz="12" w:space="0"/>
                    <w:tl2br w:val="nil"/>
                    <w:tr2bl w:val="nil"/>
                  </w:tcBorders>
                  <w:noWrap w:val="0"/>
                  <w:vAlign w:val="center"/>
                </w:tcPr>
                <w:p w14:paraId="1D823B2C">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pacing w:val="-3"/>
                      <w:sz w:val="21"/>
                      <w:szCs w:val="21"/>
                    </w:rPr>
                    <w:t>A1</w:t>
                  </w:r>
                  <w:r>
                    <w:rPr>
                      <w:rFonts w:hint="eastAsia" w:ascii="Times New Roman" w:hAnsi="Times New Roman" w:eastAsia="宋体" w:cs="Times New Roman"/>
                      <w:color w:val="auto"/>
                      <w:sz w:val="21"/>
                      <w:szCs w:val="21"/>
                      <w:lang w:val="en-US" w:eastAsia="zh-CN"/>
                    </w:rPr>
                    <w:t>汪贻彩希望小学</w:t>
                  </w:r>
                </w:p>
              </w:tc>
              <w:tc>
                <w:tcPr>
                  <w:tcW w:w="1816" w:type="dxa"/>
                  <w:vMerge w:val="restart"/>
                  <w:tcBorders>
                    <w:top w:val="single" w:color="000000" w:sz="12" w:space="0"/>
                    <w:tl2br w:val="nil"/>
                    <w:tr2bl w:val="nil"/>
                  </w:tcBorders>
                  <w:noWrap w:val="0"/>
                  <w:vAlign w:val="center"/>
                </w:tcPr>
                <w:p w14:paraId="1FD87DA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eastAsia" w:ascii="Times New Roman" w:hAnsi="Times New Roman" w:eastAsia="宋体" w:cs="Times New Roman"/>
                      <w:color w:val="auto"/>
                      <w:spacing w:val="-2"/>
                      <w:sz w:val="21"/>
                      <w:szCs w:val="21"/>
                      <w:lang w:val="en-US" w:eastAsia="zh-CN"/>
                    </w:rPr>
                  </w:pPr>
                  <w:bookmarkStart w:id="48" w:name="_Toc30088"/>
                  <w:bookmarkStart w:id="49" w:name="_Toc11770"/>
                  <w:bookmarkStart w:id="50" w:name="_Toc8064"/>
                  <w:r>
                    <w:rPr>
                      <w:rFonts w:hint="eastAsia" w:ascii="Times New Roman" w:hAnsi="Times New Roman" w:eastAsia="宋体" w:cs="Times New Roman"/>
                      <w:color w:val="auto"/>
                      <w:spacing w:val="-2"/>
                      <w:sz w:val="21"/>
                      <w:szCs w:val="21"/>
                      <w:lang w:val="en-US" w:eastAsia="zh-CN"/>
                    </w:rPr>
                    <w:t>116.054112720°，29.470867275°</w:t>
                  </w:r>
                  <w:bookmarkEnd w:id="48"/>
                  <w:bookmarkEnd w:id="49"/>
                  <w:bookmarkEnd w:id="50"/>
                </w:p>
              </w:tc>
              <w:tc>
                <w:tcPr>
                  <w:tcW w:w="1272" w:type="dxa"/>
                  <w:tcBorders>
                    <w:top w:val="single" w:color="000000" w:sz="12" w:space="0"/>
                    <w:tl2br w:val="nil"/>
                    <w:tr2bl w:val="nil"/>
                  </w:tcBorders>
                  <w:noWrap w:val="0"/>
                  <w:vAlign w:val="center"/>
                </w:tcPr>
                <w:p w14:paraId="39AA35D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color w:val="auto"/>
                      <w:spacing w:val="-2"/>
                      <w:sz w:val="21"/>
                      <w:szCs w:val="21"/>
                      <w:lang w:val="en-US" w:eastAsia="zh-CN"/>
                    </w:rPr>
                  </w:pPr>
                  <w:bookmarkStart w:id="51" w:name="_Toc30086"/>
                  <w:bookmarkStart w:id="52" w:name="_Toc595"/>
                  <w:bookmarkStart w:id="53" w:name="_Toc10522"/>
                  <w:r>
                    <w:rPr>
                      <w:rFonts w:hint="eastAsia" w:ascii="Times New Roman" w:hAnsi="Times New Roman" w:eastAsia="宋体" w:cs="Times New Roman"/>
                      <w:color w:val="auto"/>
                      <w:spacing w:val="-2"/>
                      <w:sz w:val="21"/>
                      <w:szCs w:val="21"/>
                      <w:lang w:val="en-US" w:eastAsia="zh-CN"/>
                    </w:rPr>
                    <w:t>TVOC</w:t>
                  </w:r>
                  <w:bookmarkEnd w:id="51"/>
                  <w:bookmarkEnd w:id="52"/>
                  <w:bookmarkEnd w:id="53"/>
                </w:p>
              </w:tc>
              <w:tc>
                <w:tcPr>
                  <w:tcW w:w="1341" w:type="dxa"/>
                  <w:tcBorders>
                    <w:top w:val="single" w:color="000000" w:sz="12" w:space="0"/>
                    <w:tl2br w:val="nil"/>
                    <w:tr2bl w:val="nil"/>
                  </w:tcBorders>
                  <w:noWrap w:val="0"/>
                  <w:vAlign w:val="center"/>
                </w:tcPr>
                <w:p w14:paraId="1739022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color w:val="auto"/>
                      <w:sz w:val="21"/>
                      <w:szCs w:val="21"/>
                      <w:lang w:val="en-US" w:eastAsia="zh-CN"/>
                    </w:rPr>
                  </w:pPr>
                  <w:bookmarkStart w:id="54" w:name="_Toc2979"/>
                  <w:bookmarkStart w:id="55" w:name="_Toc26751"/>
                  <w:bookmarkStart w:id="56" w:name="_Toc6015"/>
                  <w:r>
                    <w:rPr>
                      <w:rFonts w:hint="eastAsia" w:ascii="Times New Roman" w:hAnsi="Times New Roman" w:eastAsia="宋体" w:cs="Times New Roman"/>
                      <w:color w:val="auto"/>
                      <w:sz w:val="21"/>
                      <w:szCs w:val="21"/>
                      <w:lang w:val="en-US" w:eastAsia="zh-CN"/>
                    </w:rPr>
                    <w:t>＜0.0005</w:t>
                  </w:r>
                  <w:bookmarkEnd w:id="54"/>
                  <w:bookmarkEnd w:id="55"/>
                  <w:bookmarkEnd w:id="56"/>
                </w:p>
              </w:tc>
              <w:tc>
                <w:tcPr>
                  <w:tcW w:w="1184" w:type="dxa"/>
                  <w:tcBorders>
                    <w:top w:val="single" w:color="000000" w:sz="12" w:space="0"/>
                    <w:tl2br w:val="nil"/>
                    <w:tr2bl w:val="nil"/>
                  </w:tcBorders>
                  <w:noWrap w:val="0"/>
                  <w:vAlign w:val="center"/>
                </w:tcPr>
                <w:p w14:paraId="6B2452E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color w:val="auto"/>
                      <w:sz w:val="21"/>
                      <w:szCs w:val="21"/>
                      <w:lang w:val="en-US" w:eastAsia="zh-CN"/>
                    </w:rPr>
                  </w:pPr>
                  <w:bookmarkStart w:id="57" w:name="_Toc22451"/>
                  <w:bookmarkStart w:id="58" w:name="_Toc25030"/>
                  <w:bookmarkStart w:id="59" w:name="_Toc17902"/>
                  <w:r>
                    <w:rPr>
                      <w:rFonts w:hint="eastAsia" w:ascii="Times New Roman" w:hAnsi="Times New Roman" w:eastAsia="宋体" w:cs="Times New Roman"/>
                      <w:color w:val="auto"/>
                      <w:sz w:val="21"/>
                      <w:szCs w:val="21"/>
                      <w:lang w:val="en-US" w:eastAsia="zh-CN"/>
                    </w:rPr>
                    <w:t>0.6</w:t>
                  </w:r>
                  <w:bookmarkEnd w:id="57"/>
                  <w:bookmarkEnd w:id="58"/>
                  <w:bookmarkEnd w:id="59"/>
                </w:p>
              </w:tc>
              <w:tc>
                <w:tcPr>
                  <w:tcW w:w="1294" w:type="dxa"/>
                  <w:tcBorders>
                    <w:top w:val="single" w:color="000000" w:sz="12" w:space="0"/>
                    <w:tl2br w:val="nil"/>
                    <w:tr2bl w:val="nil"/>
                  </w:tcBorders>
                  <w:noWrap w:val="0"/>
                  <w:vAlign w:val="center"/>
                </w:tcPr>
                <w:p w14:paraId="0430A8B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color w:val="auto"/>
                      <w:sz w:val="21"/>
                      <w:szCs w:val="21"/>
                      <w:lang w:val="en-US" w:eastAsia="zh-CN"/>
                    </w:rPr>
                  </w:pPr>
                  <w:bookmarkStart w:id="60" w:name="_Toc12860"/>
                  <w:bookmarkStart w:id="61" w:name="_Toc16607"/>
                  <w:bookmarkStart w:id="62" w:name="_Toc4504"/>
                  <w:r>
                    <w:rPr>
                      <w:rFonts w:hint="eastAsia" w:ascii="Times New Roman" w:hAnsi="Times New Roman" w:eastAsia="宋体" w:cs="Times New Roman"/>
                      <w:color w:val="auto"/>
                      <w:sz w:val="21"/>
                      <w:szCs w:val="21"/>
                      <w:lang w:val="en-US" w:eastAsia="zh-CN"/>
                    </w:rPr>
                    <w:t>/</w:t>
                  </w:r>
                  <w:bookmarkEnd w:id="60"/>
                  <w:bookmarkEnd w:id="61"/>
                  <w:bookmarkEnd w:id="62"/>
                </w:p>
              </w:tc>
            </w:tr>
            <w:tr w14:paraId="696EB0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11" w:hRule="atLeast"/>
                <w:jc w:val="center"/>
              </w:trPr>
              <w:tc>
                <w:tcPr>
                  <w:tcW w:w="1070" w:type="dxa"/>
                  <w:vMerge w:val="continue"/>
                  <w:tcBorders>
                    <w:tl2br w:val="nil"/>
                    <w:tr2bl w:val="nil"/>
                  </w:tcBorders>
                  <w:noWrap w:val="0"/>
                  <w:vAlign w:val="center"/>
                </w:tcPr>
                <w:p w14:paraId="3E1955B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Times New Roman" w:cs="Times New Roman"/>
                      <w:color w:val="auto"/>
                      <w:spacing w:val="-3"/>
                      <w:sz w:val="21"/>
                      <w:szCs w:val="21"/>
                    </w:rPr>
                  </w:pPr>
                </w:p>
              </w:tc>
              <w:tc>
                <w:tcPr>
                  <w:tcW w:w="1816" w:type="dxa"/>
                  <w:vMerge w:val="continue"/>
                  <w:tcBorders>
                    <w:tl2br w:val="nil"/>
                    <w:tr2bl w:val="nil"/>
                  </w:tcBorders>
                  <w:noWrap w:val="0"/>
                  <w:vAlign w:val="center"/>
                </w:tcPr>
                <w:p w14:paraId="2C36B20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9"/>
                    <w:rPr>
                      <w:rFonts w:hint="eastAsia" w:ascii="Times New Roman" w:hAnsi="Times New Roman" w:eastAsia="宋体" w:cs="Times New Roman"/>
                      <w:color w:val="auto"/>
                      <w:spacing w:val="-2"/>
                      <w:sz w:val="21"/>
                      <w:szCs w:val="21"/>
                      <w:lang w:val="en-US" w:eastAsia="zh-CN"/>
                    </w:rPr>
                  </w:pPr>
                </w:p>
              </w:tc>
              <w:tc>
                <w:tcPr>
                  <w:tcW w:w="1272" w:type="dxa"/>
                  <w:tcBorders>
                    <w:tl2br w:val="nil"/>
                    <w:tr2bl w:val="nil"/>
                  </w:tcBorders>
                  <w:noWrap w:val="0"/>
                  <w:vAlign w:val="center"/>
                </w:tcPr>
                <w:p w14:paraId="3AE86B6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color w:val="auto"/>
                      <w:spacing w:val="-2"/>
                      <w:sz w:val="21"/>
                      <w:szCs w:val="21"/>
                      <w:lang w:val="en-US" w:eastAsia="zh-CN"/>
                    </w:rPr>
                  </w:pPr>
                  <w:bookmarkStart w:id="63" w:name="_Toc25647"/>
                  <w:bookmarkStart w:id="64" w:name="_Toc3304"/>
                  <w:bookmarkStart w:id="65" w:name="_Toc11688"/>
                  <w:r>
                    <w:rPr>
                      <w:rFonts w:hint="eastAsia" w:ascii="Times New Roman" w:hAnsi="Times New Roman" w:eastAsia="宋体" w:cs="Times New Roman"/>
                      <w:color w:val="auto"/>
                      <w:spacing w:val="-2"/>
                      <w:sz w:val="21"/>
                      <w:szCs w:val="21"/>
                      <w:lang w:val="en-US" w:eastAsia="zh-CN"/>
                    </w:rPr>
                    <w:t>TSP</w:t>
                  </w:r>
                  <w:bookmarkEnd w:id="63"/>
                  <w:bookmarkEnd w:id="64"/>
                  <w:bookmarkEnd w:id="65"/>
                </w:p>
              </w:tc>
              <w:tc>
                <w:tcPr>
                  <w:tcW w:w="1341" w:type="dxa"/>
                  <w:tcBorders>
                    <w:tl2br w:val="nil"/>
                    <w:tr2bl w:val="nil"/>
                  </w:tcBorders>
                  <w:noWrap w:val="0"/>
                  <w:vAlign w:val="center"/>
                </w:tcPr>
                <w:p w14:paraId="155F2D8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color w:val="auto"/>
                      <w:spacing w:val="-2"/>
                      <w:sz w:val="21"/>
                      <w:szCs w:val="21"/>
                      <w:lang w:val="en-US" w:eastAsia="zh-CN"/>
                    </w:rPr>
                  </w:pPr>
                  <w:bookmarkStart w:id="66" w:name="_Toc20548"/>
                  <w:bookmarkStart w:id="67" w:name="_Toc2355"/>
                  <w:bookmarkStart w:id="68" w:name="_Toc21994"/>
                  <w:r>
                    <w:rPr>
                      <w:rFonts w:hint="eastAsia" w:ascii="Times New Roman" w:hAnsi="Times New Roman" w:eastAsia="宋体" w:cs="Times New Roman"/>
                      <w:color w:val="auto"/>
                      <w:spacing w:val="-2"/>
                      <w:sz w:val="21"/>
                      <w:szCs w:val="21"/>
                      <w:lang w:val="en-US" w:eastAsia="zh-CN"/>
                    </w:rPr>
                    <w:t>0.085~0.112</w:t>
                  </w:r>
                  <w:bookmarkEnd w:id="66"/>
                  <w:bookmarkEnd w:id="67"/>
                  <w:bookmarkEnd w:id="68"/>
                </w:p>
              </w:tc>
              <w:tc>
                <w:tcPr>
                  <w:tcW w:w="1184" w:type="dxa"/>
                  <w:tcBorders>
                    <w:tl2br w:val="nil"/>
                    <w:tr2bl w:val="nil"/>
                  </w:tcBorders>
                  <w:noWrap w:val="0"/>
                  <w:vAlign w:val="center"/>
                </w:tcPr>
                <w:p w14:paraId="386C06B4">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color w:val="auto"/>
                      <w:sz w:val="21"/>
                      <w:szCs w:val="21"/>
                      <w:lang w:val="en-US" w:eastAsia="zh-CN"/>
                    </w:rPr>
                  </w:pPr>
                  <w:bookmarkStart w:id="69" w:name="_Toc11004"/>
                  <w:bookmarkStart w:id="70" w:name="_Toc26686"/>
                  <w:bookmarkStart w:id="71" w:name="_Toc30783"/>
                  <w:r>
                    <w:rPr>
                      <w:rFonts w:hint="eastAsia" w:ascii="Times New Roman" w:hAnsi="Times New Roman" w:eastAsia="宋体" w:cs="Times New Roman"/>
                      <w:color w:val="auto"/>
                      <w:sz w:val="21"/>
                      <w:szCs w:val="21"/>
                      <w:lang w:val="en-US" w:eastAsia="zh-CN"/>
                    </w:rPr>
                    <w:t>0.3</w:t>
                  </w:r>
                  <w:bookmarkEnd w:id="69"/>
                  <w:bookmarkEnd w:id="70"/>
                  <w:bookmarkEnd w:id="71"/>
                </w:p>
              </w:tc>
              <w:tc>
                <w:tcPr>
                  <w:tcW w:w="1294" w:type="dxa"/>
                  <w:tcBorders>
                    <w:tl2br w:val="nil"/>
                    <w:tr2bl w:val="nil"/>
                  </w:tcBorders>
                  <w:noWrap w:val="0"/>
                  <w:vAlign w:val="center"/>
                </w:tcPr>
                <w:p w14:paraId="033E520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color w:val="auto"/>
                      <w:sz w:val="21"/>
                      <w:szCs w:val="21"/>
                      <w:lang w:val="en-US" w:eastAsia="zh-CN"/>
                    </w:rPr>
                  </w:pPr>
                  <w:bookmarkStart w:id="72" w:name="_Toc16356"/>
                  <w:bookmarkStart w:id="73" w:name="_Toc6673"/>
                  <w:bookmarkStart w:id="74" w:name="_Toc13397"/>
                  <w:r>
                    <w:rPr>
                      <w:rFonts w:hint="eastAsia" w:ascii="Times New Roman" w:hAnsi="Times New Roman" w:eastAsia="宋体" w:cs="Times New Roman"/>
                      <w:color w:val="auto"/>
                      <w:sz w:val="21"/>
                      <w:szCs w:val="21"/>
                      <w:lang w:val="en-US" w:eastAsia="zh-CN"/>
                    </w:rPr>
                    <w:t>0.283~0.373</w:t>
                  </w:r>
                  <w:bookmarkEnd w:id="72"/>
                  <w:bookmarkEnd w:id="73"/>
                  <w:bookmarkEnd w:id="74"/>
                </w:p>
              </w:tc>
            </w:tr>
            <w:tr w14:paraId="6653169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11" w:hRule="atLeast"/>
                <w:jc w:val="center"/>
              </w:trPr>
              <w:tc>
                <w:tcPr>
                  <w:tcW w:w="1070" w:type="dxa"/>
                  <w:vMerge w:val="continue"/>
                  <w:tcBorders>
                    <w:tl2br w:val="nil"/>
                    <w:tr2bl w:val="nil"/>
                  </w:tcBorders>
                  <w:noWrap w:val="0"/>
                  <w:vAlign w:val="center"/>
                </w:tcPr>
                <w:p w14:paraId="15B83B4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Times New Roman" w:cs="Times New Roman"/>
                      <w:color w:val="auto"/>
                      <w:spacing w:val="-3"/>
                      <w:sz w:val="21"/>
                      <w:szCs w:val="21"/>
                    </w:rPr>
                  </w:pPr>
                </w:p>
              </w:tc>
              <w:tc>
                <w:tcPr>
                  <w:tcW w:w="1816" w:type="dxa"/>
                  <w:vMerge w:val="continue"/>
                  <w:tcBorders>
                    <w:tl2br w:val="nil"/>
                    <w:tr2bl w:val="nil"/>
                  </w:tcBorders>
                  <w:noWrap w:val="0"/>
                  <w:vAlign w:val="center"/>
                </w:tcPr>
                <w:p w14:paraId="6EAD132F">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9"/>
                    <w:rPr>
                      <w:rFonts w:hint="eastAsia" w:ascii="Times New Roman" w:hAnsi="Times New Roman" w:eastAsia="宋体" w:cs="Times New Roman"/>
                      <w:color w:val="auto"/>
                      <w:spacing w:val="-2"/>
                      <w:sz w:val="21"/>
                      <w:szCs w:val="21"/>
                      <w:lang w:val="en-US" w:eastAsia="zh-CN"/>
                    </w:rPr>
                  </w:pPr>
                </w:p>
              </w:tc>
              <w:tc>
                <w:tcPr>
                  <w:tcW w:w="1272" w:type="dxa"/>
                  <w:tcBorders>
                    <w:tl2br w:val="nil"/>
                    <w:tr2bl w:val="nil"/>
                  </w:tcBorders>
                  <w:noWrap w:val="0"/>
                  <w:vAlign w:val="center"/>
                </w:tcPr>
                <w:p w14:paraId="0AD7CB2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color w:val="auto"/>
                      <w:spacing w:val="-2"/>
                      <w:sz w:val="21"/>
                      <w:szCs w:val="21"/>
                      <w:lang w:val="en-US" w:eastAsia="zh-CN"/>
                    </w:rPr>
                  </w:pPr>
                  <w:bookmarkStart w:id="75" w:name="_Toc6574"/>
                  <w:bookmarkStart w:id="76" w:name="_Toc10494"/>
                  <w:bookmarkStart w:id="77" w:name="_Toc31408"/>
                  <w:r>
                    <w:rPr>
                      <w:rFonts w:hint="eastAsia" w:ascii="Times New Roman" w:hAnsi="Times New Roman" w:eastAsia="宋体" w:cs="Times New Roman"/>
                      <w:color w:val="auto"/>
                      <w:spacing w:val="-2"/>
                      <w:sz w:val="21"/>
                      <w:szCs w:val="21"/>
                      <w:lang w:val="en-US" w:eastAsia="zh-CN"/>
                    </w:rPr>
                    <w:t>NMHC</w:t>
                  </w:r>
                  <w:bookmarkEnd w:id="75"/>
                  <w:bookmarkEnd w:id="76"/>
                  <w:bookmarkEnd w:id="77"/>
                </w:p>
              </w:tc>
              <w:tc>
                <w:tcPr>
                  <w:tcW w:w="1341" w:type="dxa"/>
                  <w:tcBorders>
                    <w:tl2br w:val="nil"/>
                    <w:tr2bl w:val="nil"/>
                  </w:tcBorders>
                  <w:noWrap w:val="0"/>
                  <w:vAlign w:val="center"/>
                </w:tcPr>
                <w:p w14:paraId="5807CF1B">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color w:val="auto"/>
                      <w:spacing w:val="-2"/>
                      <w:sz w:val="21"/>
                      <w:szCs w:val="21"/>
                      <w:lang w:val="en-US" w:eastAsia="zh-CN"/>
                    </w:rPr>
                  </w:pPr>
                  <w:bookmarkStart w:id="78" w:name="_Toc15287"/>
                  <w:bookmarkStart w:id="79" w:name="_Toc2499"/>
                  <w:bookmarkStart w:id="80" w:name="_Toc3501"/>
                  <w:r>
                    <w:rPr>
                      <w:rFonts w:hint="eastAsia" w:ascii="Times New Roman" w:hAnsi="Times New Roman" w:eastAsia="宋体" w:cs="Times New Roman"/>
                      <w:color w:val="auto"/>
                      <w:spacing w:val="-2"/>
                      <w:sz w:val="21"/>
                      <w:szCs w:val="21"/>
                      <w:lang w:val="en-US" w:eastAsia="zh-CN"/>
                    </w:rPr>
                    <w:t>1.43~1.91</w:t>
                  </w:r>
                  <w:bookmarkEnd w:id="78"/>
                  <w:bookmarkEnd w:id="79"/>
                  <w:bookmarkEnd w:id="80"/>
                </w:p>
              </w:tc>
              <w:tc>
                <w:tcPr>
                  <w:tcW w:w="1184" w:type="dxa"/>
                  <w:tcBorders>
                    <w:tl2br w:val="nil"/>
                    <w:tr2bl w:val="nil"/>
                  </w:tcBorders>
                  <w:noWrap w:val="0"/>
                  <w:vAlign w:val="center"/>
                </w:tcPr>
                <w:p w14:paraId="077FD533">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color w:val="auto"/>
                      <w:sz w:val="21"/>
                      <w:szCs w:val="21"/>
                      <w:lang w:val="en-US" w:eastAsia="zh-CN"/>
                    </w:rPr>
                  </w:pPr>
                  <w:bookmarkStart w:id="81" w:name="_Toc16040"/>
                  <w:bookmarkStart w:id="82" w:name="_Toc4753"/>
                  <w:bookmarkStart w:id="83" w:name="_Toc15065"/>
                  <w:r>
                    <w:rPr>
                      <w:rFonts w:hint="eastAsia" w:ascii="Times New Roman" w:hAnsi="Times New Roman" w:eastAsia="宋体" w:cs="Times New Roman"/>
                      <w:color w:val="auto"/>
                      <w:sz w:val="21"/>
                      <w:szCs w:val="21"/>
                      <w:lang w:val="en-US" w:eastAsia="zh-CN"/>
                    </w:rPr>
                    <w:t>2</w:t>
                  </w:r>
                  <w:bookmarkEnd w:id="81"/>
                  <w:bookmarkEnd w:id="82"/>
                  <w:bookmarkEnd w:id="83"/>
                </w:p>
              </w:tc>
              <w:tc>
                <w:tcPr>
                  <w:tcW w:w="1294" w:type="dxa"/>
                  <w:tcBorders>
                    <w:tl2br w:val="nil"/>
                    <w:tr2bl w:val="nil"/>
                  </w:tcBorders>
                  <w:noWrap w:val="0"/>
                  <w:vAlign w:val="center"/>
                </w:tcPr>
                <w:p w14:paraId="68DC7439">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outlineLvl w:val="0"/>
                    <w:rPr>
                      <w:rFonts w:hint="default" w:ascii="Times New Roman" w:hAnsi="Times New Roman" w:eastAsia="宋体" w:cs="Times New Roman"/>
                      <w:color w:val="auto"/>
                      <w:sz w:val="21"/>
                      <w:szCs w:val="21"/>
                      <w:lang w:val="en-US" w:eastAsia="zh-CN"/>
                    </w:rPr>
                  </w:pPr>
                  <w:bookmarkStart w:id="84" w:name="_Toc22543"/>
                  <w:bookmarkStart w:id="85" w:name="_Toc13019"/>
                  <w:bookmarkStart w:id="86" w:name="_Toc32143"/>
                  <w:r>
                    <w:rPr>
                      <w:rFonts w:hint="eastAsia" w:ascii="Times New Roman" w:hAnsi="Times New Roman" w:eastAsia="宋体" w:cs="Times New Roman"/>
                      <w:color w:val="auto"/>
                      <w:sz w:val="21"/>
                      <w:szCs w:val="21"/>
                      <w:lang w:val="en-US" w:eastAsia="zh-CN"/>
                    </w:rPr>
                    <w:t>0.715~0.955</w:t>
                  </w:r>
                  <w:bookmarkEnd w:id="84"/>
                  <w:bookmarkEnd w:id="85"/>
                  <w:bookmarkEnd w:id="86"/>
                </w:p>
              </w:tc>
            </w:tr>
          </w:tbl>
          <w:p w14:paraId="7FCBB800">
            <w:pPr>
              <w:adjustRightInd w:val="0"/>
              <w:snapToGrid w:val="0"/>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color w:val="auto"/>
                <w:sz w:val="24"/>
                <w:szCs w:val="24"/>
                <w:lang w:eastAsia="zh-CN"/>
              </w:rPr>
              <w:t>由上表可见，评价区域内</w:t>
            </w:r>
            <w:r>
              <w:rPr>
                <w:rFonts w:hint="eastAsia" w:ascii="Times New Roman" w:hAnsi="Times New Roman" w:eastAsia="宋体" w:cs="Times New Roman"/>
                <w:color w:val="auto"/>
                <w:sz w:val="24"/>
                <w:szCs w:val="24"/>
                <w:lang w:val="en-US" w:eastAsia="zh-CN"/>
              </w:rPr>
              <w:t>TSP满足</w:t>
            </w:r>
            <w:r>
              <w:rPr>
                <w:rFonts w:hint="eastAsia" w:ascii="Times New Roman" w:eastAsia="宋体"/>
                <w:color w:val="auto"/>
                <w:sz w:val="24"/>
                <w:lang w:val="en-US" w:eastAsia="zh-CN"/>
              </w:rPr>
              <w:t>《环境空气质量标准》（GB3095-2012）二级标准要求，</w:t>
            </w:r>
            <w:r>
              <w:rPr>
                <w:rFonts w:hint="eastAsia" w:ascii="Times New Roman" w:hAnsi="Times New Roman" w:eastAsia="宋体" w:cs="Times New Roman"/>
                <w:color w:val="auto"/>
                <w:sz w:val="24"/>
                <w:szCs w:val="24"/>
                <w:lang w:val="en-US" w:eastAsia="zh-CN"/>
              </w:rPr>
              <w:t>TVOC</w:t>
            </w:r>
            <w:r>
              <w:rPr>
                <w:rFonts w:hint="default" w:ascii="Times New Roman" w:hAnsi="Times New Roman" w:eastAsia="宋体" w:cs="Times New Roman"/>
                <w:color w:val="auto"/>
                <w:sz w:val="24"/>
                <w:szCs w:val="24"/>
                <w:lang w:eastAsia="zh-CN"/>
              </w:rPr>
              <w:t>环境质量满足《环境影响评价技术导则大气环境》（HJ2.2-2018）附录D参考限值要求</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NMHC小时值满足《大气污染物综合排放标准详解》中2.0mg/m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的要求，均未出现超标情况，区域环境空气质量良好。</w:t>
            </w:r>
          </w:p>
          <w:p w14:paraId="7EC8995A">
            <w:pPr>
              <w:spacing w:line="360" w:lineRule="auto"/>
              <w:ind w:firstLine="482" w:firstLineChars="200"/>
              <w:rPr>
                <w:rFonts w:hint="eastAsia"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2、地表水环境质量现状</w:t>
            </w:r>
          </w:p>
          <w:p w14:paraId="78A3F56A">
            <w:pPr>
              <w:widowControl w:val="0"/>
              <w:bidi w:val="0"/>
              <w:spacing w:line="360" w:lineRule="auto"/>
              <w:ind w:firstLine="480" w:firstLineChars="200"/>
              <w:jc w:val="both"/>
              <w:rPr>
                <w:rFonts w:hint="default" w:ascii="Times New Roman" w:hAnsi="Times New Roman" w:eastAsia="宋体" w:cs="Times New Roman"/>
                <w:snapToGrid w:val="0"/>
                <w:color w:val="auto"/>
                <w:kern w:val="0"/>
                <w:sz w:val="24"/>
                <w:szCs w:val="24"/>
                <w:u w:val="none"/>
                <w:lang w:val="en-US" w:eastAsia="zh-CN" w:bidi="ar-SA"/>
              </w:rPr>
            </w:pPr>
            <w:r>
              <w:rPr>
                <w:rFonts w:hint="default" w:ascii="Times New Roman" w:hAnsi="Times New Roman" w:eastAsia="宋体" w:cs="Times New Roman"/>
                <w:snapToGrid w:val="0"/>
                <w:color w:val="auto"/>
                <w:kern w:val="0"/>
                <w:sz w:val="24"/>
                <w:szCs w:val="24"/>
                <w:u w:val="none"/>
                <w:lang w:val="en-US" w:eastAsia="zh-CN" w:bidi="ar-SA"/>
              </w:rPr>
              <w:t>为了解区域地表水环境质量现状，项目</w:t>
            </w:r>
            <w:r>
              <w:rPr>
                <w:rFonts w:hint="eastAsia" w:ascii="Times New Roman" w:hAnsi="Times New Roman" w:eastAsia="宋体" w:cs="Times New Roman"/>
                <w:snapToGrid w:val="0"/>
                <w:color w:val="auto"/>
                <w:kern w:val="0"/>
                <w:sz w:val="24"/>
                <w:szCs w:val="24"/>
                <w:u w:val="none"/>
                <w:lang w:val="en-US" w:eastAsia="zh-CN" w:bidi="ar-SA"/>
              </w:rPr>
              <w:t>引用</w:t>
            </w:r>
            <w:r>
              <w:rPr>
                <w:rFonts w:hint="default" w:ascii="Times New Roman" w:hAnsi="Times New Roman" w:eastAsia="宋体" w:cs="Times New Roman"/>
                <w:snapToGrid w:val="0"/>
                <w:color w:val="auto"/>
                <w:kern w:val="0"/>
                <w:sz w:val="24"/>
                <w:szCs w:val="24"/>
                <w:u w:val="none"/>
                <w:lang w:val="en-US" w:eastAsia="zh-CN" w:bidi="ar-SA"/>
              </w:rPr>
              <w:t>九江市生态环境局发布的九江市生态环境质量月报</w:t>
            </w:r>
            <w:r>
              <w:rPr>
                <w:rFonts w:hint="eastAsia" w:ascii="Times New Roman" w:hAnsi="Times New Roman" w:eastAsia="宋体" w:cs="Times New Roman"/>
                <w:snapToGrid w:val="0"/>
                <w:color w:val="auto"/>
                <w:kern w:val="0"/>
                <w:sz w:val="24"/>
                <w:szCs w:val="24"/>
                <w:u w:val="none"/>
                <w:lang w:val="en-US" w:eastAsia="zh-CN" w:bidi="ar-SA"/>
              </w:rPr>
              <w:t>中2023年1月~12月</w:t>
            </w:r>
            <w:r>
              <w:rPr>
                <w:rFonts w:hint="default" w:ascii="Times New Roman" w:hAnsi="Times New Roman" w:eastAsia="宋体" w:cs="Times New Roman"/>
                <w:snapToGrid w:val="0"/>
                <w:color w:val="auto"/>
                <w:kern w:val="0"/>
                <w:sz w:val="24"/>
                <w:szCs w:val="24"/>
                <w:u w:val="none"/>
                <w:lang w:val="en-US" w:eastAsia="zh-CN" w:bidi="ar-SA"/>
              </w:rPr>
              <w:t>的现状监测数据进行评价。</w:t>
            </w:r>
          </w:p>
          <w:p w14:paraId="0776DC6E">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eastAsia" w:ascii="Times New Roman" w:hAnsi="Times New Roman" w:eastAsia="宋体" w:cs="宋体"/>
                <w:b/>
                <w:bCs/>
                <w:color w:val="auto"/>
                <w:kern w:val="0"/>
                <w:sz w:val="21"/>
                <w:szCs w:val="21"/>
                <w:shd w:val="clear" w:color="FFFFFF" w:fill="auto"/>
                <w:lang w:val="zh-CN" w:eastAsia="zh-CN" w:bidi="zh-CN"/>
              </w:rPr>
            </w:pPr>
            <w:r>
              <w:rPr>
                <w:rFonts w:hint="eastAsia" w:ascii="Times New Roman" w:hAnsi="Times New Roman" w:eastAsia="宋体" w:cs="宋体"/>
                <w:b/>
                <w:bCs/>
                <w:color w:val="auto"/>
                <w:kern w:val="0"/>
                <w:sz w:val="21"/>
                <w:szCs w:val="21"/>
                <w:shd w:val="clear" w:color="FFFFFF" w:fill="auto"/>
                <w:lang w:val="zh-CN" w:eastAsia="zh-CN" w:bidi="zh-CN"/>
              </w:rPr>
              <w:t>表</w:t>
            </w:r>
            <w:r>
              <w:rPr>
                <w:rFonts w:hint="eastAsia" w:ascii="Times New Roman" w:hAnsi="Times New Roman" w:eastAsia="宋体" w:cs="宋体"/>
                <w:b/>
                <w:bCs/>
                <w:color w:val="auto"/>
                <w:kern w:val="0"/>
                <w:sz w:val="21"/>
                <w:szCs w:val="21"/>
                <w:shd w:val="clear" w:color="FFFFFF" w:fill="auto"/>
                <w:lang w:val="en-US" w:eastAsia="zh-CN" w:bidi="zh-CN"/>
              </w:rPr>
              <w:t>3-3</w:t>
            </w:r>
            <w:r>
              <w:rPr>
                <w:rFonts w:hint="eastAsia" w:cs="宋体"/>
                <w:b/>
                <w:bCs/>
                <w:color w:val="auto"/>
                <w:kern w:val="0"/>
                <w:sz w:val="21"/>
                <w:szCs w:val="21"/>
                <w:shd w:val="clear" w:color="FFFFFF" w:fill="auto"/>
                <w:lang w:val="en-US" w:eastAsia="zh-CN" w:bidi="zh-CN"/>
              </w:rPr>
              <w:t xml:space="preserve">  </w:t>
            </w:r>
            <w:r>
              <w:rPr>
                <w:rFonts w:hint="eastAsia" w:ascii="Times New Roman" w:hAnsi="Times New Roman" w:eastAsia="宋体" w:cs="宋体"/>
                <w:b/>
                <w:bCs/>
                <w:color w:val="auto"/>
                <w:kern w:val="0"/>
                <w:sz w:val="21"/>
                <w:szCs w:val="21"/>
                <w:shd w:val="clear" w:color="FFFFFF" w:fill="auto"/>
                <w:lang w:val="zh-CN" w:eastAsia="zh-CN" w:bidi="zh-CN"/>
              </w:rPr>
              <w:t>国控断面水质地表水水质一览表</w:t>
            </w:r>
          </w:p>
          <w:tbl>
            <w:tblPr>
              <w:tblStyle w:val="25"/>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250"/>
              <w:gridCol w:w="1480"/>
              <w:gridCol w:w="1426"/>
              <w:gridCol w:w="1317"/>
              <w:gridCol w:w="1555"/>
            </w:tblGrid>
            <w:tr w14:paraId="6CF742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86" w:type="pct"/>
                  <w:tcBorders>
                    <w:top w:val="single" w:color="auto" w:sz="12" w:space="0"/>
                  </w:tcBorders>
                  <w:noWrap w:val="0"/>
                  <w:vAlign w:val="center"/>
                </w:tcPr>
                <w:p w14:paraId="5DF82F9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监测</w:t>
                  </w:r>
                  <w:r>
                    <w:rPr>
                      <w:rFonts w:hint="eastAsia" w:ascii="Times New Roman" w:hAnsi="Times New Roman" w:eastAsia="宋体" w:cs="Times New Roman"/>
                      <w:b/>
                      <w:bCs/>
                      <w:color w:val="auto"/>
                      <w:kern w:val="2"/>
                      <w:sz w:val="21"/>
                      <w:szCs w:val="21"/>
                      <w:vertAlign w:val="baseline"/>
                      <w:lang w:val="en-US" w:eastAsia="zh-CN" w:bidi="ar-SA"/>
                    </w:rPr>
                    <w:t>断面</w:t>
                  </w:r>
                </w:p>
              </w:tc>
              <w:tc>
                <w:tcPr>
                  <w:tcW w:w="767" w:type="pct"/>
                  <w:tcBorders>
                    <w:top w:val="single" w:color="auto" w:sz="12" w:space="0"/>
                  </w:tcBorders>
                  <w:noWrap w:val="0"/>
                  <w:vAlign w:val="center"/>
                </w:tcPr>
                <w:p w14:paraId="1CA3C55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执行类别</w:t>
                  </w:r>
                </w:p>
              </w:tc>
              <w:tc>
                <w:tcPr>
                  <w:tcW w:w="908" w:type="pct"/>
                  <w:tcBorders>
                    <w:top w:val="single" w:color="auto" w:sz="12" w:space="0"/>
                  </w:tcBorders>
                  <w:noWrap w:val="0"/>
                  <w:vAlign w:val="center"/>
                </w:tcPr>
                <w:p w14:paraId="2D39E91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日期</w:t>
                  </w:r>
                </w:p>
              </w:tc>
              <w:tc>
                <w:tcPr>
                  <w:tcW w:w="875" w:type="pct"/>
                  <w:tcBorders>
                    <w:top w:val="single" w:color="auto" w:sz="12" w:space="0"/>
                  </w:tcBorders>
                  <w:noWrap w:val="0"/>
                  <w:vAlign w:val="center"/>
                </w:tcPr>
                <w:p w14:paraId="16274BF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水质类别</w:t>
                  </w:r>
                </w:p>
              </w:tc>
              <w:tc>
                <w:tcPr>
                  <w:tcW w:w="808" w:type="pct"/>
                  <w:tcBorders>
                    <w:top w:val="single" w:color="auto" w:sz="12" w:space="0"/>
                    <w:bottom w:val="single" w:color="auto" w:sz="12" w:space="0"/>
                  </w:tcBorders>
                  <w:noWrap w:val="0"/>
                  <w:vAlign w:val="center"/>
                </w:tcPr>
                <w:p w14:paraId="74C9E0F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达标情况</w:t>
                  </w:r>
                </w:p>
              </w:tc>
              <w:tc>
                <w:tcPr>
                  <w:tcW w:w="953" w:type="pct"/>
                  <w:tcBorders>
                    <w:top w:val="single" w:color="auto" w:sz="12" w:space="0"/>
                    <w:bottom w:val="single" w:color="auto" w:sz="12" w:space="0"/>
                  </w:tcBorders>
                  <w:noWrap w:val="0"/>
                  <w:vAlign w:val="center"/>
                </w:tcPr>
                <w:p w14:paraId="05AE78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主要污染物</w:t>
                  </w:r>
                </w:p>
              </w:tc>
            </w:tr>
            <w:tr w14:paraId="4EED0F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restart"/>
                  <w:tcBorders>
                    <w:top w:val="single" w:color="auto" w:sz="12" w:space="0"/>
                  </w:tcBorders>
                  <w:noWrap w:val="0"/>
                  <w:vAlign w:val="center"/>
                </w:tcPr>
                <w:p w14:paraId="2FEE8F5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星子</w:t>
                  </w:r>
                </w:p>
              </w:tc>
              <w:tc>
                <w:tcPr>
                  <w:tcW w:w="767" w:type="pct"/>
                  <w:vMerge w:val="restart"/>
                  <w:tcBorders>
                    <w:top w:val="single" w:color="auto" w:sz="12" w:space="0"/>
                  </w:tcBorders>
                  <w:noWrap w:val="0"/>
                  <w:vAlign w:val="center"/>
                </w:tcPr>
                <w:p w14:paraId="36E9C0D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Ⅲ类</w:t>
                  </w:r>
                </w:p>
              </w:tc>
              <w:tc>
                <w:tcPr>
                  <w:tcW w:w="908" w:type="pct"/>
                  <w:tcBorders>
                    <w:top w:val="single" w:color="auto" w:sz="12" w:space="0"/>
                  </w:tcBorders>
                  <w:noWrap w:val="0"/>
                  <w:vAlign w:val="center"/>
                </w:tcPr>
                <w:p w14:paraId="1AF2935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2023年1月</w:t>
                  </w:r>
                </w:p>
              </w:tc>
              <w:tc>
                <w:tcPr>
                  <w:tcW w:w="875" w:type="pct"/>
                  <w:tcBorders>
                    <w:top w:val="single" w:color="auto" w:sz="12" w:space="0"/>
                  </w:tcBorders>
                  <w:noWrap w:val="0"/>
                  <w:vAlign w:val="center"/>
                </w:tcPr>
                <w:p w14:paraId="0CE779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Ⅲ类</w:t>
                  </w:r>
                </w:p>
              </w:tc>
              <w:tc>
                <w:tcPr>
                  <w:tcW w:w="808" w:type="pct"/>
                  <w:tcBorders>
                    <w:top w:val="single" w:color="auto" w:sz="12" w:space="0"/>
                  </w:tcBorders>
                  <w:noWrap w:val="0"/>
                  <w:vAlign w:val="center"/>
                </w:tcPr>
                <w:p w14:paraId="0C4FFA9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达标</w:t>
                  </w:r>
                </w:p>
              </w:tc>
              <w:tc>
                <w:tcPr>
                  <w:tcW w:w="953" w:type="pct"/>
                  <w:tcBorders>
                    <w:top w:val="single" w:color="auto" w:sz="12" w:space="0"/>
                  </w:tcBorders>
                  <w:noWrap w:val="0"/>
                  <w:vAlign w:val="center"/>
                </w:tcPr>
                <w:p w14:paraId="2511FF9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06E233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3B49CFC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767" w:type="pct"/>
                  <w:vMerge w:val="continue"/>
                  <w:noWrap w:val="0"/>
                  <w:vAlign w:val="center"/>
                </w:tcPr>
                <w:p w14:paraId="3BD822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908" w:type="pct"/>
                  <w:noWrap w:val="0"/>
                  <w:vAlign w:val="center"/>
                </w:tcPr>
                <w:p w14:paraId="732A167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2"/>
                      <w:sz w:val="21"/>
                      <w:szCs w:val="21"/>
                      <w:vertAlign w:val="baseline"/>
                      <w:lang w:val="en-US" w:eastAsia="zh-CN" w:bidi="ar-SA"/>
                    </w:rPr>
                    <w:t>2023年2月</w:t>
                  </w:r>
                </w:p>
              </w:tc>
              <w:tc>
                <w:tcPr>
                  <w:tcW w:w="875" w:type="pct"/>
                  <w:noWrap w:val="0"/>
                  <w:vAlign w:val="center"/>
                </w:tcPr>
                <w:p w14:paraId="6A4322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Ⅱ类</w:t>
                  </w:r>
                </w:p>
              </w:tc>
              <w:tc>
                <w:tcPr>
                  <w:tcW w:w="808" w:type="pct"/>
                  <w:noWrap w:val="0"/>
                  <w:vAlign w:val="center"/>
                </w:tcPr>
                <w:p w14:paraId="16F04ED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达标</w:t>
                  </w:r>
                </w:p>
              </w:tc>
              <w:tc>
                <w:tcPr>
                  <w:tcW w:w="953" w:type="pct"/>
                  <w:noWrap w:val="0"/>
                  <w:vAlign w:val="center"/>
                </w:tcPr>
                <w:p w14:paraId="527CB56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4E63B5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1B73EE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767" w:type="pct"/>
                  <w:vMerge w:val="continue"/>
                  <w:noWrap w:val="0"/>
                  <w:vAlign w:val="center"/>
                </w:tcPr>
                <w:p w14:paraId="752A796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908" w:type="pct"/>
                  <w:noWrap w:val="0"/>
                  <w:vAlign w:val="center"/>
                </w:tcPr>
                <w:p w14:paraId="777135F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2"/>
                      <w:sz w:val="21"/>
                      <w:szCs w:val="21"/>
                      <w:vertAlign w:val="baseline"/>
                      <w:lang w:val="en-US" w:eastAsia="zh-CN" w:bidi="ar-SA"/>
                    </w:rPr>
                    <w:t>2023年3月</w:t>
                  </w:r>
                </w:p>
              </w:tc>
              <w:tc>
                <w:tcPr>
                  <w:tcW w:w="875" w:type="pct"/>
                  <w:noWrap w:val="0"/>
                  <w:vAlign w:val="center"/>
                </w:tcPr>
                <w:p w14:paraId="2EE46EA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Ⅳ类</w:t>
                  </w:r>
                </w:p>
              </w:tc>
              <w:tc>
                <w:tcPr>
                  <w:tcW w:w="808" w:type="pct"/>
                  <w:noWrap w:val="0"/>
                  <w:vAlign w:val="center"/>
                </w:tcPr>
                <w:p w14:paraId="454024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eastAsia="zh-CN"/>
                    </w:rPr>
                    <w:t>不达标</w:t>
                  </w:r>
                </w:p>
              </w:tc>
              <w:tc>
                <w:tcPr>
                  <w:tcW w:w="953" w:type="pct"/>
                  <w:noWrap w:val="0"/>
                  <w:vAlign w:val="center"/>
                </w:tcPr>
                <w:p w14:paraId="2C86BD1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总磷（0.2）</w:t>
                  </w:r>
                </w:p>
              </w:tc>
            </w:tr>
            <w:tr w14:paraId="070050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71C4FB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767" w:type="pct"/>
                  <w:vMerge w:val="continue"/>
                  <w:noWrap w:val="0"/>
                  <w:vAlign w:val="center"/>
                </w:tcPr>
                <w:p w14:paraId="73C3C99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908" w:type="pct"/>
                  <w:noWrap w:val="0"/>
                  <w:vAlign w:val="center"/>
                </w:tcPr>
                <w:p w14:paraId="6A9125B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2"/>
                      <w:sz w:val="21"/>
                      <w:szCs w:val="21"/>
                      <w:vertAlign w:val="baseline"/>
                      <w:lang w:val="en-US" w:eastAsia="zh-CN" w:bidi="ar-SA"/>
                    </w:rPr>
                    <w:t>2023年4月</w:t>
                  </w:r>
                </w:p>
              </w:tc>
              <w:tc>
                <w:tcPr>
                  <w:tcW w:w="1400" w:type="dxa"/>
                  <w:noWrap w:val="0"/>
                  <w:vAlign w:val="center"/>
                </w:tcPr>
                <w:p w14:paraId="43FC2E4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Ⅳ类</w:t>
                  </w:r>
                </w:p>
              </w:tc>
              <w:tc>
                <w:tcPr>
                  <w:tcW w:w="1293" w:type="dxa"/>
                  <w:noWrap w:val="0"/>
                  <w:vAlign w:val="center"/>
                </w:tcPr>
                <w:p w14:paraId="5448531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eastAsia="zh-CN"/>
                    </w:rPr>
                    <w:t>不</w:t>
                  </w:r>
                  <w:r>
                    <w:rPr>
                      <w:rFonts w:hint="default" w:ascii="Times New Roman" w:hAnsi="Times New Roman" w:eastAsia="宋体" w:cs="Times New Roman"/>
                      <w:b/>
                      <w:bCs/>
                      <w:color w:val="auto"/>
                      <w:sz w:val="21"/>
                      <w:szCs w:val="21"/>
                      <w:vertAlign w:val="baseline"/>
                      <w:lang w:eastAsia="zh-CN"/>
                    </w:rPr>
                    <w:t>达标</w:t>
                  </w:r>
                </w:p>
              </w:tc>
              <w:tc>
                <w:tcPr>
                  <w:tcW w:w="953" w:type="pct"/>
                  <w:noWrap w:val="0"/>
                  <w:vAlign w:val="center"/>
                </w:tcPr>
                <w:p w14:paraId="6CBC8CB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总磷（0.8）</w:t>
                  </w:r>
                </w:p>
              </w:tc>
            </w:tr>
            <w:tr w14:paraId="6E34C7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28D4321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767" w:type="pct"/>
                  <w:vMerge w:val="continue"/>
                  <w:noWrap w:val="0"/>
                  <w:vAlign w:val="center"/>
                </w:tcPr>
                <w:p w14:paraId="21B8A41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908" w:type="pct"/>
                  <w:noWrap w:val="0"/>
                  <w:vAlign w:val="center"/>
                </w:tcPr>
                <w:p w14:paraId="27D3971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2"/>
                      <w:sz w:val="21"/>
                      <w:szCs w:val="21"/>
                      <w:vertAlign w:val="baseline"/>
                      <w:lang w:val="en-US" w:eastAsia="zh-CN" w:bidi="ar-SA"/>
                    </w:rPr>
                    <w:t>2023年5月</w:t>
                  </w:r>
                </w:p>
              </w:tc>
              <w:tc>
                <w:tcPr>
                  <w:tcW w:w="875" w:type="pct"/>
                  <w:noWrap w:val="0"/>
                  <w:vAlign w:val="center"/>
                </w:tcPr>
                <w:p w14:paraId="6CA5FA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Ⅳ类</w:t>
                  </w:r>
                </w:p>
              </w:tc>
              <w:tc>
                <w:tcPr>
                  <w:tcW w:w="808" w:type="pct"/>
                  <w:noWrap w:val="0"/>
                  <w:vAlign w:val="center"/>
                </w:tcPr>
                <w:p w14:paraId="4F0196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eastAsia="zh-CN"/>
                    </w:rPr>
                    <w:t>不</w:t>
                  </w:r>
                  <w:r>
                    <w:rPr>
                      <w:rFonts w:hint="default" w:ascii="Times New Roman" w:hAnsi="Times New Roman" w:eastAsia="宋体" w:cs="Times New Roman"/>
                      <w:b/>
                      <w:bCs/>
                      <w:color w:val="auto"/>
                      <w:sz w:val="21"/>
                      <w:szCs w:val="21"/>
                      <w:vertAlign w:val="baseline"/>
                      <w:lang w:eastAsia="zh-CN"/>
                    </w:rPr>
                    <w:t>达标</w:t>
                  </w:r>
                </w:p>
              </w:tc>
              <w:tc>
                <w:tcPr>
                  <w:tcW w:w="953" w:type="pct"/>
                  <w:noWrap w:val="0"/>
                  <w:vAlign w:val="center"/>
                </w:tcPr>
                <w:p w14:paraId="3113251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总磷</w:t>
                  </w:r>
                  <w:r>
                    <w:rPr>
                      <w:rFonts w:hint="default" w:ascii="Times New Roman" w:hAnsi="Times New Roman" w:eastAsia="宋体" w:cs="Times New Roman"/>
                      <w:color w:val="auto"/>
                      <w:sz w:val="21"/>
                      <w:szCs w:val="21"/>
                      <w:vertAlign w:val="baseline"/>
                      <w:lang w:val="en-US" w:eastAsia="zh-CN"/>
                    </w:rPr>
                    <w:t>（0.</w:t>
                  </w:r>
                  <w:r>
                    <w:rPr>
                      <w:rFonts w:hint="eastAsia" w:ascii="Times New Roman" w:hAnsi="Times New Roman" w:eastAsia="宋体" w:cs="Times New Roman"/>
                      <w:color w:val="auto"/>
                      <w:sz w:val="21"/>
                      <w:szCs w:val="21"/>
                      <w:vertAlign w:val="baseline"/>
                      <w:lang w:val="en-US" w:eastAsia="zh-CN"/>
                    </w:rPr>
                    <w:t>1</w:t>
                  </w:r>
                  <w:r>
                    <w:rPr>
                      <w:rFonts w:hint="default" w:ascii="Times New Roman" w:hAnsi="Times New Roman" w:eastAsia="宋体" w:cs="Times New Roman"/>
                      <w:color w:val="auto"/>
                      <w:sz w:val="21"/>
                      <w:szCs w:val="21"/>
                      <w:vertAlign w:val="baseline"/>
                      <w:lang w:val="en-US" w:eastAsia="zh-CN"/>
                    </w:rPr>
                    <w:t>）</w:t>
                  </w:r>
                </w:p>
              </w:tc>
            </w:tr>
            <w:tr w14:paraId="702E42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485F12E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767" w:type="pct"/>
                  <w:vMerge w:val="continue"/>
                  <w:noWrap w:val="0"/>
                  <w:vAlign w:val="center"/>
                </w:tcPr>
                <w:p w14:paraId="37C6D0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908" w:type="pct"/>
                  <w:noWrap w:val="0"/>
                  <w:vAlign w:val="center"/>
                </w:tcPr>
                <w:p w14:paraId="4FE5E73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2"/>
                      <w:sz w:val="21"/>
                      <w:szCs w:val="21"/>
                      <w:vertAlign w:val="baseline"/>
                      <w:lang w:val="en-US" w:eastAsia="zh-CN" w:bidi="ar-SA"/>
                    </w:rPr>
                    <w:t>2023年6月</w:t>
                  </w:r>
                </w:p>
              </w:tc>
              <w:tc>
                <w:tcPr>
                  <w:tcW w:w="875" w:type="pct"/>
                  <w:noWrap w:val="0"/>
                  <w:vAlign w:val="center"/>
                </w:tcPr>
                <w:p w14:paraId="1484927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Ⅲ类</w:t>
                  </w:r>
                </w:p>
              </w:tc>
              <w:tc>
                <w:tcPr>
                  <w:tcW w:w="808" w:type="pct"/>
                  <w:noWrap w:val="0"/>
                  <w:vAlign w:val="center"/>
                </w:tcPr>
                <w:p w14:paraId="0B71193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达标</w:t>
                  </w:r>
                </w:p>
              </w:tc>
              <w:tc>
                <w:tcPr>
                  <w:tcW w:w="953" w:type="pct"/>
                  <w:noWrap w:val="0"/>
                  <w:vAlign w:val="center"/>
                </w:tcPr>
                <w:p w14:paraId="1A1FF3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5F6F7D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5787C2D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767" w:type="pct"/>
                  <w:vMerge w:val="continue"/>
                  <w:noWrap w:val="0"/>
                  <w:vAlign w:val="center"/>
                </w:tcPr>
                <w:p w14:paraId="3DF85F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908" w:type="pct"/>
                  <w:noWrap w:val="0"/>
                  <w:vAlign w:val="center"/>
                </w:tcPr>
                <w:p w14:paraId="5FF56F5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2"/>
                      <w:sz w:val="21"/>
                      <w:szCs w:val="21"/>
                      <w:vertAlign w:val="baseline"/>
                      <w:lang w:val="en-US" w:eastAsia="zh-CN" w:bidi="ar-SA"/>
                    </w:rPr>
                    <w:t>2023年7月</w:t>
                  </w:r>
                </w:p>
              </w:tc>
              <w:tc>
                <w:tcPr>
                  <w:tcW w:w="1400" w:type="dxa"/>
                  <w:noWrap w:val="0"/>
                  <w:vAlign w:val="center"/>
                </w:tcPr>
                <w:p w14:paraId="14368E7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Ⅲ类</w:t>
                  </w:r>
                </w:p>
              </w:tc>
              <w:tc>
                <w:tcPr>
                  <w:tcW w:w="1293" w:type="dxa"/>
                  <w:noWrap w:val="0"/>
                  <w:vAlign w:val="center"/>
                </w:tcPr>
                <w:p w14:paraId="4D1A86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达标</w:t>
                  </w:r>
                </w:p>
              </w:tc>
              <w:tc>
                <w:tcPr>
                  <w:tcW w:w="1525" w:type="dxa"/>
                  <w:noWrap w:val="0"/>
                  <w:vAlign w:val="center"/>
                </w:tcPr>
                <w:p w14:paraId="2F4825A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w:t>
                  </w:r>
                </w:p>
              </w:tc>
            </w:tr>
            <w:tr w14:paraId="5EC63F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2751E9F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767" w:type="pct"/>
                  <w:vMerge w:val="continue"/>
                  <w:noWrap w:val="0"/>
                  <w:vAlign w:val="center"/>
                </w:tcPr>
                <w:p w14:paraId="62DE139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908" w:type="pct"/>
                  <w:noWrap w:val="0"/>
                  <w:vAlign w:val="center"/>
                </w:tcPr>
                <w:p w14:paraId="35C435B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2"/>
                      <w:sz w:val="21"/>
                      <w:szCs w:val="21"/>
                      <w:vertAlign w:val="baseline"/>
                      <w:lang w:val="en-US" w:eastAsia="zh-CN" w:bidi="ar-SA"/>
                    </w:rPr>
                    <w:t>2023年8月</w:t>
                  </w:r>
                </w:p>
              </w:tc>
              <w:tc>
                <w:tcPr>
                  <w:tcW w:w="1400" w:type="dxa"/>
                  <w:noWrap w:val="0"/>
                  <w:vAlign w:val="center"/>
                </w:tcPr>
                <w:p w14:paraId="3C77C0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Ⅲ类</w:t>
                  </w:r>
                </w:p>
              </w:tc>
              <w:tc>
                <w:tcPr>
                  <w:tcW w:w="1293" w:type="dxa"/>
                  <w:noWrap w:val="0"/>
                  <w:vAlign w:val="center"/>
                </w:tcPr>
                <w:p w14:paraId="23FB58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达标</w:t>
                  </w:r>
                </w:p>
              </w:tc>
              <w:tc>
                <w:tcPr>
                  <w:tcW w:w="953" w:type="pct"/>
                  <w:noWrap w:val="0"/>
                  <w:vAlign w:val="center"/>
                </w:tcPr>
                <w:p w14:paraId="5A4660F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w:t>
                  </w:r>
                </w:p>
              </w:tc>
            </w:tr>
            <w:tr w14:paraId="17C416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7056DE6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767" w:type="pct"/>
                  <w:vMerge w:val="continue"/>
                  <w:noWrap w:val="0"/>
                  <w:vAlign w:val="center"/>
                </w:tcPr>
                <w:p w14:paraId="748CF17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908" w:type="pct"/>
                  <w:noWrap w:val="0"/>
                  <w:vAlign w:val="center"/>
                </w:tcPr>
                <w:p w14:paraId="22E0678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2"/>
                      <w:sz w:val="21"/>
                      <w:szCs w:val="21"/>
                      <w:vertAlign w:val="baseline"/>
                      <w:lang w:val="en-US" w:eastAsia="zh-CN" w:bidi="ar-SA"/>
                    </w:rPr>
                    <w:t>2023年9月</w:t>
                  </w:r>
                </w:p>
              </w:tc>
              <w:tc>
                <w:tcPr>
                  <w:tcW w:w="1400" w:type="dxa"/>
                  <w:noWrap w:val="0"/>
                  <w:vAlign w:val="center"/>
                </w:tcPr>
                <w:p w14:paraId="2DF80DB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Ⅲ类</w:t>
                  </w:r>
                </w:p>
              </w:tc>
              <w:tc>
                <w:tcPr>
                  <w:tcW w:w="1293" w:type="dxa"/>
                  <w:noWrap w:val="0"/>
                  <w:vAlign w:val="center"/>
                </w:tcPr>
                <w:p w14:paraId="5B7AD5F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达标</w:t>
                  </w:r>
                </w:p>
              </w:tc>
              <w:tc>
                <w:tcPr>
                  <w:tcW w:w="1525" w:type="dxa"/>
                  <w:noWrap w:val="0"/>
                  <w:vAlign w:val="center"/>
                </w:tcPr>
                <w:p w14:paraId="6C4756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w:t>
                  </w:r>
                </w:p>
              </w:tc>
            </w:tr>
            <w:tr w14:paraId="6DF95B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5F2BB73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767" w:type="pct"/>
                  <w:vMerge w:val="continue"/>
                  <w:noWrap w:val="0"/>
                  <w:vAlign w:val="center"/>
                </w:tcPr>
                <w:p w14:paraId="7ABD93C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908" w:type="pct"/>
                  <w:noWrap w:val="0"/>
                  <w:vAlign w:val="center"/>
                </w:tcPr>
                <w:p w14:paraId="11FB2DE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2"/>
                      <w:sz w:val="21"/>
                      <w:szCs w:val="21"/>
                      <w:vertAlign w:val="baseline"/>
                      <w:lang w:val="en-US" w:eastAsia="zh-CN" w:bidi="ar-SA"/>
                    </w:rPr>
                    <w:t>2023年10月</w:t>
                  </w:r>
                </w:p>
              </w:tc>
              <w:tc>
                <w:tcPr>
                  <w:tcW w:w="1400" w:type="dxa"/>
                  <w:noWrap w:val="0"/>
                  <w:vAlign w:val="center"/>
                </w:tcPr>
                <w:p w14:paraId="27BE13D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Ⅲ类</w:t>
                  </w:r>
                </w:p>
              </w:tc>
              <w:tc>
                <w:tcPr>
                  <w:tcW w:w="1293" w:type="dxa"/>
                  <w:noWrap w:val="0"/>
                  <w:vAlign w:val="center"/>
                </w:tcPr>
                <w:p w14:paraId="5138B16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达标</w:t>
                  </w:r>
                </w:p>
              </w:tc>
              <w:tc>
                <w:tcPr>
                  <w:tcW w:w="953" w:type="pct"/>
                  <w:noWrap w:val="0"/>
                  <w:vAlign w:val="center"/>
                </w:tcPr>
                <w:p w14:paraId="5A01E92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34074D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noWrap w:val="0"/>
                  <w:vAlign w:val="center"/>
                </w:tcPr>
                <w:p w14:paraId="670C6EA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767" w:type="pct"/>
                  <w:vMerge w:val="continue"/>
                  <w:noWrap w:val="0"/>
                  <w:vAlign w:val="center"/>
                </w:tcPr>
                <w:p w14:paraId="3FCE885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908" w:type="pct"/>
                  <w:noWrap w:val="0"/>
                  <w:vAlign w:val="center"/>
                </w:tcPr>
                <w:p w14:paraId="0BB2FF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2"/>
                      <w:sz w:val="21"/>
                      <w:szCs w:val="21"/>
                      <w:vertAlign w:val="baseline"/>
                      <w:lang w:val="en-US" w:eastAsia="zh-CN" w:bidi="ar-SA"/>
                    </w:rPr>
                    <w:t>2023年11月</w:t>
                  </w:r>
                </w:p>
              </w:tc>
              <w:tc>
                <w:tcPr>
                  <w:tcW w:w="875" w:type="pct"/>
                  <w:noWrap w:val="0"/>
                  <w:vAlign w:val="center"/>
                </w:tcPr>
                <w:p w14:paraId="7823E2F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Ⅲ类</w:t>
                  </w:r>
                </w:p>
              </w:tc>
              <w:tc>
                <w:tcPr>
                  <w:tcW w:w="808" w:type="pct"/>
                  <w:noWrap w:val="0"/>
                  <w:vAlign w:val="center"/>
                </w:tcPr>
                <w:p w14:paraId="6F9BEF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达标</w:t>
                  </w:r>
                </w:p>
              </w:tc>
              <w:tc>
                <w:tcPr>
                  <w:tcW w:w="953" w:type="pct"/>
                  <w:noWrap w:val="0"/>
                  <w:vAlign w:val="center"/>
                </w:tcPr>
                <w:p w14:paraId="432EDB8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14:paraId="35ED46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6" w:type="pct"/>
                  <w:vMerge w:val="continue"/>
                  <w:tcBorders>
                    <w:bottom w:val="single" w:color="auto" w:sz="12" w:space="0"/>
                  </w:tcBorders>
                  <w:noWrap w:val="0"/>
                  <w:vAlign w:val="center"/>
                </w:tcPr>
                <w:p w14:paraId="0B16EF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767" w:type="pct"/>
                  <w:vMerge w:val="continue"/>
                  <w:tcBorders>
                    <w:bottom w:val="single" w:color="auto" w:sz="12" w:space="0"/>
                  </w:tcBorders>
                  <w:noWrap w:val="0"/>
                  <w:vAlign w:val="center"/>
                </w:tcPr>
                <w:p w14:paraId="2702EF4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908" w:type="pct"/>
                  <w:tcBorders>
                    <w:bottom w:val="single" w:color="auto" w:sz="12" w:space="0"/>
                  </w:tcBorders>
                  <w:noWrap w:val="0"/>
                  <w:vAlign w:val="center"/>
                </w:tcPr>
                <w:p w14:paraId="40FBF03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kern w:val="2"/>
                      <w:sz w:val="21"/>
                      <w:szCs w:val="21"/>
                      <w:vertAlign w:val="baseline"/>
                      <w:lang w:val="en-US" w:eastAsia="zh-CN" w:bidi="ar-SA"/>
                    </w:rPr>
                    <w:t>2023年12月</w:t>
                  </w:r>
                </w:p>
              </w:tc>
              <w:tc>
                <w:tcPr>
                  <w:tcW w:w="875" w:type="pct"/>
                  <w:tcBorders>
                    <w:bottom w:val="single" w:color="auto" w:sz="12" w:space="0"/>
                  </w:tcBorders>
                  <w:noWrap w:val="0"/>
                  <w:vAlign w:val="center"/>
                </w:tcPr>
                <w:p w14:paraId="180FEF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Ⅲ类</w:t>
                  </w:r>
                </w:p>
              </w:tc>
              <w:tc>
                <w:tcPr>
                  <w:tcW w:w="808" w:type="pct"/>
                  <w:tcBorders>
                    <w:bottom w:val="single" w:color="auto" w:sz="12" w:space="0"/>
                  </w:tcBorders>
                  <w:noWrap w:val="0"/>
                  <w:vAlign w:val="center"/>
                </w:tcPr>
                <w:p w14:paraId="01B0737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eastAsia="zh-CN"/>
                    </w:rPr>
                    <w:t>达标</w:t>
                  </w:r>
                </w:p>
              </w:tc>
              <w:tc>
                <w:tcPr>
                  <w:tcW w:w="953" w:type="pct"/>
                  <w:tcBorders>
                    <w:bottom w:val="single" w:color="auto" w:sz="12" w:space="0"/>
                  </w:tcBorders>
                  <w:noWrap w:val="0"/>
                  <w:vAlign w:val="center"/>
                </w:tcPr>
                <w:p w14:paraId="03279A0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bl>
          <w:p w14:paraId="37A5D856">
            <w:pPr>
              <w:spacing w:line="360" w:lineRule="auto"/>
              <w:ind w:firstLine="480" w:firstLineChars="200"/>
              <w:rPr>
                <w:rFonts w:ascii="Times New Roman" w:hAnsi="Times New Roman" w:eastAsia="宋体" w:cs="Times New Roman"/>
                <w:bCs/>
                <w:color w:val="auto"/>
                <w:sz w:val="24"/>
                <w:highlight w:val="none"/>
              </w:rPr>
            </w:pPr>
            <w:r>
              <w:rPr>
                <w:rFonts w:hint="default" w:ascii="Times New Roman" w:hAnsi="Times New Roman" w:eastAsia="宋体" w:cs="Times New Roman"/>
                <w:snapToGrid w:val="0"/>
                <w:color w:val="auto"/>
                <w:kern w:val="0"/>
                <w:sz w:val="24"/>
                <w:szCs w:val="24"/>
                <w:highlight w:val="none"/>
                <w:u w:val="none"/>
                <w:lang w:val="en-US" w:eastAsia="zh-CN" w:bidi="ar-SA"/>
              </w:rPr>
              <w:t>监测结果表明：星子断面</w:t>
            </w:r>
            <w:r>
              <w:rPr>
                <w:rFonts w:hint="eastAsia" w:ascii="Times New Roman" w:hAnsi="Times New Roman" w:eastAsia="宋体" w:cs="Times New Roman"/>
                <w:snapToGrid w:val="0"/>
                <w:color w:val="auto"/>
                <w:kern w:val="0"/>
                <w:sz w:val="24"/>
                <w:szCs w:val="24"/>
                <w:highlight w:val="none"/>
                <w:u w:val="none"/>
                <w:lang w:val="en-US" w:eastAsia="zh-CN" w:bidi="ar-SA"/>
              </w:rPr>
              <w:t>3月、4月、5月</w:t>
            </w:r>
            <w:r>
              <w:rPr>
                <w:rFonts w:hint="default" w:ascii="Times New Roman" w:hAnsi="Times New Roman" w:eastAsia="宋体" w:cs="Times New Roman"/>
                <w:snapToGrid w:val="0"/>
                <w:color w:val="auto"/>
                <w:kern w:val="0"/>
                <w:sz w:val="24"/>
                <w:szCs w:val="24"/>
                <w:highlight w:val="none"/>
                <w:u w:val="none"/>
                <w:lang w:val="en-US" w:eastAsia="zh-CN" w:bidi="ar-SA"/>
              </w:rPr>
              <w:t>TP指标超过《地表水环境质量标准》Ⅲ类水水质标准；其余</w:t>
            </w:r>
            <w:r>
              <w:rPr>
                <w:rFonts w:hint="eastAsia" w:ascii="Times New Roman" w:hAnsi="Times New Roman" w:eastAsia="宋体" w:cs="Times New Roman"/>
                <w:snapToGrid w:val="0"/>
                <w:color w:val="auto"/>
                <w:kern w:val="0"/>
                <w:sz w:val="24"/>
                <w:szCs w:val="24"/>
                <w:highlight w:val="none"/>
                <w:u w:val="none"/>
                <w:lang w:val="en-US" w:eastAsia="zh-CN" w:bidi="ar-SA"/>
              </w:rPr>
              <w:t>时间段</w:t>
            </w:r>
            <w:r>
              <w:rPr>
                <w:rFonts w:hint="default" w:ascii="Times New Roman" w:hAnsi="Times New Roman" w:eastAsia="宋体" w:cs="Times New Roman"/>
                <w:snapToGrid w:val="0"/>
                <w:color w:val="auto"/>
                <w:kern w:val="0"/>
                <w:sz w:val="24"/>
                <w:szCs w:val="24"/>
                <w:highlight w:val="none"/>
                <w:u w:val="none"/>
                <w:lang w:val="en-US" w:eastAsia="zh-CN" w:bidi="ar-SA"/>
              </w:rPr>
              <w:t>水质指标均能满足《地表水环境质量标准》Ⅲ类水水质标准。环鄱阳湖地区，人口相对密集，生产、生活污染负荷重，加上滨湖区流程短，水体自净作用相对较弱，其输入的总磷直接进入湖体，加重湖体总磷浓度升高。</w:t>
            </w:r>
          </w:p>
          <w:p w14:paraId="65E5F32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GB" w:eastAsia="zh-CN"/>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GB" w:eastAsia="zh-CN"/>
              </w:rPr>
              <w:t>、声环境质量现状</w:t>
            </w:r>
          </w:p>
          <w:p w14:paraId="3CDCBC9C">
            <w:pPr>
              <w:pStyle w:val="10"/>
              <w:keepNext w:val="0"/>
              <w:keepLines w:val="0"/>
              <w:pageBreakBefore w:val="0"/>
              <w:kinsoku/>
              <w:wordWrap/>
              <w:overflowPunct/>
              <w:topLinePunct w:val="0"/>
              <w:autoSpaceDE/>
              <w:autoSpaceDN/>
              <w:bidi w:val="0"/>
              <w:spacing w:before="0" w:after="0" w:line="360" w:lineRule="auto"/>
              <w:ind w:right="0" w:firstLine="48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根据现场踏勘，项目厂界外50m范围内不存在声环境保护目标，不进行声环境质量现状监测</w:t>
            </w:r>
            <w:r>
              <w:rPr>
                <w:rFonts w:hint="eastAsia" w:cs="Times New Roman"/>
                <w:color w:val="auto"/>
                <w:kern w:val="0"/>
                <w:sz w:val="24"/>
                <w:szCs w:val="24"/>
                <w:lang w:val="en-US" w:eastAsia="zh-CN" w:bidi="ar-SA"/>
              </w:rPr>
              <w:t>。</w:t>
            </w:r>
          </w:p>
          <w:p w14:paraId="42E5FEF3">
            <w:pPr>
              <w:pStyle w:val="10"/>
              <w:keepNext w:val="0"/>
              <w:keepLines w:val="0"/>
              <w:pageBreakBefore w:val="0"/>
              <w:widowControl/>
              <w:kinsoku/>
              <w:wordWrap/>
              <w:overflowPunct/>
              <w:topLinePunct w:val="0"/>
              <w:autoSpaceDE/>
              <w:autoSpaceDN/>
              <w:bidi w:val="0"/>
              <w:adjustRightInd/>
              <w:snapToGrid w:val="0"/>
              <w:spacing w:before="0" w:after="0" w:line="360" w:lineRule="auto"/>
              <w:ind w:right="0" w:firstLine="482"/>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eastAsia="zh-CN"/>
              </w:rPr>
              <w:t>、地下水、土壤环境现状</w:t>
            </w:r>
          </w:p>
          <w:p w14:paraId="42B39AB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480" w:firstLineChars="200"/>
              <w:jc w:val="left"/>
              <w:textAlignment w:val="auto"/>
              <w:rPr>
                <w:rFonts w:hint="default" w:ascii="Times New Roman" w:hAnsi="Times New Roman" w:eastAsia="宋体" w:cs="Times New Roman"/>
                <w:b/>
                <w:snapToGrid w:val="0"/>
                <w:color w:val="auto"/>
                <w:spacing w:val="4"/>
                <w:kern w:val="0"/>
                <w:sz w:val="24"/>
                <w:szCs w:val="24"/>
                <w:lang w:val="en-US" w:eastAsia="zh-CN" w:bidi="ar-SA"/>
              </w:rPr>
            </w:pPr>
            <w:r>
              <w:rPr>
                <w:rFonts w:hint="default" w:ascii="Times New Roman" w:hAnsi="Times New Roman" w:eastAsia="宋体" w:cs="Times New Roman"/>
                <w:color w:val="auto"/>
                <w:kern w:val="0"/>
                <w:sz w:val="24"/>
                <w:szCs w:val="24"/>
                <w:lang w:val="en-US" w:eastAsia="zh-CN"/>
              </w:rPr>
              <w:t>项目</w:t>
            </w:r>
            <w:r>
              <w:rPr>
                <w:rFonts w:hint="eastAsia" w:ascii="Times New Roman" w:hAnsi="Times New Roman" w:eastAsia="宋体" w:cs="Times New Roman"/>
                <w:color w:val="auto"/>
                <w:kern w:val="0"/>
                <w:sz w:val="24"/>
                <w:szCs w:val="24"/>
                <w:lang w:val="en-US" w:eastAsia="zh-CN"/>
              </w:rPr>
              <w:t>位于江西省九江市庐山市工业园金鹿科技园内</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kern w:val="0"/>
                <w:sz w:val="24"/>
                <w:szCs w:val="24"/>
                <w:lang w:val="en-US" w:eastAsia="zh-CN"/>
              </w:rPr>
              <w:t>厂界外500米范围内无地下水集中式饮用水水源和热水、矿泉水、温泉等特殊地下水资源。本项目生活污水</w:t>
            </w:r>
            <w:r>
              <w:rPr>
                <w:rFonts w:hint="eastAsia" w:cs="Times New Roman"/>
                <w:color w:val="auto"/>
                <w:kern w:val="0"/>
                <w:sz w:val="24"/>
                <w:szCs w:val="24"/>
                <w:lang w:val="en-US" w:eastAsia="zh-CN"/>
              </w:rPr>
              <w:t>及设备清洗废水</w:t>
            </w:r>
            <w:r>
              <w:rPr>
                <w:rFonts w:hint="eastAsia" w:ascii="Times New Roman" w:hAnsi="Times New Roman" w:eastAsia="宋体" w:cs="Times New Roman"/>
                <w:color w:val="auto"/>
                <w:kern w:val="0"/>
                <w:sz w:val="24"/>
                <w:szCs w:val="24"/>
                <w:lang w:val="en-US" w:eastAsia="zh-CN"/>
              </w:rPr>
              <w:t>化粪池处理后</w:t>
            </w:r>
            <w:r>
              <w:rPr>
                <w:rFonts w:hint="eastAsia" w:cs="Times New Roman"/>
                <w:color w:val="auto"/>
                <w:kern w:val="0"/>
                <w:sz w:val="24"/>
                <w:szCs w:val="24"/>
                <w:lang w:val="en-US" w:eastAsia="zh-CN"/>
              </w:rPr>
              <w:t>与浓水一起</w:t>
            </w:r>
            <w:r>
              <w:rPr>
                <w:rFonts w:hint="eastAsia" w:ascii="Times New Roman" w:hAnsi="Times New Roman" w:eastAsia="宋体" w:cs="Times New Roman"/>
                <w:color w:val="auto"/>
                <w:kern w:val="0"/>
                <w:sz w:val="24"/>
                <w:szCs w:val="24"/>
                <w:lang w:val="en-US" w:eastAsia="zh-CN"/>
              </w:rPr>
              <w:t>进入园区污水管网，在正常运营情况下，不存在污染土壤及地下水环境的途径，故不开展地下水、土壤环境现状调查。</w:t>
            </w:r>
          </w:p>
          <w:p w14:paraId="7D64851E">
            <w:pPr>
              <w:pStyle w:val="10"/>
              <w:keepNext w:val="0"/>
              <w:keepLines w:val="0"/>
              <w:pageBreakBefore w:val="0"/>
              <w:kinsoku/>
              <w:wordWrap/>
              <w:overflowPunct/>
              <w:topLinePunct w:val="0"/>
              <w:autoSpaceDE/>
              <w:autoSpaceDN/>
              <w:bidi w:val="0"/>
              <w:spacing w:before="0" w:after="0" w:line="360" w:lineRule="auto"/>
              <w:ind w:right="0" w:firstLine="48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、生态环境</w:t>
            </w:r>
            <w:r>
              <w:rPr>
                <w:rFonts w:hint="default" w:ascii="Times New Roman" w:hAnsi="Times New Roman" w:eastAsia="宋体" w:cs="Times New Roman"/>
                <w:b/>
                <w:bCs/>
                <w:color w:val="auto"/>
                <w:sz w:val="24"/>
                <w:szCs w:val="24"/>
                <w:lang w:val="en-GB" w:eastAsia="zh-CN"/>
              </w:rPr>
              <w:t>质量现状</w:t>
            </w:r>
          </w:p>
          <w:p w14:paraId="7FABE388">
            <w:pPr>
              <w:keepNext w:val="0"/>
              <w:keepLines w:val="0"/>
              <w:pageBreakBefore w:val="0"/>
              <w:kinsoku/>
              <w:wordWrap/>
              <w:overflowPunct/>
              <w:topLinePunct w:val="0"/>
              <w:autoSpaceDE/>
              <w:autoSpaceDN/>
              <w:bidi w:val="0"/>
              <w:spacing w:line="360" w:lineRule="auto"/>
              <w:ind w:right="0" w:firstLine="480" w:firstLineChars="200"/>
              <w:textAlignment w:val="auto"/>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 w:val="24"/>
                <w:szCs w:val="24"/>
                <w:lang w:val="en-US" w:eastAsia="zh-CN" w:bidi="ar-SA"/>
              </w:rPr>
              <w:t>项目所在</w:t>
            </w:r>
            <w:r>
              <w:rPr>
                <w:rFonts w:hint="eastAsia" w:cs="Times New Roman"/>
                <w:color w:val="auto"/>
                <w:kern w:val="0"/>
                <w:sz w:val="24"/>
                <w:szCs w:val="24"/>
                <w:lang w:val="en-US" w:eastAsia="zh-CN"/>
              </w:rPr>
              <w:t>地为江西省九江市庐山市工业园金鹿科技园内</w:t>
            </w:r>
            <w:r>
              <w:rPr>
                <w:rFonts w:hint="eastAsia" w:ascii="Times New Roman" w:hAnsi="Times New Roman" w:eastAsia="宋体" w:cs="Times New Roman"/>
                <w:color w:val="auto"/>
                <w:kern w:val="0"/>
                <w:sz w:val="24"/>
                <w:szCs w:val="24"/>
                <w:lang w:val="en-US" w:eastAsia="zh-CN" w:bidi="ar-SA"/>
              </w:rPr>
              <w:t>，周边无生态环境保护目标</w:t>
            </w:r>
            <w:r>
              <w:rPr>
                <w:rFonts w:hint="default" w:ascii="Times New Roman" w:hAnsi="Times New Roman" w:eastAsia="宋体" w:cs="Times New Roman"/>
                <w:color w:val="auto"/>
                <w:kern w:val="0"/>
                <w:sz w:val="24"/>
                <w:szCs w:val="24"/>
                <w:lang w:val="en-US" w:eastAsia="zh-CN" w:bidi="ar-SA"/>
              </w:rPr>
              <w:t>。</w:t>
            </w:r>
          </w:p>
        </w:tc>
      </w:tr>
      <w:tr w14:paraId="0DB459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14:paraId="7DF23F9B">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19491DEA">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保护</w:t>
            </w:r>
          </w:p>
          <w:p w14:paraId="5C2FABC2">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190" w:type="dxa"/>
            <w:noWrap w:val="0"/>
            <w:vAlign w:val="center"/>
          </w:tcPr>
          <w:p w14:paraId="1E727C3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1、环境保护目标</w:t>
            </w:r>
          </w:p>
          <w:p w14:paraId="295A05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en-US"/>
              </w:rPr>
            </w:pPr>
            <w:r>
              <w:rPr>
                <w:rFonts w:hint="default" w:ascii="Times New Roman" w:hAnsi="Times New Roman" w:cs="Times New Roman"/>
                <w:color w:val="auto"/>
                <w:kern w:val="0"/>
                <w:sz w:val="24"/>
                <w:szCs w:val="24"/>
                <w:lang w:val="en-US" w:eastAsia="zh-CN"/>
              </w:rPr>
              <w:t>本</w:t>
            </w:r>
            <w:r>
              <w:rPr>
                <w:rFonts w:hint="default" w:ascii="Times New Roman" w:hAnsi="Times New Roman" w:cs="Times New Roman"/>
                <w:color w:val="auto"/>
                <w:sz w:val="24"/>
                <w:szCs w:val="24"/>
                <w:lang w:eastAsia="zh-CN"/>
              </w:rPr>
              <w:t>项目位</w:t>
            </w:r>
            <w:r>
              <w:rPr>
                <w:rFonts w:hint="default" w:ascii="Times New Roman" w:hAnsi="Times New Roman" w:eastAsia="宋体" w:cs="Times New Roman"/>
                <w:color w:val="auto"/>
                <w:sz w:val="24"/>
                <w:szCs w:val="24"/>
                <w:lang w:eastAsia="zh-CN"/>
              </w:rPr>
              <w:t>于</w:t>
            </w:r>
            <w:r>
              <w:rPr>
                <w:rFonts w:hint="eastAsia" w:ascii="Times New Roman" w:hAnsi="Times New Roman" w:eastAsia="宋体" w:cs="Times New Roman"/>
                <w:color w:val="auto"/>
                <w:sz w:val="24"/>
                <w:szCs w:val="24"/>
                <w:lang w:val="en-US" w:eastAsia="zh-CN"/>
              </w:rPr>
              <w:t>江西省九江市庐山市工业园金鹿科技园</w:t>
            </w:r>
            <w:r>
              <w:rPr>
                <w:rFonts w:hint="eastAsia" w:ascii="Times New Roman" w:hAnsi="Times New Roman" w:eastAsia="宋体" w:cs="Times New Roman"/>
                <w:color w:val="auto"/>
                <w:sz w:val="24"/>
                <w:szCs w:val="24"/>
                <w:lang w:eastAsia="zh-CN"/>
              </w:rPr>
              <w:t>内</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中心地理坐标</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lang w:eastAsia="zh-CN"/>
              </w:rPr>
              <w:t>东经11</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59.807</w:t>
            </w:r>
            <w:r>
              <w:rPr>
                <w:rFonts w:hint="default" w:ascii="Times New Roman" w:hAnsi="Times New Roman" w:eastAsia="宋体" w:cs="Times New Roman"/>
                <w:color w:val="auto"/>
                <w:sz w:val="24"/>
                <w:szCs w:val="24"/>
                <w:lang w:eastAsia="zh-CN"/>
              </w:rPr>
              <w:t>″，北纬2</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lang w:eastAsia="zh-CN"/>
              </w:rPr>
              <w:t>′</w:t>
            </w:r>
            <w:r>
              <w:rPr>
                <w:rFonts w:hint="eastAsia" w:ascii="Times New Roman" w:hAnsi="Times New Roman" w:cs="Times New Roman"/>
                <w:color w:val="auto"/>
                <w:sz w:val="24"/>
                <w:szCs w:val="24"/>
                <w:lang w:val="en-US" w:eastAsia="zh-CN"/>
              </w:rPr>
              <w:t>26.712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0"/>
                <w:sz w:val="24"/>
                <w:szCs w:val="24"/>
                <w:lang w:eastAsia="zh-CN"/>
              </w:rPr>
              <w:t>，根据现场踏勘，</w:t>
            </w:r>
            <w:r>
              <w:rPr>
                <w:rFonts w:hint="default" w:ascii="Times New Roman" w:hAnsi="Times New Roman" w:eastAsia="宋体" w:cs="Times New Roman"/>
                <w:color w:val="auto"/>
                <w:kern w:val="0"/>
                <w:sz w:val="24"/>
                <w:szCs w:val="24"/>
                <w:lang w:val="en-US" w:eastAsia="zh-CN"/>
              </w:rPr>
              <w:t>大气环境500米范围内无自然保护区、风景名胜区等特殊保护区；声环境厂界外50米范围内</w:t>
            </w:r>
            <w:r>
              <w:rPr>
                <w:rFonts w:hint="default" w:ascii="Times New Roman" w:hAnsi="Times New Roman" w:cs="Times New Roman"/>
                <w:color w:val="auto"/>
                <w:kern w:val="0"/>
                <w:sz w:val="24"/>
                <w:szCs w:val="24"/>
                <w:lang w:val="en-US" w:eastAsia="zh-CN"/>
              </w:rPr>
              <w:t>无</w:t>
            </w:r>
            <w:r>
              <w:rPr>
                <w:rFonts w:hint="default" w:ascii="Times New Roman" w:hAnsi="Times New Roman" w:eastAsia="宋体" w:cs="Times New Roman"/>
                <w:color w:val="auto"/>
                <w:kern w:val="0"/>
                <w:sz w:val="24"/>
                <w:szCs w:val="24"/>
                <w:lang w:val="en-US" w:eastAsia="zh-CN"/>
              </w:rPr>
              <w:t>声环境保护目标；地下水环境厂界外500米范围内无地下水集中式饮用水水源和热水、矿泉水、温泉等特殊地下水资源。</w:t>
            </w:r>
            <w:r>
              <w:rPr>
                <w:rFonts w:hint="default" w:ascii="Times New Roman" w:hAnsi="Times New Roman" w:eastAsia="宋体" w:cs="Times New Roman"/>
                <w:color w:val="auto"/>
                <w:kern w:val="0"/>
                <w:sz w:val="24"/>
                <w:szCs w:val="24"/>
                <w:lang w:eastAsia="zh-CN"/>
              </w:rPr>
              <w:t>本项目主要</w:t>
            </w:r>
            <w:r>
              <w:rPr>
                <w:rFonts w:hint="default" w:ascii="Times New Roman" w:hAnsi="Times New Roman" w:cs="Times New Roman"/>
                <w:color w:val="auto"/>
                <w:kern w:val="0"/>
                <w:sz w:val="24"/>
                <w:szCs w:val="24"/>
                <w:lang w:val="en-US" w:eastAsia="zh-CN"/>
              </w:rPr>
              <w:t>环境</w:t>
            </w:r>
            <w:r>
              <w:rPr>
                <w:rFonts w:hint="default" w:ascii="Times New Roman" w:hAnsi="Times New Roman" w:eastAsia="宋体" w:cs="Times New Roman"/>
                <w:color w:val="auto"/>
                <w:kern w:val="0"/>
                <w:sz w:val="24"/>
                <w:szCs w:val="24"/>
                <w:lang w:eastAsia="zh-CN"/>
              </w:rPr>
              <w:t>保护目标见表3-</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w:t>
            </w:r>
          </w:p>
          <w:p w14:paraId="3E189685">
            <w:pPr>
              <w:pStyle w:val="65"/>
              <w:bidi w:val="0"/>
              <w:rPr>
                <w:rFonts w:hint="eastAsia" w:eastAsia="宋体"/>
                <w:color w:val="auto"/>
                <w:sz w:val="21"/>
                <w:szCs w:val="21"/>
                <w:lang w:eastAsia="zh-CN"/>
              </w:rPr>
            </w:pPr>
            <w:r>
              <w:rPr>
                <w:rFonts w:hint="default"/>
                <w:color w:val="auto"/>
                <w:sz w:val="21"/>
                <w:szCs w:val="21"/>
              </w:rPr>
              <w:t>表3</w:t>
            </w:r>
            <w:r>
              <w:rPr>
                <w:rFonts w:hint="eastAsia"/>
                <w:color w:val="auto"/>
                <w:sz w:val="21"/>
                <w:szCs w:val="21"/>
                <w:lang w:val="en-US" w:eastAsia="zh-CN"/>
              </w:rPr>
              <w:t xml:space="preserve">-4  </w:t>
            </w:r>
            <w:r>
              <w:rPr>
                <w:rFonts w:hint="default"/>
                <w:color w:val="auto"/>
                <w:sz w:val="21"/>
                <w:szCs w:val="21"/>
              </w:rPr>
              <w:t>环境保护目标一览表</w:t>
            </w:r>
          </w:p>
          <w:tbl>
            <w:tblPr>
              <w:tblStyle w:val="24"/>
              <w:tblW w:w="79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627"/>
              <w:gridCol w:w="878"/>
              <w:gridCol w:w="622"/>
              <w:gridCol w:w="574"/>
              <w:gridCol w:w="1270"/>
              <w:gridCol w:w="1077"/>
              <w:gridCol w:w="1648"/>
              <w:gridCol w:w="626"/>
              <w:gridCol w:w="675"/>
            </w:tblGrid>
            <w:tr w14:paraId="3D1F1E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69" w:hRule="atLeast"/>
                <w:jc w:val="center"/>
              </w:trPr>
              <w:tc>
                <w:tcPr>
                  <w:tcW w:w="627" w:type="dxa"/>
                  <w:vMerge w:val="restart"/>
                  <w:tcBorders>
                    <w:tl2br w:val="nil"/>
                    <w:tr2bl w:val="nil"/>
                  </w:tcBorders>
                  <w:noWrap w:val="0"/>
                  <w:vAlign w:val="center"/>
                </w:tcPr>
                <w:p w14:paraId="25748205">
                  <w:pPr>
                    <w:widowControl/>
                    <w:jc w:val="center"/>
                    <w:textAlignment w:val="center"/>
                    <w:rPr>
                      <w:rFonts w:hint="default" w:ascii="Times New Roman" w:hAnsi="Times New Roman" w:cs="Times New Roman"/>
                      <w:b/>
                      <w:bCs/>
                      <w:color w:val="auto"/>
                      <w:kern w:val="0"/>
                      <w:szCs w:val="21"/>
                      <w:lang w:bidi="ar"/>
                    </w:rPr>
                  </w:pPr>
                  <w:r>
                    <w:rPr>
                      <w:rFonts w:hint="default" w:ascii="Times New Roman" w:hAnsi="Times New Roman" w:cs="Times New Roman"/>
                      <w:b/>
                      <w:bCs/>
                      <w:color w:val="auto"/>
                      <w:kern w:val="0"/>
                      <w:szCs w:val="21"/>
                      <w:lang w:bidi="ar"/>
                    </w:rPr>
                    <w:t>环境</w:t>
                  </w:r>
                </w:p>
                <w:p w14:paraId="6F033238">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要素</w:t>
                  </w:r>
                </w:p>
              </w:tc>
              <w:tc>
                <w:tcPr>
                  <w:tcW w:w="878" w:type="dxa"/>
                  <w:vMerge w:val="restart"/>
                  <w:tcBorders>
                    <w:tl2br w:val="nil"/>
                    <w:tr2bl w:val="nil"/>
                  </w:tcBorders>
                  <w:noWrap w:val="0"/>
                  <w:vAlign w:val="center"/>
                </w:tcPr>
                <w:p w14:paraId="609F1162">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名称</w:t>
                  </w:r>
                </w:p>
              </w:tc>
              <w:tc>
                <w:tcPr>
                  <w:tcW w:w="1196" w:type="dxa"/>
                  <w:gridSpan w:val="2"/>
                  <w:tcBorders>
                    <w:tl2br w:val="nil"/>
                    <w:tr2bl w:val="nil"/>
                  </w:tcBorders>
                  <w:noWrap w:val="0"/>
                  <w:vAlign w:val="center"/>
                </w:tcPr>
                <w:p w14:paraId="0EA7E89A">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坐标</w:t>
                  </w:r>
                  <w:r>
                    <w:rPr>
                      <w:rStyle w:val="69"/>
                      <w:rFonts w:hint="default" w:ascii="Times New Roman" w:hAnsi="Times New Roman" w:cs="Times New Roman"/>
                      <w:b/>
                      <w:bCs/>
                      <w:color w:val="auto"/>
                      <w:sz w:val="21"/>
                      <w:szCs w:val="21"/>
                      <w:lang w:bidi="ar"/>
                    </w:rPr>
                    <w:t>①</w:t>
                  </w:r>
                  <w:r>
                    <w:rPr>
                      <w:rFonts w:hint="default" w:ascii="Times New Roman" w:hAnsi="Times New Roman" w:cs="Times New Roman"/>
                      <w:b/>
                      <w:bCs/>
                      <w:color w:val="auto"/>
                      <w:kern w:val="0"/>
                      <w:szCs w:val="21"/>
                      <w:lang w:bidi="ar"/>
                    </w:rPr>
                    <w:t>/m</w:t>
                  </w:r>
                </w:p>
              </w:tc>
              <w:tc>
                <w:tcPr>
                  <w:tcW w:w="1270" w:type="dxa"/>
                  <w:vMerge w:val="restart"/>
                  <w:tcBorders>
                    <w:tl2br w:val="nil"/>
                    <w:tr2bl w:val="nil"/>
                  </w:tcBorders>
                  <w:noWrap w:val="0"/>
                  <w:vAlign w:val="center"/>
                </w:tcPr>
                <w:p w14:paraId="1E85E6D2">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保护对象</w:t>
                  </w:r>
                </w:p>
              </w:tc>
              <w:tc>
                <w:tcPr>
                  <w:tcW w:w="1077" w:type="dxa"/>
                  <w:vMerge w:val="restart"/>
                  <w:tcBorders>
                    <w:tl2br w:val="nil"/>
                    <w:tr2bl w:val="nil"/>
                  </w:tcBorders>
                  <w:noWrap w:val="0"/>
                  <w:vAlign w:val="center"/>
                </w:tcPr>
                <w:p w14:paraId="00CCC75F">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规模</w:t>
                  </w:r>
                </w:p>
              </w:tc>
              <w:tc>
                <w:tcPr>
                  <w:tcW w:w="1648" w:type="dxa"/>
                  <w:vMerge w:val="restart"/>
                  <w:tcBorders>
                    <w:tl2br w:val="nil"/>
                    <w:tr2bl w:val="nil"/>
                  </w:tcBorders>
                  <w:noWrap w:val="0"/>
                  <w:vAlign w:val="center"/>
                </w:tcPr>
                <w:p w14:paraId="31CDB92B">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环境功能区</w:t>
                  </w:r>
                </w:p>
              </w:tc>
              <w:tc>
                <w:tcPr>
                  <w:tcW w:w="626" w:type="dxa"/>
                  <w:vMerge w:val="restart"/>
                  <w:tcBorders>
                    <w:tl2br w:val="nil"/>
                    <w:tr2bl w:val="nil"/>
                  </w:tcBorders>
                  <w:noWrap w:val="0"/>
                  <w:vAlign w:val="center"/>
                </w:tcPr>
                <w:p w14:paraId="7BD178B8">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相对厂址方位</w:t>
                  </w:r>
                </w:p>
              </w:tc>
              <w:tc>
                <w:tcPr>
                  <w:tcW w:w="675" w:type="dxa"/>
                  <w:vMerge w:val="restart"/>
                  <w:tcBorders>
                    <w:tl2br w:val="nil"/>
                    <w:tr2bl w:val="nil"/>
                  </w:tcBorders>
                  <w:noWrap w:val="0"/>
                  <w:vAlign w:val="center"/>
                </w:tcPr>
                <w:p w14:paraId="414E43AF">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相对厂界距离/m</w:t>
                  </w:r>
                </w:p>
              </w:tc>
            </w:tr>
            <w:tr w14:paraId="34F9CC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40" w:hRule="atLeast"/>
                <w:jc w:val="center"/>
              </w:trPr>
              <w:tc>
                <w:tcPr>
                  <w:tcW w:w="627" w:type="dxa"/>
                  <w:vMerge w:val="continue"/>
                  <w:tcBorders>
                    <w:tl2br w:val="nil"/>
                    <w:tr2bl w:val="nil"/>
                  </w:tcBorders>
                  <w:noWrap w:val="0"/>
                  <w:vAlign w:val="center"/>
                </w:tcPr>
                <w:p w14:paraId="63D67F24">
                  <w:pPr>
                    <w:widowControl/>
                    <w:jc w:val="center"/>
                    <w:rPr>
                      <w:rFonts w:hint="default" w:ascii="Times New Roman" w:hAnsi="Times New Roman" w:cs="Times New Roman"/>
                      <w:color w:val="auto"/>
                      <w:szCs w:val="21"/>
                    </w:rPr>
                  </w:pPr>
                </w:p>
              </w:tc>
              <w:tc>
                <w:tcPr>
                  <w:tcW w:w="878" w:type="dxa"/>
                  <w:vMerge w:val="continue"/>
                  <w:tcBorders>
                    <w:tl2br w:val="nil"/>
                    <w:tr2bl w:val="nil"/>
                  </w:tcBorders>
                  <w:noWrap w:val="0"/>
                  <w:vAlign w:val="center"/>
                </w:tcPr>
                <w:p w14:paraId="71FD1283">
                  <w:pPr>
                    <w:widowControl/>
                    <w:jc w:val="center"/>
                    <w:rPr>
                      <w:rFonts w:hint="default" w:ascii="Times New Roman" w:hAnsi="Times New Roman" w:cs="Times New Roman"/>
                      <w:color w:val="auto"/>
                      <w:szCs w:val="21"/>
                    </w:rPr>
                  </w:pPr>
                </w:p>
              </w:tc>
              <w:tc>
                <w:tcPr>
                  <w:tcW w:w="622" w:type="dxa"/>
                  <w:tcBorders>
                    <w:tl2br w:val="nil"/>
                    <w:tr2bl w:val="nil"/>
                  </w:tcBorders>
                  <w:noWrap w:val="0"/>
                  <w:vAlign w:val="center"/>
                </w:tcPr>
                <w:p w14:paraId="6206E1EE">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X</w:t>
                  </w:r>
                </w:p>
              </w:tc>
              <w:tc>
                <w:tcPr>
                  <w:tcW w:w="574" w:type="dxa"/>
                  <w:tcBorders>
                    <w:tl2br w:val="nil"/>
                    <w:tr2bl w:val="nil"/>
                  </w:tcBorders>
                  <w:noWrap w:val="0"/>
                  <w:vAlign w:val="center"/>
                </w:tcPr>
                <w:p w14:paraId="7E73EDEC">
                  <w:pPr>
                    <w:widowControl/>
                    <w:jc w:val="center"/>
                    <w:textAlignment w:val="center"/>
                    <w:rPr>
                      <w:rFonts w:hint="default" w:ascii="Times New Roman" w:hAnsi="Times New Roman" w:cs="Times New Roman"/>
                      <w:b/>
                      <w:bCs/>
                      <w:color w:val="auto"/>
                      <w:szCs w:val="21"/>
                    </w:rPr>
                  </w:pPr>
                  <w:r>
                    <w:rPr>
                      <w:rFonts w:hint="default" w:ascii="Times New Roman" w:hAnsi="Times New Roman" w:cs="Times New Roman"/>
                      <w:b/>
                      <w:bCs/>
                      <w:color w:val="auto"/>
                      <w:kern w:val="0"/>
                      <w:szCs w:val="21"/>
                      <w:lang w:bidi="ar"/>
                    </w:rPr>
                    <w:t>Y</w:t>
                  </w:r>
                </w:p>
              </w:tc>
              <w:tc>
                <w:tcPr>
                  <w:tcW w:w="1270" w:type="dxa"/>
                  <w:vMerge w:val="continue"/>
                  <w:tcBorders>
                    <w:tl2br w:val="nil"/>
                    <w:tr2bl w:val="nil"/>
                  </w:tcBorders>
                  <w:noWrap w:val="0"/>
                  <w:vAlign w:val="center"/>
                </w:tcPr>
                <w:p w14:paraId="4E2F36AC">
                  <w:pPr>
                    <w:widowControl/>
                    <w:jc w:val="center"/>
                    <w:rPr>
                      <w:rFonts w:hint="default" w:ascii="Times New Roman" w:hAnsi="Times New Roman" w:cs="Times New Roman"/>
                      <w:color w:val="auto"/>
                      <w:szCs w:val="21"/>
                    </w:rPr>
                  </w:pPr>
                </w:p>
              </w:tc>
              <w:tc>
                <w:tcPr>
                  <w:tcW w:w="1077" w:type="dxa"/>
                  <w:vMerge w:val="continue"/>
                  <w:tcBorders>
                    <w:tl2br w:val="nil"/>
                    <w:tr2bl w:val="nil"/>
                  </w:tcBorders>
                  <w:noWrap w:val="0"/>
                  <w:vAlign w:val="center"/>
                </w:tcPr>
                <w:p w14:paraId="3519F992">
                  <w:pPr>
                    <w:widowControl/>
                    <w:jc w:val="center"/>
                    <w:rPr>
                      <w:rFonts w:hint="default" w:ascii="Times New Roman" w:hAnsi="Times New Roman" w:cs="Times New Roman"/>
                      <w:color w:val="auto"/>
                      <w:szCs w:val="21"/>
                    </w:rPr>
                  </w:pPr>
                </w:p>
              </w:tc>
              <w:tc>
                <w:tcPr>
                  <w:tcW w:w="1648" w:type="dxa"/>
                  <w:vMerge w:val="continue"/>
                  <w:tcBorders>
                    <w:tl2br w:val="nil"/>
                    <w:tr2bl w:val="nil"/>
                  </w:tcBorders>
                  <w:noWrap w:val="0"/>
                  <w:vAlign w:val="center"/>
                </w:tcPr>
                <w:p w14:paraId="191E475F">
                  <w:pPr>
                    <w:widowControl/>
                    <w:jc w:val="center"/>
                    <w:rPr>
                      <w:rFonts w:hint="default" w:ascii="Times New Roman" w:hAnsi="Times New Roman" w:cs="Times New Roman"/>
                      <w:color w:val="auto"/>
                      <w:szCs w:val="21"/>
                    </w:rPr>
                  </w:pPr>
                </w:p>
              </w:tc>
              <w:tc>
                <w:tcPr>
                  <w:tcW w:w="626" w:type="dxa"/>
                  <w:vMerge w:val="continue"/>
                  <w:tcBorders>
                    <w:tl2br w:val="nil"/>
                    <w:tr2bl w:val="nil"/>
                  </w:tcBorders>
                  <w:noWrap w:val="0"/>
                  <w:vAlign w:val="center"/>
                </w:tcPr>
                <w:p w14:paraId="0FF0720B">
                  <w:pPr>
                    <w:widowControl/>
                    <w:jc w:val="center"/>
                    <w:rPr>
                      <w:rFonts w:hint="default" w:ascii="Times New Roman" w:hAnsi="Times New Roman" w:cs="Times New Roman"/>
                      <w:color w:val="auto"/>
                      <w:szCs w:val="21"/>
                    </w:rPr>
                  </w:pPr>
                </w:p>
              </w:tc>
              <w:tc>
                <w:tcPr>
                  <w:tcW w:w="675" w:type="dxa"/>
                  <w:vMerge w:val="continue"/>
                  <w:tcBorders>
                    <w:tl2br w:val="nil"/>
                    <w:tr2bl w:val="nil"/>
                  </w:tcBorders>
                  <w:noWrap w:val="0"/>
                  <w:vAlign w:val="center"/>
                </w:tcPr>
                <w:p w14:paraId="0035FE70">
                  <w:pPr>
                    <w:widowControl/>
                    <w:jc w:val="center"/>
                    <w:rPr>
                      <w:rFonts w:hint="default" w:ascii="Times New Roman" w:hAnsi="Times New Roman" w:cs="Times New Roman"/>
                      <w:color w:val="auto"/>
                      <w:szCs w:val="21"/>
                    </w:rPr>
                  </w:pPr>
                </w:p>
              </w:tc>
            </w:tr>
            <w:tr w14:paraId="2AD908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55" w:hRule="atLeast"/>
                <w:jc w:val="center"/>
              </w:trPr>
              <w:tc>
                <w:tcPr>
                  <w:tcW w:w="627" w:type="dxa"/>
                  <w:vMerge w:val="restart"/>
                  <w:tcBorders>
                    <w:tl2br w:val="nil"/>
                    <w:tr2bl w:val="nil"/>
                  </w:tcBorders>
                  <w:noWrap w:val="0"/>
                  <w:vAlign w:val="center"/>
                </w:tcPr>
                <w:p w14:paraId="6A7D138A">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大气</w:t>
                  </w:r>
                </w:p>
                <w:p w14:paraId="2059A326">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环境</w:t>
                  </w:r>
                </w:p>
              </w:tc>
              <w:tc>
                <w:tcPr>
                  <w:tcW w:w="878" w:type="dxa"/>
                  <w:tcBorders>
                    <w:tl2br w:val="nil"/>
                    <w:tr2bl w:val="nil"/>
                  </w:tcBorders>
                  <w:noWrap w:val="0"/>
                  <w:vAlign w:val="center"/>
                </w:tcPr>
                <w:p w14:paraId="1CBDA8D5">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清泉庵</w:t>
                  </w:r>
                </w:p>
              </w:tc>
              <w:tc>
                <w:tcPr>
                  <w:tcW w:w="622" w:type="dxa"/>
                  <w:tcBorders>
                    <w:tl2br w:val="nil"/>
                    <w:tr2bl w:val="nil"/>
                  </w:tcBorders>
                  <w:noWrap w:val="0"/>
                  <w:vAlign w:val="center"/>
                </w:tcPr>
                <w:p w14:paraId="7C250201">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74</w:t>
                  </w:r>
                </w:p>
              </w:tc>
              <w:tc>
                <w:tcPr>
                  <w:tcW w:w="574" w:type="dxa"/>
                  <w:tcBorders>
                    <w:tl2br w:val="nil"/>
                    <w:tr2bl w:val="nil"/>
                  </w:tcBorders>
                  <w:noWrap w:val="0"/>
                  <w:vAlign w:val="center"/>
                </w:tcPr>
                <w:p w14:paraId="14ADD566">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-77</w:t>
                  </w:r>
                </w:p>
              </w:tc>
              <w:tc>
                <w:tcPr>
                  <w:tcW w:w="1270" w:type="dxa"/>
                  <w:tcBorders>
                    <w:tl2br w:val="nil"/>
                    <w:tr2bl w:val="nil"/>
                  </w:tcBorders>
                  <w:noWrap w:val="0"/>
                  <w:vAlign w:val="center"/>
                </w:tcPr>
                <w:p w14:paraId="56041936">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村庄</w:t>
                  </w:r>
                </w:p>
              </w:tc>
              <w:tc>
                <w:tcPr>
                  <w:tcW w:w="1077" w:type="dxa"/>
                  <w:tcBorders>
                    <w:tl2br w:val="nil"/>
                    <w:tr2bl w:val="nil"/>
                  </w:tcBorders>
                  <w:noWrap w:val="0"/>
                  <w:vAlign w:val="center"/>
                </w:tcPr>
                <w:p w14:paraId="7E4FAA6D">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约</w:t>
                  </w:r>
                  <w:r>
                    <w:rPr>
                      <w:rFonts w:hint="default" w:ascii="Times New Roman" w:hAnsi="Times New Roman" w:cs="Times New Roman"/>
                      <w:color w:val="auto"/>
                      <w:szCs w:val="21"/>
                      <w:lang w:val="en-US" w:eastAsia="zh-CN"/>
                    </w:rPr>
                    <w:t>370</w:t>
                  </w:r>
                  <w:r>
                    <w:rPr>
                      <w:rFonts w:hint="default" w:ascii="Times New Roman" w:hAnsi="Times New Roman" w:cs="Times New Roman"/>
                      <w:color w:val="auto"/>
                      <w:szCs w:val="21"/>
                    </w:rPr>
                    <w:t>人</w:t>
                  </w:r>
                </w:p>
              </w:tc>
              <w:tc>
                <w:tcPr>
                  <w:tcW w:w="1648" w:type="dxa"/>
                  <w:vMerge w:val="restart"/>
                  <w:tcBorders>
                    <w:tl2br w:val="nil"/>
                    <w:tr2bl w:val="nil"/>
                  </w:tcBorders>
                  <w:noWrap w:val="0"/>
                  <w:vAlign w:val="center"/>
                </w:tcPr>
                <w:p w14:paraId="2CE25578">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GB3095-2012中二类区</w:t>
                  </w:r>
                </w:p>
              </w:tc>
              <w:tc>
                <w:tcPr>
                  <w:tcW w:w="626" w:type="dxa"/>
                  <w:tcBorders>
                    <w:tl2br w:val="nil"/>
                    <w:tr2bl w:val="nil"/>
                  </w:tcBorders>
                  <w:noWrap w:val="0"/>
                  <w:vAlign w:val="center"/>
                </w:tcPr>
                <w:p w14:paraId="5298BF28">
                  <w:pPr>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东南</w:t>
                  </w:r>
                </w:p>
              </w:tc>
              <w:tc>
                <w:tcPr>
                  <w:tcW w:w="675" w:type="dxa"/>
                  <w:tcBorders>
                    <w:tl2br w:val="nil"/>
                    <w:tr2bl w:val="nil"/>
                  </w:tcBorders>
                  <w:noWrap w:val="0"/>
                  <w:vAlign w:val="center"/>
                </w:tcPr>
                <w:p w14:paraId="7C856951">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260</w:t>
                  </w:r>
                </w:p>
              </w:tc>
            </w:tr>
            <w:tr w14:paraId="6EBC0F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7" w:hRule="atLeast"/>
                <w:jc w:val="center"/>
              </w:trPr>
              <w:tc>
                <w:tcPr>
                  <w:tcW w:w="627" w:type="dxa"/>
                  <w:vMerge w:val="continue"/>
                  <w:tcBorders>
                    <w:tl2br w:val="nil"/>
                    <w:tr2bl w:val="nil"/>
                  </w:tcBorders>
                  <w:noWrap w:val="0"/>
                  <w:vAlign w:val="center"/>
                </w:tcPr>
                <w:p w14:paraId="5E52BD2C">
                  <w:pPr>
                    <w:widowControl/>
                    <w:jc w:val="center"/>
                    <w:rPr>
                      <w:rFonts w:hint="default" w:ascii="Times New Roman" w:hAnsi="Times New Roman" w:cs="Times New Roman"/>
                      <w:color w:val="auto"/>
                      <w:szCs w:val="21"/>
                    </w:rPr>
                  </w:pPr>
                </w:p>
              </w:tc>
              <w:tc>
                <w:tcPr>
                  <w:tcW w:w="878" w:type="dxa"/>
                  <w:tcBorders>
                    <w:tl2br w:val="nil"/>
                    <w:tr2bl w:val="nil"/>
                  </w:tcBorders>
                  <w:noWrap w:val="0"/>
                  <w:vAlign w:val="center"/>
                </w:tcPr>
                <w:p w14:paraId="62E28C23">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徐家村</w:t>
                  </w:r>
                </w:p>
              </w:tc>
              <w:tc>
                <w:tcPr>
                  <w:tcW w:w="622" w:type="dxa"/>
                  <w:tcBorders>
                    <w:tl2br w:val="nil"/>
                    <w:tr2bl w:val="nil"/>
                  </w:tcBorders>
                  <w:noWrap w:val="0"/>
                  <w:vAlign w:val="center"/>
                </w:tcPr>
                <w:p w14:paraId="6AC77345">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574" w:type="dxa"/>
                  <w:tcBorders>
                    <w:tl2br w:val="nil"/>
                    <w:tr2bl w:val="nil"/>
                  </w:tcBorders>
                  <w:noWrap w:val="0"/>
                  <w:vAlign w:val="center"/>
                </w:tcPr>
                <w:p w14:paraId="06E6E0E1">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302</w:t>
                  </w:r>
                </w:p>
              </w:tc>
              <w:tc>
                <w:tcPr>
                  <w:tcW w:w="1270" w:type="dxa"/>
                  <w:tcBorders>
                    <w:tl2br w:val="nil"/>
                    <w:tr2bl w:val="nil"/>
                  </w:tcBorders>
                  <w:noWrap w:val="0"/>
                  <w:vAlign w:val="center"/>
                </w:tcPr>
                <w:p w14:paraId="776CCC93">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村庄</w:t>
                  </w:r>
                </w:p>
              </w:tc>
              <w:tc>
                <w:tcPr>
                  <w:tcW w:w="1077" w:type="dxa"/>
                  <w:tcBorders>
                    <w:tl2br w:val="nil"/>
                    <w:tr2bl w:val="nil"/>
                  </w:tcBorders>
                  <w:noWrap w:val="0"/>
                  <w:vAlign w:val="center"/>
                </w:tcPr>
                <w:p w14:paraId="03F86BFA">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约</w:t>
                  </w:r>
                  <w:r>
                    <w:rPr>
                      <w:rFonts w:hint="default" w:ascii="Times New Roman" w:hAnsi="Times New Roman" w:cs="Times New Roman"/>
                      <w:color w:val="auto"/>
                      <w:szCs w:val="21"/>
                      <w:lang w:val="en-US" w:eastAsia="zh-CN"/>
                    </w:rPr>
                    <w:t>800</w:t>
                  </w:r>
                  <w:r>
                    <w:rPr>
                      <w:rFonts w:hint="default" w:ascii="Times New Roman" w:hAnsi="Times New Roman" w:cs="Times New Roman"/>
                      <w:color w:val="auto"/>
                      <w:szCs w:val="21"/>
                    </w:rPr>
                    <w:t>人</w:t>
                  </w:r>
                </w:p>
              </w:tc>
              <w:tc>
                <w:tcPr>
                  <w:tcW w:w="1648" w:type="dxa"/>
                  <w:vMerge w:val="continue"/>
                  <w:tcBorders>
                    <w:tl2br w:val="nil"/>
                    <w:tr2bl w:val="nil"/>
                  </w:tcBorders>
                  <w:noWrap w:val="0"/>
                  <w:vAlign w:val="center"/>
                </w:tcPr>
                <w:p w14:paraId="5F2D4A14">
                  <w:pPr>
                    <w:widowControl/>
                    <w:jc w:val="center"/>
                    <w:rPr>
                      <w:rFonts w:hint="default" w:ascii="Times New Roman" w:hAnsi="Times New Roman" w:cs="Times New Roman"/>
                      <w:color w:val="auto"/>
                      <w:szCs w:val="21"/>
                    </w:rPr>
                  </w:pPr>
                </w:p>
              </w:tc>
              <w:tc>
                <w:tcPr>
                  <w:tcW w:w="626" w:type="dxa"/>
                  <w:tcBorders>
                    <w:tl2br w:val="nil"/>
                    <w:tr2bl w:val="nil"/>
                  </w:tcBorders>
                  <w:noWrap w:val="0"/>
                  <w:vAlign w:val="center"/>
                </w:tcPr>
                <w:p w14:paraId="545206F8">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北</w:t>
                  </w:r>
                </w:p>
              </w:tc>
              <w:tc>
                <w:tcPr>
                  <w:tcW w:w="675" w:type="dxa"/>
                  <w:tcBorders>
                    <w:tl2br w:val="nil"/>
                    <w:tr2bl w:val="nil"/>
                  </w:tcBorders>
                  <w:noWrap w:val="0"/>
                  <w:vAlign w:val="center"/>
                </w:tcPr>
                <w:p w14:paraId="51F1A639">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231</w:t>
                  </w:r>
                </w:p>
              </w:tc>
            </w:tr>
            <w:tr w14:paraId="1D0DCD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72" w:hRule="atLeast"/>
                <w:jc w:val="center"/>
              </w:trPr>
              <w:tc>
                <w:tcPr>
                  <w:tcW w:w="627" w:type="dxa"/>
                  <w:vMerge w:val="continue"/>
                  <w:tcBorders>
                    <w:tl2br w:val="nil"/>
                    <w:tr2bl w:val="nil"/>
                  </w:tcBorders>
                  <w:noWrap w:val="0"/>
                  <w:vAlign w:val="center"/>
                </w:tcPr>
                <w:p w14:paraId="5C15145C">
                  <w:pPr>
                    <w:widowControl/>
                    <w:jc w:val="center"/>
                    <w:rPr>
                      <w:rFonts w:hint="default" w:ascii="Times New Roman" w:hAnsi="Times New Roman" w:cs="Times New Roman"/>
                      <w:color w:val="auto"/>
                      <w:szCs w:val="21"/>
                    </w:rPr>
                  </w:pPr>
                </w:p>
              </w:tc>
              <w:tc>
                <w:tcPr>
                  <w:tcW w:w="878" w:type="dxa"/>
                  <w:tcBorders>
                    <w:tl2br w:val="nil"/>
                    <w:tr2bl w:val="nil"/>
                  </w:tcBorders>
                  <w:noWrap w:val="0"/>
                  <w:vAlign w:val="center"/>
                </w:tcPr>
                <w:p w14:paraId="4141B402">
                  <w:pPr>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汪贻彩希望小学</w:t>
                  </w:r>
                </w:p>
              </w:tc>
              <w:tc>
                <w:tcPr>
                  <w:tcW w:w="622" w:type="dxa"/>
                  <w:tcBorders>
                    <w:tl2br w:val="nil"/>
                    <w:tr2bl w:val="nil"/>
                  </w:tcBorders>
                  <w:noWrap w:val="0"/>
                  <w:vAlign w:val="center"/>
                </w:tcPr>
                <w:p w14:paraId="393E3D64">
                  <w:pPr>
                    <w:widowControl/>
                    <w:jc w:val="center"/>
                    <w:textAlignment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333</w:t>
                  </w:r>
                </w:p>
              </w:tc>
              <w:tc>
                <w:tcPr>
                  <w:tcW w:w="574" w:type="dxa"/>
                  <w:tcBorders>
                    <w:tl2br w:val="nil"/>
                    <w:tr2bl w:val="nil"/>
                  </w:tcBorders>
                  <w:noWrap w:val="0"/>
                  <w:vAlign w:val="center"/>
                </w:tcPr>
                <w:p w14:paraId="3243EE9A">
                  <w:pPr>
                    <w:widowControl/>
                    <w:jc w:val="center"/>
                    <w:textAlignment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-294</w:t>
                  </w:r>
                </w:p>
              </w:tc>
              <w:tc>
                <w:tcPr>
                  <w:tcW w:w="1270" w:type="dxa"/>
                  <w:tcBorders>
                    <w:tl2br w:val="nil"/>
                    <w:tr2bl w:val="nil"/>
                  </w:tcBorders>
                  <w:noWrap w:val="0"/>
                  <w:vAlign w:val="center"/>
                </w:tcPr>
                <w:p w14:paraId="3C6AA351">
                  <w:pPr>
                    <w:widowControl/>
                    <w:jc w:val="center"/>
                    <w:textAlignment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学校</w:t>
                  </w:r>
                </w:p>
              </w:tc>
              <w:tc>
                <w:tcPr>
                  <w:tcW w:w="1077" w:type="dxa"/>
                  <w:tcBorders>
                    <w:tl2br w:val="nil"/>
                    <w:tr2bl w:val="nil"/>
                  </w:tcBorders>
                  <w:noWrap w:val="0"/>
                  <w:vAlign w:val="center"/>
                </w:tcPr>
                <w:p w14:paraId="637B912F">
                  <w:pPr>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200</w:t>
                  </w:r>
                </w:p>
              </w:tc>
              <w:tc>
                <w:tcPr>
                  <w:tcW w:w="1648" w:type="dxa"/>
                  <w:vMerge w:val="continue"/>
                  <w:tcBorders>
                    <w:tl2br w:val="nil"/>
                    <w:tr2bl w:val="nil"/>
                  </w:tcBorders>
                  <w:noWrap w:val="0"/>
                  <w:vAlign w:val="center"/>
                </w:tcPr>
                <w:p w14:paraId="7676B9E4">
                  <w:pPr>
                    <w:widowControl/>
                    <w:jc w:val="center"/>
                    <w:rPr>
                      <w:rFonts w:hint="default" w:ascii="Times New Roman" w:hAnsi="Times New Roman" w:cs="Times New Roman"/>
                      <w:color w:val="auto"/>
                      <w:szCs w:val="21"/>
                    </w:rPr>
                  </w:pPr>
                </w:p>
              </w:tc>
              <w:tc>
                <w:tcPr>
                  <w:tcW w:w="626" w:type="dxa"/>
                  <w:tcBorders>
                    <w:tl2br w:val="nil"/>
                    <w:tr2bl w:val="nil"/>
                  </w:tcBorders>
                  <w:noWrap w:val="0"/>
                  <w:vAlign w:val="center"/>
                </w:tcPr>
                <w:p w14:paraId="6BA93747">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东南</w:t>
                  </w:r>
                </w:p>
              </w:tc>
              <w:tc>
                <w:tcPr>
                  <w:tcW w:w="675" w:type="dxa"/>
                  <w:tcBorders>
                    <w:tl2br w:val="nil"/>
                    <w:tr2bl w:val="nil"/>
                  </w:tcBorders>
                  <w:noWrap w:val="0"/>
                  <w:vAlign w:val="center"/>
                </w:tcPr>
                <w:p w14:paraId="57CADE82">
                  <w:pPr>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550</w:t>
                  </w:r>
                </w:p>
              </w:tc>
            </w:tr>
            <w:tr w14:paraId="0D1DEE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88" w:hRule="atLeast"/>
                <w:jc w:val="center"/>
              </w:trPr>
              <w:tc>
                <w:tcPr>
                  <w:tcW w:w="627" w:type="dxa"/>
                  <w:vMerge w:val="continue"/>
                  <w:tcBorders>
                    <w:tl2br w:val="nil"/>
                    <w:tr2bl w:val="nil"/>
                  </w:tcBorders>
                  <w:noWrap w:val="0"/>
                  <w:vAlign w:val="center"/>
                </w:tcPr>
                <w:p w14:paraId="5ECD2C98">
                  <w:pPr>
                    <w:widowControl/>
                    <w:jc w:val="center"/>
                    <w:rPr>
                      <w:rFonts w:hint="default" w:ascii="Times New Roman" w:hAnsi="Times New Roman" w:cs="Times New Roman"/>
                      <w:color w:val="auto"/>
                      <w:szCs w:val="21"/>
                    </w:rPr>
                  </w:pPr>
                </w:p>
              </w:tc>
              <w:tc>
                <w:tcPr>
                  <w:tcW w:w="878" w:type="dxa"/>
                  <w:tcBorders>
                    <w:tl2br w:val="nil"/>
                    <w:tr2bl w:val="nil"/>
                  </w:tcBorders>
                  <w:noWrap w:val="0"/>
                  <w:vAlign w:val="center"/>
                </w:tcPr>
                <w:p w14:paraId="78144827">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大屋余</w:t>
                  </w:r>
                </w:p>
              </w:tc>
              <w:tc>
                <w:tcPr>
                  <w:tcW w:w="622" w:type="dxa"/>
                  <w:tcBorders>
                    <w:tl2br w:val="nil"/>
                    <w:tr2bl w:val="nil"/>
                  </w:tcBorders>
                  <w:noWrap w:val="0"/>
                  <w:vAlign w:val="center"/>
                </w:tcPr>
                <w:p w14:paraId="2A9F81BA">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320</w:t>
                  </w:r>
                </w:p>
              </w:tc>
              <w:tc>
                <w:tcPr>
                  <w:tcW w:w="574" w:type="dxa"/>
                  <w:tcBorders>
                    <w:tl2br w:val="nil"/>
                    <w:tr2bl w:val="nil"/>
                  </w:tcBorders>
                  <w:noWrap w:val="0"/>
                  <w:vAlign w:val="center"/>
                </w:tcPr>
                <w:p w14:paraId="28E1147F">
                  <w:pPr>
                    <w:widowControl/>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121</w:t>
                  </w:r>
                </w:p>
              </w:tc>
              <w:tc>
                <w:tcPr>
                  <w:tcW w:w="1270" w:type="dxa"/>
                  <w:tcBorders>
                    <w:tl2br w:val="nil"/>
                    <w:tr2bl w:val="nil"/>
                  </w:tcBorders>
                  <w:noWrap w:val="0"/>
                  <w:vAlign w:val="center"/>
                </w:tcPr>
                <w:p w14:paraId="3059705B">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村庄</w:t>
                  </w:r>
                </w:p>
              </w:tc>
              <w:tc>
                <w:tcPr>
                  <w:tcW w:w="1077" w:type="dxa"/>
                  <w:tcBorders>
                    <w:tl2br w:val="nil"/>
                    <w:tr2bl w:val="nil"/>
                  </w:tcBorders>
                  <w:noWrap w:val="0"/>
                  <w:vAlign w:val="center"/>
                </w:tcPr>
                <w:p w14:paraId="5658C4BC">
                  <w:pPr>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约</w:t>
                  </w:r>
                  <w:r>
                    <w:rPr>
                      <w:rFonts w:hint="default" w:ascii="Times New Roman" w:hAnsi="Times New Roman" w:cs="Times New Roman"/>
                      <w:bCs/>
                      <w:color w:val="auto"/>
                      <w:szCs w:val="21"/>
                      <w:lang w:val="en-US" w:eastAsia="zh-CN"/>
                    </w:rPr>
                    <w:t>260</w:t>
                  </w:r>
                  <w:r>
                    <w:rPr>
                      <w:rFonts w:hint="default" w:ascii="Times New Roman" w:hAnsi="Times New Roman" w:cs="Times New Roman"/>
                      <w:color w:val="auto"/>
                      <w:szCs w:val="21"/>
                    </w:rPr>
                    <w:t>人</w:t>
                  </w:r>
                </w:p>
              </w:tc>
              <w:tc>
                <w:tcPr>
                  <w:tcW w:w="1648" w:type="dxa"/>
                  <w:vMerge w:val="continue"/>
                  <w:tcBorders>
                    <w:tl2br w:val="nil"/>
                    <w:tr2bl w:val="nil"/>
                  </w:tcBorders>
                  <w:noWrap w:val="0"/>
                  <w:vAlign w:val="center"/>
                </w:tcPr>
                <w:p w14:paraId="6C60E633">
                  <w:pPr>
                    <w:widowControl/>
                    <w:jc w:val="center"/>
                    <w:rPr>
                      <w:rFonts w:hint="default" w:ascii="Times New Roman" w:hAnsi="Times New Roman" w:cs="Times New Roman"/>
                      <w:color w:val="auto"/>
                      <w:szCs w:val="21"/>
                    </w:rPr>
                  </w:pPr>
                </w:p>
              </w:tc>
              <w:tc>
                <w:tcPr>
                  <w:tcW w:w="626" w:type="dxa"/>
                  <w:tcBorders>
                    <w:tl2br w:val="nil"/>
                    <w:tr2bl w:val="nil"/>
                  </w:tcBorders>
                  <w:noWrap w:val="0"/>
                  <w:vAlign w:val="center"/>
                </w:tcPr>
                <w:p w14:paraId="2477C075">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东北</w:t>
                  </w:r>
                </w:p>
              </w:tc>
              <w:tc>
                <w:tcPr>
                  <w:tcW w:w="675" w:type="dxa"/>
                  <w:tcBorders>
                    <w:tl2br w:val="nil"/>
                    <w:tr2bl w:val="nil"/>
                  </w:tcBorders>
                  <w:noWrap w:val="0"/>
                  <w:vAlign w:val="center"/>
                </w:tcPr>
                <w:p w14:paraId="38160E5B">
                  <w:pPr>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591</w:t>
                  </w:r>
                </w:p>
              </w:tc>
            </w:tr>
            <w:tr w14:paraId="5EBF73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72" w:hRule="atLeast"/>
                <w:jc w:val="center"/>
              </w:trPr>
              <w:tc>
                <w:tcPr>
                  <w:tcW w:w="627" w:type="dxa"/>
                  <w:tcBorders>
                    <w:tl2br w:val="nil"/>
                    <w:tr2bl w:val="nil"/>
                  </w:tcBorders>
                  <w:noWrap w:val="0"/>
                  <w:vAlign w:val="center"/>
                </w:tcPr>
                <w:p w14:paraId="7D301EDB">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水环境</w:t>
                  </w:r>
                </w:p>
              </w:tc>
              <w:tc>
                <w:tcPr>
                  <w:tcW w:w="878" w:type="dxa"/>
                  <w:tcBorders>
                    <w:tl2br w:val="nil"/>
                    <w:tr2bl w:val="nil"/>
                  </w:tcBorders>
                  <w:noWrap w:val="0"/>
                  <w:vAlign w:val="center"/>
                </w:tcPr>
                <w:p w14:paraId="3230AA67">
                  <w:pPr>
                    <w:widowControl/>
                    <w:jc w:val="center"/>
                    <w:textAlignment w:val="center"/>
                    <w:rPr>
                      <w:rFonts w:hint="default" w:ascii="Times New Roman" w:hAnsi="Times New Roman" w:eastAsia="宋体" w:cs="Times New Roman"/>
                      <w:color w:val="auto"/>
                      <w:kern w:val="0"/>
                      <w:szCs w:val="21"/>
                      <w:lang w:eastAsia="zh-CN" w:bidi="ar"/>
                    </w:rPr>
                  </w:pPr>
                  <w:r>
                    <w:rPr>
                      <w:rFonts w:hint="default" w:ascii="Times New Roman" w:hAnsi="Times New Roman" w:cs="Times New Roman"/>
                      <w:color w:val="auto"/>
                      <w:kern w:val="0"/>
                      <w:szCs w:val="21"/>
                      <w:lang w:val="en-US" w:eastAsia="zh-CN" w:bidi="ar"/>
                    </w:rPr>
                    <w:t>鄱阳湖</w:t>
                  </w:r>
                </w:p>
              </w:tc>
              <w:tc>
                <w:tcPr>
                  <w:tcW w:w="622" w:type="dxa"/>
                  <w:tcBorders>
                    <w:tl2br w:val="nil"/>
                    <w:tr2bl w:val="nil"/>
                  </w:tcBorders>
                  <w:noWrap w:val="0"/>
                  <w:vAlign w:val="center"/>
                </w:tcPr>
                <w:p w14:paraId="191B6781">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w:t>
                  </w:r>
                </w:p>
              </w:tc>
              <w:tc>
                <w:tcPr>
                  <w:tcW w:w="574" w:type="dxa"/>
                  <w:tcBorders>
                    <w:tl2br w:val="nil"/>
                    <w:tr2bl w:val="nil"/>
                  </w:tcBorders>
                  <w:noWrap w:val="0"/>
                  <w:vAlign w:val="center"/>
                </w:tcPr>
                <w:p w14:paraId="3AEC8D24">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w:t>
                  </w:r>
                </w:p>
              </w:tc>
              <w:tc>
                <w:tcPr>
                  <w:tcW w:w="1270" w:type="dxa"/>
                  <w:tcBorders>
                    <w:tl2br w:val="nil"/>
                    <w:tr2bl w:val="nil"/>
                  </w:tcBorders>
                  <w:noWrap w:val="0"/>
                  <w:vAlign w:val="center"/>
                </w:tcPr>
                <w:p w14:paraId="0DBAF385">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val="en-US" w:eastAsia="zh-CN" w:bidi="ar"/>
                    </w:rPr>
                    <w:t>鄱阳湖</w:t>
                  </w:r>
                </w:p>
              </w:tc>
              <w:tc>
                <w:tcPr>
                  <w:tcW w:w="1077" w:type="dxa"/>
                  <w:tcBorders>
                    <w:tl2br w:val="nil"/>
                    <w:tr2bl w:val="nil"/>
                  </w:tcBorders>
                  <w:noWrap w:val="0"/>
                  <w:vAlign w:val="center"/>
                </w:tcPr>
                <w:p w14:paraId="65F4DF72">
                  <w:pPr>
                    <w:widowControl/>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过水型湖泊</w:t>
                  </w:r>
                </w:p>
              </w:tc>
              <w:tc>
                <w:tcPr>
                  <w:tcW w:w="1648" w:type="dxa"/>
                  <w:tcBorders>
                    <w:tl2br w:val="nil"/>
                    <w:tr2bl w:val="nil"/>
                  </w:tcBorders>
                  <w:noWrap w:val="0"/>
                  <w:vAlign w:val="center"/>
                </w:tcPr>
                <w:p w14:paraId="6B5EAB3C">
                  <w:pPr>
                    <w:widowControl/>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GB3838-2002中</w:t>
                  </w:r>
                  <w:r>
                    <w:rPr>
                      <w:rStyle w:val="70"/>
                      <w:rFonts w:hint="default" w:ascii="Times New Roman" w:hAnsi="Times New Roman" w:cs="Times New Roman"/>
                      <w:color w:val="auto"/>
                      <w:sz w:val="21"/>
                      <w:szCs w:val="21"/>
                      <w:lang w:bidi="ar"/>
                    </w:rPr>
                    <w:t>Ⅲ</w:t>
                  </w:r>
                  <w:r>
                    <w:rPr>
                      <w:rFonts w:hint="default" w:ascii="Times New Roman" w:hAnsi="Times New Roman" w:cs="Times New Roman"/>
                      <w:color w:val="auto"/>
                      <w:kern w:val="0"/>
                      <w:szCs w:val="21"/>
                      <w:lang w:bidi="ar"/>
                    </w:rPr>
                    <w:t>类区</w:t>
                  </w:r>
                </w:p>
              </w:tc>
              <w:tc>
                <w:tcPr>
                  <w:tcW w:w="626" w:type="dxa"/>
                  <w:tcBorders>
                    <w:tl2br w:val="nil"/>
                    <w:tr2bl w:val="nil"/>
                  </w:tcBorders>
                  <w:noWrap w:val="0"/>
                  <w:vAlign w:val="center"/>
                </w:tcPr>
                <w:p w14:paraId="2BC47373">
                  <w:pPr>
                    <w:widowControl/>
                    <w:jc w:val="center"/>
                    <w:textAlignment w:val="center"/>
                    <w:rPr>
                      <w:rFonts w:hint="default" w:ascii="Times New Roman" w:hAnsi="Times New Roman" w:eastAsia="宋体" w:cs="Times New Roman"/>
                      <w:color w:val="auto"/>
                      <w:kern w:val="0"/>
                      <w:szCs w:val="21"/>
                      <w:lang w:eastAsia="zh-CN" w:bidi="ar"/>
                    </w:rPr>
                  </w:pPr>
                  <w:r>
                    <w:rPr>
                      <w:rFonts w:hint="default" w:ascii="Times New Roman" w:hAnsi="Times New Roman" w:cs="Times New Roman"/>
                      <w:color w:val="auto"/>
                      <w:kern w:val="0"/>
                      <w:szCs w:val="21"/>
                      <w:lang w:val="en-US" w:eastAsia="zh-CN" w:bidi="ar"/>
                    </w:rPr>
                    <w:t>东</w:t>
                  </w:r>
                </w:p>
              </w:tc>
              <w:tc>
                <w:tcPr>
                  <w:tcW w:w="675" w:type="dxa"/>
                  <w:tcBorders>
                    <w:tl2br w:val="nil"/>
                    <w:tr2bl w:val="nil"/>
                  </w:tcBorders>
                  <w:noWrap w:val="0"/>
                  <w:vAlign w:val="center"/>
                </w:tcPr>
                <w:p w14:paraId="5A57E0BA">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cs="Times New Roman"/>
                      <w:color w:val="auto"/>
                      <w:kern w:val="0"/>
                      <w:szCs w:val="21"/>
                      <w:lang w:val="en-US" w:eastAsia="zh-CN" w:bidi="ar"/>
                    </w:rPr>
                    <w:t>2874</w:t>
                  </w:r>
                </w:p>
              </w:tc>
            </w:tr>
            <w:tr w14:paraId="7B3925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77" w:hRule="atLeast"/>
                <w:jc w:val="center"/>
              </w:trPr>
              <w:tc>
                <w:tcPr>
                  <w:tcW w:w="7997" w:type="dxa"/>
                  <w:gridSpan w:val="9"/>
                  <w:tcBorders>
                    <w:tl2br w:val="nil"/>
                    <w:tr2bl w:val="nil"/>
                  </w:tcBorders>
                  <w:noWrap w:val="0"/>
                  <w:vAlign w:val="center"/>
                </w:tcPr>
                <w:p w14:paraId="447DBC18">
                  <w:pPr>
                    <w:widowControl/>
                    <w:jc w:val="center"/>
                    <w:textAlignment w:val="center"/>
                    <w:rPr>
                      <w:rFonts w:hint="eastAsia" w:ascii="Times New Roman" w:hAnsi="Times New Roman" w:cs="Times New Roman"/>
                      <w:color w:val="auto"/>
                      <w:kern w:val="0"/>
                      <w:szCs w:val="21"/>
                      <w:lang w:val="en-US" w:eastAsia="zh-CN" w:bidi="ar"/>
                    </w:rPr>
                  </w:pPr>
                  <w:r>
                    <w:rPr>
                      <w:rFonts w:hint="eastAsia" w:ascii="宋体" w:hAnsi="宋体" w:cs="宋体"/>
                      <w:b/>
                      <w:bCs/>
                      <w:color w:val="auto"/>
                      <w:kern w:val="0"/>
                      <w:sz w:val="21"/>
                      <w:szCs w:val="21"/>
                      <w:lang w:eastAsia="zh-CN"/>
                    </w:rPr>
                    <w:t>注：原点经纬度为：</w:t>
                  </w:r>
                  <w:r>
                    <w:rPr>
                      <w:rFonts w:hint="default" w:ascii="Times New Roman" w:hAnsi="Times New Roman" w:eastAsia="宋体" w:cs="Times New Roman"/>
                      <w:b/>
                      <w:bCs/>
                      <w:color w:val="auto"/>
                      <w:sz w:val="21"/>
                      <w:szCs w:val="21"/>
                      <w:lang w:eastAsia="zh-CN"/>
                    </w:rPr>
                    <w:t>东经11</w:t>
                  </w:r>
                  <w:r>
                    <w:rPr>
                      <w:rFonts w:hint="default"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lang w:eastAsia="zh-CN"/>
                    </w:rPr>
                    <w:t>°</w:t>
                  </w:r>
                  <w:r>
                    <w:rPr>
                      <w:rFonts w:hint="eastAsia"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eastAsia="zh-CN"/>
                    </w:rPr>
                    <w:t>′</w:t>
                  </w:r>
                  <w:r>
                    <w:rPr>
                      <w:rFonts w:hint="eastAsia" w:ascii="Times New Roman" w:hAnsi="Times New Roman" w:cs="Times New Roman"/>
                      <w:b/>
                      <w:bCs/>
                      <w:color w:val="auto"/>
                      <w:sz w:val="21"/>
                      <w:szCs w:val="21"/>
                      <w:lang w:val="en-US" w:eastAsia="zh-CN"/>
                    </w:rPr>
                    <w:t>59.807</w:t>
                  </w:r>
                  <w:r>
                    <w:rPr>
                      <w:rFonts w:hint="default" w:ascii="Times New Roman" w:hAnsi="Times New Roman" w:eastAsia="宋体" w:cs="Times New Roman"/>
                      <w:b/>
                      <w:bCs/>
                      <w:color w:val="auto"/>
                      <w:sz w:val="21"/>
                      <w:szCs w:val="21"/>
                      <w:lang w:eastAsia="zh-CN"/>
                    </w:rPr>
                    <w:t>″，北纬2</w:t>
                  </w:r>
                  <w:r>
                    <w:rPr>
                      <w:rFonts w:hint="default" w:ascii="Times New Roman" w:hAnsi="Times New Roman" w:cs="Times New Roman"/>
                      <w:b/>
                      <w:bCs/>
                      <w:color w:val="auto"/>
                      <w:sz w:val="21"/>
                      <w:szCs w:val="21"/>
                      <w:lang w:val="en-US" w:eastAsia="zh-CN"/>
                    </w:rPr>
                    <w:t>9</w:t>
                  </w:r>
                  <w:r>
                    <w:rPr>
                      <w:rFonts w:hint="default" w:ascii="Times New Roman" w:hAnsi="Times New Roman" w:eastAsia="宋体" w:cs="Times New Roman"/>
                      <w:b/>
                      <w:bCs/>
                      <w:color w:val="auto"/>
                      <w:sz w:val="21"/>
                      <w:szCs w:val="21"/>
                      <w:lang w:eastAsia="zh-CN"/>
                    </w:rPr>
                    <w:t>°</w:t>
                  </w:r>
                  <w:r>
                    <w:rPr>
                      <w:rFonts w:hint="default" w:ascii="Times New Roman" w:hAnsi="Times New Roman" w:cs="Times New Roman"/>
                      <w:b/>
                      <w:bCs/>
                      <w:color w:val="auto"/>
                      <w:sz w:val="21"/>
                      <w:szCs w:val="21"/>
                      <w:lang w:val="en-US" w:eastAsia="zh-CN"/>
                    </w:rPr>
                    <w:t>2</w:t>
                  </w:r>
                  <w:r>
                    <w:rPr>
                      <w:rFonts w:hint="eastAsia" w:ascii="Times New Roman" w:hAnsi="Times New Roman" w:cs="Times New Roman"/>
                      <w:b/>
                      <w:bCs/>
                      <w:color w:val="auto"/>
                      <w:sz w:val="21"/>
                      <w:szCs w:val="21"/>
                      <w:lang w:val="en-US" w:eastAsia="zh-CN"/>
                    </w:rPr>
                    <w:t>8</w:t>
                  </w:r>
                  <w:r>
                    <w:rPr>
                      <w:rFonts w:hint="default" w:ascii="Times New Roman" w:hAnsi="Times New Roman" w:eastAsia="宋体" w:cs="Times New Roman"/>
                      <w:b/>
                      <w:bCs/>
                      <w:color w:val="auto"/>
                      <w:sz w:val="21"/>
                      <w:szCs w:val="21"/>
                      <w:lang w:eastAsia="zh-CN"/>
                    </w:rPr>
                    <w:t>′</w:t>
                  </w:r>
                  <w:r>
                    <w:rPr>
                      <w:rFonts w:hint="eastAsia" w:ascii="Times New Roman" w:hAnsi="Times New Roman" w:cs="Times New Roman"/>
                      <w:b/>
                      <w:bCs/>
                      <w:color w:val="auto"/>
                      <w:sz w:val="21"/>
                      <w:szCs w:val="21"/>
                      <w:lang w:val="en-US" w:eastAsia="zh-CN"/>
                    </w:rPr>
                    <w:t>26.712</w:t>
                  </w:r>
                  <w:r>
                    <w:rPr>
                      <w:rFonts w:hint="default" w:ascii="Times New Roman" w:hAnsi="Times New Roman" w:eastAsia="宋体" w:cs="Times New Roman"/>
                      <w:b/>
                      <w:bCs/>
                      <w:color w:val="auto"/>
                      <w:sz w:val="21"/>
                      <w:szCs w:val="21"/>
                      <w:lang w:eastAsia="zh-CN"/>
                    </w:rPr>
                    <w:t>″</w:t>
                  </w:r>
                  <w:r>
                    <w:rPr>
                      <w:rFonts w:hint="eastAsia" w:cs="Times New Roman"/>
                      <w:b/>
                      <w:bCs/>
                      <w:color w:val="auto"/>
                      <w:sz w:val="21"/>
                      <w:szCs w:val="21"/>
                      <w:lang w:eastAsia="zh-CN"/>
                    </w:rPr>
                    <w:t>。</w:t>
                  </w:r>
                </w:p>
              </w:tc>
            </w:tr>
          </w:tbl>
          <w:p w14:paraId="0EA687B6">
            <w:pPr>
              <w:keepNext w:val="0"/>
              <w:keepLines w:val="0"/>
              <w:pageBreakBefore w:val="0"/>
              <w:widowControl w:val="0"/>
              <w:kinsoku/>
              <w:wordWrap/>
              <w:overflowPunct/>
              <w:topLinePunct w:val="0"/>
              <w:autoSpaceDE/>
              <w:autoSpaceDN/>
              <w:bidi w:val="0"/>
              <w:adjustRightInd w:val="0"/>
              <w:snapToGrid w:val="0"/>
              <w:spacing w:before="157" w:beforeLines="50"/>
              <w:ind w:firstLine="420" w:firstLineChars="200"/>
              <w:jc w:val="both"/>
              <w:textAlignment w:val="auto"/>
              <w:rPr>
                <w:rFonts w:hint="default" w:ascii="宋体" w:hAnsi="宋体" w:eastAsia="宋体" w:cs="宋体"/>
                <w:color w:val="auto"/>
                <w:kern w:val="0"/>
                <w:szCs w:val="21"/>
                <w:lang w:val="en-US" w:eastAsia="zh-CN"/>
              </w:rPr>
            </w:pPr>
          </w:p>
        </w:tc>
      </w:tr>
      <w:tr w14:paraId="15B30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800" w:type="dxa"/>
            <w:noWrap w:val="0"/>
            <w:tcMar>
              <w:left w:w="28" w:type="dxa"/>
              <w:right w:w="28" w:type="dxa"/>
            </w:tcMar>
            <w:vAlign w:val="center"/>
          </w:tcPr>
          <w:p w14:paraId="1EF1C49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w:t>
            </w:r>
          </w:p>
          <w:p w14:paraId="7B0B153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物排</w:t>
            </w:r>
          </w:p>
          <w:p w14:paraId="21D78630">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放控</w:t>
            </w:r>
          </w:p>
          <w:p w14:paraId="1B897777">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制标</w:t>
            </w:r>
          </w:p>
          <w:p w14:paraId="4F3F90B6">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190" w:type="dxa"/>
            <w:noWrap w:val="0"/>
            <w:vAlign w:val="center"/>
          </w:tcPr>
          <w:p w14:paraId="516EEE70">
            <w:pPr>
              <w:pStyle w:val="10"/>
              <w:ind w:firstLine="480"/>
              <w:rPr>
                <w:rFonts w:hint="eastAsia" w:ascii="Times New Roman" w:hAnsi="Times New Roman" w:eastAsia="宋体" w:cs="Times New Roman"/>
                <w:color w:val="auto"/>
                <w:lang w:eastAsia="zh-CN"/>
              </w:rPr>
            </w:pPr>
            <w:r>
              <w:rPr>
                <w:rFonts w:hint="default"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lang w:val="en-US" w:eastAsia="zh-CN"/>
              </w:rPr>
              <w:t>、</w:t>
            </w:r>
            <w:r>
              <w:rPr>
                <w:rFonts w:hint="default" w:ascii="Times New Roman" w:hAnsi="Times New Roman" w:eastAsia="宋体" w:cs="Times New Roman"/>
                <w:b/>
                <w:bCs/>
                <w:color w:val="auto"/>
                <w:sz w:val="24"/>
                <w:szCs w:val="24"/>
                <w:lang w:eastAsia="zh-CN"/>
              </w:rPr>
              <w:t>废水排放标准</w:t>
            </w:r>
          </w:p>
          <w:p w14:paraId="5003DA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FF0000"/>
                <w:sz w:val="24"/>
                <w:szCs w:val="24"/>
                <w:lang w:eastAsia="zh-CN"/>
              </w:rPr>
              <w:t>本项目营运期产生的设备清洗废水经沉淀池+化粪池预处理，特征因子总有机碳满足混装制剂类制药工业水污染物排放标准，其他因子满足达庐山工业污水处理厂接管标准后排入庐山工业污水处理厂进行深度处理</w:t>
            </w:r>
            <w:r>
              <w:rPr>
                <w:rFonts w:hint="eastAsia" w:ascii="Times New Roman" w:cs="Times New Roman"/>
                <w:color w:val="FF0000"/>
                <w:sz w:val="24"/>
                <w:szCs w:val="24"/>
                <w:highlight w:val="none"/>
                <w:shd w:val="clear" w:color="auto" w:fill="auto"/>
                <w:lang w:eastAsia="zh-CN"/>
              </w:rPr>
              <w:t>。</w:t>
            </w:r>
            <w:r>
              <w:rPr>
                <w:rFonts w:hint="default" w:ascii="Times New Roman" w:hAnsi="Times New Roman" w:eastAsia="宋体" w:cs="Times New Roman"/>
                <w:color w:val="auto"/>
                <w:sz w:val="24"/>
                <w:szCs w:val="24"/>
                <w:lang w:val="en-US" w:eastAsia="zh-CN"/>
              </w:rPr>
              <w:t>生活污水</w:t>
            </w:r>
            <w:r>
              <w:rPr>
                <w:rFonts w:hint="default" w:ascii="Times New Roman" w:hAnsi="Times New Roman" w:eastAsia="宋体" w:cs="Times New Roman"/>
                <w:color w:val="auto"/>
                <w:sz w:val="24"/>
                <w:szCs w:val="24"/>
                <w:lang w:eastAsia="zh-CN"/>
              </w:rPr>
              <w:t>经</w:t>
            </w:r>
            <w:r>
              <w:rPr>
                <w:rFonts w:hint="eastAsia" w:ascii="Times New Roman" w:hAnsi="Times New Roman" w:eastAsia="宋体" w:cs="Times New Roman"/>
                <w:color w:val="auto"/>
                <w:sz w:val="24"/>
                <w:szCs w:val="24"/>
                <w:lang w:eastAsia="zh-CN"/>
              </w:rPr>
              <w:t>化粪池</w:t>
            </w:r>
            <w:r>
              <w:rPr>
                <w:rFonts w:hint="eastAsia" w:ascii="Times New Roman" w:hAnsi="Times New Roman" w:eastAsia="宋体" w:cs="Times New Roman"/>
                <w:color w:val="auto"/>
                <w:sz w:val="24"/>
                <w:szCs w:val="24"/>
                <w:lang w:val="en-US" w:eastAsia="zh-CN"/>
              </w:rPr>
              <w:t>预</w:t>
            </w:r>
            <w:r>
              <w:rPr>
                <w:rFonts w:hint="default" w:ascii="Times New Roman" w:hAnsi="Times New Roman" w:eastAsia="宋体" w:cs="Times New Roman"/>
                <w:color w:val="auto"/>
                <w:sz w:val="24"/>
                <w:szCs w:val="24"/>
                <w:lang w:eastAsia="zh-CN"/>
              </w:rPr>
              <w:t>处理</w:t>
            </w:r>
            <w:r>
              <w:rPr>
                <w:rFonts w:hint="eastAsia" w:ascii="Times New Roman" w:hAnsi="Times New Roman" w:eastAsia="宋体" w:cs="Times New Roman"/>
                <w:color w:val="auto"/>
                <w:sz w:val="24"/>
                <w:szCs w:val="24"/>
                <w:lang w:val="en-US" w:eastAsia="zh-CN"/>
              </w:rPr>
              <w:t>后的</w:t>
            </w:r>
            <w:r>
              <w:rPr>
                <w:rFonts w:hint="default" w:ascii="Times New Roman" w:hAnsi="Times New Roman" w:eastAsia="宋体" w:cs="Times New Roman"/>
                <w:color w:val="auto"/>
                <w:sz w:val="24"/>
                <w:szCs w:val="24"/>
                <w:lang w:eastAsia="zh-CN"/>
              </w:rPr>
              <w:t>达到</w:t>
            </w:r>
            <w:r>
              <w:rPr>
                <w:rFonts w:hint="default" w:ascii="Times New Roman" w:hAnsi="Times New Roman" w:eastAsia="宋体" w:cs="Times New Roman"/>
                <w:color w:val="auto"/>
                <w:sz w:val="24"/>
                <w:szCs w:val="24"/>
                <w:lang w:val="en-US" w:eastAsia="zh-CN"/>
              </w:rPr>
              <w:t>庐山</w:t>
            </w:r>
            <w:r>
              <w:rPr>
                <w:rFonts w:hint="default" w:ascii="Times New Roman" w:hAnsi="Times New Roman" w:eastAsia="宋体" w:cs="Times New Roman"/>
                <w:color w:val="auto"/>
                <w:sz w:val="24"/>
                <w:szCs w:val="24"/>
                <w:lang w:eastAsia="zh-CN"/>
              </w:rPr>
              <w:t>工业污水处理厂接管标准后</w:t>
            </w:r>
            <w:r>
              <w:rPr>
                <w:rFonts w:hint="eastAsia" w:cs="Times New Roman"/>
                <w:color w:val="auto"/>
                <w:sz w:val="24"/>
                <w:szCs w:val="24"/>
                <w:lang w:eastAsia="zh-CN"/>
              </w:rPr>
              <w:t>与</w:t>
            </w:r>
            <w:r>
              <w:rPr>
                <w:rFonts w:hint="eastAsia" w:cs="Times New Roman"/>
                <w:color w:val="auto"/>
                <w:sz w:val="24"/>
                <w:szCs w:val="24"/>
                <w:lang w:val="en-US" w:eastAsia="zh-CN"/>
              </w:rPr>
              <w:t>纯水制备</w:t>
            </w:r>
            <w:r>
              <w:rPr>
                <w:rFonts w:hint="eastAsia" w:cs="Times New Roman"/>
                <w:color w:val="auto"/>
                <w:sz w:val="24"/>
                <w:szCs w:val="24"/>
                <w:lang w:eastAsia="zh-CN"/>
              </w:rPr>
              <w:t>浓水</w:t>
            </w:r>
            <w:r>
              <w:rPr>
                <w:rFonts w:hint="eastAsia" w:cs="Times New Roman"/>
                <w:color w:val="auto"/>
                <w:sz w:val="24"/>
                <w:szCs w:val="24"/>
                <w:lang w:val="en-US" w:eastAsia="zh-CN"/>
              </w:rPr>
              <w:t>一同</w:t>
            </w:r>
            <w:r>
              <w:rPr>
                <w:rFonts w:hint="default" w:ascii="Times New Roman" w:hAnsi="Times New Roman" w:eastAsia="宋体" w:cs="Times New Roman"/>
                <w:color w:val="auto"/>
                <w:sz w:val="24"/>
                <w:szCs w:val="24"/>
                <w:lang w:eastAsia="zh-CN"/>
              </w:rPr>
              <w:t>排入</w:t>
            </w:r>
            <w:r>
              <w:rPr>
                <w:rFonts w:hint="default" w:ascii="Times New Roman" w:hAnsi="Times New Roman" w:eastAsia="宋体" w:cs="Times New Roman"/>
                <w:color w:val="auto"/>
                <w:sz w:val="24"/>
                <w:szCs w:val="24"/>
                <w:lang w:val="en-US" w:eastAsia="zh-CN"/>
              </w:rPr>
              <w:t>庐山</w:t>
            </w:r>
            <w:r>
              <w:rPr>
                <w:rFonts w:hint="default" w:ascii="Times New Roman" w:hAnsi="Times New Roman" w:eastAsia="宋体" w:cs="Times New Roman"/>
                <w:color w:val="auto"/>
                <w:sz w:val="24"/>
                <w:szCs w:val="24"/>
                <w:lang w:eastAsia="zh-CN"/>
              </w:rPr>
              <w:t>工业污水处理厂进</w:t>
            </w:r>
            <w:r>
              <w:rPr>
                <w:rFonts w:hint="default" w:ascii="Times New Roman" w:hAnsi="Times New Roman" w:eastAsia="宋体" w:cs="Times New Roman"/>
                <w:color w:val="auto"/>
                <w:sz w:val="24"/>
                <w:szCs w:val="24"/>
                <w:lang w:val="en-US" w:eastAsia="zh-CN"/>
              </w:rPr>
              <w:t>行深度</w:t>
            </w:r>
            <w:r>
              <w:rPr>
                <w:rFonts w:hint="default" w:ascii="Times New Roman" w:hAnsi="Times New Roman" w:eastAsia="宋体" w:cs="Times New Roman"/>
                <w:color w:val="auto"/>
                <w:sz w:val="24"/>
                <w:szCs w:val="24"/>
                <w:lang w:eastAsia="zh-CN"/>
              </w:rPr>
              <w:t>处理，</w:t>
            </w:r>
            <w:r>
              <w:rPr>
                <w:rFonts w:hint="default" w:ascii="Times New Roman" w:hAnsi="Times New Roman" w:eastAsia="宋体" w:cs="Times New Roman"/>
                <w:b w:val="0"/>
                <w:bCs w:val="0"/>
                <w:color w:val="auto"/>
                <w:kern w:val="0"/>
                <w:sz w:val="24"/>
                <w:szCs w:val="24"/>
                <w:lang w:val="en-US" w:eastAsia="zh-CN"/>
              </w:rPr>
              <w:t>达《城镇污水处理厂污染物排放标准》（GB18918-2002）的一级</w:t>
            </w:r>
            <w:r>
              <w:rPr>
                <w:rFonts w:hint="eastAsia" w:ascii="Times New Roman" w:hAnsi="Times New Roman" w:eastAsia="宋体" w:cs="Times New Roman"/>
                <w:b w:val="0"/>
                <w:bCs w:val="0"/>
                <w:color w:val="auto"/>
                <w:kern w:val="0"/>
                <w:sz w:val="24"/>
                <w:szCs w:val="24"/>
                <w:lang w:val="en-US" w:eastAsia="zh-CN"/>
              </w:rPr>
              <w:t>A</w:t>
            </w:r>
            <w:r>
              <w:rPr>
                <w:rFonts w:hint="default" w:ascii="Times New Roman" w:hAnsi="Times New Roman" w:eastAsia="宋体" w:cs="Times New Roman"/>
                <w:b w:val="0"/>
                <w:bCs w:val="0"/>
                <w:color w:val="auto"/>
                <w:kern w:val="0"/>
                <w:sz w:val="24"/>
                <w:szCs w:val="24"/>
                <w:lang w:val="en-US" w:eastAsia="zh-CN"/>
              </w:rPr>
              <w:t>标准</w:t>
            </w:r>
            <w:r>
              <w:rPr>
                <w:rFonts w:hint="eastAsia" w:ascii="Times New Roman" w:hAnsi="Times New Roman" w:eastAsia="宋体" w:cs="Times New Roman"/>
                <w:b w:val="0"/>
                <w:bCs w:val="0"/>
                <w:color w:val="auto"/>
                <w:kern w:val="0"/>
                <w:sz w:val="24"/>
                <w:szCs w:val="24"/>
                <w:lang w:val="en-US" w:eastAsia="zh-CN"/>
              </w:rPr>
              <w:t>及</w:t>
            </w:r>
            <w:r>
              <w:rPr>
                <w:rFonts w:hint="default" w:ascii="Times New Roman" w:hAnsi="Times New Roman" w:eastAsia="宋体" w:cs="Times New Roman"/>
                <w:b w:val="0"/>
                <w:bCs w:val="0"/>
                <w:color w:val="auto"/>
                <w:kern w:val="0"/>
                <w:sz w:val="24"/>
                <w:szCs w:val="24"/>
                <w:lang w:val="en-US" w:eastAsia="zh-CN"/>
              </w:rPr>
              <w:t>《鄱阳湖生态经济区水污染物排放标准》（DB36/852-2015）湖体核心保护区标准后，排入鄱阳湖</w:t>
            </w:r>
            <w:r>
              <w:rPr>
                <w:rFonts w:hint="default" w:ascii="Times New Roman" w:hAnsi="Times New Roman" w:eastAsia="宋体" w:cs="Times New Roman"/>
                <w:color w:val="auto"/>
                <w:sz w:val="24"/>
                <w:szCs w:val="24"/>
                <w:lang w:eastAsia="zh-CN"/>
              </w:rPr>
              <w:t>。</w:t>
            </w:r>
          </w:p>
          <w:p w14:paraId="4A9137A6">
            <w:pPr>
              <w:pStyle w:val="65"/>
              <w:bidi w:val="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表</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 xml:space="preserve">5 </w:t>
            </w:r>
            <w:r>
              <w:rPr>
                <w:rFonts w:hint="eastAsia" w:ascii="Times New Roman" w:hAnsi="Times New Roman" w:eastAsia="宋体" w:cs="Times New Roman"/>
                <w:color w:val="auto"/>
                <w:sz w:val="21"/>
                <w:szCs w:val="21"/>
                <w:lang w:val="en-US" w:eastAsia="zh-CN"/>
              </w:rPr>
              <w:t xml:space="preserve"> </w:t>
            </w:r>
            <w:r>
              <w:rPr>
                <w:rFonts w:hint="eastAsia" w:cs="Times New Roman"/>
                <w:color w:val="auto"/>
                <w:sz w:val="21"/>
                <w:szCs w:val="21"/>
                <w:lang w:val="en-US" w:eastAsia="zh-CN"/>
              </w:rPr>
              <w:t>废水</w:t>
            </w:r>
            <w:r>
              <w:rPr>
                <w:rFonts w:hint="eastAsia" w:ascii="Times New Roman" w:hAnsi="Times New Roman" w:eastAsia="宋体" w:cs="Times New Roman"/>
                <w:color w:val="auto"/>
                <w:sz w:val="21"/>
                <w:szCs w:val="21"/>
                <w:lang w:eastAsia="zh-CN"/>
              </w:rPr>
              <w:t>排放标准单位：mg/L</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80"/>
              <w:gridCol w:w="703"/>
              <w:gridCol w:w="828"/>
              <w:gridCol w:w="813"/>
              <w:gridCol w:w="766"/>
              <w:gridCol w:w="763"/>
              <w:gridCol w:w="556"/>
              <w:gridCol w:w="667"/>
              <w:gridCol w:w="670"/>
            </w:tblGrid>
            <w:tr w14:paraId="3560D8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61" w:type="pct"/>
                  <w:vMerge w:val="restart"/>
                  <w:tcBorders>
                    <w:top w:val="single" w:color="auto" w:sz="12" w:space="0"/>
                    <w:bottom w:val="single" w:color="auto" w:sz="4" w:space="0"/>
                    <w:right w:val="single" w:color="auto" w:sz="4" w:space="0"/>
                  </w:tcBorders>
                  <w:noWrap w:val="0"/>
                  <w:vAlign w:val="center"/>
                </w:tcPr>
                <w:p w14:paraId="7870C22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w:t>
                  </w:r>
                </w:p>
              </w:tc>
              <w:tc>
                <w:tcPr>
                  <w:tcW w:w="3538" w:type="pct"/>
                  <w:gridSpan w:val="8"/>
                  <w:tcBorders>
                    <w:top w:val="single" w:color="auto" w:sz="12" w:space="0"/>
                    <w:left w:val="single" w:color="auto" w:sz="4" w:space="0"/>
                    <w:bottom w:val="single" w:color="auto" w:sz="4" w:space="0"/>
                    <w:right w:val="nil"/>
                  </w:tcBorders>
                  <w:noWrap w:val="0"/>
                  <w:vAlign w:val="center"/>
                </w:tcPr>
                <w:p w14:paraId="0357BA0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评价标准值（mg/L）</w:t>
                  </w:r>
                </w:p>
              </w:tc>
            </w:tr>
            <w:tr w14:paraId="596AE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61" w:type="pct"/>
                  <w:vMerge w:val="continue"/>
                  <w:tcBorders>
                    <w:top w:val="single" w:color="auto" w:sz="4" w:space="0"/>
                    <w:bottom w:val="single" w:color="auto" w:sz="12" w:space="0"/>
                    <w:right w:val="single" w:color="auto" w:sz="4" w:space="0"/>
                  </w:tcBorders>
                  <w:noWrap w:val="0"/>
                  <w:vAlign w:val="center"/>
                </w:tcPr>
                <w:p w14:paraId="4361AD6F">
                  <w:pPr>
                    <w:jc w:val="center"/>
                    <w:rPr>
                      <w:rFonts w:hint="default" w:ascii="Times New Roman" w:hAnsi="Times New Roman" w:eastAsia="宋体" w:cs="Times New Roman"/>
                      <w:color w:val="auto"/>
                      <w:sz w:val="21"/>
                      <w:szCs w:val="21"/>
                    </w:rPr>
                  </w:pPr>
                </w:p>
              </w:tc>
              <w:tc>
                <w:tcPr>
                  <w:tcW w:w="432" w:type="pct"/>
                  <w:tcBorders>
                    <w:top w:val="single" w:color="auto" w:sz="4" w:space="0"/>
                    <w:left w:val="single" w:color="auto" w:sz="4" w:space="0"/>
                    <w:bottom w:val="single" w:color="auto" w:sz="12" w:space="0"/>
                    <w:right w:val="single" w:color="auto" w:sz="4" w:space="0"/>
                  </w:tcBorders>
                  <w:noWrap w:val="0"/>
                  <w:vAlign w:val="center"/>
                </w:tcPr>
                <w:p w14:paraId="5C889AF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p>
              </w:tc>
              <w:tc>
                <w:tcPr>
                  <w:tcW w:w="508" w:type="pct"/>
                  <w:tcBorders>
                    <w:top w:val="single" w:color="auto" w:sz="4" w:space="0"/>
                    <w:left w:val="single" w:color="auto" w:sz="4" w:space="0"/>
                    <w:bottom w:val="single" w:color="auto" w:sz="12" w:space="0"/>
                    <w:right w:val="single" w:color="auto" w:sz="4" w:space="0"/>
                  </w:tcBorders>
                  <w:noWrap w:val="0"/>
                  <w:vAlign w:val="center"/>
                </w:tcPr>
                <w:p w14:paraId="2D147EA0">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COD</w:t>
                  </w:r>
                </w:p>
              </w:tc>
              <w:tc>
                <w:tcPr>
                  <w:tcW w:w="499" w:type="pct"/>
                  <w:tcBorders>
                    <w:top w:val="single" w:color="auto" w:sz="4" w:space="0"/>
                    <w:left w:val="single" w:color="auto" w:sz="4" w:space="0"/>
                    <w:bottom w:val="single" w:color="auto" w:sz="12" w:space="0"/>
                    <w:right w:val="single" w:color="auto" w:sz="4" w:space="0"/>
                  </w:tcBorders>
                  <w:noWrap w:val="0"/>
                  <w:vAlign w:val="center"/>
                </w:tcPr>
                <w:p w14:paraId="1BB8E4A5">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470" w:type="pct"/>
                  <w:tcBorders>
                    <w:top w:val="single" w:color="auto" w:sz="4" w:space="0"/>
                    <w:left w:val="single" w:color="auto" w:sz="4" w:space="0"/>
                    <w:bottom w:val="single" w:color="auto" w:sz="12" w:space="0"/>
                    <w:right w:val="single" w:color="auto" w:sz="4" w:space="0"/>
                  </w:tcBorders>
                  <w:noWrap w:val="0"/>
                  <w:vAlign w:val="center"/>
                </w:tcPr>
                <w:p w14:paraId="15ACDCD2">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SS</w:t>
                  </w:r>
                </w:p>
              </w:tc>
              <w:tc>
                <w:tcPr>
                  <w:tcW w:w="468" w:type="pct"/>
                  <w:tcBorders>
                    <w:top w:val="single" w:color="auto" w:sz="4" w:space="0"/>
                    <w:left w:val="single" w:color="auto" w:sz="4" w:space="0"/>
                    <w:bottom w:val="single" w:color="auto" w:sz="12" w:space="0"/>
                    <w:right w:val="single" w:color="auto" w:sz="4" w:space="0"/>
                  </w:tcBorders>
                  <w:noWrap w:val="0"/>
                  <w:vAlign w:val="center"/>
                </w:tcPr>
                <w:p w14:paraId="232F5192">
                  <w:pPr>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氨氮</w:t>
                  </w:r>
                </w:p>
              </w:tc>
              <w:tc>
                <w:tcPr>
                  <w:tcW w:w="341" w:type="pct"/>
                  <w:tcBorders>
                    <w:top w:val="single" w:color="auto" w:sz="4" w:space="0"/>
                    <w:left w:val="single" w:color="auto" w:sz="4" w:space="0"/>
                    <w:bottom w:val="single" w:color="auto" w:sz="12" w:space="0"/>
                    <w:right w:val="single" w:color="auto" w:sz="4" w:space="0"/>
                  </w:tcBorders>
                  <w:noWrap w:val="0"/>
                  <w:vAlign w:val="center"/>
                </w:tcPr>
                <w:p w14:paraId="68C38EA5">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TP</w:t>
                  </w:r>
                </w:p>
              </w:tc>
              <w:tc>
                <w:tcPr>
                  <w:tcW w:w="409" w:type="pct"/>
                  <w:tcBorders>
                    <w:top w:val="single" w:color="auto" w:sz="4" w:space="0"/>
                    <w:left w:val="single" w:color="auto" w:sz="4" w:space="0"/>
                    <w:bottom w:val="single" w:color="auto" w:sz="12" w:space="0"/>
                    <w:right w:val="single" w:color="auto" w:sz="4" w:space="0"/>
                  </w:tcBorders>
                  <w:noWrap w:val="0"/>
                  <w:vAlign w:val="center"/>
                </w:tcPr>
                <w:p w14:paraId="6DD12048">
                  <w:pPr>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TN</w:t>
                  </w:r>
                </w:p>
              </w:tc>
              <w:tc>
                <w:tcPr>
                  <w:tcW w:w="410" w:type="pct"/>
                  <w:tcBorders>
                    <w:top w:val="single" w:color="auto" w:sz="4" w:space="0"/>
                    <w:left w:val="single" w:color="auto" w:sz="4" w:space="0"/>
                    <w:bottom w:val="single" w:color="auto" w:sz="12" w:space="0"/>
                    <w:right w:val="single" w:color="auto" w:sz="4" w:space="0"/>
                  </w:tcBorders>
                  <w:noWrap w:val="0"/>
                  <w:vAlign w:val="center"/>
                </w:tcPr>
                <w:p w14:paraId="1C3FEB65">
                  <w:pPr>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总有机碳</w:t>
                  </w:r>
                </w:p>
              </w:tc>
            </w:tr>
            <w:tr w14:paraId="4480F4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1" w:type="pct"/>
                  <w:tcBorders>
                    <w:top w:val="single" w:color="auto" w:sz="12" w:space="0"/>
                    <w:bottom w:val="single" w:color="auto" w:sz="4" w:space="0"/>
                  </w:tcBorders>
                  <w:noWrap w:val="0"/>
                  <w:vAlign w:val="center"/>
                </w:tcPr>
                <w:p w14:paraId="6923779A">
                  <w:pPr>
                    <w:jc w:val="center"/>
                    <w:rPr>
                      <w:rFonts w:hint="default" w:ascii="Times New Roman" w:hAnsi="Times New Roman" w:eastAsia="宋体" w:cs="Times New Roman"/>
                      <w:color w:val="FF0000"/>
                      <w:sz w:val="21"/>
                      <w:szCs w:val="21"/>
                      <w:lang w:eastAsia="zh-CN"/>
                    </w:rPr>
                  </w:pPr>
                  <w:r>
                    <w:rPr>
                      <w:rFonts w:hint="default" w:cs="Times New Roman"/>
                      <w:color w:val="FF0000"/>
                      <w:sz w:val="21"/>
                      <w:szCs w:val="21"/>
                      <w:lang w:val="en-US" w:eastAsia="zh-CN"/>
                    </w:rPr>
                    <w:t>《混装制剂类制药工业水污染物排放标准》</w:t>
                  </w:r>
                  <w:r>
                    <w:rPr>
                      <w:rFonts w:hint="default" w:ascii="Times New Roman" w:hAnsi="Times New Roman" w:eastAsia="宋体" w:cs="Times New Roman"/>
                      <w:color w:val="FF0000"/>
                      <w:sz w:val="21"/>
                      <w:szCs w:val="21"/>
                      <w:lang w:val="en-US" w:eastAsia="zh-CN"/>
                    </w:rPr>
                    <w:t>（GB</w:t>
                  </w:r>
                  <w:r>
                    <w:rPr>
                      <w:rFonts w:hint="eastAsia" w:cs="Times New Roman"/>
                      <w:color w:val="FF0000"/>
                      <w:sz w:val="21"/>
                      <w:szCs w:val="21"/>
                      <w:lang w:val="en-US" w:eastAsia="zh-CN"/>
                    </w:rPr>
                    <w:t>21908</w:t>
                  </w:r>
                  <w:r>
                    <w:rPr>
                      <w:rFonts w:hint="default" w:ascii="Times New Roman" w:hAnsi="Times New Roman" w:eastAsia="宋体" w:cs="Times New Roman"/>
                      <w:color w:val="FF0000"/>
                      <w:sz w:val="21"/>
                      <w:szCs w:val="21"/>
                      <w:lang w:val="en-US" w:eastAsia="zh-CN"/>
                    </w:rPr>
                    <w:t>-</w:t>
                  </w:r>
                  <w:r>
                    <w:rPr>
                      <w:rFonts w:hint="eastAsia" w:cs="Times New Roman"/>
                      <w:color w:val="FF0000"/>
                      <w:sz w:val="21"/>
                      <w:szCs w:val="21"/>
                      <w:lang w:val="en-US" w:eastAsia="zh-CN"/>
                    </w:rPr>
                    <w:t>2008</w:t>
                  </w:r>
                  <w:r>
                    <w:rPr>
                      <w:rFonts w:hint="default" w:ascii="Times New Roman" w:hAnsi="Times New Roman" w:eastAsia="宋体" w:cs="Times New Roman"/>
                      <w:color w:val="FF0000"/>
                      <w:sz w:val="21"/>
                      <w:szCs w:val="21"/>
                      <w:lang w:val="en-US" w:eastAsia="zh-CN"/>
                    </w:rPr>
                    <w:t>）</w:t>
                  </w:r>
                </w:p>
              </w:tc>
              <w:tc>
                <w:tcPr>
                  <w:tcW w:w="432" w:type="pct"/>
                  <w:tcBorders>
                    <w:top w:val="single" w:color="auto" w:sz="12" w:space="0"/>
                    <w:bottom w:val="single" w:color="auto" w:sz="4" w:space="0"/>
                  </w:tcBorders>
                  <w:noWrap w:val="0"/>
                  <w:vAlign w:val="center"/>
                </w:tcPr>
                <w:p w14:paraId="70B57A2C">
                  <w:pPr>
                    <w:jc w:val="center"/>
                    <w:rPr>
                      <w:rFonts w:hint="default" w:ascii="Times New Roman" w:hAnsi="Times New Roman" w:eastAsia="宋体" w:cs="Times New Roman"/>
                      <w:color w:val="FF0000"/>
                      <w:sz w:val="21"/>
                      <w:szCs w:val="21"/>
                    </w:rPr>
                  </w:pPr>
                  <w:r>
                    <w:rPr>
                      <w:rFonts w:hint="eastAsia" w:cs="Times New Roman"/>
                      <w:color w:val="FF0000"/>
                      <w:sz w:val="21"/>
                      <w:szCs w:val="21"/>
                      <w:lang w:val="en-US" w:eastAsia="zh-CN"/>
                    </w:rPr>
                    <w:t>/</w:t>
                  </w:r>
                </w:p>
              </w:tc>
              <w:tc>
                <w:tcPr>
                  <w:tcW w:w="508" w:type="pct"/>
                  <w:tcBorders>
                    <w:top w:val="single" w:color="auto" w:sz="12" w:space="0"/>
                    <w:bottom w:val="single" w:color="auto" w:sz="4" w:space="0"/>
                  </w:tcBorders>
                  <w:noWrap w:val="0"/>
                  <w:vAlign w:val="center"/>
                </w:tcPr>
                <w:p w14:paraId="40882A3A">
                  <w:pPr>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w:t>
                  </w:r>
                </w:p>
              </w:tc>
              <w:tc>
                <w:tcPr>
                  <w:tcW w:w="499" w:type="pct"/>
                  <w:tcBorders>
                    <w:top w:val="single" w:color="auto" w:sz="12" w:space="0"/>
                    <w:bottom w:val="single" w:color="auto" w:sz="4" w:space="0"/>
                  </w:tcBorders>
                  <w:noWrap w:val="0"/>
                  <w:vAlign w:val="center"/>
                </w:tcPr>
                <w:p w14:paraId="69BC869F">
                  <w:pPr>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w:t>
                  </w:r>
                </w:p>
              </w:tc>
              <w:tc>
                <w:tcPr>
                  <w:tcW w:w="470" w:type="pct"/>
                  <w:tcBorders>
                    <w:top w:val="single" w:color="auto" w:sz="12" w:space="0"/>
                    <w:bottom w:val="single" w:color="auto" w:sz="4" w:space="0"/>
                  </w:tcBorders>
                  <w:noWrap w:val="0"/>
                  <w:vAlign w:val="center"/>
                </w:tcPr>
                <w:p w14:paraId="304A6413">
                  <w:pPr>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w:t>
                  </w:r>
                </w:p>
              </w:tc>
              <w:tc>
                <w:tcPr>
                  <w:tcW w:w="468" w:type="pct"/>
                  <w:tcBorders>
                    <w:top w:val="single" w:color="auto" w:sz="12" w:space="0"/>
                    <w:bottom w:val="single" w:color="auto" w:sz="4" w:space="0"/>
                    <w:right w:val="nil"/>
                  </w:tcBorders>
                  <w:noWrap w:val="0"/>
                  <w:vAlign w:val="center"/>
                </w:tcPr>
                <w:p w14:paraId="0101B2DA">
                  <w:pPr>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w:t>
                  </w:r>
                </w:p>
              </w:tc>
              <w:tc>
                <w:tcPr>
                  <w:tcW w:w="341" w:type="pct"/>
                  <w:tcBorders>
                    <w:top w:val="single" w:color="auto" w:sz="12" w:space="0"/>
                    <w:bottom w:val="single" w:color="auto" w:sz="4" w:space="0"/>
                    <w:right w:val="nil"/>
                  </w:tcBorders>
                  <w:noWrap w:val="0"/>
                  <w:vAlign w:val="center"/>
                </w:tcPr>
                <w:p w14:paraId="6543984C">
                  <w:pPr>
                    <w:jc w:val="center"/>
                    <w:rPr>
                      <w:rFonts w:hint="eastAsia"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w:t>
                  </w:r>
                </w:p>
              </w:tc>
              <w:tc>
                <w:tcPr>
                  <w:tcW w:w="409" w:type="pct"/>
                  <w:tcBorders>
                    <w:top w:val="single" w:color="auto" w:sz="12" w:space="0"/>
                    <w:bottom w:val="single" w:color="auto" w:sz="4" w:space="0"/>
                    <w:right w:val="nil"/>
                  </w:tcBorders>
                  <w:noWrap w:val="0"/>
                  <w:vAlign w:val="center"/>
                </w:tcPr>
                <w:p w14:paraId="57EB055F">
                  <w:pPr>
                    <w:jc w:val="center"/>
                    <w:rPr>
                      <w:rFonts w:hint="eastAsia"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w:t>
                  </w:r>
                </w:p>
              </w:tc>
              <w:tc>
                <w:tcPr>
                  <w:tcW w:w="410" w:type="pct"/>
                  <w:tcBorders>
                    <w:top w:val="single" w:color="auto" w:sz="12" w:space="0"/>
                    <w:bottom w:val="single" w:color="auto" w:sz="4" w:space="0"/>
                    <w:right w:val="nil"/>
                  </w:tcBorders>
                  <w:noWrap w:val="0"/>
                  <w:vAlign w:val="center"/>
                </w:tcPr>
                <w:p w14:paraId="7F1F2078">
                  <w:pPr>
                    <w:jc w:val="center"/>
                    <w:rPr>
                      <w:rFonts w:hint="default" w:cs="Times New Roman"/>
                      <w:color w:val="FF0000"/>
                      <w:sz w:val="21"/>
                      <w:szCs w:val="21"/>
                      <w:lang w:val="en-US" w:eastAsia="zh-CN"/>
                    </w:rPr>
                  </w:pPr>
                  <w:r>
                    <w:rPr>
                      <w:rFonts w:hint="eastAsia" w:cs="Times New Roman"/>
                      <w:color w:val="FF0000"/>
                      <w:sz w:val="21"/>
                      <w:szCs w:val="21"/>
                      <w:lang w:val="en-US" w:eastAsia="zh-CN"/>
                    </w:rPr>
                    <w:t>20</w:t>
                  </w:r>
                </w:p>
              </w:tc>
            </w:tr>
            <w:tr w14:paraId="21EF26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1" w:type="pct"/>
                  <w:tcBorders>
                    <w:top w:val="single" w:color="auto" w:sz="4" w:space="0"/>
                    <w:bottom w:val="single" w:color="auto" w:sz="4" w:space="0"/>
                    <w:right w:val="single" w:color="auto" w:sz="4" w:space="0"/>
                  </w:tcBorders>
                  <w:noWrap w:val="0"/>
                  <w:vAlign w:val="center"/>
                </w:tcPr>
                <w:p w14:paraId="7F15800E">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庐山</w:t>
                  </w:r>
                  <w:r>
                    <w:rPr>
                      <w:rFonts w:hint="default" w:ascii="Times New Roman" w:hAnsi="Times New Roman" w:eastAsia="宋体" w:cs="Times New Roman"/>
                      <w:color w:val="auto"/>
                      <w:sz w:val="21"/>
                      <w:szCs w:val="21"/>
                      <w:lang w:eastAsia="zh-CN"/>
                    </w:rPr>
                    <w:t>工业污水处理厂</w:t>
                  </w:r>
                </w:p>
                <w:p w14:paraId="7EFB24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接管标准</w:t>
                  </w:r>
                </w:p>
              </w:tc>
              <w:tc>
                <w:tcPr>
                  <w:tcW w:w="432" w:type="pct"/>
                  <w:tcBorders>
                    <w:top w:val="single" w:color="auto" w:sz="4" w:space="0"/>
                    <w:left w:val="single" w:color="auto" w:sz="4" w:space="0"/>
                    <w:bottom w:val="single" w:color="auto" w:sz="4" w:space="0"/>
                    <w:right w:val="single" w:color="auto" w:sz="4" w:space="0"/>
                  </w:tcBorders>
                  <w:noWrap w:val="0"/>
                  <w:vAlign w:val="center"/>
                </w:tcPr>
                <w:p w14:paraId="721891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6A78D7F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500</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14134F7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300</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4C839EE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400</w:t>
                  </w:r>
                </w:p>
              </w:tc>
              <w:tc>
                <w:tcPr>
                  <w:tcW w:w="468" w:type="pct"/>
                  <w:tcBorders>
                    <w:top w:val="single" w:color="auto" w:sz="4" w:space="0"/>
                    <w:left w:val="single" w:color="auto" w:sz="4" w:space="0"/>
                    <w:bottom w:val="single" w:color="auto" w:sz="4" w:space="0"/>
                    <w:right w:val="single" w:color="auto" w:sz="4" w:space="0"/>
                  </w:tcBorders>
                  <w:noWrap w:val="0"/>
                  <w:vAlign w:val="center"/>
                </w:tcPr>
                <w:p w14:paraId="0B5BCFE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50</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70C637C2">
                  <w:pPr>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p>
              </w:tc>
              <w:tc>
                <w:tcPr>
                  <w:tcW w:w="409" w:type="pct"/>
                  <w:tcBorders>
                    <w:top w:val="single" w:color="auto" w:sz="4" w:space="0"/>
                    <w:left w:val="single" w:color="auto" w:sz="4" w:space="0"/>
                    <w:bottom w:val="single" w:color="auto" w:sz="4" w:space="0"/>
                    <w:right w:val="nil"/>
                  </w:tcBorders>
                  <w:noWrap w:val="0"/>
                  <w:vAlign w:val="center"/>
                </w:tcPr>
                <w:p w14:paraId="7E3AE10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410" w:type="pct"/>
                  <w:tcBorders>
                    <w:top w:val="single" w:color="auto" w:sz="4" w:space="0"/>
                    <w:left w:val="single" w:color="auto" w:sz="4" w:space="0"/>
                    <w:bottom w:val="single" w:color="auto" w:sz="4" w:space="0"/>
                    <w:right w:val="nil"/>
                  </w:tcBorders>
                  <w:noWrap w:val="0"/>
                  <w:vAlign w:val="center"/>
                </w:tcPr>
                <w:p w14:paraId="484D29AD">
                  <w:pPr>
                    <w:jc w:val="center"/>
                    <w:rPr>
                      <w:rFonts w:hint="eastAsia" w:ascii="Times New Roman" w:hAnsi="Times New Roman" w:eastAsia="宋体" w:cs="Times New Roman"/>
                      <w:color w:val="auto"/>
                      <w:sz w:val="21"/>
                      <w:szCs w:val="21"/>
                      <w:lang w:val="en-US" w:eastAsia="zh-CN"/>
                    </w:rPr>
                  </w:pPr>
                  <w:r>
                    <w:rPr>
                      <w:rFonts w:hint="eastAsia" w:cs="Times New Roman"/>
                      <w:color w:val="FF0000"/>
                      <w:sz w:val="21"/>
                      <w:szCs w:val="21"/>
                      <w:lang w:val="en-US" w:eastAsia="zh-CN"/>
                    </w:rPr>
                    <w:t>/</w:t>
                  </w:r>
                </w:p>
              </w:tc>
            </w:tr>
            <w:tr w14:paraId="476851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1" w:type="pct"/>
                  <w:tcBorders>
                    <w:top w:val="single" w:color="auto" w:sz="4" w:space="0"/>
                    <w:bottom w:val="single" w:color="auto" w:sz="4" w:space="0"/>
                    <w:right w:val="single" w:color="auto" w:sz="4" w:space="0"/>
                  </w:tcBorders>
                  <w:noWrap w:val="0"/>
                  <w:vAlign w:val="center"/>
                </w:tcPr>
                <w:p w14:paraId="21258AA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（DB36/852-2015）</w:t>
                  </w:r>
                </w:p>
                <w:p w14:paraId="77024C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中湖体核心保护区标准</w:t>
                  </w:r>
                </w:p>
              </w:tc>
              <w:tc>
                <w:tcPr>
                  <w:tcW w:w="432" w:type="pct"/>
                  <w:tcBorders>
                    <w:top w:val="single" w:color="auto" w:sz="4" w:space="0"/>
                    <w:left w:val="single" w:color="auto" w:sz="4" w:space="0"/>
                    <w:bottom w:val="single" w:color="auto" w:sz="4" w:space="0"/>
                    <w:right w:val="single" w:color="auto" w:sz="4" w:space="0"/>
                  </w:tcBorders>
                  <w:noWrap w:val="0"/>
                  <w:vAlign w:val="center"/>
                </w:tcPr>
                <w:p w14:paraId="4E2AF3BF">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08" w:type="pct"/>
                  <w:tcBorders>
                    <w:top w:val="single" w:color="auto" w:sz="4" w:space="0"/>
                    <w:left w:val="single" w:color="auto" w:sz="4" w:space="0"/>
                    <w:bottom w:val="single" w:color="auto" w:sz="4" w:space="0"/>
                    <w:right w:val="single" w:color="auto" w:sz="4" w:space="0"/>
                  </w:tcBorders>
                  <w:noWrap w:val="0"/>
                  <w:vAlign w:val="center"/>
                </w:tcPr>
                <w:p w14:paraId="3E038FE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42DB5ED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70" w:type="pct"/>
                  <w:tcBorders>
                    <w:top w:val="single" w:color="auto" w:sz="4" w:space="0"/>
                    <w:left w:val="single" w:color="auto" w:sz="4" w:space="0"/>
                    <w:bottom w:val="single" w:color="auto" w:sz="4" w:space="0"/>
                    <w:right w:val="single" w:color="auto" w:sz="4" w:space="0"/>
                  </w:tcBorders>
                  <w:noWrap w:val="0"/>
                  <w:vAlign w:val="center"/>
                </w:tcPr>
                <w:p w14:paraId="1DC8CEB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468" w:type="pct"/>
                  <w:tcBorders>
                    <w:top w:val="single" w:color="auto" w:sz="4" w:space="0"/>
                    <w:left w:val="single" w:color="auto" w:sz="4" w:space="0"/>
                    <w:bottom w:val="single" w:color="auto" w:sz="4" w:space="0"/>
                    <w:right w:val="single" w:color="auto" w:sz="4" w:space="0"/>
                  </w:tcBorders>
                  <w:noWrap w:val="0"/>
                  <w:vAlign w:val="center"/>
                </w:tcPr>
                <w:p w14:paraId="41B9550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341" w:type="pct"/>
                  <w:tcBorders>
                    <w:top w:val="single" w:color="auto" w:sz="4" w:space="0"/>
                    <w:left w:val="single" w:color="auto" w:sz="4" w:space="0"/>
                    <w:bottom w:val="single" w:color="auto" w:sz="4" w:space="0"/>
                    <w:right w:val="single" w:color="auto" w:sz="4" w:space="0"/>
                  </w:tcBorders>
                  <w:noWrap w:val="0"/>
                  <w:vAlign w:val="center"/>
                </w:tcPr>
                <w:p w14:paraId="4343E0F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409" w:type="pct"/>
                  <w:tcBorders>
                    <w:top w:val="single" w:color="auto" w:sz="4" w:space="0"/>
                    <w:left w:val="single" w:color="auto" w:sz="4" w:space="0"/>
                    <w:bottom w:val="single" w:color="auto" w:sz="4" w:space="0"/>
                    <w:right w:val="single" w:color="auto" w:sz="4" w:space="0"/>
                  </w:tcBorders>
                  <w:noWrap w:val="0"/>
                  <w:vAlign w:val="center"/>
                </w:tcPr>
                <w:p w14:paraId="4B85F9F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410" w:type="pct"/>
                  <w:tcBorders>
                    <w:top w:val="single" w:color="auto" w:sz="4" w:space="0"/>
                    <w:left w:val="single" w:color="auto" w:sz="4" w:space="0"/>
                    <w:bottom w:val="single" w:color="auto" w:sz="4" w:space="0"/>
                    <w:right w:val="nil"/>
                  </w:tcBorders>
                  <w:noWrap w:val="0"/>
                  <w:vAlign w:val="center"/>
                </w:tcPr>
                <w:p w14:paraId="57863ECB">
                  <w:pPr>
                    <w:jc w:val="center"/>
                    <w:rPr>
                      <w:rFonts w:hint="eastAsia" w:ascii="Times New Roman" w:hAnsi="Times New Roman" w:eastAsia="宋体" w:cs="Times New Roman"/>
                      <w:color w:val="auto"/>
                      <w:sz w:val="21"/>
                      <w:szCs w:val="21"/>
                      <w:lang w:val="en-US" w:eastAsia="zh-CN"/>
                    </w:rPr>
                  </w:pPr>
                  <w:r>
                    <w:rPr>
                      <w:rFonts w:hint="eastAsia" w:cs="Times New Roman"/>
                      <w:color w:val="FF0000"/>
                      <w:sz w:val="21"/>
                      <w:szCs w:val="21"/>
                      <w:lang w:val="en-US" w:eastAsia="zh-CN"/>
                    </w:rPr>
                    <w:t>/</w:t>
                  </w:r>
                </w:p>
              </w:tc>
            </w:tr>
            <w:tr w14:paraId="55E83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1" w:type="pct"/>
                  <w:tcBorders>
                    <w:top w:val="single" w:color="auto" w:sz="4" w:space="0"/>
                    <w:bottom w:val="single" w:color="auto" w:sz="12" w:space="0"/>
                  </w:tcBorders>
                  <w:noWrap w:val="0"/>
                  <w:vAlign w:val="center"/>
                </w:tcPr>
                <w:p w14:paraId="6D0B86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（GB18918-2002）</w:t>
                  </w:r>
                </w:p>
                <w:p w14:paraId="10D24C21">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中</w:t>
                  </w:r>
                  <w:r>
                    <w:rPr>
                      <w:rFonts w:hint="default" w:ascii="Times New Roman" w:hAnsi="Times New Roman" w:eastAsia="宋体" w:cs="Times New Roman"/>
                      <w:color w:val="auto"/>
                      <w:sz w:val="21"/>
                      <w:szCs w:val="21"/>
                    </w:rPr>
                    <w:t>一级标准A标准</w:t>
                  </w:r>
                </w:p>
              </w:tc>
              <w:tc>
                <w:tcPr>
                  <w:tcW w:w="432" w:type="pct"/>
                  <w:tcBorders>
                    <w:top w:val="single" w:color="auto" w:sz="4" w:space="0"/>
                    <w:bottom w:val="single" w:color="auto" w:sz="12" w:space="0"/>
                  </w:tcBorders>
                  <w:noWrap w:val="0"/>
                  <w:vAlign w:val="center"/>
                </w:tcPr>
                <w:p w14:paraId="61BACD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508" w:type="pct"/>
                  <w:tcBorders>
                    <w:top w:val="single" w:color="auto" w:sz="4" w:space="0"/>
                    <w:bottom w:val="single" w:color="auto" w:sz="12" w:space="0"/>
                  </w:tcBorders>
                  <w:noWrap w:val="0"/>
                  <w:vAlign w:val="center"/>
                </w:tcPr>
                <w:p w14:paraId="68B0FB9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50</w:t>
                  </w:r>
                </w:p>
              </w:tc>
              <w:tc>
                <w:tcPr>
                  <w:tcW w:w="499" w:type="pct"/>
                  <w:tcBorders>
                    <w:top w:val="single" w:color="auto" w:sz="4" w:space="0"/>
                    <w:bottom w:val="single" w:color="auto" w:sz="12" w:space="0"/>
                  </w:tcBorders>
                  <w:noWrap w:val="0"/>
                  <w:vAlign w:val="center"/>
                </w:tcPr>
                <w:p w14:paraId="51302BB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470" w:type="pct"/>
                  <w:tcBorders>
                    <w:top w:val="single" w:color="auto" w:sz="4" w:space="0"/>
                    <w:bottom w:val="single" w:color="auto" w:sz="12" w:space="0"/>
                  </w:tcBorders>
                  <w:noWrap w:val="0"/>
                  <w:vAlign w:val="center"/>
                </w:tcPr>
                <w:p w14:paraId="04DADFB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10</w:t>
                  </w:r>
                </w:p>
              </w:tc>
              <w:tc>
                <w:tcPr>
                  <w:tcW w:w="468" w:type="pct"/>
                  <w:tcBorders>
                    <w:top w:val="single" w:color="auto" w:sz="4" w:space="0"/>
                    <w:bottom w:val="single" w:color="auto" w:sz="12" w:space="0"/>
                    <w:right w:val="nil"/>
                  </w:tcBorders>
                  <w:noWrap w:val="0"/>
                  <w:vAlign w:val="center"/>
                </w:tcPr>
                <w:p w14:paraId="54C019F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341" w:type="pct"/>
                  <w:tcBorders>
                    <w:top w:val="single" w:color="auto" w:sz="4" w:space="0"/>
                    <w:bottom w:val="single" w:color="auto" w:sz="12" w:space="0"/>
                    <w:right w:val="nil"/>
                  </w:tcBorders>
                  <w:noWrap w:val="0"/>
                  <w:vAlign w:val="center"/>
                </w:tcPr>
                <w:p w14:paraId="6C9BA5A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409" w:type="pct"/>
                  <w:tcBorders>
                    <w:top w:val="single" w:color="auto" w:sz="4" w:space="0"/>
                    <w:bottom w:val="single" w:color="auto" w:sz="12" w:space="0"/>
                    <w:right w:val="nil"/>
                  </w:tcBorders>
                  <w:noWrap w:val="0"/>
                  <w:vAlign w:val="center"/>
                </w:tcPr>
                <w:p w14:paraId="548EAE2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410" w:type="pct"/>
                  <w:tcBorders>
                    <w:top w:val="single" w:color="auto" w:sz="4" w:space="0"/>
                    <w:bottom w:val="single" w:color="auto" w:sz="12" w:space="0"/>
                    <w:right w:val="nil"/>
                  </w:tcBorders>
                  <w:noWrap w:val="0"/>
                  <w:vAlign w:val="center"/>
                </w:tcPr>
                <w:p w14:paraId="0499B142">
                  <w:pPr>
                    <w:jc w:val="center"/>
                    <w:rPr>
                      <w:rFonts w:hint="eastAsia" w:ascii="Times New Roman" w:hAnsi="Times New Roman" w:eastAsia="宋体" w:cs="Times New Roman"/>
                      <w:color w:val="auto"/>
                      <w:sz w:val="21"/>
                      <w:szCs w:val="21"/>
                      <w:lang w:val="en-US" w:eastAsia="zh-CN"/>
                    </w:rPr>
                  </w:pPr>
                  <w:r>
                    <w:rPr>
                      <w:rFonts w:hint="eastAsia" w:cs="Times New Roman"/>
                      <w:color w:val="FF0000"/>
                      <w:sz w:val="21"/>
                      <w:szCs w:val="21"/>
                      <w:lang w:val="en-US" w:eastAsia="zh-CN"/>
                    </w:rPr>
                    <w:t>/</w:t>
                  </w:r>
                </w:p>
              </w:tc>
            </w:tr>
          </w:tbl>
          <w:p w14:paraId="3BBE6D9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2、废气排放标准</w:t>
            </w:r>
          </w:p>
          <w:p w14:paraId="046D87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rPr>
            </w:pPr>
            <w:r>
              <w:rPr>
                <w:rFonts w:hint="eastAsia"/>
                <w:color w:val="auto"/>
                <w:kern w:val="0"/>
                <w:sz w:val="24"/>
              </w:rPr>
              <w:t>项目厂界无组织粉尘执行《大气污染物综合排放标准》(DB31/933-2015)表3无组织排放标准限值</w:t>
            </w:r>
            <w:r>
              <w:rPr>
                <w:rFonts w:hint="eastAsia"/>
                <w:color w:val="auto"/>
                <w:kern w:val="0"/>
                <w:sz w:val="24"/>
                <w:lang w:eastAsia="zh-CN"/>
              </w:rPr>
              <w:t>；</w:t>
            </w:r>
            <w:r>
              <w:rPr>
                <w:rFonts w:hint="eastAsia"/>
                <w:color w:val="auto"/>
                <w:kern w:val="0"/>
                <w:sz w:val="24"/>
              </w:rPr>
              <w:t>厂界非甲烷总烃排放执行《挥发性有机物排放标准第3部分</w:t>
            </w:r>
            <w:r>
              <w:rPr>
                <w:rFonts w:hint="eastAsia"/>
                <w:color w:val="auto"/>
                <w:kern w:val="0"/>
                <w:sz w:val="24"/>
                <w:lang w:eastAsia="zh-CN"/>
              </w:rPr>
              <w:t>：</w:t>
            </w:r>
            <w:r>
              <w:rPr>
                <w:rFonts w:hint="eastAsia"/>
                <w:color w:val="auto"/>
                <w:kern w:val="0"/>
                <w:sz w:val="24"/>
              </w:rPr>
              <w:t>医药制造业(DB36/1101.3-2019)表3无组织排放标准限值</w:t>
            </w:r>
            <w:r>
              <w:rPr>
                <w:rFonts w:hint="eastAsia"/>
                <w:color w:val="auto"/>
                <w:kern w:val="0"/>
                <w:sz w:val="24"/>
                <w:lang w:eastAsia="zh-CN"/>
              </w:rPr>
              <w:t>；</w:t>
            </w:r>
            <w:r>
              <w:rPr>
                <w:rFonts w:hint="eastAsia" w:ascii="Times New Roman" w:hAnsi="Times New Roman" w:eastAsia="宋体" w:cs="Times New Roman"/>
                <w:color w:val="auto"/>
                <w:sz w:val="24"/>
                <w:szCs w:val="24"/>
                <w:highlight w:val="none"/>
                <w:shd w:val="clear" w:color="auto" w:fill="auto"/>
                <w:lang w:val="en-US" w:eastAsia="zh-CN" w:bidi="ar"/>
              </w:rPr>
              <w:t>氨排放执行《恶臭污染物排放标准》（GB14554-93）表1中“新改扩建项目”二级排放标准要求</w:t>
            </w:r>
            <w:r>
              <w:rPr>
                <w:rFonts w:hint="eastAsia" w:cs="Times New Roman"/>
                <w:b w:val="0"/>
                <w:bCs w:val="0"/>
                <w:color w:val="auto"/>
                <w:kern w:val="0"/>
                <w:sz w:val="24"/>
                <w:szCs w:val="24"/>
                <w:lang w:val="en-US" w:eastAsia="zh-CN"/>
              </w:rPr>
              <w:t>。</w:t>
            </w:r>
            <w:r>
              <w:rPr>
                <w:rFonts w:hint="eastAsia" w:ascii="Times New Roman" w:hAnsi="Times New Roman" w:eastAsia="宋体" w:cs="Times New Roman"/>
                <w:color w:val="auto"/>
                <w:sz w:val="24"/>
                <w:szCs w:val="24"/>
                <w:highlight w:val="none"/>
                <w:shd w:val="clear" w:color="auto" w:fill="auto"/>
                <w:lang w:val="en-US" w:eastAsia="zh-CN" w:bidi="ar"/>
              </w:rPr>
              <w:t>厂区内有机废气排放执行《挥发性有机物无组织排放控制标准》（GB37822-2019）中表A.1相关标准。</w:t>
            </w:r>
            <w:r>
              <w:rPr>
                <w:rFonts w:hint="eastAsia" w:cs="Times New Roman"/>
                <w:b w:val="0"/>
                <w:bCs w:val="0"/>
                <w:color w:val="auto"/>
                <w:kern w:val="0"/>
                <w:sz w:val="24"/>
                <w:szCs w:val="24"/>
                <w:lang w:val="en-US" w:eastAsia="zh-CN"/>
              </w:rPr>
              <w:t>具体标准限值见下表。</w:t>
            </w:r>
          </w:p>
          <w:p w14:paraId="0DA0A4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highlight w:val="none"/>
                <w:shd w:val="clear" w:color="auto" w:fill="auto"/>
                <w:lang w:eastAsia="zh-CN"/>
              </w:rPr>
            </w:pPr>
            <w:r>
              <w:rPr>
                <w:rFonts w:hint="eastAsia" w:ascii="Times New Roman" w:hAnsi="Times New Roman" w:eastAsia="宋体" w:cs="Times New Roman"/>
                <w:b/>
                <w:bCs/>
                <w:color w:val="auto"/>
                <w:sz w:val="21"/>
                <w:szCs w:val="21"/>
                <w:highlight w:val="none"/>
                <w:shd w:val="clear" w:color="auto" w:fill="auto"/>
                <w:lang w:val="en-US" w:eastAsia="zh-CN"/>
              </w:rPr>
              <w:t>表3-</w:t>
            </w:r>
            <w:r>
              <w:rPr>
                <w:rFonts w:hint="eastAsia" w:cs="Times New Roman"/>
                <w:b/>
                <w:bCs/>
                <w:color w:val="auto"/>
                <w:sz w:val="21"/>
                <w:szCs w:val="21"/>
                <w:highlight w:val="none"/>
                <w:shd w:val="clear" w:color="auto" w:fill="auto"/>
                <w:lang w:val="en-US" w:eastAsia="zh-CN"/>
              </w:rPr>
              <w:t xml:space="preserve">6 </w:t>
            </w:r>
            <w:r>
              <w:rPr>
                <w:rFonts w:hint="eastAsia" w:ascii="Times New Roman" w:hAnsi="Times New Roman" w:eastAsia="宋体" w:cs="Times New Roman"/>
                <w:b/>
                <w:bCs/>
                <w:color w:val="auto"/>
                <w:sz w:val="21"/>
                <w:szCs w:val="21"/>
                <w:highlight w:val="none"/>
                <w:shd w:val="clear" w:color="auto" w:fill="auto"/>
                <w:lang w:val="en-US" w:eastAsia="zh-CN"/>
              </w:rPr>
              <w:t xml:space="preserve"> </w:t>
            </w:r>
            <w:r>
              <w:rPr>
                <w:rFonts w:hint="eastAsia" w:ascii="Times New Roman" w:hAnsi="Times New Roman" w:eastAsia="宋体" w:cs="Times New Roman"/>
                <w:b/>
                <w:bCs/>
                <w:color w:val="auto"/>
                <w:sz w:val="21"/>
                <w:szCs w:val="21"/>
                <w:highlight w:val="none"/>
                <w:shd w:val="clear" w:color="auto" w:fill="auto"/>
                <w:lang w:eastAsia="zh-CN"/>
              </w:rPr>
              <w:t>大气污染物最高允许排放浓度</w:t>
            </w:r>
          </w:p>
          <w:tbl>
            <w:tblPr>
              <w:tblStyle w:val="25"/>
              <w:tblW w:w="814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945"/>
              <w:gridCol w:w="1508"/>
              <w:gridCol w:w="1929"/>
              <w:gridCol w:w="3339"/>
            </w:tblGrid>
            <w:tr w14:paraId="3AA25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73" w:type="dxa"/>
                  <w:gridSpan w:val="2"/>
                  <w:vMerge w:val="restart"/>
                  <w:tcBorders>
                    <w:tl2br w:val="nil"/>
                    <w:tr2bl w:val="nil"/>
                  </w:tcBorders>
                  <w:noWrap w:val="0"/>
                  <w:vAlign w:val="center"/>
                </w:tcPr>
                <w:p w14:paraId="604C02F8">
                  <w:pPr>
                    <w:spacing w:before="20" w:after="20"/>
                    <w:jc w:val="center"/>
                    <w:rPr>
                      <w:rFonts w:hint="eastAsia"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bCs/>
                      <w:color w:val="auto"/>
                      <w:sz w:val="21"/>
                      <w:szCs w:val="21"/>
                    </w:rPr>
                    <w:t>污染物</w:t>
                  </w:r>
                </w:p>
              </w:tc>
              <w:tc>
                <w:tcPr>
                  <w:tcW w:w="3437" w:type="dxa"/>
                  <w:gridSpan w:val="2"/>
                  <w:tcBorders>
                    <w:tl2br w:val="nil"/>
                    <w:tr2bl w:val="nil"/>
                  </w:tcBorders>
                  <w:noWrap w:val="0"/>
                  <w:vAlign w:val="center"/>
                </w:tcPr>
                <w:p w14:paraId="3186F3F2">
                  <w:pPr>
                    <w:spacing w:before="20" w:after="20"/>
                    <w:jc w:val="center"/>
                    <w:rPr>
                      <w:rFonts w:hint="eastAsia" w:ascii="Times New Roman" w:hAnsi="Times New Roman" w:eastAsia="宋体" w:cs="Times New Roman"/>
                      <w:b/>
                      <w:bCs/>
                      <w:color w:val="auto"/>
                      <w:sz w:val="21"/>
                      <w:szCs w:val="21"/>
                      <w:highlight w:val="none"/>
                      <w:shd w:val="clear" w:color="auto" w:fill="auto"/>
                      <w:vertAlign w:val="baseline"/>
                      <w:lang w:val="en-US" w:eastAsia="zh-CN"/>
                    </w:rPr>
                  </w:pPr>
                  <w:r>
                    <w:rPr>
                      <w:rFonts w:hint="eastAsia" w:ascii="Times New Roman" w:hAnsi="Times New Roman" w:eastAsia="宋体" w:cs="Times New Roman"/>
                      <w:b/>
                      <w:bCs/>
                      <w:color w:val="auto"/>
                      <w:sz w:val="21"/>
                      <w:szCs w:val="21"/>
                      <w:lang w:eastAsia="zh-CN"/>
                    </w:rPr>
                    <w:t>排放控制要求</w:t>
                  </w:r>
                </w:p>
              </w:tc>
              <w:tc>
                <w:tcPr>
                  <w:tcW w:w="3339" w:type="dxa"/>
                  <w:vMerge w:val="restart"/>
                  <w:tcBorders>
                    <w:tl2br w:val="nil"/>
                    <w:tr2bl w:val="nil"/>
                  </w:tcBorders>
                  <w:noWrap w:val="0"/>
                  <w:vAlign w:val="center"/>
                </w:tcPr>
                <w:p w14:paraId="7B260384">
                  <w:pPr>
                    <w:spacing w:before="20" w:after="20"/>
                    <w:jc w:val="center"/>
                    <w:rPr>
                      <w:rFonts w:hint="eastAsia"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bCs/>
                      <w:color w:val="auto"/>
                      <w:sz w:val="21"/>
                      <w:szCs w:val="21"/>
                    </w:rPr>
                    <w:t>执行标准名称</w:t>
                  </w:r>
                </w:p>
              </w:tc>
            </w:tr>
            <w:tr w14:paraId="2C511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373" w:type="dxa"/>
                  <w:gridSpan w:val="2"/>
                  <w:vMerge w:val="continue"/>
                  <w:tcBorders>
                    <w:tl2br w:val="nil"/>
                    <w:tr2bl w:val="nil"/>
                  </w:tcBorders>
                  <w:noWrap w:val="0"/>
                  <w:vAlign w:val="center"/>
                </w:tcPr>
                <w:p w14:paraId="379330E3">
                  <w:pPr>
                    <w:spacing w:before="20" w:after="20"/>
                    <w:jc w:val="center"/>
                    <w:rPr>
                      <w:rFonts w:hint="eastAsia" w:ascii="Times New Roman" w:hAnsi="Times New Roman" w:eastAsia="宋体" w:cs="Times New Roman"/>
                      <w:b/>
                      <w:bCs/>
                      <w:color w:val="auto"/>
                      <w:sz w:val="21"/>
                      <w:szCs w:val="21"/>
                      <w:highlight w:val="none"/>
                      <w:shd w:val="clear" w:color="auto" w:fill="auto"/>
                      <w:vertAlign w:val="baseline"/>
                      <w:lang w:val="en-US" w:eastAsia="zh-CN"/>
                    </w:rPr>
                  </w:pPr>
                </w:p>
              </w:tc>
              <w:tc>
                <w:tcPr>
                  <w:tcW w:w="1508" w:type="dxa"/>
                  <w:tcBorders>
                    <w:tl2br w:val="nil"/>
                    <w:tr2bl w:val="nil"/>
                  </w:tcBorders>
                  <w:noWrap w:val="0"/>
                  <w:vAlign w:val="center"/>
                </w:tcPr>
                <w:p w14:paraId="3449544F">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929" w:type="dxa"/>
                  <w:tcBorders>
                    <w:tl2br w:val="nil"/>
                    <w:tr2bl w:val="nil"/>
                  </w:tcBorders>
                  <w:noWrap w:val="0"/>
                  <w:vAlign w:val="center"/>
                </w:tcPr>
                <w:p w14:paraId="4C9831F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1"/>
                      <w:szCs w:val="21"/>
                      <w:highlight w:val="none"/>
                      <w:shd w:val="clear" w:color="auto" w:fill="auto"/>
                      <w:vertAlign w:val="baseline"/>
                      <w:lang w:val="en-US" w:eastAsia="zh-CN"/>
                    </w:rPr>
                  </w:pPr>
                  <w:r>
                    <w:rPr>
                      <w:rFonts w:hint="default" w:ascii="Times New Roman" w:hAnsi="Times New Roman" w:eastAsia="宋体" w:cs="Times New Roman"/>
                      <w:b/>
                      <w:bCs/>
                      <w:color w:val="auto"/>
                      <w:sz w:val="21"/>
                      <w:szCs w:val="21"/>
                    </w:rPr>
                    <w:t>排气筒高度（m）</w:t>
                  </w:r>
                </w:p>
              </w:tc>
              <w:tc>
                <w:tcPr>
                  <w:tcW w:w="3339" w:type="dxa"/>
                  <w:vMerge w:val="continue"/>
                  <w:tcBorders>
                    <w:tl2br w:val="nil"/>
                    <w:tr2bl w:val="nil"/>
                  </w:tcBorders>
                  <w:noWrap w:val="0"/>
                  <w:vAlign w:val="center"/>
                </w:tcPr>
                <w:p w14:paraId="48FD61D5">
                  <w:pPr>
                    <w:spacing w:before="20" w:after="20"/>
                    <w:jc w:val="center"/>
                    <w:rPr>
                      <w:rFonts w:hint="eastAsia" w:ascii="Times New Roman" w:hAnsi="Times New Roman" w:eastAsia="宋体" w:cs="Times New Roman"/>
                      <w:b/>
                      <w:bCs/>
                      <w:color w:val="auto"/>
                      <w:sz w:val="21"/>
                      <w:szCs w:val="21"/>
                      <w:highlight w:val="none"/>
                      <w:shd w:val="clear" w:color="auto" w:fill="auto"/>
                      <w:vertAlign w:val="baseline"/>
                      <w:lang w:val="en-US" w:eastAsia="zh-CN"/>
                    </w:rPr>
                  </w:pPr>
                </w:p>
              </w:tc>
            </w:tr>
            <w:tr w14:paraId="1740E0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28" w:type="dxa"/>
                  <w:vMerge w:val="restart"/>
                  <w:tcBorders>
                    <w:tl2br w:val="nil"/>
                    <w:tr2bl w:val="nil"/>
                  </w:tcBorders>
                  <w:noWrap w:val="0"/>
                  <w:vAlign w:val="center"/>
                </w:tcPr>
                <w:p w14:paraId="4561456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1"/>
                      <w:szCs w:val="21"/>
                      <w:highlight w:val="none"/>
                      <w:shd w:val="clear" w:color="auto" w:fill="auto"/>
                      <w:vertAlign w:val="baseline"/>
                      <w:lang w:val="en-US" w:eastAsia="zh-CN"/>
                    </w:rPr>
                  </w:pPr>
                  <w:r>
                    <w:rPr>
                      <w:rFonts w:hint="eastAsia" w:ascii="Times New Roman" w:hAnsi="Times New Roman" w:eastAsia="宋体" w:cs="Times New Roman"/>
                      <w:bCs/>
                      <w:color w:val="auto"/>
                      <w:sz w:val="21"/>
                      <w:szCs w:val="21"/>
                      <w:lang w:eastAsia="zh-CN"/>
                    </w:rPr>
                    <w:t>无组织</w:t>
                  </w:r>
                </w:p>
              </w:tc>
              <w:tc>
                <w:tcPr>
                  <w:tcW w:w="945" w:type="dxa"/>
                  <w:tcBorders>
                    <w:tl2br w:val="nil"/>
                    <w:tr2bl w:val="nil"/>
                  </w:tcBorders>
                  <w:noWrap w:val="0"/>
                  <w:vAlign w:val="center"/>
                </w:tcPr>
                <w:p w14:paraId="7C09C8CE">
                  <w:pPr>
                    <w:keepNext w:val="0"/>
                    <w:keepLines w:val="0"/>
                    <w:pageBreakBefore w:val="0"/>
                    <w:widowControl w:val="0"/>
                    <w:kinsoku/>
                    <w:wordWrap/>
                    <w:overflowPunct/>
                    <w:topLinePunct w:val="0"/>
                    <w:autoSpaceDE/>
                    <w:autoSpaceDN/>
                    <w:bidi w:val="0"/>
                    <w:adjustRightInd/>
                    <w:snapToGrid/>
                    <w:jc w:val="center"/>
                    <w:textAlignment w:val="auto"/>
                    <w:rPr>
                      <w:color w:val="auto"/>
                      <w:sz w:val="21"/>
                      <w:szCs w:val="21"/>
                    </w:rPr>
                  </w:pPr>
                  <w:r>
                    <w:rPr>
                      <w:rFonts w:hint="default" w:ascii="Times New Roman" w:hAnsi="Times New Roman" w:eastAsia="宋体" w:cs="Times New Roman"/>
                      <w:bCs/>
                      <w:color w:val="auto"/>
                      <w:sz w:val="21"/>
                      <w:szCs w:val="21"/>
                    </w:rPr>
                    <w:t>颗粒物</w:t>
                  </w:r>
                </w:p>
              </w:tc>
              <w:tc>
                <w:tcPr>
                  <w:tcW w:w="1508" w:type="dxa"/>
                  <w:tcBorders>
                    <w:tl2br w:val="nil"/>
                    <w:tr2bl w:val="nil"/>
                  </w:tcBorders>
                  <w:noWrap w:val="0"/>
                  <w:vAlign w:val="center"/>
                </w:tcPr>
                <w:p w14:paraId="623F3FD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0.5</w:t>
                  </w:r>
                </w:p>
              </w:tc>
              <w:tc>
                <w:tcPr>
                  <w:tcW w:w="1929" w:type="dxa"/>
                  <w:tcBorders>
                    <w:tl2br w:val="nil"/>
                    <w:tr2bl w:val="nil"/>
                  </w:tcBorders>
                  <w:noWrap w:val="0"/>
                  <w:vAlign w:val="center"/>
                </w:tcPr>
                <w:p w14:paraId="10575DD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 w:val="21"/>
                      <w:szCs w:val="21"/>
                      <w:highlight w:val="none"/>
                      <w:shd w:val="clear" w:color="auto" w:fill="auto"/>
                      <w:vertAlign w:val="baseline"/>
                      <w:lang w:val="en-US" w:eastAsia="zh-CN"/>
                    </w:rPr>
                  </w:pPr>
                  <w:r>
                    <w:rPr>
                      <w:rFonts w:hint="eastAsia" w:ascii="Times New Roman" w:hAnsi="Times New Roman" w:eastAsia="宋体" w:cs="Times New Roman"/>
                      <w:bCs/>
                      <w:color w:val="auto"/>
                      <w:kern w:val="2"/>
                      <w:sz w:val="21"/>
                      <w:szCs w:val="21"/>
                      <w:lang w:val="en-US" w:eastAsia="zh-CN" w:bidi="ar-SA"/>
                    </w:rPr>
                    <w:t>/</w:t>
                  </w:r>
                </w:p>
              </w:tc>
              <w:tc>
                <w:tcPr>
                  <w:tcW w:w="3339" w:type="dxa"/>
                  <w:tcBorders>
                    <w:tl2br w:val="nil"/>
                    <w:tr2bl w:val="nil"/>
                  </w:tcBorders>
                  <w:noWrap w:val="0"/>
                  <w:vAlign w:val="center"/>
                </w:tcPr>
                <w:p w14:paraId="59A8B620">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《大气污染物综合排放标准》（DB31/933-2015）</w:t>
                  </w:r>
                </w:p>
              </w:tc>
            </w:tr>
            <w:tr w14:paraId="64906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28" w:type="dxa"/>
                  <w:vMerge w:val="continue"/>
                  <w:tcBorders>
                    <w:tl2br w:val="nil"/>
                    <w:tr2bl w:val="nil"/>
                  </w:tcBorders>
                  <w:noWrap w:val="0"/>
                  <w:vAlign w:val="center"/>
                </w:tcPr>
                <w:p w14:paraId="6AD6D59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z w:val="21"/>
                      <w:szCs w:val="21"/>
                      <w:lang w:eastAsia="zh-CN"/>
                    </w:rPr>
                  </w:pPr>
                </w:p>
              </w:tc>
              <w:tc>
                <w:tcPr>
                  <w:tcW w:w="945" w:type="dxa"/>
                  <w:tcBorders>
                    <w:tl2br w:val="nil"/>
                    <w:tr2bl w:val="nil"/>
                  </w:tcBorders>
                  <w:noWrap w:val="0"/>
                  <w:vAlign w:val="center"/>
                </w:tcPr>
                <w:p w14:paraId="6531A0CB">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FF0000"/>
                      <w:sz w:val="21"/>
                      <w:szCs w:val="21"/>
                      <w:lang w:val="en-US" w:eastAsia="zh-CN"/>
                    </w:rPr>
                  </w:pPr>
                  <w:r>
                    <w:rPr>
                      <w:rFonts w:hint="eastAsia" w:cs="Times New Roman"/>
                      <w:bCs/>
                      <w:color w:val="FF0000"/>
                      <w:sz w:val="21"/>
                      <w:szCs w:val="21"/>
                      <w:lang w:val="en-US" w:eastAsia="zh-CN"/>
                    </w:rPr>
                    <w:t>非甲烷总烃</w:t>
                  </w:r>
                </w:p>
              </w:tc>
              <w:tc>
                <w:tcPr>
                  <w:tcW w:w="1508" w:type="dxa"/>
                  <w:tcBorders>
                    <w:tl2br w:val="nil"/>
                    <w:tr2bl w:val="nil"/>
                  </w:tcBorders>
                  <w:noWrap w:val="0"/>
                  <w:vAlign w:val="center"/>
                </w:tcPr>
                <w:p w14:paraId="675D2E8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FF0000"/>
                      <w:kern w:val="2"/>
                      <w:sz w:val="21"/>
                      <w:szCs w:val="21"/>
                      <w:lang w:val="en-US" w:eastAsia="zh-CN" w:bidi="ar-SA"/>
                    </w:rPr>
                  </w:pPr>
                  <w:r>
                    <w:rPr>
                      <w:rFonts w:hint="eastAsia" w:cs="Times New Roman"/>
                      <w:bCs/>
                      <w:color w:val="FF0000"/>
                      <w:kern w:val="2"/>
                      <w:sz w:val="21"/>
                      <w:szCs w:val="21"/>
                      <w:lang w:val="en-US" w:eastAsia="zh-CN" w:bidi="ar-SA"/>
                    </w:rPr>
                    <w:t>2.0</w:t>
                  </w:r>
                </w:p>
              </w:tc>
              <w:tc>
                <w:tcPr>
                  <w:tcW w:w="1929" w:type="dxa"/>
                  <w:tcBorders>
                    <w:tl2br w:val="nil"/>
                    <w:tr2bl w:val="nil"/>
                  </w:tcBorders>
                  <w:noWrap w:val="0"/>
                  <w:vAlign w:val="center"/>
                </w:tcPr>
                <w:p w14:paraId="016213E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FF0000"/>
                      <w:kern w:val="2"/>
                      <w:sz w:val="21"/>
                      <w:szCs w:val="21"/>
                      <w:lang w:val="en-US" w:eastAsia="zh-CN" w:bidi="ar-SA"/>
                    </w:rPr>
                  </w:pPr>
                  <w:r>
                    <w:rPr>
                      <w:rFonts w:hint="eastAsia" w:ascii="Times New Roman" w:hAnsi="Times New Roman" w:eastAsia="宋体" w:cs="Times New Roman"/>
                      <w:bCs/>
                      <w:color w:val="FF0000"/>
                      <w:kern w:val="2"/>
                      <w:sz w:val="21"/>
                      <w:szCs w:val="21"/>
                      <w:lang w:val="en-US" w:eastAsia="zh-CN" w:bidi="ar-SA"/>
                    </w:rPr>
                    <w:t>/</w:t>
                  </w:r>
                </w:p>
              </w:tc>
              <w:tc>
                <w:tcPr>
                  <w:tcW w:w="3339" w:type="dxa"/>
                  <w:tcBorders>
                    <w:tl2br w:val="nil"/>
                    <w:tr2bl w:val="nil"/>
                  </w:tcBorders>
                  <w:noWrap w:val="0"/>
                  <w:vAlign w:val="center"/>
                </w:tcPr>
                <w:p w14:paraId="3CE532F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FF0000"/>
                      <w:kern w:val="0"/>
                      <w:sz w:val="21"/>
                      <w:szCs w:val="21"/>
                      <w:lang w:val="en-US" w:eastAsia="zh-CN"/>
                    </w:rPr>
                  </w:pPr>
                  <w:r>
                    <w:rPr>
                      <w:rFonts w:hint="eastAsia" w:ascii="Times New Roman" w:hAnsi="Times New Roman" w:eastAsia="宋体" w:cs="Times New Roman"/>
                      <w:color w:val="FF0000"/>
                      <w:kern w:val="0"/>
                      <w:sz w:val="21"/>
                      <w:szCs w:val="21"/>
                      <w:lang w:val="en-US" w:eastAsia="zh-CN"/>
                    </w:rPr>
                    <w:t>《挥发性有机物排放标准第3部分：医药制造业(DB36/1101.3-2019)</w:t>
                  </w:r>
                </w:p>
              </w:tc>
            </w:tr>
            <w:tr w14:paraId="556CD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28" w:type="dxa"/>
                  <w:vMerge w:val="continue"/>
                  <w:tcBorders>
                    <w:tl2br w:val="nil"/>
                    <w:tr2bl w:val="nil"/>
                  </w:tcBorders>
                  <w:noWrap w:val="0"/>
                  <w:vAlign w:val="center"/>
                </w:tcPr>
                <w:p w14:paraId="0D631531">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z w:val="21"/>
                      <w:szCs w:val="21"/>
                      <w:lang w:eastAsia="zh-CN"/>
                    </w:rPr>
                  </w:pPr>
                </w:p>
              </w:tc>
              <w:tc>
                <w:tcPr>
                  <w:tcW w:w="945" w:type="dxa"/>
                  <w:tcBorders>
                    <w:tl2br w:val="nil"/>
                    <w:tr2bl w:val="nil"/>
                  </w:tcBorders>
                  <w:noWrap w:val="0"/>
                  <w:vAlign w:val="center"/>
                </w:tcPr>
                <w:p w14:paraId="02A6EBD6">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Cs/>
                      <w:color w:val="auto"/>
                      <w:sz w:val="21"/>
                      <w:szCs w:val="21"/>
                      <w:lang w:val="en-US" w:eastAsia="zh-CN"/>
                    </w:rPr>
                  </w:pPr>
                  <w:r>
                    <w:rPr>
                      <w:rFonts w:hint="eastAsia" w:cs="Times New Roman"/>
                      <w:bCs/>
                      <w:color w:val="auto"/>
                      <w:sz w:val="21"/>
                      <w:szCs w:val="21"/>
                      <w:lang w:val="en-US" w:eastAsia="zh-CN"/>
                    </w:rPr>
                    <w:t>氨</w:t>
                  </w:r>
                </w:p>
              </w:tc>
              <w:tc>
                <w:tcPr>
                  <w:tcW w:w="1508" w:type="dxa"/>
                  <w:tcBorders>
                    <w:tl2br w:val="nil"/>
                    <w:tr2bl w:val="nil"/>
                  </w:tcBorders>
                  <w:noWrap w:val="0"/>
                  <w:vAlign w:val="center"/>
                </w:tcPr>
                <w:p w14:paraId="02B485EE">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Cs/>
                      <w:color w:val="auto"/>
                      <w:kern w:val="2"/>
                      <w:sz w:val="21"/>
                      <w:szCs w:val="21"/>
                      <w:lang w:val="en-US" w:eastAsia="zh-CN" w:bidi="ar-SA"/>
                    </w:rPr>
                  </w:pPr>
                  <w:r>
                    <w:rPr>
                      <w:rFonts w:hint="eastAsia" w:cs="Times New Roman"/>
                      <w:bCs/>
                      <w:color w:val="auto"/>
                      <w:kern w:val="2"/>
                      <w:sz w:val="21"/>
                      <w:szCs w:val="21"/>
                      <w:lang w:val="en-US" w:eastAsia="zh-CN" w:bidi="ar-SA"/>
                    </w:rPr>
                    <w:t>1.5</w:t>
                  </w:r>
                </w:p>
              </w:tc>
              <w:tc>
                <w:tcPr>
                  <w:tcW w:w="1929" w:type="dxa"/>
                  <w:tcBorders>
                    <w:tl2br w:val="nil"/>
                    <w:tr2bl w:val="nil"/>
                  </w:tcBorders>
                  <w:noWrap w:val="0"/>
                  <w:vAlign w:val="center"/>
                </w:tcPr>
                <w:p w14:paraId="5834F9F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3339" w:type="dxa"/>
                  <w:tcBorders>
                    <w:tl2br w:val="nil"/>
                    <w:tr2bl w:val="nil"/>
                  </w:tcBorders>
                  <w:noWrap w:val="0"/>
                  <w:vAlign w:val="center"/>
                </w:tcPr>
                <w:p w14:paraId="1BC0D5F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Cs w:val="21"/>
                      <w:highlight w:val="none"/>
                      <w:lang w:val="en-US" w:eastAsia="zh-CN"/>
                    </w:rPr>
                    <w:t>《恶臭污染物排放标准》（GB14554-93）</w:t>
                  </w:r>
                </w:p>
              </w:tc>
            </w:tr>
            <w:tr w14:paraId="5BF1A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428" w:type="dxa"/>
                  <w:vMerge w:val="continue"/>
                  <w:tcBorders>
                    <w:tl2br w:val="nil"/>
                    <w:tr2bl w:val="nil"/>
                  </w:tcBorders>
                  <w:noWrap w:val="0"/>
                  <w:vAlign w:val="center"/>
                </w:tcPr>
                <w:p w14:paraId="1520447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z w:val="21"/>
                      <w:szCs w:val="21"/>
                      <w:lang w:eastAsia="zh-CN"/>
                    </w:rPr>
                  </w:pPr>
                </w:p>
              </w:tc>
              <w:tc>
                <w:tcPr>
                  <w:tcW w:w="945" w:type="dxa"/>
                  <w:vMerge w:val="restart"/>
                  <w:tcBorders>
                    <w:tl2br w:val="nil"/>
                    <w:tr2bl w:val="nil"/>
                  </w:tcBorders>
                  <w:noWrap w:val="0"/>
                  <w:vAlign w:val="center"/>
                </w:tcPr>
                <w:p w14:paraId="6E059C92">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z w:val="21"/>
                      <w:szCs w:val="21"/>
                      <w:lang w:val="en-US" w:eastAsia="zh-CN"/>
                    </w:rPr>
                  </w:pPr>
                  <w:r>
                    <w:rPr>
                      <w:rFonts w:hint="eastAsia"/>
                      <w:color w:val="auto"/>
                      <w:sz w:val="21"/>
                      <w:szCs w:val="21"/>
                      <w:highlight w:val="none"/>
                      <w:lang w:val="en-US" w:eastAsia="zh-CN"/>
                    </w:rPr>
                    <w:t>NMHC</w:t>
                  </w:r>
                </w:p>
              </w:tc>
              <w:tc>
                <w:tcPr>
                  <w:tcW w:w="3437" w:type="dxa"/>
                  <w:gridSpan w:val="2"/>
                  <w:tcBorders>
                    <w:tl2br w:val="nil"/>
                    <w:tr2bl w:val="nil"/>
                  </w:tcBorders>
                  <w:noWrap w:val="0"/>
                  <w:vAlign w:val="center"/>
                </w:tcPr>
                <w:p w14:paraId="52BF92BD">
                  <w:pPr>
                    <w:pStyle w:val="82"/>
                    <w:jc w:val="center"/>
                    <w:rPr>
                      <w:rFonts w:hint="eastAsia" w:ascii="Times New Roman" w:hAnsi="Times New Roman" w:eastAsia="宋体" w:cs="Times New Roman"/>
                      <w:bCs/>
                      <w:color w:val="auto"/>
                      <w:kern w:val="2"/>
                      <w:sz w:val="21"/>
                      <w:szCs w:val="21"/>
                      <w:lang w:val="en-US" w:eastAsia="zh-CN" w:bidi="ar-SA"/>
                    </w:rPr>
                  </w:pPr>
                  <w:r>
                    <w:rPr>
                      <w:rFonts w:hint="eastAsia" w:eastAsia="宋体"/>
                      <w:color w:val="auto"/>
                      <w:sz w:val="21"/>
                      <w:szCs w:val="21"/>
                      <w:lang w:eastAsia="zh-CN"/>
                    </w:rPr>
                    <w:t>无组织厂区内排放限值（</w:t>
                  </w:r>
                  <w:r>
                    <w:rPr>
                      <w:rFonts w:hint="eastAsia" w:ascii="Times New Roman" w:eastAsia="宋体"/>
                      <w:color w:val="auto"/>
                      <w:sz w:val="21"/>
                      <w:szCs w:val="21"/>
                      <w:lang w:val="en-US" w:eastAsia="zh-CN"/>
                    </w:rPr>
                    <w:t>mg/m</w:t>
                  </w:r>
                  <w:r>
                    <w:rPr>
                      <w:rFonts w:hint="eastAsia" w:ascii="Times New Roman" w:eastAsia="宋体"/>
                      <w:color w:val="auto"/>
                      <w:sz w:val="21"/>
                      <w:szCs w:val="21"/>
                      <w:vertAlign w:val="superscript"/>
                      <w:lang w:val="en-US" w:eastAsia="zh-CN"/>
                    </w:rPr>
                    <w:t>3</w:t>
                  </w:r>
                  <w:r>
                    <w:rPr>
                      <w:rFonts w:hint="eastAsia" w:eastAsia="宋体"/>
                      <w:color w:val="auto"/>
                      <w:sz w:val="21"/>
                      <w:szCs w:val="21"/>
                      <w:lang w:eastAsia="zh-CN"/>
                    </w:rPr>
                    <w:t>）</w:t>
                  </w:r>
                </w:p>
              </w:tc>
              <w:tc>
                <w:tcPr>
                  <w:tcW w:w="3339" w:type="dxa"/>
                  <w:vMerge w:val="restart"/>
                  <w:tcBorders>
                    <w:tl2br w:val="nil"/>
                    <w:tr2bl w:val="nil"/>
                  </w:tcBorders>
                  <w:noWrap w:val="0"/>
                  <w:vAlign w:val="center"/>
                </w:tcPr>
                <w:p w14:paraId="409C8894">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color w:val="auto"/>
                      <w:kern w:val="0"/>
                      <w:sz w:val="21"/>
                      <w:szCs w:val="21"/>
                    </w:rPr>
                  </w:pPr>
                  <w:r>
                    <w:rPr>
                      <w:rFonts w:hint="default" w:ascii="Times New Roman" w:hAnsi="Times New Roman" w:eastAsia="宋体" w:cs="Times New Roman"/>
                      <w:color w:val="auto"/>
                      <w:sz w:val="21"/>
                      <w:szCs w:val="21"/>
                      <w:highlight w:val="none"/>
                      <w:shd w:val="clear" w:color="auto" w:fill="auto"/>
                      <w:lang w:val="en-US" w:eastAsia="zh-CN" w:bidi="ar"/>
                    </w:rPr>
                    <w:t>《挥发性有机物无组织排放控制标准》（GB 37822-2019）</w:t>
                  </w:r>
                  <w:r>
                    <w:rPr>
                      <w:rFonts w:hint="eastAsia" w:ascii="Times New Roman" w:hAnsi="Times New Roman" w:eastAsia="宋体" w:cs="Times New Roman"/>
                      <w:color w:val="auto"/>
                      <w:sz w:val="21"/>
                      <w:szCs w:val="21"/>
                      <w:highlight w:val="none"/>
                      <w:shd w:val="clear" w:color="auto" w:fill="auto"/>
                      <w:lang w:val="en-US" w:eastAsia="zh-CN" w:bidi="ar"/>
                    </w:rPr>
                    <w:t>厂区内</w:t>
                  </w:r>
                </w:p>
              </w:tc>
            </w:tr>
            <w:tr w14:paraId="0287F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428" w:type="dxa"/>
                  <w:vMerge w:val="continue"/>
                  <w:tcBorders>
                    <w:tl2br w:val="nil"/>
                    <w:tr2bl w:val="nil"/>
                  </w:tcBorders>
                  <w:noWrap w:val="0"/>
                  <w:vAlign w:val="center"/>
                </w:tcPr>
                <w:p w14:paraId="55C48BD9">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z w:val="21"/>
                      <w:szCs w:val="21"/>
                      <w:lang w:eastAsia="zh-CN"/>
                    </w:rPr>
                  </w:pPr>
                </w:p>
              </w:tc>
              <w:tc>
                <w:tcPr>
                  <w:tcW w:w="945" w:type="dxa"/>
                  <w:vMerge w:val="continue"/>
                  <w:tcBorders>
                    <w:tl2br w:val="nil"/>
                    <w:tr2bl w:val="nil"/>
                  </w:tcBorders>
                  <w:noWrap w:val="0"/>
                  <w:vAlign w:val="center"/>
                </w:tcPr>
                <w:p w14:paraId="476E2245">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Cs/>
                      <w:color w:val="auto"/>
                      <w:sz w:val="21"/>
                      <w:szCs w:val="21"/>
                      <w:lang w:val="en-US" w:eastAsia="zh-CN"/>
                    </w:rPr>
                  </w:pPr>
                </w:p>
              </w:tc>
              <w:tc>
                <w:tcPr>
                  <w:tcW w:w="3437" w:type="dxa"/>
                  <w:gridSpan w:val="2"/>
                  <w:tcBorders>
                    <w:tl2br w:val="nil"/>
                    <w:tr2bl w:val="nil"/>
                  </w:tcBorders>
                  <w:noWrap w:val="0"/>
                  <w:vAlign w:val="center"/>
                </w:tcPr>
                <w:p w14:paraId="75A2F744">
                  <w:pPr>
                    <w:spacing w:before="20" w:after="20"/>
                    <w:jc w:val="center"/>
                    <w:rPr>
                      <w:rFonts w:hint="eastAsia" w:ascii="Times New Roman" w:hAnsi="Times New Roman" w:eastAsia="宋体" w:cs="Times New Roman"/>
                      <w:bCs/>
                      <w:color w:val="auto"/>
                      <w:kern w:val="2"/>
                      <w:sz w:val="21"/>
                      <w:szCs w:val="21"/>
                      <w:lang w:val="en-US" w:eastAsia="zh-CN" w:bidi="ar-SA"/>
                    </w:rPr>
                  </w:pPr>
                  <w:r>
                    <w:rPr>
                      <w:rFonts w:hint="eastAsia"/>
                      <w:color w:val="auto"/>
                      <w:sz w:val="21"/>
                      <w:szCs w:val="21"/>
                      <w:lang w:val="en-US" w:eastAsia="zh-CN"/>
                    </w:rPr>
                    <w:t>10（监控点处1h平均浓度值）</w:t>
                  </w:r>
                </w:p>
              </w:tc>
              <w:tc>
                <w:tcPr>
                  <w:tcW w:w="3339" w:type="dxa"/>
                  <w:vMerge w:val="continue"/>
                  <w:tcBorders>
                    <w:tl2br w:val="nil"/>
                    <w:tr2bl w:val="nil"/>
                  </w:tcBorders>
                  <w:noWrap w:val="0"/>
                  <w:vAlign w:val="center"/>
                </w:tcPr>
                <w:p w14:paraId="6121EF51">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color w:val="auto"/>
                      <w:kern w:val="0"/>
                      <w:sz w:val="21"/>
                      <w:szCs w:val="21"/>
                    </w:rPr>
                  </w:pPr>
                </w:p>
              </w:tc>
            </w:tr>
            <w:tr w14:paraId="116B0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2" w:hRule="atLeast"/>
              </w:trPr>
              <w:tc>
                <w:tcPr>
                  <w:tcW w:w="428" w:type="dxa"/>
                  <w:vMerge w:val="continue"/>
                  <w:tcBorders>
                    <w:tl2br w:val="nil"/>
                    <w:tr2bl w:val="nil"/>
                  </w:tcBorders>
                  <w:noWrap w:val="0"/>
                  <w:vAlign w:val="center"/>
                </w:tcPr>
                <w:p w14:paraId="380CFC1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z w:val="21"/>
                      <w:szCs w:val="21"/>
                      <w:lang w:eastAsia="zh-CN"/>
                    </w:rPr>
                  </w:pPr>
                </w:p>
              </w:tc>
              <w:tc>
                <w:tcPr>
                  <w:tcW w:w="945" w:type="dxa"/>
                  <w:vMerge w:val="continue"/>
                  <w:tcBorders>
                    <w:tl2br w:val="nil"/>
                    <w:tr2bl w:val="nil"/>
                  </w:tcBorders>
                  <w:noWrap w:val="0"/>
                  <w:vAlign w:val="center"/>
                </w:tcPr>
                <w:p w14:paraId="13D2C3E5">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Cs/>
                      <w:color w:val="auto"/>
                      <w:sz w:val="21"/>
                      <w:szCs w:val="21"/>
                      <w:lang w:eastAsia="zh-CN"/>
                    </w:rPr>
                  </w:pPr>
                </w:p>
              </w:tc>
              <w:tc>
                <w:tcPr>
                  <w:tcW w:w="3437" w:type="dxa"/>
                  <w:gridSpan w:val="2"/>
                  <w:tcBorders>
                    <w:tl2br w:val="nil"/>
                    <w:tr2bl w:val="nil"/>
                  </w:tcBorders>
                  <w:noWrap w:val="0"/>
                  <w:vAlign w:val="center"/>
                </w:tcPr>
                <w:p w14:paraId="2CB4BCCC">
                  <w:pPr>
                    <w:spacing w:before="20" w:after="20"/>
                    <w:jc w:val="center"/>
                    <w:rPr>
                      <w:rFonts w:hint="eastAsia" w:ascii="Times New Roman" w:hAnsi="Times New Roman" w:eastAsia="宋体" w:cs="Times New Roman"/>
                      <w:bCs/>
                      <w:color w:val="auto"/>
                      <w:kern w:val="2"/>
                      <w:sz w:val="21"/>
                      <w:szCs w:val="21"/>
                      <w:lang w:val="en-US" w:eastAsia="zh-CN" w:bidi="ar-SA"/>
                    </w:rPr>
                  </w:pPr>
                  <w:r>
                    <w:rPr>
                      <w:rFonts w:hint="eastAsia"/>
                      <w:color w:val="auto"/>
                      <w:sz w:val="21"/>
                      <w:szCs w:val="21"/>
                      <w:lang w:val="en-US" w:eastAsia="zh-CN"/>
                    </w:rPr>
                    <w:t>30（监控点处任意一次浓度值）</w:t>
                  </w:r>
                </w:p>
              </w:tc>
              <w:tc>
                <w:tcPr>
                  <w:tcW w:w="3339" w:type="dxa"/>
                  <w:vMerge w:val="continue"/>
                  <w:tcBorders>
                    <w:tl2br w:val="nil"/>
                    <w:tr2bl w:val="nil"/>
                  </w:tcBorders>
                  <w:noWrap w:val="0"/>
                  <w:vAlign w:val="center"/>
                </w:tcPr>
                <w:p w14:paraId="6B38ABE9">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color w:val="auto"/>
                      <w:kern w:val="0"/>
                      <w:sz w:val="21"/>
                      <w:szCs w:val="21"/>
                    </w:rPr>
                  </w:pPr>
                </w:p>
              </w:tc>
            </w:tr>
          </w:tbl>
          <w:p w14:paraId="325C9E2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3、噪声排放标准</w:t>
            </w:r>
          </w:p>
          <w:p w14:paraId="53B41D13">
            <w:pPr>
              <w:spacing w:line="360" w:lineRule="auto"/>
              <w:ind w:firstLine="480" w:firstLineChars="200"/>
              <w:rPr>
                <w:rFonts w:hint="default" w:ascii="Times New Roman" w:hAnsi="Times New Roman" w:cs="Times New Roman"/>
                <w:b/>
                <w:bCs/>
                <w:color w:val="auto"/>
                <w:sz w:val="24"/>
                <w:szCs w:val="24"/>
                <w:highlight w:val="none"/>
              </w:rPr>
            </w:pPr>
            <w:r>
              <w:rPr>
                <w:color w:val="auto"/>
                <w:sz w:val="24"/>
              </w:rPr>
              <w:t>项目</w:t>
            </w:r>
            <w:r>
              <w:rPr>
                <w:rFonts w:hint="eastAsia"/>
                <w:color w:val="auto"/>
                <w:sz w:val="24"/>
              </w:rPr>
              <w:t>施工期噪声执行《建筑施工场界环境噪声排放标准》（GB12523-2011）；</w:t>
            </w:r>
            <w:r>
              <w:rPr>
                <w:color w:val="auto"/>
                <w:sz w:val="24"/>
              </w:rPr>
              <w:t>运营期噪声执行《工业企业厂界环境噪声排放标准》（GB12348-2008）中3类标准；具体标准限值见下表。</w:t>
            </w:r>
          </w:p>
          <w:p w14:paraId="09A099BA">
            <w:pPr>
              <w:pStyle w:val="65"/>
              <w:bidi w:val="0"/>
              <w:rPr>
                <w:rFonts w:hint="default"/>
                <w:color w:val="auto"/>
                <w:sz w:val="21"/>
                <w:szCs w:val="21"/>
              </w:rPr>
            </w:pPr>
            <w:r>
              <w:rPr>
                <w:rFonts w:hint="eastAsia"/>
                <w:color w:val="auto"/>
                <w:sz w:val="21"/>
                <w:szCs w:val="21"/>
                <w:lang w:eastAsia="zh-CN"/>
              </w:rPr>
              <w:t>表</w:t>
            </w:r>
            <w:r>
              <w:rPr>
                <w:rFonts w:hint="eastAsia"/>
                <w:color w:val="auto"/>
                <w:sz w:val="21"/>
                <w:szCs w:val="21"/>
                <w:lang w:val="en-US" w:eastAsia="zh-CN"/>
              </w:rPr>
              <w:t xml:space="preserve">3-7  </w:t>
            </w:r>
            <w:r>
              <w:rPr>
                <w:rFonts w:hint="default"/>
                <w:color w:val="auto"/>
                <w:sz w:val="21"/>
                <w:szCs w:val="21"/>
              </w:rPr>
              <w:t>工业企业厂界环境噪声排放标准单位：dB(A)</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76"/>
              <w:gridCol w:w="2718"/>
              <w:gridCol w:w="1977"/>
              <w:gridCol w:w="1975"/>
            </w:tblGrid>
            <w:tr w14:paraId="7E474D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7" w:hRule="atLeast"/>
                <w:jc w:val="center"/>
              </w:trPr>
              <w:tc>
                <w:tcPr>
                  <w:tcW w:w="906" w:type="pct"/>
                  <w:tcBorders>
                    <w:tl2br w:val="nil"/>
                    <w:tr2bl w:val="nil"/>
                  </w:tcBorders>
                  <w:noWrap w:val="0"/>
                  <w:vAlign w:val="center"/>
                </w:tcPr>
                <w:p w14:paraId="0BC99E1A">
                  <w:pPr>
                    <w:pStyle w:val="71"/>
                    <w:bidi w:val="0"/>
                    <w:rPr>
                      <w:b/>
                      <w:bCs/>
                      <w:color w:val="auto"/>
                    </w:rPr>
                  </w:pPr>
                  <w:r>
                    <w:rPr>
                      <w:rFonts w:hint="eastAsia"/>
                      <w:b/>
                      <w:bCs/>
                      <w:color w:val="auto"/>
                    </w:rPr>
                    <w:t>时段</w:t>
                  </w:r>
                </w:p>
              </w:tc>
              <w:tc>
                <w:tcPr>
                  <w:tcW w:w="1668" w:type="pct"/>
                  <w:tcBorders>
                    <w:tl2br w:val="nil"/>
                    <w:tr2bl w:val="nil"/>
                  </w:tcBorders>
                  <w:noWrap w:val="0"/>
                  <w:vAlign w:val="center"/>
                </w:tcPr>
                <w:p w14:paraId="34B25AFA">
                  <w:pPr>
                    <w:pStyle w:val="71"/>
                    <w:bidi w:val="0"/>
                    <w:rPr>
                      <w:b/>
                      <w:bCs/>
                      <w:color w:val="auto"/>
                    </w:rPr>
                  </w:pPr>
                  <w:r>
                    <w:rPr>
                      <w:b/>
                      <w:bCs/>
                      <w:color w:val="auto"/>
                    </w:rPr>
                    <w:t>标准</w:t>
                  </w:r>
                </w:p>
              </w:tc>
              <w:tc>
                <w:tcPr>
                  <w:tcW w:w="1213" w:type="pct"/>
                  <w:tcBorders>
                    <w:tl2br w:val="nil"/>
                    <w:tr2bl w:val="nil"/>
                  </w:tcBorders>
                  <w:noWrap w:val="0"/>
                  <w:vAlign w:val="center"/>
                </w:tcPr>
                <w:p w14:paraId="5AC7ED68">
                  <w:pPr>
                    <w:pStyle w:val="71"/>
                    <w:bidi w:val="0"/>
                    <w:rPr>
                      <w:b/>
                      <w:bCs/>
                      <w:color w:val="auto"/>
                    </w:rPr>
                  </w:pPr>
                  <w:r>
                    <w:rPr>
                      <w:b/>
                      <w:bCs/>
                      <w:color w:val="auto"/>
                    </w:rPr>
                    <w:t>昼间</w:t>
                  </w:r>
                </w:p>
              </w:tc>
              <w:tc>
                <w:tcPr>
                  <w:tcW w:w="1212" w:type="pct"/>
                  <w:tcBorders>
                    <w:tl2br w:val="nil"/>
                    <w:tr2bl w:val="nil"/>
                  </w:tcBorders>
                  <w:noWrap w:val="0"/>
                  <w:vAlign w:val="center"/>
                </w:tcPr>
                <w:p w14:paraId="57A3C09C">
                  <w:pPr>
                    <w:pStyle w:val="71"/>
                    <w:bidi w:val="0"/>
                    <w:rPr>
                      <w:b/>
                      <w:bCs/>
                      <w:color w:val="auto"/>
                    </w:rPr>
                  </w:pPr>
                  <w:r>
                    <w:rPr>
                      <w:b/>
                      <w:bCs/>
                      <w:color w:val="auto"/>
                    </w:rPr>
                    <w:t>夜间</w:t>
                  </w:r>
                </w:p>
              </w:tc>
            </w:tr>
            <w:tr w14:paraId="122595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906" w:type="pct"/>
                  <w:tcBorders>
                    <w:tl2br w:val="nil"/>
                    <w:tr2bl w:val="nil"/>
                  </w:tcBorders>
                  <w:noWrap w:val="0"/>
                  <w:vAlign w:val="center"/>
                </w:tcPr>
                <w:p w14:paraId="507BB99F">
                  <w:pPr>
                    <w:pStyle w:val="71"/>
                    <w:bidi w:val="0"/>
                    <w:rPr>
                      <w:rFonts w:hint="eastAsia"/>
                      <w:color w:val="auto"/>
                    </w:rPr>
                  </w:pPr>
                  <w:r>
                    <w:rPr>
                      <w:rFonts w:hint="eastAsia"/>
                      <w:color w:val="auto"/>
                    </w:rPr>
                    <w:t>施工期</w:t>
                  </w:r>
                </w:p>
              </w:tc>
              <w:tc>
                <w:tcPr>
                  <w:tcW w:w="1668" w:type="pct"/>
                  <w:tcBorders>
                    <w:tl2br w:val="nil"/>
                    <w:tr2bl w:val="nil"/>
                  </w:tcBorders>
                  <w:noWrap w:val="0"/>
                  <w:vAlign w:val="center"/>
                </w:tcPr>
                <w:p w14:paraId="0C4714B1">
                  <w:pPr>
                    <w:pStyle w:val="71"/>
                    <w:bidi w:val="0"/>
                    <w:rPr>
                      <w:rFonts w:hint="eastAsia"/>
                      <w:color w:val="auto"/>
                    </w:rPr>
                  </w:pPr>
                  <w:r>
                    <w:rPr>
                      <w:rFonts w:hint="eastAsia"/>
                      <w:color w:val="auto"/>
                    </w:rPr>
                    <w:t>GB12523-2011</w:t>
                  </w:r>
                </w:p>
              </w:tc>
              <w:tc>
                <w:tcPr>
                  <w:tcW w:w="1213" w:type="pct"/>
                  <w:tcBorders>
                    <w:tl2br w:val="nil"/>
                    <w:tr2bl w:val="nil"/>
                  </w:tcBorders>
                  <w:noWrap w:val="0"/>
                  <w:vAlign w:val="center"/>
                </w:tcPr>
                <w:p w14:paraId="0374B9E5">
                  <w:pPr>
                    <w:pStyle w:val="71"/>
                    <w:bidi w:val="0"/>
                    <w:rPr>
                      <w:rFonts w:hint="eastAsia"/>
                      <w:color w:val="auto"/>
                    </w:rPr>
                  </w:pPr>
                  <w:r>
                    <w:rPr>
                      <w:rFonts w:hint="eastAsia"/>
                      <w:color w:val="auto"/>
                    </w:rPr>
                    <w:t>70dB（A）</w:t>
                  </w:r>
                </w:p>
              </w:tc>
              <w:tc>
                <w:tcPr>
                  <w:tcW w:w="1212" w:type="pct"/>
                  <w:tcBorders>
                    <w:tl2br w:val="nil"/>
                    <w:tr2bl w:val="nil"/>
                  </w:tcBorders>
                  <w:noWrap w:val="0"/>
                  <w:vAlign w:val="center"/>
                </w:tcPr>
                <w:p w14:paraId="5BBC84FA">
                  <w:pPr>
                    <w:pStyle w:val="71"/>
                    <w:bidi w:val="0"/>
                    <w:rPr>
                      <w:rFonts w:hint="eastAsia"/>
                      <w:color w:val="auto"/>
                    </w:rPr>
                  </w:pPr>
                  <w:r>
                    <w:rPr>
                      <w:rFonts w:hint="eastAsia"/>
                      <w:color w:val="auto"/>
                    </w:rPr>
                    <w:t>55dB（A）</w:t>
                  </w:r>
                </w:p>
              </w:tc>
            </w:tr>
            <w:tr w14:paraId="0B48D1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906" w:type="pct"/>
                  <w:tcBorders>
                    <w:tl2br w:val="nil"/>
                    <w:tr2bl w:val="nil"/>
                  </w:tcBorders>
                  <w:noWrap w:val="0"/>
                  <w:vAlign w:val="center"/>
                </w:tcPr>
                <w:p w14:paraId="2878C4AD">
                  <w:pPr>
                    <w:pStyle w:val="71"/>
                    <w:bidi w:val="0"/>
                    <w:rPr>
                      <w:rFonts w:hint="eastAsia"/>
                      <w:color w:val="auto"/>
                    </w:rPr>
                  </w:pPr>
                  <w:r>
                    <w:rPr>
                      <w:rFonts w:hint="eastAsia"/>
                      <w:color w:val="auto"/>
                    </w:rPr>
                    <w:t>运营期</w:t>
                  </w:r>
                </w:p>
              </w:tc>
              <w:tc>
                <w:tcPr>
                  <w:tcW w:w="1668" w:type="pct"/>
                  <w:tcBorders>
                    <w:tl2br w:val="nil"/>
                    <w:tr2bl w:val="nil"/>
                  </w:tcBorders>
                  <w:noWrap w:val="0"/>
                  <w:vAlign w:val="center"/>
                </w:tcPr>
                <w:p w14:paraId="58654C01">
                  <w:pPr>
                    <w:pStyle w:val="71"/>
                    <w:bidi w:val="0"/>
                    <w:rPr>
                      <w:rFonts w:hint="eastAsia"/>
                      <w:color w:val="auto"/>
                    </w:rPr>
                  </w:pPr>
                  <w:r>
                    <w:rPr>
                      <w:rFonts w:hint="eastAsia"/>
                      <w:color w:val="auto"/>
                    </w:rPr>
                    <w:t>GB12348-2008中3类标准</w:t>
                  </w:r>
                </w:p>
              </w:tc>
              <w:tc>
                <w:tcPr>
                  <w:tcW w:w="1213" w:type="pct"/>
                  <w:tcBorders>
                    <w:tl2br w:val="nil"/>
                    <w:tr2bl w:val="nil"/>
                  </w:tcBorders>
                  <w:noWrap w:val="0"/>
                  <w:vAlign w:val="center"/>
                </w:tcPr>
                <w:p w14:paraId="2C99B7B5">
                  <w:pPr>
                    <w:pStyle w:val="71"/>
                    <w:bidi w:val="0"/>
                    <w:rPr>
                      <w:rFonts w:hint="eastAsia"/>
                      <w:color w:val="auto"/>
                    </w:rPr>
                  </w:pPr>
                  <w:r>
                    <w:rPr>
                      <w:rFonts w:hint="eastAsia"/>
                      <w:color w:val="auto"/>
                    </w:rPr>
                    <w:t>65dB（A）</w:t>
                  </w:r>
                </w:p>
              </w:tc>
              <w:tc>
                <w:tcPr>
                  <w:tcW w:w="1212" w:type="pct"/>
                  <w:tcBorders>
                    <w:tl2br w:val="nil"/>
                    <w:tr2bl w:val="nil"/>
                  </w:tcBorders>
                  <w:noWrap w:val="0"/>
                  <w:vAlign w:val="center"/>
                </w:tcPr>
                <w:p w14:paraId="2603D7ED">
                  <w:pPr>
                    <w:pStyle w:val="71"/>
                    <w:bidi w:val="0"/>
                    <w:rPr>
                      <w:rFonts w:hint="eastAsia"/>
                      <w:color w:val="auto"/>
                    </w:rPr>
                  </w:pPr>
                  <w:r>
                    <w:rPr>
                      <w:rFonts w:hint="eastAsia"/>
                      <w:color w:val="auto"/>
                    </w:rPr>
                    <w:t>55dB（A）</w:t>
                  </w:r>
                </w:p>
              </w:tc>
            </w:tr>
          </w:tbl>
          <w:p w14:paraId="725A3384">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both"/>
              <w:textAlignment w:val="auto"/>
              <w:rPr>
                <w:rFonts w:hint="default"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4、固体废弃物</w:t>
            </w:r>
          </w:p>
          <w:p w14:paraId="3D84D2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Cs w:val="21"/>
                <w:lang w:val="en-US" w:eastAsia="zh-CN"/>
              </w:rPr>
            </w:pPr>
            <w:r>
              <w:rPr>
                <w:rFonts w:hint="eastAsia" w:cs="Times New Roman"/>
                <w:color w:val="auto"/>
                <w:kern w:val="0"/>
                <w:sz w:val="24"/>
                <w:szCs w:val="24"/>
                <w:lang w:val="en-US" w:eastAsia="zh-CN" w:bidi="ar"/>
              </w:rPr>
              <w:t>一般固废</w:t>
            </w:r>
            <w:r>
              <w:rPr>
                <w:rFonts w:hint="eastAsia" w:ascii="Times New Roman" w:hAnsi="Times New Roman" w:eastAsia="宋体" w:cs="Times New Roman"/>
                <w:color w:val="auto"/>
                <w:kern w:val="0"/>
                <w:sz w:val="24"/>
                <w:szCs w:val="24"/>
                <w:lang w:val="en-US" w:eastAsia="zh-CN" w:bidi="ar"/>
              </w:rPr>
              <w:t>贮存</w:t>
            </w:r>
            <w:r>
              <w:rPr>
                <w:rFonts w:hint="eastAsia" w:cs="Times New Roman"/>
                <w:color w:val="auto"/>
                <w:kern w:val="0"/>
                <w:sz w:val="24"/>
                <w:szCs w:val="24"/>
                <w:lang w:val="en-US" w:eastAsia="zh-CN" w:bidi="ar"/>
              </w:rPr>
              <w:t>过程中满足相应防尘、防渗、防雨淋等环境保护要求</w:t>
            </w:r>
            <w:r>
              <w:rPr>
                <w:rFonts w:hint="eastAsia" w:ascii="Times New Roman" w:hAnsi="Times New Roman" w:eastAsia="宋体" w:cs="Times New Roman"/>
                <w:color w:val="auto"/>
                <w:kern w:val="0"/>
                <w:sz w:val="24"/>
                <w:szCs w:val="24"/>
                <w:lang w:val="en-US" w:eastAsia="zh-CN" w:bidi="ar"/>
              </w:rPr>
              <w:t>，危险固废贮存执行《危险废物贮存污染控制标准》（</w:t>
            </w:r>
            <w:r>
              <w:rPr>
                <w:rFonts w:hint="default" w:ascii="Times New Roman" w:hAnsi="Times New Roman" w:eastAsia="宋体" w:cs="Times New Roman"/>
                <w:color w:val="auto"/>
                <w:kern w:val="0"/>
                <w:sz w:val="24"/>
                <w:szCs w:val="24"/>
                <w:lang w:val="en-US" w:eastAsia="zh-CN" w:bidi="ar"/>
              </w:rPr>
              <w:t>GB18597-2023</w:t>
            </w:r>
            <w:r>
              <w:rPr>
                <w:rFonts w:hint="eastAsia" w:ascii="Times New Roman" w:hAnsi="Times New Roman" w:eastAsia="宋体" w:cs="Times New Roman"/>
                <w:color w:val="auto"/>
                <w:kern w:val="0"/>
                <w:sz w:val="24"/>
                <w:szCs w:val="24"/>
                <w:lang w:val="en-US" w:eastAsia="zh-CN" w:bidi="ar"/>
              </w:rPr>
              <w:t>）中的相关规定。</w:t>
            </w:r>
          </w:p>
        </w:tc>
      </w:tr>
      <w:tr w14:paraId="5AA61D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14:paraId="1EFE53F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14:paraId="442D0EB3">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14:paraId="1D6756B0">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190" w:type="dxa"/>
            <w:noWrap w:val="0"/>
            <w:vAlign w:val="center"/>
          </w:tcPr>
          <w:p w14:paraId="7B968989">
            <w:pPr>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根据国家对实施污染物排放总量控制的要求以及本项目的特点，确定此项目污染物排放总量控制因子为COD</w:t>
            </w:r>
            <w:r>
              <w:rPr>
                <w:rFonts w:hint="eastAsia" w:cs="Times New Roman"/>
                <w:color w:val="auto"/>
                <w:sz w:val="24"/>
                <w:lang w:val="en-US" w:eastAsia="zh-CN"/>
              </w:rPr>
              <w:t>cr</w:t>
            </w:r>
            <w:r>
              <w:rPr>
                <w:rFonts w:hint="default" w:ascii="Times New Roman" w:hAnsi="Times New Roman" w:eastAsia="宋体" w:cs="Times New Roman"/>
                <w:color w:val="auto"/>
                <w:sz w:val="24"/>
              </w:rPr>
              <w:t>和NH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-N。根据工程分析，本项目废水量为</w:t>
            </w:r>
            <w:r>
              <w:rPr>
                <w:rFonts w:hint="eastAsia" w:cs="Times New Roman"/>
                <w:color w:val="auto"/>
                <w:sz w:val="24"/>
                <w:lang w:val="en-US" w:eastAsia="zh-CN"/>
              </w:rPr>
              <w:t>1059</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default" w:ascii="Times New Roman" w:hAnsi="Times New Roman" w:cs="Times New Roman"/>
                <w:color w:val="auto"/>
                <w:kern w:val="21"/>
                <w:sz w:val="24"/>
                <w:lang w:val="en-US" w:eastAsia="zh-CN"/>
              </w:rPr>
              <w:t>庐山</w:t>
            </w:r>
            <w:r>
              <w:rPr>
                <w:rFonts w:hint="default" w:ascii="Times New Roman" w:hAnsi="Times New Roman" w:eastAsia="宋体" w:cs="Times New Roman"/>
                <w:color w:val="auto"/>
                <w:kern w:val="21"/>
                <w:sz w:val="24"/>
              </w:rPr>
              <w:t>工业</w:t>
            </w:r>
            <w:r>
              <w:rPr>
                <w:rFonts w:hint="default" w:ascii="Times New Roman" w:hAnsi="Times New Roman" w:eastAsia="宋体" w:cs="Times New Roman"/>
                <w:color w:val="auto"/>
                <w:sz w:val="24"/>
              </w:rPr>
              <w:t>污水处理厂COD</w:t>
            </w:r>
            <w:r>
              <w:rPr>
                <w:rFonts w:hint="eastAsia" w:cs="Times New Roman"/>
                <w:color w:val="auto"/>
                <w:sz w:val="24"/>
                <w:lang w:val="en-US" w:eastAsia="zh-CN"/>
              </w:rPr>
              <w:t>cr</w:t>
            </w:r>
            <w:r>
              <w:rPr>
                <w:rFonts w:hint="default" w:ascii="Times New Roman" w:hAnsi="Times New Roman" w:eastAsia="宋体" w:cs="Times New Roman"/>
                <w:color w:val="auto"/>
                <w:sz w:val="24"/>
              </w:rPr>
              <w:t>、NH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-N的</w:t>
            </w:r>
            <w:r>
              <w:rPr>
                <w:rFonts w:hint="default" w:ascii="Times New Roman" w:hAnsi="Times New Roman" w:cs="Times New Roman"/>
                <w:color w:val="auto"/>
                <w:sz w:val="24"/>
                <w:lang w:val="en-US" w:eastAsia="zh-CN"/>
              </w:rPr>
              <w:t>接管</w:t>
            </w:r>
            <w:r>
              <w:rPr>
                <w:rFonts w:hint="default" w:ascii="Times New Roman" w:hAnsi="Times New Roman" w:eastAsia="宋体" w:cs="Times New Roman"/>
                <w:color w:val="auto"/>
                <w:sz w:val="24"/>
              </w:rPr>
              <w:t>浓度分别为</w:t>
            </w:r>
            <w:r>
              <w:rPr>
                <w:rFonts w:hint="eastAsia" w:cs="Times New Roman"/>
                <w:color w:val="auto"/>
                <w:sz w:val="24"/>
                <w:lang w:val="en-US" w:eastAsia="zh-CN"/>
              </w:rPr>
              <w:t>50</w:t>
            </w:r>
            <w:r>
              <w:rPr>
                <w:rFonts w:hint="default" w:ascii="Times New Roman" w:hAnsi="Times New Roman" w:cs="Times New Roman"/>
                <w:color w:val="auto"/>
                <w:sz w:val="24"/>
                <w:lang w:val="en-US" w:eastAsia="zh-CN"/>
              </w:rPr>
              <w:t>0</w:t>
            </w:r>
            <w:r>
              <w:rPr>
                <w:rFonts w:hint="default" w:ascii="Times New Roman" w:hAnsi="Times New Roman" w:eastAsia="宋体" w:cs="Times New Roman"/>
                <w:color w:val="auto"/>
                <w:sz w:val="24"/>
              </w:rPr>
              <w:t>mg/L、</w:t>
            </w:r>
            <w:r>
              <w:rPr>
                <w:rFonts w:hint="default" w:ascii="Times New Roman" w:hAnsi="Times New Roman" w:cs="Times New Roman"/>
                <w:color w:val="auto"/>
                <w:sz w:val="24"/>
                <w:lang w:val="en-US" w:eastAsia="zh-CN"/>
              </w:rPr>
              <w:t>50</w:t>
            </w:r>
            <w:r>
              <w:rPr>
                <w:rFonts w:hint="default" w:ascii="Times New Roman" w:hAnsi="Times New Roman" w:eastAsia="宋体" w:cs="Times New Roman"/>
                <w:color w:val="auto"/>
                <w:sz w:val="24"/>
              </w:rPr>
              <w:t>mg/L，</w:t>
            </w:r>
            <w:r>
              <w:rPr>
                <w:rFonts w:hint="default" w:ascii="Times New Roman" w:hAnsi="Times New Roman" w:cs="Times New Roman"/>
                <w:color w:val="auto"/>
                <w:kern w:val="21"/>
                <w:sz w:val="24"/>
                <w:lang w:val="en-US" w:eastAsia="zh-CN"/>
              </w:rPr>
              <w:t>庐山</w:t>
            </w:r>
            <w:r>
              <w:rPr>
                <w:rFonts w:hint="default" w:ascii="Times New Roman" w:hAnsi="Times New Roman" w:eastAsia="宋体" w:cs="Times New Roman"/>
                <w:color w:val="auto"/>
                <w:kern w:val="21"/>
                <w:sz w:val="24"/>
              </w:rPr>
              <w:t>工业</w:t>
            </w:r>
            <w:r>
              <w:rPr>
                <w:rFonts w:hint="default" w:ascii="Times New Roman" w:hAnsi="Times New Roman" w:eastAsia="宋体" w:cs="Times New Roman"/>
                <w:color w:val="auto"/>
                <w:sz w:val="24"/>
              </w:rPr>
              <w:t>污水处理厂出水标准执行</w:t>
            </w:r>
            <w:r>
              <w:rPr>
                <w:rFonts w:hint="default" w:ascii="Times New Roman" w:hAnsi="Times New Roman" w:eastAsia="宋体" w:cs="Times New Roman"/>
                <w:b w:val="0"/>
                <w:bCs w:val="0"/>
                <w:color w:val="auto"/>
                <w:kern w:val="0"/>
                <w:sz w:val="24"/>
                <w:szCs w:val="24"/>
                <w:lang w:val="en-US" w:eastAsia="zh-CN"/>
              </w:rPr>
              <w:t>《鄱阳湖生态经济区水污染物排放标准》（DB36/852-2015）湖体核心保护区标准，</w:t>
            </w:r>
            <w:r>
              <w:rPr>
                <w:rFonts w:hint="default" w:ascii="Times New Roman" w:hAnsi="Times New Roman" w:eastAsia="宋体" w:cs="Times New Roman"/>
                <w:color w:val="auto"/>
                <w:sz w:val="24"/>
              </w:rPr>
              <w:t>其对应的COD、NH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-N浓度为</w:t>
            </w:r>
            <w:r>
              <w:rPr>
                <w:rFonts w:hint="default" w:ascii="Times New Roman" w:hAnsi="Times New Roman" w:cs="Times New Roman"/>
                <w:color w:val="auto"/>
                <w:sz w:val="24"/>
                <w:lang w:val="en-US" w:eastAsia="zh-CN"/>
              </w:rPr>
              <w:t>5</w:t>
            </w:r>
            <w:r>
              <w:rPr>
                <w:rFonts w:hint="default" w:ascii="Times New Roman" w:hAnsi="Times New Roman" w:eastAsia="宋体" w:cs="Times New Roman"/>
                <w:color w:val="auto"/>
                <w:sz w:val="24"/>
              </w:rPr>
              <w:t>0mg</w:t>
            </w:r>
            <w:r>
              <w:rPr>
                <w:rFonts w:hint="eastAsia" w:cs="Times New Roman"/>
                <w:color w:val="auto"/>
                <w:sz w:val="24"/>
                <w:lang w:val="en-US" w:eastAsia="zh-CN"/>
              </w:rPr>
              <w:t>/</w:t>
            </w:r>
            <w:r>
              <w:rPr>
                <w:rFonts w:hint="default" w:ascii="Times New Roman" w:hAnsi="Times New Roman" w:eastAsia="宋体" w:cs="Times New Roman"/>
                <w:color w:val="auto"/>
                <w:sz w:val="24"/>
              </w:rPr>
              <w:t>L、</w:t>
            </w:r>
            <w:r>
              <w:rPr>
                <w:rFonts w:hint="default" w:ascii="Times New Roman" w:hAnsi="Times New Roman" w:cs="Times New Roman"/>
                <w:color w:val="auto"/>
                <w:sz w:val="24"/>
                <w:lang w:val="en-US" w:eastAsia="zh-CN"/>
              </w:rPr>
              <w:t>5</w:t>
            </w:r>
            <w:r>
              <w:rPr>
                <w:rFonts w:hint="default" w:ascii="Times New Roman" w:hAnsi="Times New Roman" w:eastAsia="宋体" w:cs="Times New Roman"/>
                <w:color w:val="auto"/>
                <w:sz w:val="24"/>
              </w:rPr>
              <w:t>mg/L。</w:t>
            </w:r>
          </w:p>
          <w:p w14:paraId="1349F6C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rPr>
            </w:pPr>
            <w:r>
              <w:rPr>
                <w:rFonts w:hint="eastAsia" w:ascii="Times New Roman" w:hAnsi="Times New Roman" w:eastAsia="宋体" w:cs="Times New Roman"/>
                <w:i w:val="0"/>
                <w:iCs w:val="0"/>
                <w:color w:val="auto"/>
                <w:sz w:val="24"/>
                <w:highlight w:val="none"/>
                <w:lang w:eastAsia="zh-CN" w:bidi="ar"/>
              </w:rPr>
              <w:t>总量</w:t>
            </w:r>
            <w:r>
              <w:rPr>
                <w:rFonts w:hint="eastAsia" w:cs="Times New Roman"/>
                <w:color w:val="auto"/>
                <w:sz w:val="24"/>
                <w:lang w:eastAsia="zh-CN"/>
              </w:rPr>
              <w:t>考核指标</w:t>
            </w:r>
            <w:r>
              <w:rPr>
                <w:rFonts w:hint="default" w:ascii="Times New Roman" w:hAnsi="Times New Roman" w:eastAsia="宋体" w:cs="Times New Roman"/>
                <w:color w:val="auto"/>
                <w:sz w:val="24"/>
              </w:rPr>
              <w:t>：</w:t>
            </w:r>
          </w:p>
          <w:p w14:paraId="2EF8B819">
            <w:pPr>
              <w:spacing w:line="360" w:lineRule="auto"/>
              <w:ind w:firstLine="480" w:firstLineChars="200"/>
              <w:rPr>
                <w:rFonts w:hint="default" w:ascii="Times New Roman" w:hAnsi="Times New Roman" w:eastAsia="宋体" w:cs="Times New Roman"/>
                <w:color w:val="FF0000"/>
                <w:sz w:val="24"/>
              </w:rPr>
            </w:pPr>
            <w:r>
              <w:rPr>
                <w:rFonts w:hint="default" w:ascii="Times New Roman" w:hAnsi="Times New Roman" w:eastAsia="宋体" w:cs="Times New Roman"/>
                <w:color w:val="FF0000"/>
                <w:sz w:val="24"/>
              </w:rPr>
              <w:t>COD</w:t>
            </w:r>
            <w:r>
              <w:rPr>
                <w:rFonts w:hint="eastAsia" w:cs="Times New Roman"/>
                <w:color w:val="FF0000"/>
                <w:sz w:val="24"/>
                <w:lang w:val="en-US" w:eastAsia="zh-CN"/>
              </w:rPr>
              <w:t>cr：1076.25</w:t>
            </w:r>
            <w:r>
              <w:rPr>
                <w:rFonts w:hint="eastAsia" w:ascii="Times New Roman" w:hAnsi="Times New Roman" w:eastAsia="宋体" w:cs="Times New Roman"/>
                <w:i w:val="0"/>
                <w:iCs w:val="0"/>
                <w:color w:val="FF0000"/>
                <w:sz w:val="24"/>
                <w:highlight w:val="none"/>
                <w:lang w:eastAsia="zh-CN" w:bidi="ar"/>
              </w:rPr>
              <w:t>×</w:t>
            </w:r>
            <w:r>
              <w:rPr>
                <w:rFonts w:hint="eastAsia" w:ascii="Times New Roman" w:hAnsi="Times New Roman" w:eastAsia="宋体" w:cs="Times New Roman"/>
                <w:i w:val="0"/>
                <w:iCs w:val="0"/>
                <w:color w:val="FF0000"/>
                <w:sz w:val="24"/>
                <w:highlight w:val="none"/>
                <w:lang w:val="en-US" w:eastAsia="zh-CN" w:bidi="ar"/>
              </w:rPr>
              <w:t>500</w:t>
            </w:r>
            <w:r>
              <w:rPr>
                <w:rFonts w:hint="eastAsia" w:ascii="Times New Roman" w:hAnsi="Times New Roman" w:eastAsia="宋体" w:cs="Times New Roman"/>
                <w:i w:val="0"/>
                <w:iCs w:val="0"/>
                <w:color w:val="FF0000"/>
                <w:sz w:val="24"/>
                <w:highlight w:val="none"/>
                <w:lang w:eastAsia="zh-CN" w:bidi="ar"/>
              </w:rPr>
              <w:t>×10</w:t>
            </w:r>
            <w:r>
              <w:rPr>
                <w:rFonts w:hint="eastAsia" w:ascii="Times New Roman" w:hAnsi="Times New Roman" w:eastAsia="宋体" w:cs="Times New Roman"/>
                <w:i w:val="0"/>
                <w:iCs w:val="0"/>
                <w:color w:val="FF0000"/>
                <w:sz w:val="24"/>
                <w:highlight w:val="none"/>
                <w:vertAlign w:val="superscript"/>
                <w:lang w:eastAsia="zh-CN" w:bidi="ar"/>
              </w:rPr>
              <w:t>-6</w:t>
            </w:r>
            <w:r>
              <w:rPr>
                <w:rFonts w:hint="default" w:ascii="Times New Roman" w:hAnsi="Times New Roman" w:eastAsia="宋体" w:cs="Times New Roman"/>
                <w:color w:val="FF0000"/>
                <w:sz w:val="24"/>
              </w:rPr>
              <w:t>=</w:t>
            </w:r>
            <w:r>
              <w:rPr>
                <w:rFonts w:hint="eastAsia" w:ascii="Times New Roman" w:hAnsi="Times New Roman" w:cs="Times New Roman"/>
                <w:color w:val="FF0000"/>
                <w:sz w:val="24"/>
                <w:lang w:val="en-US" w:eastAsia="zh-CN"/>
              </w:rPr>
              <w:t>0.</w:t>
            </w:r>
            <w:r>
              <w:rPr>
                <w:rFonts w:hint="eastAsia" w:cs="Times New Roman"/>
                <w:color w:val="FF0000"/>
                <w:sz w:val="24"/>
                <w:lang w:val="en-US" w:eastAsia="zh-CN"/>
              </w:rPr>
              <w:t>538</w:t>
            </w:r>
            <w:r>
              <w:rPr>
                <w:rFonts w:hint="default" w:ascii="Times New Roman" w:hAnsi="Times New Roman" w:eastAsia="宋体" w:cs="Times New Roman"/>
                <w:color w:val="FF0000"/>
                <w:sz w:val="24"/>
              </w:rPr>
              <w:t>t/a；</w:t>
            </w:r>
          </w:p>
          <w:p w14:paraId="1FBD35AC">
            <w:pPr>
              <w:spacing w:line="360" w:lineRule="auto"/>
              <w:ind w:firstLine="480" w:firstLineChars="200"/>
              <w:rPr>
                <w:rFonts w:hint="default" w:ascii="Times New Roman" w:hAnsi="Times New Roman" w:eastAsia="宋体" w:cs="Times New Roman"/>
                <w:color w:val="FF0000"/>
                <w:sz w:val="24"/>
              </w:rPr>
            </w:pPr>
            <w:r>
              <w:rPr>
                <w:rFonts w:hint="default" w:ascii="Times New Roman" w:hAnsi="Times New Roman" w:eastAsia="宋体" w:cs="Times New Roman"/>
                <w:color w:val="FF0000"/>
                <w:sz w:val="24"/>
              </w:rPr>
              <w:t>NH</w:t>
            </w:r>
            <w:r>
              <w:rPr>
                <w:rFonts w:hint="default" w:ascii="Times New Roman" w:hAnsi="Times New Roman" w:eastAsia="宋体" w:cs="Times New Roman"/>
                <w:color w:val="FF0000"/>
                <w:sz w:val="24"/>
                <w:vertAlign w:val="subscript"/>
              </w:rPr>
              <w:t>3</w:t>
            </w:r>
            <w:r>
              <w:rPr>
                <w:rFonts w:hint="default" w:ascii="Times New Roman" w:hAnsi="Times New Roman" w:eastAsia="宋体" w:cs="Times New Roman"/>
                <w:color w:val="FF0000"/>
                <w:sz w:val="24"/>
              </w:rPr>
              <w:t>-N：</w:t>
            </w:r>
            <w:r>
              <w:rPr>
                <w:rFonts w:hint="eastAsia" w:cs="Times New Roman"/>
                <w:color w:val="FF0000"/>
                <w:sz w:val="24"/>
                <w:lang w:val="en-US" w:eastAsia="zh-CN"/>
              </w:rPr>
              <w:t>1076.25</w:t>
            </w:r>
            <w:r>
              <w:rPr>
                <w:rFonts w:hint="eastAsia" w:ascii="Times New Roman" w:hAnsi="Times New Roman" w:eastAsia="宋体" w:cs="Times New Roman"/>
                <w:i w:val="0"/>
                <w:iCs w:val="0"/>
                <w:color w:val="FF0000"/>
                <w:sz w:val="24"/>
                <w:highlight w:val="none"/>
                <w:lang w:eastAsia="zh-CN" w:bidi="ar"/>
              </w:rPr>
              <w:t>×</w:t>
            </w:r>
            <w:r>
              <w:rPr>
                <w:rFonts w:hint="eastAsia" w:ascii="Times New Roman" w:hAnsi="Times New Roman" w:eastAsia="宋体" w:cs="Times New Roman"/>
                <w:i w:val="0"/>
                <w:iCs w:val="0"/>
                <w:color w:val="FF0000"/>
                <w:sz w:val="24"/>
                <w:highlight w:val="none"/>
                <w:lang w:val="en-US" w:eastAsia="zh-CN" w:bidi="ar"/>
              </w:rPr>
              <w:t>50</w:t>
            </w:r>
            <w:r>
              <w:rPr>
                <w:rFonts w:hint="eastAsia" w:ascii="Times New Roman" w:hAnsi="Times New Roman" w:eastAsia="宋体" w:cs="Times New Roman"/>
                <w:i w:val="0"/>
                <w:iCs w:val="0"/>
                <w:color w:val="FF0000"/>
                <w:sz w:val="24"/>
                <w:highlight w:val="none"/>
                <w:lang w:eastAsia="zh-CN" w:bidi="ar"/>
              </w:rPr>
              <w:t>×10</w:t>
            </w:r>
            <w:r>
              <w:rPr>
                <w:rFonts w:hint="eastAsia" w:ascii="Times New Roman" w:hAnsi="Times New Roman" w:eastAsia="宋体" w:cs="Times New Roman"/>
                <w:i w:val="0"/>
                <w:iCs w:val="0"/>
                <w:color w:val="FF0000"/>
                <w:sz w:val="24"/>
                <w:highlight w:val="none"/>
                <w:vertAlign w:val="superscript"/>
                <w:lang w:eastAsia="zh-CN" w:bidi="ar"/>
              </w:rPr>
              <w:t>-6</w:t>
            </w:r>
            <w:r>
              <w:rPr>
                <w:rFonts w:hint="eastAsia" w:ascii="Times New Roman" w:hAnsi="Times New Roman" w:eastAsia="宋体" w:cs="Times New Roman"/>
                <w:i w:val="0"/>
                <w:iCs w:val="0"/>
                <w:color w:val="FF0000"/>
                <w:sz w:val="24"/>
                <w:highlight w:val="none"/>
                <w:lang w:eastAsia="zh-CN" w:bidi="ar"/>
              </w:rPr>
              <w:t>=</w:t>
            </w:r>
            <w:r>
              <w:rPr>
                <w:rFonts w:hint="default" w:ascii="Times New Roman" w:hAnsi="Times New Roman" w:cs="Times New Roman"/>
                <w:color w:val="FF0000"/>
                <w:sz w:val="24"/>
                <w:lang w:val="en-US" w:eastAsia="zh-CN"/>
              </w:rPr>
              <w:t>0.0</w:t>
            </w:r>
            <w:r>
              <w:rPr>
                <w:rFonts w:hint="eastAsia" w:cs="Times New Roman"/>
                <w:color w:val="FF0000"/>
                <w:sz w:val="24"/>
                <w:lang w:val="en-US" w:eastAsia="zh-CN"/>
              </w:rPr>
              <w:t>54</w:t>
            </w:r>
            <w:r>
              <w:rPr>
                <w:rFonts w:hint="default" w:ascii="Times New Roman" w:hAnsi="Times New Roman" w:eastAsia="宋体" w:cs="Times New Roman"/>
                <w:color w:val="FF0000"/>
                <w:sz w:val="24"/>
              </w:rPr>
              <w:t>t/a。</w:t>
            </w:r>
          </w:p>
          <w:p w14:paraId="27A3ECF4">
            <w:pPr>
              <w:spacing w:line="360" w:lineRule="auto"/>
              <w:ind w:firstLine="480" w:firstLineChars="200"/>
              <w:rPr>
                <w:rFonts w:hint="default" w:ascii="Times New Roman" w:hAnsi="Times New Roman" w:eastAsia="宋体" w:cs="Times New Roman"/>
                <w:color w:val="FF0000"/>
                <w:sz w:val="24"/>
              </w:rPr>
            </w:pPr>
            <w:r>
              <w:rPr>
                <w:rFonts w:hint="eastAsia" w:ascii="Times New Roman" w:hAnsi="Times New Roman" w:eastAsia="宋体" w:cs="Times New Roman"/>
                <w:i w:val="0"/>
                <w:iCs w:val="0"/>
                <w:color w:val="FF0000"/>
                <w:sz w:val="24"/>
                <w:highlight w:val="none"/>
                <w:lang w:eastAsia="zh-CN" w:bidi="ar"/>
              </w:rPr>
              <w:t>总量</w:t>
            </w:r>
            <w:r>
              <w:rPr>
                <w:rFonts w:hint="default" w:ascii="Times New Roman" w:hAnsi="Times New Roman" w:eastAsia="宋体" w:cs="Times New Roman"/>
                <w:color w:val="FF0000"/>
                <w:sz w:val="24"/>
              </w:rPr>
              <w:t>控制指标：</w:t>
            </w:r>
          </w:p>
          <w:p w14:paraId="428E7698">
            <w:pPr>
              <w:spacing w:line="360" w:lineRule="auto"/>
              <w:ind w:firstLine="480" w:firstLineChars="200"/>
              <w:rPr>
                <w:rFonts w:hint="default" w:ascii="Times New Roman" w:hAnsi="Times New Roman" w:eastAsia="宋体" w:cs="Times New Roman"/>
                <w:color w:val="FF0000"/>
                <w:sz w:val="24"/>
              </w:rPr>
            </w:pPr>
            <w:r>
              <w:rPr>
                <w:rFonts w:hint="default" w:ascii="Times New Roman" w:hAnsi="Times New Roman" w:eastAsia="宋体" w:cs="Times New Roman"/>
                <w:color w:val="FF0000"/>
                <w:sz w:val="24"/>
              </w:rPr>
              <w:t>COD</w:t>
            </w:r>
            <w:r>
              <w:rPr>
                <w:rFonts w:hint="eastAsia" w:cs="Times New Roman"/>
                <w:color w:val="FF0000"/>
                <w:sz w:val="24"/>
                <w:lang w:val="en-US" w:eastAsia="zh-CN"/>
              </w:rPr>
              <w:t>cr：1076.25</w:t>
            </w:r>
            <w:r>
              <w:rPr>
                <w:rFonts w:hint="eastAsia" w:ascii="Times New Roman" w:hAnsi="Times New Roman" w:eastAsia="宋体" w:cs="Times New Roman"/>
                <w:i w:val="0"/>
                <w:iCs w:val="0"/>
                <w:color w:val="FF0000"/>
                <w:sz w:val="24"/>
                <w:highlight w:val="none"/>
                <w:lang w:eastAsia="zh-CN" w:bidi="ar"/>
              </w:rPr>
              <w:t>×</w:t>
            </w:r>
            <w:r>
              <w:rPr>
                <w:rFonts w:hint="eastAsia" w:ascii="Times New Roman" w:hAnsi="Times New Roman" w:eastAsia="宋体" w:cs="Times New Roman"/>
                <w:i w:val="0"/>
                <w:iCs w:val="0"/>
                <w:color w:val="FF0000"/>
                <w:sz w:val="24"/>
                <w:highlight w:val="none"/>
                <w:lang w:val="en-US" w:eastAsia="zh-CN" w:bidi="ar"/>
              </w:rPr>
              <w:t>50</w:t>
            </w:r>
            <w:r>
              <w:rPr>
                <w:rFonts w:hint="eastAsia" w:ascii="Times New Roman" w:hAnsi="Times New Roman" w:eastAsia="宋体" w:cs="Times New Roman"/>
                <w:i w:val="0"/>
                <w:iCs w:val="0"/>
                <w:color w:val="FF0000"/>
                <w:sz w:val="24"/>
                <w:highlight w:val="none"/>
                <w:lang w:eastAsia="zh-CN" w:bidi="ar"/>
              </w:rPr>
              <w:t>×10</w:t>
            </w:r>
            <w:r>
              <w:rPr>
                <w:rFonts w:hint="eastAsia" w:ascii="Times New Roman" w:hAnsi="Times New Roman" w:eastAsia="宋体" w:cs="Times New Roman"/>
                <w:i w:val="0"/>
                <w:iCs w:val="0"/>
                <w:color w:val="FF0000"/>
                <w:sz w:val="24"/>
                <w:highlight w:val="none"/>
                <w:vertAlign w:val="superscript"/>
                <w:lang w:eastAsia="zh-CN" w:bidi="ar"/>
              </w:rPr>
              <w:t>-6</w:t>
            </w:r>
            <w:r>
              <w:rPr>
                <w:rFonts w:hint="eastAsia" w:ascii="Times New Roman" w:hAnsi="Times New Roman" w:eastAsia="宋体" w:cs="Times New Roman"/>
                <w:i w:val="0"/>
                <w:iCs w:val="0"/>
                <w:color w:val="FF0000"/>
                <w:sz w:val="24"/>
                <w:highlight w:val="none"/>
                <w:lang w:eastAsia="zh-CN" w:bidi="ar"/>
              </w:rPr>
              <w:t>=</w:t>
            </w:r>
            <w:r>
              <w:rPr>
                <w:rFonts w:hint="eastAsia" w:ascii="Times New Roman" w:hAnsi="Times New Roman" w:cs="Times New Roman"/>
                <w:color w:val="FF0000"/>
                <w:sz w:val="24"/>
                <w:lang w:val="en-US" w:eastAsia="zh-CN"/>
              </w:rPr>
              <w:t>0.</w:t>
            </w:r>
            <w:r>
              <w:rPr>
                <w:rFonts w:hint="eastAsia" w:cs="Times New Roman"/>
                <w:color w:val="FF0000"/>
                <w:sz w:val="24"/>
                <w:lang w:val="en-US" w:eastAsia="zh-CN"/>
              </w:rPr>
              <w:t>054</w:t>
            </w:r>
            <w:r>
              <w:rPr>
                <w:rFonts w:hint="default" w:ascii="Times New Roman" w:hAnsi="Times New Roman" w:eastAsia="宋体" w:cs="Times New Roman"/>
                <w:color w:val="FF0000"/>
                <w:sz w:val="24"/>
              </w:rPr>
              <w:t>t/a；</w:t>
            </w:r>
          </w:p>
          <w:p w14:paraId="0F944429">
            <w:pPr>
              <w:spacing w:line="360" w:lineRule="auto"/>
              <w:ind w:firstLine="480" w:firstLineChars="200"/>
              <w:rPr>
                <w:rFonts w:hint="default" w:ascii="Times New Roman" w:hAnsi="Times New Roman" w:eastAsia="宋体" w:cs="Times New Roman"/>
                <w:color w:val="FF0000"/>
                <w:sz w:val="24"/>
              </w:rPr>
            </w:pPr>
            <w:r>
              <w:rPr>
                <w:rFonts w:hint="default" w:ascii="Times New Roman" w:hAnsi="Times New Roman" w:eastAsia="宋体" w:cs="Times New Roman"/>
                <w:color w:val="FF0000"/>
                <w:sz w:val="24"/>
              </w:rPr>
              <w:t>NH</w:t>
            </w:r>
            <w:r>
              <w:rPr>
                <w:rFonts w:hint="default" w:ascii="Times New Roman" w:hAnsi="Times New Roman" w:eastAsia="宋体" w:cs="Times New Roman"/>
                <w:color w:val="FF0000"/>
                <w:sz w:val="24"/>
                <w:vertAlign w:val="subscript"/>
              </w:rPr>
              <w:t>3</w:t>
            </w:r>
            <w:r>
              <w:rPr>
                <w:rFonts w:hint="default" w:ascii="Times New Roman" w:hAnsi="Times New Roman" w:eastAsia="宋体" w:cs="Times New Roman"/>
                <w:color w:val="FF0000"/>
                <w:sz w:val="24"/>
              </w:rPr>
              <w:t>-N：</w:t>
            </w:r>
            <w:r>
              <w:rPr>
                <w:rFonts w:hint="eastAsia" w:cs="Times New Roman"/>
                <w:color w:val="FF0000"/>
                <w:sz w:val="24"/>
                <w:lang w:val="en-US" w:eastAsia="zh-CN"/>
              </w:rPr>
              <w:t>1076.25</w:t>
            </w:r>
            <w:r>
              <w:rPr>
                <w:rFonts w:hint="eastAsia" w:ascii="Times New Roman" w:hAnsi="Times New Roman" w:eastAsia="宋体" w:cs="Times New Roman"/>
                <w:i w:val="0"/>
                <w:iCs w:val="0"/>
                <w:color w:val="FF0000"/>
                <w:sz w:val="24"/>
                <w:highlight w:val="none"/>
                <w:lang w:eastAsia="zh-CN" w:bidi="ar"/>
              </w:rPr>
              <w:t>×</w:t>
            </w:r>
            <w:r>
              <w:rPr>
                <w:rFonts w:hint="eastAsia" w:ascii="Times New Roman" w:hAnsi="Times New Roman" w:eastAsia="宋体" w:cs="Times New Roman"/>
                <w:i w:val="0"/>
                <w:iCs w:val="0"/>
                <w:color w:val="FF0000"/>
                <w:sz w:val="24"/>
                <w:highlight w:val="none"/>
                <w:lang w:val="en-US" w:eastAsia="zh-CN" w:bidi="ar"/>
              </w:rPr>
              <w:t>5</w:t>
            </w:r>
            <w:r>
              <w:rPr>
                <w:rFonts w:hint="eastAsia" w:ascii="Times New Roman" w:hAnsi="Times New Roman" w:eastAsia="宋体" w:cs="Times New Roman"/>
                <w:i w:val="0"/>
                <w:iCs w:val="0"/>
                <w:color w:val="FF0000"/>
                <w:sz w:val="24"/>
                <w:highlight w:val="none"/>
                <w:lang w:eastAsia="zh-CN" w:bidi="ar"/>
              </w:rPr>
              <w:t>×10</w:t>
            </w:r>
            <w:r>
              <w:rPr>
                <w:rFonts w:hint="eastAsia" w:ascii="Times New Roman" w:hAnsi="Times New Roman" w:eastAsia="宋体" w:cs="Times New Roman"/>
                <w:i w:val="0"/>
                <w:iCs w:val="0"/>
                <w:color w:val="FF0000"/>
                <w:sz w:val="24"/>
                <w:highlight w:val="none"/>
                <w:vertAlign w:val="superscript"/>
                <w:lang w:eastAsia="zh-CN" w:bidi="ar"/>
              </w:rPr>
              <w:t>-6</w:t>
            </w:r>
            <w:r>
              <w:rPr>
                <w:rFonts w:hint="eastAsia" w:ascii="Times New Roman" w:hAnsi="Times New Roman" w:eastAsia="宋体" w:cs="Times New Roman"/>
                <w:i w:val="0"/>
                <w:iCs w:val="0"/>
                <w:color w:val="FF0000"/>
                <w:sz w:val="24"/>
                <w:highlight w:val="none"/>
                <w:lang w:eastAsia="zh-CN" w:bidi="ar"/>
              </w:rPr>
              <w:t>=</w:t>
            </w:r>
            <w:r>
              <w:rPr>
                <w:rFonts w:hint="default" w:ascii="Times New Roman" w:hAnsi="Times New Roman" w:cs="Times New Roman"/>
                <w:color w:val="FF0000"/>
                <w:sz w:val="24"/>
                <w:lang w:val="en-US" w:eastAsia="zh-CN"/>
              </w:rPr>
              <w:t>0.0</w:t>
            </w:r>
            <w:r>
              <w:rPr>
                <w:rFonts w:hint="eastAsia" w:cs="Times New Roman"/>
                <w:color w:val="FF0000"/>
                <w:sz w:val="24"/>
                <w:lang w:val="en-US" w:eastAsia="zh-CN"/>
              </w:rPr>
              <w:t>05</w:t>
            </w:r>
            <w:r>
              <w:rPr>
                <w:rFonts w:hint="default" w:ascii="Times New Roman" w:hAnsi="Times New Roman" w:eastAsia="宋体" w:cs="Times New Roman"/>
                <w:color w:val="FF0000"/>
                <w:sz w:val="24"/>
              </w:rPr>
              <w:t>t/a。</w:t>
            </w:r>
          </w:p>
          <w:p w14:paraId="2AFBC3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color w:val="auto"/>
                <w:kern w:val="0"/>
                <w:szCs w:val="21"/>
              </w:rPr>
            </w:pPr>
            <w:r>
              <w:rPr>
                <w:rFonts w:hint="eastAsia" w:ascii="Times New Roman" w:hAnsi="Times New Roman" w:eastAsia="宋体" w:cs="Times New Roman"/>
                <w:i w:val="0"/>
                <w:iCs w:val="0"/>
                <w:color w:val="auto"/>
                <w:sz w:val="24"/>
                <w:highlight w:val="none"/>
                <w:lang w:eastAsia="zh-CN" w:bidi="ar"/>
              </w:rPr>
              <w:t>综上所述，</w:t>
            </w:r>
            <w:r>
              <w:rPr>
                <w:rFonts w:hint="eastAsia" w:ascii="Times New Roman" w:hAnsi="Times New Roman" w:eastAsia="宋体" w:cs="Times New Roman"/>
                <w:i w:val="0"/>
                <w:iCs w:val="0"/>
                <w:color w:val="FF0000"/>
                <w:sz w:val="24"/>
                <w:highlight w:val="none"/>
                <w:lang w:eastAsia="zh-CN" w:bidi="ar"/>
              </w:rPr>
              <w:t>项目COD总量控制指标：</w:t>
            </w:r>
            <w:r>
              <w:rPr>
                <w:rFonts w:hint="eastAsia" w:ascii="Times New Roman" w:hAnsi="Times New Roman" w:eastAsia="宋体" w:cs="Times New Roman"/>
                <w:i w:val="0"/>
                <w:iCs w:val="0"/>
                <w:color w:val="FF0000"/>
                <w:sz w:val="24"/>
                <w:highlight w:val="none"/>
                <w:lang w:val="en-US" w:eastAsia="zh-CN" w:bidi="ar"/>
              </w:rPr>
              <w:t>0.05</w:t>
            </w:r>
            <w:r>
              <w:rPr>
                <w:rFonts w:hint="eastAsia" w:cs="Times New Roman"/>
                <w:i w:val="0"/>
                <w:iCs w:val="0"/>
                <w:color w:val="FF0000"/>
                <w:sz w:val="24"/>
                <w:highlight w:val="none"/>
                <w:lang w:val="en-US" w:eastAsia="zh-CN" w:bidi="ar"/>
              </w:rPr>
              <w:t>4</w:t>
            </w:r>
            <w:r>
              <w:rPr>
                <w:rFonts w:hint="eastAsia" w:ascii="Times New Roman" w:hAnsi="Times New Roman" w:eastAsia="宋体" w:cs="Times New Roman"/>
                <w:i w:val="0"/>
                <w:iCs w:val="0"/>
                <w:color w:val="FF0000"/>
                <w:sz w:val="24"/>
                <w:highlight w:val="none"/>
                <w:lang w:val="en-US" w:eastAsia="zh-CN" w:bidi="ar"/>
              </w:rPr>
              <w:t>t</w:t>
            </w:r>
            <w:r>
              <w:rPr>
                <w:rFonts w:hint="eastAsia" w:ascii="Times New Roman" w:hAnsi="Times New Roman" w:eastAsia="宋体" w:cs="Times New Roman"/>
                <w:i w:val="0"/>
                <w:iCs w:val="0"/>
                <w:color w:val="FF0000"/>
                <w:sz w:val="24"/>
                <w:highlight w:val="none"/>
                <w:lang w:eastAsia="zh-CN" w:bidi="ar"/>
              </w:rPr>
              <w:t>/a；NH</w:t>
            </w:r>
            <w:r>
              <w:rPr>
                <w:rFonts w:hint="eastAsia" w:ascii="Times New Roman" w:hAnsi="Times New Roman" w:eastAsia="宋体" w:cs="Times New Roman"/>
                <w:i w:val="0"/>
                <w:iCs w:val="0"/>
                <w:color w:val="FF0000"/>
                <w:sz w:val="24"/>
                <w:highlight w:val="none"/>
                <w:vertAlign w:val="subscript"/>
                <w:lang w:eastAsia="zh-CN" w:bidi="ar"/>
              </w:rPr>
              <w:t>3</w:t>
            </w:r>
            <w:r>
              <w:rPr>
                <w:rFonts w:hint="eastAsia" w:ascii="Times New Roman" w:hAnsi="Times New Roman" w:eastAsia="宋体" w:cs="Times New Roman"/>
                <w:i w:val="0"/>
                <w:iCs w:val="0"/>
                <w:color w:val="FF0000"/>
                <w:sz w:val="24"/>
                <w:highlight w:val="none"/>
                <w:lang w:eastAsia="zh-CN" w:bidi="ar"/>
              </w:rPr>
              <w:t>-N总量控制指标：</w:t>
            </w:r>
            <w:r>
              <w:rPr>
                <w:rFonts w:hint="eastAsia" w:ascii="Times New Roman" w:hAnsi="Times New Roman" w:eastAsia="宋体" w:cs="Times New Roman"/>
                <w:i w:val="0"/>
                <w:iCs w:val="0"/>
                <w:color w:val="FF0000"/>
                <w:sz w:val="24"/>
                <w:highlight w:val="none"/>
                <w:lang w:val="en-US" w:eastAsia="zh-CN" w:bidi="ar"/>
              </w:rPr>
              <w:t>0.005</w:t>
            </w:r>
            <w:r>
              <w:rPr>
                <w:rFonts w:hint="eastAsia" w:ascii="Times New Roman" w:hAnsi="Times New Roman" w:eastAsia="宋体" w:cs="Times New Roman"/>
                <w:i w:val="0"/>
                <w:iCs w:val="0"/>
                <w:color w:val="FF0000"/>
                <w:sz w:val="24"/>
                <w:highlight w:val="none"/>
                <w:lang w:eastAsia="zh-CN" w:bidi="ar"/>
              </w:rPr>
              <w:t>t/a</w:t>
            </w:r>
            <w:r>
              <w:rPr>
                <w:rFonts w:hint="eastAsia" w:ascii="Times New Roman" w:hAnsi="Times New Roman" w:eastAsia="宋体" w:cs="Times New Roman"/>
                <w:i w:val="0"/>
                <w:iCs w:val="0"/>
                <w:color w:val="FF0000"/>
                <w:sz w:val="24"/>
                <w:highlight w:val="none"/>
                <w:lang w:val="en-US" w:eastAsia="zh-CN" w:bidi="ar"/>
              </w:rPr>
              <w:t>。</w:t>
            </w:r>
            <w:r>
              <w:rPr>
                <w:rFonts w:hint="eastAsia" w:ascii="Times New Roman" w:hAnsi="Times New Roman" w:eastAsia="宋体" w:cs="Times New Roman"/>
                <w:i w:val="0"/>
                <w:iCs w:val="0"/>
                <w:color w:val="auto"/>
                <w:sz w:val="24"/>
                <w:highlight w:val="none"/>
                <w:lang w:val="en-US" w:eastAsia="zh-CN" w:bidi="ar"/>
              </w:rPr>
              <w:t>项目废水纳入园区污水处理厂进行处理，总量控制指标有污水处理厂统一调配。</w:t>
            </w:r>
          </w:p>
        </w:tc>
      </w:tr>
    </w:tbl>
    <w:p w14:paraId="3724DAA5">
      <w:pPr>
        <w:pStyle w:val="20"/>
        <w:jc w:val="center"/>
        <w:outlineLvl w:val="0"/>
        <w:rPr>
          <w:rFonts w:hint="eastAsia" w:ascii="黑体" w:hAnsi="黑体" w:eastAsia="黑体"/>
          <w:snapToGrid w:val="0"/>
          <w:color w:val="auto"/>
          <w:sz w:val="30"/>
          <w:szCs w:val="30"/>
        </w:rPr>
      </w:pPr>
      <w:r>
        <w:rPr>
          <w:rFonts w:ascii="黑体" w:hAnsi="黑体" w:eastAsia="黑体"/>
          <w:snapToGrid w:val="0"/>
          <w:color w:val="auto"/>
          <w:sz w:val="36"/>
          <w:szCs w:val="36"/>
        </w:rPr>
        <w:br w:type="page"/>
      </w:r>
      <w:bookmarkStart w:id="87" w:name="_Toc15010"/>
      <w:r>
        <w:rPr>
          <w:rFonts w:hint="eastAsia" w:ascii="黑体" w:hAnsi="黑体" w:eastAsia="黑体"/>
          <w:snapToGrid w:val="0"/>
          <w:color w:val="auto"/>
          <w:sz w:val="30"/>
          <w:szCs w:val="30"/>
        </w:rPr>
        <w:t>四、主要环境影响和保护措施</w:t>
      </w:r>
      <w:bookmarkEnd w:id="87"/>
    </w:p>
    <w:tbl>
      <w:tblPr>
        <w:tblStyle w:val="2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7"/>
        <w:gridCol w:w="8254"/>
      </w:tblGrid>
      <w:tr w14:paraId="7078B8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noWrap w:val="0"/>
            <w:tcMar>
              <w:left w:w="28" w:type="dxa"/>
              <w:right w:w="28" w:type="dxa"/>
            </w:tcMar>
            <w:vAlign w:val="center"/>
          </w:tcPr>
          <w:p w14:paraId="739531AD">
            <w:pPr>
              <w:adjustRightInd w:val="0"/>
              <w:snapToGrid w:val="0"/>
              <w:jc w:val="center"/>
              <w:rPr>
                <w:rFonts w:hint="eastAsia" w:ascii="宋体" w:hAnsi="宋体" w:eastAsia="宋体" w:cs="宋体"/>
                <w:bCs/>
                <w:color w:val="FF0000"/>
                <w:szCs w:val="21"/>
              </w:rPr>
            </w:pPr>
            <w:commentRangeStart w:id="27"/>
            <w:r>
              <w:rPr>
                <w:rFonts w:hint="eastAsia" w:ascii="宋体" w:hAnsi="宋体" w:eastAsia="宋体" w:cs="宋体"/>
                <w:bCs/>
                <w:color w:val="FF0000"/>
                <w:szCs w:val="21"/>
              </w:rPr>
              <w:t>施工</w:t>
            </w:r>
          </w:p>
          <w:p w14:paraId="3B3D0569">
            <w:pPr>
              <w:adjustRightInd w:val="0"/>
              <w:snapToGrid w:val="0"/>
              <w:jc w:val="center"/>
              <w:rPr>
                <w:rFonts w:hint="eastAsia" w:ascii="宋体" w:hAnsi="宋体" w:eastAsia="宋体" w:cs="宋体"/>
                <w:bCs/>
                <w:color w:val="FF0000"/>
                <w:szCs w:val="21"/>
              </w:rPr>
            </w:pPr>
            <w:r>
              <w:rPr>
                <w:rFonts w:hint="eastAsia" w:ascii="宋体" w:hAnsi="宋体" w:eastAsia="宋体" w:cs="宋体"/>
                <w:bCs/>
                <w:color w:val="FF0000"/>
                <w:szCs w:val="21"/>
              </w:rPr>
              <w:t>期环</w:t>
            </w:r>
          </w:p>
          <w:p w14:paraId="34261998">
            <w:pPr>
              <w:adjustRightInd w:val="0"/>
              <w:snapToGrid w:val="0"/>
              <w:jc w:val="center"/>
              <w:rPr>
                <w:rFonts w:hint="eastAsia" w:ascii="宋体" w:hAnsi="宋体" w:eastAsia="宋体" w:cs="宋体"/>
                <w:bCs/>
                <w:color w:val="FF0000"/>
                <w:szCs w:val="21"/>
              </w:rPr>
            </w:pPr>
            <w:r>
              <w:rPr>
                <w:rFonts w:hint="eastAsia" w:ascii="宋体" w:hAnsi="宋体" w:eastAsia="宋体" w:cs="宋体"/>
                <w:bCs/>
                <w:color w:val="FF0000"/>
                <w:szCs w:val="21"/>
              </w:rPr>
              <w:t>境保</w:t>
            </w:r>
          </w:p>
          <w:p w14:paraId="5632B0BD">
            <w:pPr>
              <w:adjustRightInd w:val="0"/>
              <w:snapToGrid w:val="0"/>
              <w:jc w:val="center"/>
              <w:rPr>
                <w:rFonts w:hint="eastAsia" w:ascii="宋体" w:hAnsi="宋体" w:eastAsia="宋体" w:cs="宋体"/>
                <w:bCs/>
                <w:color w:val="FF0000"/>
                <w:szCs w:val="21"/>
              </w:rPr>
            </w:pPr>
            <w:r>
              <w:rPr>
                <w:rFonts w:hint="eastAsia" w:ascii="宋体" w:hAnsi="宋体" w:eastAsia="宋体" w:cs="宋体"/>
                <w:bCs/>
                <w:color w:val="FF0000"/>
                <w:szCs w:val="21"/>
              </w:rPr>
              <w:t>护措</w:t>
            </w:r>
          </w:p>
          <w:p w14:paraId="00CD9998">
            <w:pPr>
              <w:adjustRightInd w:val="0"/>
              <w:snapToGrid w:val="0"/>
              <w:jc w:val="center"/>
              <w:rPr>
                <w:rFonts w:hint="eastAsia" w:ascii="Times New Roman" w:hAnsi="Times New Roman" w:eastAsia="宋体" w:cs="Times New Roman"/>
                <w:bCs/>
                <w:color w:val="auto"/>
                <w:kern w:val="2"/>
                <w:sz w:val="24"/>
                <w:szCs w:val="21"/>
                <w:shd w:val="clear"/>
              </w:rPr>
            </w:pPr>
            <w:r>
              <w:rPr>
                <w:rFonts w:hint="eastAsia" w:ascii="宋体" w:hAnsi="宋体" w:eastAsia="宋体" w:cs="宋体"/>
                <w:bCs/>
                <w:color w:val="FF0000"/>
                <w:szCs w:val="21"/>
              </w:rPr>
              <w:t>施</w:t>
            </w:r>
            <w:commentRangeEnd w:id="27"/>
            <w:r>
              <w:commentReference w:id="27"/>
            </w:r>
          </w:p>
        </w:tc>
        <w:tc>
          <w:tcPr>
            <w:tcW w:w="8254" w:type="dxa"/>
            <w:noWrap w:val="0"/>
            <w:vAlign w:val="center"/>
          </w:tcPr>
          <w:p w14:paraId="34B2FC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pacing w:val="0"/>
                <w:sz w:val="24"/>
                <w:szCs w:val="21"/>
                <w:shd w:val="clear"/>
                <w:lang w:eastAsia="zh-CN"/>
              </w:rPr>
            </w:pPr>
            <w:r>
              <w:rPr>
                <w:rFonts w:hint="eastAsia" w:ascii="Times New Roman" w:hAnsi="Times New Roman" w:eastAsia="宋体" w:cs="Times New Roman"/>
                <w:b w:val="0"/>
                <w:bCs/>
                <w:color w:val="FF0000"/>
                <w:spacing w:val="0"/>
                <w:sz w:val="24"/>
                <w:szCs w:val="24"/>
                <w:lang w:val="en-US" w:eastAsia="zh-CN"/>
              </w:rPr>
              <w:t>本项目为新建项目，利用现有厂房，施工期主要环境影响为新增生产设备进场的安装施工及设备搬运安装产生的少量粉尘以及安装施工产生的噪声，该噪声多为瞬间噪声，影响不大，施工期粉尘产生量少，对环境影响较小。</w:t>
            </w:r>
          </w:p>
        </w:tc>
      </w:tr>
      <w:tr w14:paraId="4BD736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62" w:hRule="atLeast"/>
          <w:jc w:val="center"/>
        </w:trPr>
        <w:tc>
          <w:tcPr>
            <w:tcW w:w="727" w:type="dxa"/>
            <w:noWrap w:val="0"/>
            <w:tcMar>
              <w:left w:w="28" w:type="dxa"/>
              <w:right w:w="28" w:type="dxa"/>
            </w:tcMar>
            <w:vAlign w:val="center"/>
          </w:tcPr>
          <w:p w14:paraId="5DAE740B">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38BCC0AD">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47A98D71">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785B655E">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65E09206">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4CD82847">
            <w:pPr>
              <w:pStyle w:val="20"/>
              <w:adjustRightInd w:val="0"/>
              <w:snapToGrid w:val="0"/>
              <w:spacing w:before="0" w:beforeAutospacing="0" w:after="0" w:afterAutospacing="0"/>
              <w:jc w:val="center"/>
              <w:rPr>
                <w:rFonts w:hint="eastAsia" w:cs="宋体"/>
                <w:color w:val="auto"/>
                <w:kern w:val="2"/>
                <w:sz w:val="21"/>
                <w:szCs w:val="21"/>
                <w:highlight w:val="none"/>
                <w:shd w:val="clear" w:color="auto" w:fill="auto"/>
              </w:rPr>
            </w:pPr>
            <w:r>
              <w:rPr>
                <w:rFonts w:hint="eastAsia" w:ascii="宋体" w:hAnsi="宋体" w:cs="宋体"/>
                <w:bCs/>
                <w:color w:val="auto"/>
                <w:szCs w:val="21"/>
              </w:rPr>
              <w:t>措施</w:t>
            </w:r>
          </w:p>
        </w:tc>
        <w:tc>
          <w:tcPr>
            <w:tcW w:w="8254" w:type="dxa"/>
            <w:tcBorders>
              <w:bottom w:val="single" w:color="000000" w:sz="6" w:space="0"/>
            </w:tcBorders>
            <w:noWrap w:val="0"/>
            <w:vAlign w:val="center"/>
          </w:tcPr>
          <w:p w14:paraId="450B3394">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2" w:firstLineChars="200"/>
              <w:textAlignment w:val="auto"/>
              <w:rPr>
                <w:rFonts w:hint="eastAsia" w:ascii="Times New Roman" w:hAnsi="Times New Roman" w:eastAsia="宋体" w:cs="Times New Roman"/>
                <w:b/>
                <w:bCs/>
                <w:color w:val="auto"/>
                <w:sz w:val="24"/>
                <w:szCs w:val="24"/>
                <w:highlight w:val="none"/>
                <w:shd w:val="clear" w:color="auto" w:fill="auto"/>
                <w:lang w:val="en-US" w:eastAsia="zh-CN"/>
              </w:rPr>
            </w:pPr>
            <w:r>
              <w:rPr>
                <w:rFonts w:hint="eastAsia"/>
                <w:b/>
                <w:bCs/>
                <w:color w:val="auto"/>
                <w:sz w:val="24"/>
                <w:szCs w:val="24"/>
                <w:highlight w:val="none"/>
                <w:shd w:val="clear" w:color="auto" w:fill="auto"/>
                <w:lang w:val="en-US" w:eastAsia="zh-CN"/>
              </w:rPr>
              <w:t>二、大气环境影响和保护措施</w:t>
            </w:r>
          </w:p>
          <w:p w14:paraId="3923CD98">
            <w:pPr>
              <w:keepNext w:val="0"/>
              <w:keepLines w:val="0"/>
              <w:widowControl w:val="0"/>
              <w:numPr>
                <w:ilvl w:val="0"/>
                <w:numId w:val="0"/>
              </w:numPr>
              <w:suppressLineNumbers w:val="0"/>
              <w:adjustRightInd w:val="0"/>
              <w:snapToGrid w:val="0"/>
              <w:spacing w:line="360" w:lineRule="auto"/>
              <w:ind w:firstLine="482" w:firstLineChars="200"/>
              <w:jc w:val="both"/>
              <w:rPr>
                <w:rFonts w:hint="eastAsia" w:ascii="Times New Roman" w:hAnsi="Times New Roman" w:eastAsia="宋体" w:cs="Times New Roman"/>
                <w:b/>
                <w:bCs/>
                <w:color w:val="FF0000"/>
                <w:spacing w:val="0"/>
                <w:sz w:val="24"/>
                <w:szCs w:val="24"/>
                <w:lang w:val="en-US" w:eastAsia="zh-CN"/>
              </w:rPr>
            </w:pPr>
            <w:commentRangeStart w:id="28"/>
            <w:commentRangeStart w:id="29"/>
            <w:commentRangeStart w:id="30"/>
            <w:r>
              <w:rPr>
                <w:rFonts w:hint="eastAsia" w:cs="Times New Roman"/>
                <w:b/>
                <w:bCs/>
                <w:color w:val="FF0000"/>
                <w:spacing w:val="0"/>
                <w:kern w:val="0"/>
                <w:sz w:val="24"/>
                <w:szCs w:val="24"/>
                <w:lang w:val="en-US" w:eastAsia="zh-CN" w:bidi="ar"/>
              </w:rPr>
              <w:t>1、</w:t>
            </w:r>
            <w:commentRangeEnd w:id="28"/>
            <w:r>
              <w:commentReference w:id="28"/>
            </w:r>
            <w:commentRangeEnd w:id="29"/>
            <w:r>
              <w:commentReference w:id="29"/>
            </w:r>
            <w:commentRangeEnd w:id="30"/>
            <w:r>
              <w:commentReference w:id="30"/>
            </w:r>
            <w:r>
              <w:rPr>
                <w:rFonts w:hint="eastAsia" w:cs="Times New Roman"/>
                <w:b/>
                <w:bCs/>
                <w:color w:val="FF0000"/>
                <w:spacing w:val="0"/>
                <w:kern w:val="0"/>
                <w:sz w:val="24"/>
                <w:szCs w:val="24"/>
                <w:lang w:val="en-US" w:eastAsia="zh-CN" w:bidi="ar"/>
              </w:rPr>
              <w:t>废气源强分析</w:t>
            </w:r>
          </w:p>
          <w:p w14:paraId="0C7688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b/>
                <w:bCs/>
                <w:color w:val="FF0000"/>
                <w:spacing w:val="0"/>
                <w:sz w:val="24"/>
                <w:szCs w:val="24"/>
                <w:lang w:val="en-US" w:eastAsia="zh-CN"/>
              </w:rPr>
            </w:pPr>
            <w:r>
              <w:rPr>
                <w:rFonts w:hint="eastAsia" w:cs="Times New Roman"/>
                <w:b/>
                <w:bCs/>
                <w:color w:val="FF0000"/>
                <w:spacing w:val="0"/>
                <w:sz w:val="24"/>
                <w:szCs w:val="24"/>
                <w:lang w:val="en-US" w:eastAsia="zh-CN"/>
              </w:rPr>
              <w:t>（1）一车间废气产生情况</w:t>
            </w:r>
          </w:p>
          <w:p w14:paraId="059BB14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 w:val="0"/>
                <w:bCs/>
                <w:color w:val="FF0000"/>
                <w:spacing w:val="0"/>
                <w:sz w:val="24"/>
                <w:szCs w:val="24"/>
                <w:lang w:val="en-US" w:eastAsia="zh-CN"/>
              </w:rPr>
            </w:pPr>
            <w:r>
              <w:commentReference w:id="31"/>
            </w:r>
            <w:r>
              <w:rPr>
                <w:rFonts w:hint="eastAsia" w:cs="Times New Roman"/>
                <w:b w:val="0"/>
                <w:bCs/>
                <w:color w:val="FF0000"/>
                <w:spacing w:val="0"/>
                <w:sz w:val="24"/>
                <w:szCs w:val="24"/>
                <w:lang w:val="en-US" w:eastAsia="zh-CN"/>
              </w:rPr>
              <w:t>1）配粉粉尘：</w:t>
            </w:r>
          </w:p>
          <w:p w14:paraId="516E701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FF0000"/>
                <w:spacing w:val="0"/>
                <w:sz w:val="24"/>
                <w:szCs w:val="24"/>
                <w:lang w:val="en-US" w:eastAsia="zh-CN"/>
              </w:rPr>
            </w:pPr>
            <w:r>
              <w:rPr>
                <w:rFonts w:hint="eastAsia" w:cs="Times New Roman"/>
                <w:b w:val="0"/>
                <w:bCs/>
                <w:color w:val="FF0000"/>
                <w:spacing w:val="0"/>
                <w:sz w:val="24"/>
                <w:szCs w:val="24"/>
                <w:lang w:val="en-US" w:eastAsia="zh-CN"/>
              </w:rPr>
              <w:t>项目在医用退热贴和冰凉贴制作过程中</w:t>
            </w:r>
            <w:r>
              <w:rPr>
                <w:rFonts w:hint="eastAsia" w:ascii="Times New Roman" w:hAnsi="Times New Roman" w:eastAsia="宋体" w:cs="Times New Roman"/>
                <w:b w:val="0"/>
                <w:bCs/>
                <w:color w:val="FF0000"/>
                <w:spacing w:val="0"/>
                <w:sz w:val="24"/>
                <w:szCs w:val="24"/>
                <w:lang w:val="en-US" w:eastAsia="zh-CN"/>
              </w:rPr>
              <w:t>会对聚乙烯吡咯烷酮及EDTA二钠盐进行配粉，在这个过程中会有一定量的颗粒物产生，产污系数参考《逸散性工业粉尘控制技术》中“逸散尘排放因子”：物料下料起尘量为</w:t>
            </w:r>
            <w:r>
              <w:rPr>
                <w:rFonts w:hint="default" w:ascii="Times New Roman" w:hAnsi="Times New Roman" w:eastAsia="宋体" w:cs="Times New Roman"/>
                <w:b w:val="0"/>
                <w:bCs/>
                <w:color w:val="FF0000"/>
                <w:spacing w:val="0"/>
                <w:sz w:val="24"/>
                <w:szCs w:val="24"/>
                <w:lang w:val="en-US" w:eastAsia="zh-CN"/>
              </w:rPr>
              <w:t>0.01kg/t</w:t>
            </w:r>
            <w:r>
              <w:rPr>
                <w:rFonts w:hint="eastAsia" w:ascii="Times New Roman" w:hAnsi="Times New Roman" w:eastAsia="宋体" w:cs="Times New Roman"/>
                <w:b w:val="0"/>
                <w:bCs/>
                <w:color w:val="FF0000"/>
                <w:spacing w:val="0"/>
                <w:sz w:val="24"/>
                <w:szCs w:val="24"/>
                <w:lang w:val="en-US" w:eastAsia="zh-CN"/>
              </w:rPr>
              <w:t>。</w:t>
            </w:r>
          </w:p>
          <w:p w14:paraId="7BE76F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FF0000"/>
                <w:spacing w:val="0"/>
                <w:sz w:val="24"/>
                <w:szCs w:val="24"/>
                <w:lang w:val="en-US" w:eastAsia="zh-CN"/>
              </w:rPr>
            </w:pPr>
            <w:r>
              <w:rPr>
                <w:rFonts w:hint="eastAsia" w:ascii="Times New Roman" w:hAnsi="Times New Roman" w:eastAsia="宋体" w:cs="Times New Roman"/>
                <w:b w:val="0"/>
                <w:bCs/>
                <w:color w:val="FF0000"/>
                <w:spacing w:val="0"/>
                <w:sz w:val="24"/>
                <w:szCs w:val="24"/>
                <w:lang w:val="en-US" w:eastAsia="zh-CN"/>
              </w:rPr>
              <w:t>项目医用退热贴粉料</w:t>
            </w:r>
            <w:bookmarkStart w:id="88" w:name="OLE_LINK2"/>
            <w:r>
              <w:rPr>
                <w:rFonts w:hint="eastAsia" w:ascii="Times New Roman" w:hAnsi="Times New Roman" w:eastAsia="宋体" w:cs="Times New Roman"/>
                <w:b w:val="0"/>
                <w:bCs/>
                <w:color w:val="FF0000"/>
                <w:spacing w:val="0"/>
                <w:sz w:val="24"/>
                <w:szCs w:val="24"/>
                <w:lang w:val="en-US" w:eastAsia="zh-CN"/>
              </w:rPr>
              <w:t>使用ED</w:t>
            </w:r>
            <w:bookmarkStart w:id="89" w:name="OLE_LINK3"/>
            <w:r>
              <w:rPr>
                <w:rFonts w:hint="eastAsia" w:ascii="Times New Roman" w:hAnsi="Times New Roman" w:eastAsia="宋体" w:cs="Times New Roman"/>
                <w:b w:val="0"/>
                <w:bCs/>
                <w:color w:val="FF0000"/>
                <w:spacing w:val="0"/>
                <w:sz w:val="24"/>
                <w:szCs w:val="24"/>
                <w:lang w:val="en-US" w:eastAsia="zh-CN"/>
              </w:rPr>
              <w:t>TA二钠盐</w:t>
            </w:r>
            <w:bookmarkEnd w:id="89"/>
            <w:r>
              <w:rPr>
                <w:rFonts w:hint="eastAsia" w:ascii="Times New Roman" w:hAnsi="Times New Roman" w:eastAsia="宋体" w:cs="Times New Roman"/>
                <w:b w:val="0"/>
                <w:bCs/>
                <w:color w:val="FF0000"/>
                <w:spacing w:val="0"/>
                <w:sz w:val="24"/>
                <w:szCs w:val="24"/>
                <w:lang w:val="en-US" w:eastAsia="zh-CN"/>
              </w:rPr>
              <w:t>8t/a、聚乙烯吡咯烷酮130t/a，总量为138t/a，则医用退热贴制作过程</w:t>
            </w:r>
            <w:bookmarkEnd w:id="88"/>
            <w:r>
              <w:rPr>
                <w:rFonts w:hint="eastAsia" w:ascii="Times New Roman" w:hAnsi="Times New Roman" w:eastAsia="宋体" w:cs="Times New Roman"/>
                <w:b w:val="0"/>
                <w:bCs/>
                <w:color w:val="FF0000"/>
                <w:spacing w:val="0"/>
                <w:sz w:val="24"/>
                <w:szCs w:val="24"/>
                <w:lang w:val="en-US" w:eastAsia="zh-CN"/>
              </w:rPr>
              <w:t>颗粒物产生量为1.38kg/a；项目冰凉贴粉料使用EDTA二钠盐2.6t/a、聚乙烯吡咯烷酮43t/a，总量为45.6t，则冰凉贴制作过程颗粒物产生量为0.456kg/a。</w:t>
            </w:r>
          </w:p>
          <w:p w14:paraId="74AE91D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color w:val="FF0000"/>
                <w:spacing w:val="0"/>
                <w:sz w:val="24"/>
                <w:szCs w:val="24"/>
                <w:lang w:val="en-US" w:eastAsia="zh-CN"/>
              </w:rPr>
            </w:pPr>
            <w:r>
              <w:rPr>
                <w:rFonts w:hint="eastAsia" w:cs="Times New Roman"/>
                <w:b w:val="0"/>
                <w:bCs/>
                <w:color w:val="FF0000"/>
                <w:spacing w:val="0"/>
                <w:sz w:val="24"/>
                <w:szCs w:val="24"/>
                <w:lang w:val="en-US" w:eastAsia="zh-CN"/>
              </w:rPr>
              <w:t>医用退热贴和冰凉贴制作过程</w:t>
            </w:r>
            <w:r>
              <w:rPr>
                <w:rFonts w:hint="eastAsia" w:ascii="Times New Roman" w:hAnsi="Times New Roman" w:eastAsia="宋体" w:cs="Times New Roman"/>
                <w:b w:val="0"/>
                <w:bCs/>
                <w:color w:val="FF0000"/>
                <w:spacing w:val="0"/>
                <w:sz w:val="24"/>
                <w:szCs w:val="24"/>
                <w:lang w:val="en-US" w:eastAsia="zh-CN"/>
              </w:rPr>
              <w:t>颗粒物产生量</w:t>
            </w:r>
            <w:r>
              <w:rPr>
                <w:rFonts w:hint="eastAsia" w:cs="Times New Roman"/>
                <w:b w:val="0"/>
                <w:bCs/>
                <w:color w:val="FF0000"/>
                <w:spacing w:val="0"/>
                <w:sz w:val="24"/>
                <w:szCs w:val="24"/>
                <w:lang w:val="en-US" w:eastAsia="zh-CN"/>
              </w:rPr>
              <w:t>合</w:t>
            </w:r>
            <w:r>
              <w:rPr>
                <w:rFonts w:hint="eastAsia" w:ascii="Times New Roman" w:hAnsi="Times New Roman" w:eastAsia="宋体" w:cs="Times New Roman"/>
                <w:b w:val="0"/>
                <w:bCs/>
                <w:color w:val="FF0000"/>
                <w:spacing w:val="0"/>
                <w:sz w:val="24"/>
                <w:szCs w:val="24"/>
                <w:lang w:val="en-US" w:eastAsia="zh-CN"/>
              </w:rPr>
              <w:t>为1.836kg/a</w:t>
            </w:r>
            <w:r>
              <w:rPr>
                <w:rFonts w:hint="eastAsia" w:cs="Times New Roman"/>
                <w:b w:val="0"/>
                <w:bCs/>
                <w:color w:val="FF0000"/>
                <w:spacing w:val="0"/>
                <w:sz w:val="24"/>
                <w:szCs w:val="24"/>
                <w:lang w:val="en-US" w:eastAsia="zh-CN"/>
              </w:rPr>
              <w:t>，</w:t>
            </w:r>
            <w:r>
              <w:rPr>
                <w:rFonts w:hint="eastAsia" w:ascii="Times New Roman" w:hAnsi="Times New Roman" w:eastAsia="宋体" w:cs="Times New Roman"/>
                <w:b w:val="0"/>
                <w:bCs/>
                <w:color w:val="FF0000"/>
                <w:spacing w:val="0"/>
                <w:sz w:val="24"/>
                <w:szCs w:val="24"/>
                <w:lang w:val="en-US" w:eastAsia="zh-CN"/>
              </w:rPr>
              <w:t>因EDTA二钠盐使用量较小，所使用聚乙烯吡咯烷酮为食品级，因颗粒物</w:t>
            </w:r>
            <w:r>
              <w:rPr>
                <w:rFonts w:hint="eastAsia" w:cs="Times New Roman"/>
                <w:b w:val="0"/>
                <w:bCs/>
                <w:color w:val="FF0000"/>
                <w:spacing w:val="0"/>
                <w:sz w:val="24"/>
                <w:szCs w:val="24"/>
                <w:lang w:val="en-US" w:eastAsia="zh-CN"/>
              </w:rPr>
              <w:t>产生量较少固以</w:t>
            </w:r>
            <w:r>
              <w:rPr>
                <w:rFonts w:hint="eastAsia" w:ascii="Times New Roman" w:hAnsi="Times New Roman" w:eastAsia="宋体" w:cs="Times New Roman"/>
                <w:b w:val="0"/>
                <w:bCs/>
                <w:color w:val="FF0000"/>
                <w:spacing w:val="0"/>
                <w:sz w:val="24"/>
                <w:szCs w:val="24"/>
                <w:lang w:val="en-US" w:eastAsia="zh-CN"/>
              </w:rPr>
              <w:t>无组织</w:t>
            </w:r>
            <w:r>
              <w:rPr>
                <w:rFonts w:hint="eastAsia" w:cs="Times New Roman"/>
                <w:b w:val="0"/>
                <w:bCs/>
                <w:color w:val="FF0000"/>
                <w:sz w:val="24"/>
                <w:szCs w:val="24"/>
                <w:lang w:val="en-US" w:eastAsia="zh-CN"/>
              </w:rPr>
              <w:t>排放。</w:t>
            </w:r>
          </w:p>
          <w:p w14:paraId="77A1F1F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s="Times New Roman"/>
                <w:b/>
                <w:bCs w:val="0"/>
                <w:color w:val="FF0000"/>
                <w:spacing w:val="0"/>
                <w:sz w:val="21"/>
                <w:szCs w:val="21"/>
                <w:lang w:val="en-US" w:eastAsia="zh-CN"/>
              </w:rPr>
            </w:pPr>
            <w:r>
              <w:rPr>
                <w:rFonts w:hint="eastAsia" w:cs="Times New Roman"/>
                <w:b/>
                <w:bCs w:val="0"/>
                <w:color w:val="FF0000"/>
                <w:spacing w:val="0"/>
                <w:sz w:val="21"/>
                <w:szCs w:val="21"/>
                <w:lang w:val="en-US" w:eastAsia="zh-CN"/>
              </w:rPr>
              <w:t>表4-1  项目废气情况表</w:t>
            </w:r>
          </w:p>
          <w:tbl>
            <w:tblPr>
              <w:tblStyle w:val="25"/>
              <w:tblW w:w="79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75"/>
              <w:gridCol w:w="1305"/>
              <w:gridCol w:w="725"/>
              <w:gridCol w:w="1420"/>
              <w:gridCol w:w="1315"/>
              <w:gridCol w:w="1134"/>
            </w:tblGrid>
            <w:tr w14:paraId="329A8A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1" w:hRule="atLeast"/>
              </w:trPr>
              <w:tc>
                <w:tcPr>
                  <w:tcW w:w="764" w:type="dxa"/>
                  <w:tcBorders>
                    <w:tl2br w:val="nil"/>
                    <w:tr2bl w:val="nil"/>
                  </w:tcBorders>
                  <w:vAlign w:val="center"/>
                </w:tcPr>
                <w:p w14:paraId="768FDC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cs="Times New Roman"/>
                      <w:b/>
                      <w:bCs w:val="0"/>
                      <w:color w:val="FF0000"/>
                      <w:spacing w:val="0"/>
                      <w:sz w:val="21"/>
                      <w:szCs w:val="21"/>
                      <w:vertAlign w:val="baseline"/>
                      <w:lang w:val="en-US" w:eastAsia="zh-CN"/>
                    </w:rPr>
                  </w:pPr>
                  <w:r>
                    <w:rPr>
                      <w:rFonts w:hint="eastAsia" w:cs="Times New Roman"/>
                      <w:b/>
                      <w:bCs w:val="0"/>
                      <w:color w:val="FF0000"/>
                      <w:spacing w:val="0"/>
                      <w:sz w:val="21"/>
                      <w:szCs w:val="24"/>
                      <w:vertAlign w:val="baseline"/>
                      <w:lang w:val="en-US" w:eastAsia="zh-CN"/>
                    </w:rPr>
                    <w:t>产污环节</w:t>
                  </w:r>
                </w:p>
              </w:tc>
              <w:tc>
                <w:tcPr>
                  <w:tcW w:w="1275" w:type="dxa"/>
                  <w:tcBorders>
                    <w:tl2br w:val="nil"/>
                    <w:tr2bl w:val="nil"/>
                  </w:tcBorders>
                  <w:vAlign w:val="center"/>
                </w:tcPr>
                <w:p w14:paraId="67A88AC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cs="Times New Roman"/>
                      <w:b/>
                      <w:bCs w:val="0"/>
                      <w:color w:val="FF0000"/>
                      <w:spacing w:val="0"/>
                      <w:sz w:val="21"/>
                      <w:szCs w:val="21"/>
                      <w:vertAlign w:val="baseline"/>
                      <w:lang w:val="en-US" w:eastAsia="zh-CN"/>
                    </w:rPr>
                  </w:pPr>
                  <w:r>
                    <w:rPr>
                      <w:rFonts w:hint="eastAsia" w:cs="Times New Roman"/>
                      <w:b/>
                      <w:bCs w:val="0"/>
                      <w:color w:val="FF0000"/>
                      <w:spacing w:val="0"/>
                      <w:sz w:val="21"/>
                      <w:szCs w:val="24"/>
                      <w:vertAlign w:val="baseline"/>
                      <w:lang w:val="en-US" w:eastAsia="zh-CN"/>
                    </w:rPr>
                    <w:t>产品</w:t>
                  </w:r>
                </w:p>
              </w:tc>
              <w:tc>
                <w:tcPr>
                  <w:tcW w:w="1305" w:type="dxa"/>
                  <w:tcBorders>
                    <w:tl2br w:val="nil"/>
                    <w:tr2bl w:val="nil"/>
                  </w:tcBorders>
                  <w:vAlign w:val="center"/>
                </w:tcPr>
                <w:p w14:paraId="7CFC91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cs="Times New Roman"/>
                      <w:b/>
                      <w:bCs w:val="0"/>
                      <w:color w:val="FF0000"/>
                      <w:spacing w:val="0"/>
                      <w:sz w:val="21"/>
                      <w:szCs w:val="21"/>
                      <w:vertAlign w:val="baseline"/>
                      <w:lang w:val="en-US" w:eastAsia="zh-CN"/>
                    </w:rPr>
                  </w:pPr>
                  <w:r>
                    <w:rPr>
                      <w:rFonts w:hint="eastAsia" w:cs="Times New Roman"/>
                      <w:b/>
                      <w:bCs w:val="0"/>
                      <w:color w:val="FF0000"/>
                      <w:spacing w:val="0"/>
                      <w:sz w:val="21"/>
                      <w:szCs w:val="24"/>
                      <w:vertAlign w:val="baseline"/>
                      <w:lang w:val="en-US" w:eastAsia="zh-CN"/>
                    </w:rPr>
                    <w:t>污染物产生量（t/a）</w:t>
                  </w:r>
                </w:p>
              </w:tc>
              <w:tc>
                <w:tcPr>
                  <w:tcW w:w="725" w:type="dxa"/>
                  <w:tcBorders>
                    <w:tl2br w:val="nil"/>
                    <w:tr2bl w:val="nil"/>
                  </w:tcBorders>
                  <w:vAlign w:val="center"/>
                </w:tcPr>
                <w:p w14:paraId="3C93FB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cs="Times New Roman"/>
                      <w:b/>
                      <w:bCs w:val="0"/>
                      <w:color w:val="FF0000"/>
                      <w:spacing w:val="0"/>
                      <w:sz w:val="21"/>
                      <w:szCs w:val="21"/>
                      <w:vertAlign w:val="baseline"/>
                      <w:lang w:val="en-US" w:eastAsia="zh-CN"/>
                    </w:rPr>
                  </w:pPr>
                  <w:r>
                    <w:rPr>
                      <w:rFonts w:hint="eastAsia" w:cs="Times New Roman"/>
                      <w:b/>
                      <w:bCs w:val="0"/>
                      <w:color w:val="FF0000"/>
                      <w:spacing w:val="0"/>
                      <w:sz w:val="21"/>
                      <w:szCs w:val="24"/>
                      <w:vertAlign w:val="baseline"/>
                      <w:lang w:val="en-US" w:eastAsia="zh-CN"/>
                    </w:rPr>
                    <w:t>治理措施</w:t>
                  </w:r>
                </w:p>
              </w:tc>
              <w:tc>
                <w:tcPr>
                  <w:tcW w:w="1420" w:type="dxa"/>
                  <w:tcBorders>
                    <w:tl2br w:val="nil"/>
                    <w:tr2bl w:val="nil"/>
                  </w:tcBorders>
                  <w:vAlign w:val="center"/>
                </w:tcPr>
                <w:p w14:paraId="7EBC24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cs="Times New Roman"/>
                      <w:b/>
                      <w:bCs w:val="0"/>
                      <w:color w:val="FF0000"/>
                      <w:spacing w:val="0"/>
                      <w:sz w:val="21"/>
                      <w:szCs w:val="21"/>
                      <w:vertAlign w:val="baseline"/>
                      <w:lang w:val="en-US" w:eastAsia="zh-CN"/>
                    </w:rPr>
                  </w:pPr>
                  <w:r>
                    <w:rPr>
                      <w:rFonts w:hint="eastAsia" w:cs="Times New Roman"/>
                      <w:b/>
                      <w:bCs w:val="0"/>
                      <w:color w:val="FF0000"/>
                      <w:spacing w:val="0"/>
                      <w:sz w:val="21"/>
                      <w:szCs w:val="24"/>
                      <w:vertAlign w:val="baseline"/>
                      <w:lang w:val="en-US" w:eastAsia="zh-CN"/>
                    </w:rPr>
                    <w:t>污染物排放速率kg/h</w:t>
                  </w:r>
                </w:p>
              </w:tc>
              <w:tc>
                <w:tcPr>
                  <w:tcW w:w="1315" w:type="dxa"/>
                  <w:tcBorders>
                    <w:tl2br w:val="nil"/>
                    <w:tr2bl w:val="nil"/>
                  </w:tcBorders>
                  <w:vAlign w:val="center"/>
                </w:tcPr>
                <w:p w14:paraId="2BB1C2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cs="Times New Roman"/>
                      <w:b/>
                      <w:bCs w:val="0"/>
                      <w:color w:val="FF0000"/>
                      <w:spacing w:val="0"/>
                      <w:sz w:val="21"/>
                      <w:szCs w:val="21"/>
                      <w:vertAlign w:val="baseline"/>
                      <w:lang w:val="en-US" w:eastAsia="zh-CN"/>
                    </w:rPr>
                  </w:pPr>
                  <w:r>
                    <w:rPr>
                      <w:rFonts w:hint="eastAsia" w:cs="Times New Roman"/>
                      <w:b/>
                      <w:bCs w:val="0"/>
                      <w:color w:val="FF0000"/>
                      <w:spacing w:val="0"/>
                      <w:sz w:val="21"/>
                      <w:szCs w:val="24"/>
                      <w:vertAlign w:val="baseline"/>
                      <w:lang w:val="en-US" w:eastAsia="zh-CN"/>
                    </w:rPr>
                    <w:t>污染物排放量（t/a）</w:t>
                  </w:r>
                </w:p>
              </w:tc>
              <w:tc>
                <w:tcPr>
                  <w:tcW w:w="1134" w:type="dxa"/>
                  <w:tcBorders>
                    <w:tl2br w:val="nil"/>
                    <w:tr2bl w:val="nil"/>
                  </w:tcBorders>
                  <w:vAlign w:val="center"/>
                </w:tcPr>
                <w:p w14:paraId="5E5427D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cs="Times New Roman"/>
                      <w:b/>
                      <w:bCs w:val="0"/>
                      <w:color w:val="FF0000"/>
                      <w:spacing w:val="0"/>
                      <w:sz w:val="21"/>
                      <w:szCs w:val="21"/>
                      <w:vertAlign w:val="baseline"/>
                      <w:lang w:val="en-US" w:eastAsia="zh-CN"/>
                    </w:rPr>
                  </w:pPr>
                  <w:r>
                    <w:rPr>
                      <w:rFonts w:hint="eastAsia" w:cs="Times New Roman"/>
                      <w:b/>
                      <w:bCs w:val="0"/>
                      <w:color w:val="FF0000"/>
                      <w:spacing w:val="0"/>
                      <w:sz w:val="21"/>
                      <w:szCs w:val="24"/>
                      <w:vertAlign w:val="baseline"/>
                      <w:lang w:val="en-US" w:eastAsia="zh-CN"/>
                    </w:rPr>
                    <w:t>合计</w:t>
                  </w:r>
                </w:p>
              </w:tc>
            </w:tr>
            <w:tr w14:paraId="6BCE50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64" w:type="dxa"/>
                  <w:vMerge w:val="restart"/>
                  <w:tcBorders>
                    <w:tl2br w:val="nil"/>
                    <w:tr2bl w:val="nil"/>
                  </w:tcBorders>
                  <w:vAlign w:val="center"/>
                </w:tcPr>
                <w:p w14:paraId="4AF04C1F">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b/>
                      <w:bCs w:val="0"/>
                      <w:color w:val="FF0000"/>
                      <w:spacing w:val="0"/>
                      <w:sz w:val="21"/>
                      <w:szCs w:val="21"/>
                      <w:vertAlign w:val="baseline"/>
                      <w:lang w:val="en-US" w:eastAsia="zh-CN"/>
                    </w:rPr>
                  </w:pPr>
                  <w:r>
                    <w:rPr>
                      <w:rFonts w:hint="eastAsia" w:cs="Times New Roman"/>
                      <w:b w:val="0"/>
                      <w:bCs/>
                      <w:color w:val="FF0000"/>
                      <w:spacing w:val="0"/>
                      <w:sz w:val="21"/>
                      <w:szCs w:val="24"/>
                      <w:vertAlign w:val="baseline"/>
                      <w:lang w:val="en-US" w:eastAsia="zh-CN"/>
                    </w:rPr>
                    <w:t>配粉</w:t>
                  </w:r>
                </w:p>
              </w:tc>
              <w:tc>
                <w:tcPr>
                  <w:tcW w:w="1275" w:type="dxa"/>
                  <w:tcBorders>
                    <w:tl2br w:val="nil"/>
                    <w:tr2bl w:val="nil"/>
                  </w:tcBorders>
                  <w:vAlign w:val="center"/>
                </w:tcPr>
                <w:p w14:paraId="616148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cs="Times New Roman"/>
                      <w:b/>
                      <w:bCs w:val="0"/>
                      <w:color w:val="FF0000"/>
                      <w:spacing w:val="0"/>
                      <w:sz w:val="21"/>
                      <w:szCs w:val="21"/>
                      <w:vertAlign w:val="baseline"/>
                      <w:lang w:val="en-US" w:eastAsia="zh-CN"/>
                    </w:rPr>
                  </w:pPr>
                  <w:r>
                    <w:rPr>
                      <w:rFonts w:hint="eastAsia" w:ascii="Times New Roman" w:hAnsi="Times New Roman" w:eastAsia="宋体" w:cs="Times New Roman"/>
                      <w:b w:val="0"/>
                      <w:bCs/>
                      <w:color w:val="FF0000"/>
                      <w:spacing w:val="0"/>
                      <w:sz w:val="21"/>
                      <w:szCs w:val="24"/>
                      <w:vertAlign w:val="baseline"/>
                      <w:lang w:val="en-US" w:eastAsia="zh-CN"/>
                    </w:rPr>
                    <w:t>医用退热贴</w:t>
                  </w:r>
                </w:p>
              </w:tc>
              <w:tc>
                <w:tcPr>
                  <w:tcW w:w="1305" w:type="dxa"/>
                  <w:tcBorders>
                    <w:tl2br w:val="nil"/>
                    <w:tr2bl w:val="nil"/>
                  </w:tcBorders>
                  <w:vAlign w:val="center"/>
                </w:tcPr>
                <w:p w14:paraId="43F3BE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cs="Times New Roman"/>
                      <w:b/>
                      <w:bCs w:val="0"/>
                      <w:color w:val="FF0000"/>
                      <w:spacing w:val="0"/>
                      <w:sz w:val="21"/>
                      <w:szCs w:val="21"/>
                      <w:vertAlign w:val="baseline"/>
                      <w:lang w:val="en-US" w:eastAsia="zh-CN"/>
                    </w:rPr>
                  </w:pPr>
                  <w:r>
                    <w:rPr>
                      <w:rFonts w:hint="eastAsia" w:cs="Times New Roman"/>
                      <w:b w:val="0"/>
                      <w:bCs/>
                      <w:color w:val="FF0000"/>
                      <w:spacing w:val="0"/>
                      <w:sz w:val="21"/>
                      <w:szCs w:val="24"/>
                      <w:vertAlign w:val="baseline"/>
                      <w:lang w:val="en-US" w:eastAsia="zh-CN"/>
                    </w:rPr>
                    <w:t>0.00138</w:t>
                  </w:r>
                </w:p>
              </w:tc>
              <w:tc>
                <w:tcPr>
                  <w:tcW w:w="725" w:type="dxa"/>
                  <w:tcBorders>
                    <w:tl2br w:val="nil"/>
                    <w:tr2bl w:val="nil"/>
                  </w:tcBorders>
                  <w:vAlign w:val="center"/>
                </w:tcPr>
                <w:p w14:paraId="095A49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cs="Times New Roman"/>
                      <w:b/>
                      <w:bCs w:val="0"/>
                      <w:color w:val="FF0000"/>
                      <w:spacing w:val="0"/>
                      <w:sz w:val="21"/>
                      <w:szCs w:val="21"/>
                      <w:vertAlign w:val="baseline"/>
                      <w:lang w:val="en-US" w:eastAsia="zh-CN"/>
                    </w:rPr>
                  </w:pPr>
                  <w:r>
                    <w:rPr>
                      <w:rFonts w:hint="eastAsia" w:cs="Times New Roman"/>
                      <w:b w:val="0"/>
                      <w:bCs/>
                      <w:color w:val="FF0000"/>
                      <w:spacing w:val="0"/>
                      <w:sz w:val="21"/>
                      <w:szCs w:val="24"/>
                      <w:vertAlign w:val="baseline"/>
                      <w:lang w:val="en-US" w:eastAsia="zh-CN"/>
                    </w:rPr>
                    <w:t>/</w:t>
                  </w:r>
                </w:p>
              </w:tc>
              <w:tc>
                <w:tcPr>
                  <w:tcW w:w="1420" w:type="dxa"/>
                  <w:tcBorders>
                    <w:tl2br w:val="nil"/>
                    <w:tr2bl w:val="nil"/>
                  </w:tcBorders>
                  <w:vAlign w:val="center"/>
                </w:tcPr>
                <w:p w14:paraId="5DC294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cs="Times New Roman"/>
                      <w:b/>
                      <w:bCs w:val="0"/>
                      <w:color w:val="FF0000"/>
                      <w:spacing w:val="0"/>
                      <w:sz w:val="21"/>
                      <w:szCs w:val="21"/>
                      <w:vertAlign w:val="baseline"/>
                      <w:lang w:val="en-US" w:eastAsia="zh-CN"/>
                    </w:rPr>
                  </w:pPr>
                  <w:r>
                    <w:rPr>
                      <w:rFonts w:hint="eastAsia" w:cs="Times New Roman"/>
                      <w:b w:val="0"/>
                      <w:bCs/>
                      <w:color w:val="FF0000"/>
                      <w:spacing w:val="0"/>
                      <w:sz w:val="21"/>
                      <w:szCs w:val="24"/>
                      <w:vertAlign w:val="baseline"/>
                      <w:lang w:val="en-US" w:eastAsia="zh-CN"/>
                    </w:rPr>
                    <w:t>0.00029</w:t>
                  </w:r>
                </w:p>
              </w:tc>
              <w:tc>
                <w:tcPr>
                  <w:tcW w:w="1315" w:type="dxa"/>
                  <w:tcBorders>
                    <w:tl2br w:val="nil"/>
                    <w:tr2bl w:val="nil"/>
                  </w:tcBorders>
                  <w:vAlign w:val="center"/>
                </w:tcPr>
                <w:p w14:paraId="6E5CE5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cs="Times New Roman"/>
                      <w:b/>
                      <w:bCs w:val="0"/>
                      <w:color w:val="FF0000"/>
                      <w:spacing w:val="0"/>
                      <w:sz w:val="21"/>
                      <w:szCs w:val="21"/>
                      <w:vertAlign w:val="baseline"/>
                      <w:lang w:val="en-US" w:eastAsia="zh-CN"/>
                    </w:rPr>
                  </w:pPr>
                  <w:r>
                    <w:rPr>
                      <w:rFonts w:hint="eastAsia" w:cs="Times New Roman"/>
                      <w:b w:val="0"/>
                      <w:bCs/>
                      <w:color w:val="FF0000"/>
                      <w:spacing w:val="0"/>
                      <w:sz w:val="21"/>
                      <w:szCs w:val="24"/>
                      <w:vertAlign w:val="baseline"/>
                      <w:lang w:val="en-US" w:eastAsia="zh-CN"/>
                    </w:rPr>
                    <w:t>0.00138</w:t>
                  </w:r>
                </w:p>
              </w:tc>
              <w:tc>
                <w:tcPr>
                  <w:tcW w:w="1134" w:type="dxa"/>
                  <w:vMerge w:val="restart"/>
                  <w:tcBorders>
                    <w:tl2br w:val="nil"/>
                    <w:tr2bl w:val="nil"/>
                  </w:tcBorders>
                  <w:vAlign w:val="center"/>
                </w:tcPr>
                <w:p w14:paraId="3F93CB4B">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b/>
                      <w:bCs w:val="0"/>
                      <w:color w:val="FF0000"/>
                      <w:spacing w:val="0"/>
                      <w:sz w:val="21"/>
                      <w:szCs w:val="21"/>
                      <w:vertAlign w:val="baseline"/>
                      <w:lang w:val="en-US" w:eastAsia="zh-CN"/>
                    </w:rPr>
                  </w:pPr>
                  <w:r>
                    <w:rPr>
                      <w:rFonts w:hint="eastAsia" w:cs="Times New Roman"/>
                      <w:b w:val="0"/>
                      <w:bCs/>
                      <w:color w:val="FF0000"/>
                      <w:spacing w:val="0"/>
                      <w:sz w:val="21"/>
                      <w:szCs w:val="24"/>
                      <w:vertAlign w:val="baseline"/>
                      <w:lang w:val="en-US" w:eastAsia="zh-CN"/>
                    </w:rPr>
                    <w:t>0.001836</w:t>
                  </w:r>
                </w:p>
              </w:tc>
            </w:tr>
            <w:tr w14:paraId="49F41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64" w:type="dxa"/>
                  <w:vMerge w:val="continue"/>
                  <w:tcBorders>
                    <w:tl2br w:val="nil"/>
                    <w:tr2bl w:val="nil"/>
                  </w:tcBorders>
                  <w:vAlign w:val="center"/>
                </w:tcPr>
                <w:p w14:paraId="0D278327">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b/>
                      <w:bCs w:val="0"/>
                      <w:color w:val="FF0000"/>
                      <w:spacing w:val="0"/>
                      <w:sz w:val="21"/>
                      <w:szCs w:val="21"/>
                      <w:vertAlign w:val="baseline"/>
                      <w:lang w:val="en-US" w:eastAsia="zh-CN"/>
                    </w:rPr>
                  </w:pPr>
                </w:p>
              </w:tc>
              <w:tc>
                <w:tcPr>
                  <w:tcW w:w="1275" w:type="dxa"/>
                  <w:tcBorders>
                    <w:tl2br w:val="nil"/>
                    <w:tr2bl w:val="nil"/>
                  </w:tcBorders>
                  <w:vAlign w:val="center"/>
                </w:tcPr>
                <w:p w14:paraId="748444C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FF0000"/>
                      <w:spacing w:val="0"/>
                      <w:sz w:val="21"/>
                      <w:szCs w:val="24"/>
                      <w:vertAlign w:val="baseline"/>
                      <w:lang w:val="en-US" w:eastAsia="zh-CN"/>
                    </w:rPr>
                  </w:pPr>
                  <w:r>
                    <w:rPr>
                      <w:rFonts w:hint="eastAsia" w:ascii="Times New Roman" w:hAnsi="Times New Roman" w:eastAsia="宋体" w:cs="Times New Roman"/>
                      <w:b w:val="0"/>
                      <w:bCs/>
                      <w:color w:val="FF0000"/>
                      <w:spacing w:val="0"/>
                      <w:sz w:val="21"/>
                      <w:szCs w:val="24"/>
                      <w:vertAlign w:val="baseline"/>
                      <w:lang w:val="en-US" w:eastAsia="zh-CN"/>
                    </w:rPr>
                    <w:t>冰凉贴</w:t>
                  </w:r>
                </w:p>
              </w:tc>
              <w:tc>
                <w:tcPr>
                  <w:tcW w:w="1305" w:type="dxa"/>
                  <w:tcBorders>
                    <w:tl2br w:val="nil"/>
                    <w:tr2bl w:val="nil"/>
                  </w:tcBorders>
                  <w:vAlign w:val="center"/>
                </w:tcPr>
                <w:p w14:paraId="0A64A9F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FF0000"/>
                      <w:spacing w:val="0"/>
                      <w:sz w:val="21"/>
                      <w:szCs w:val="24"/>
                      <w:vertAlign w:val="baseline"/>
                      <w:lang w:val="en-US" w:eastAsia="zh-CN"/>
                    </w:rPr>
                  </w:pPr>
                  <w:r>
                    <w:rPr>
                      <w:rFonts w:hint="eastAsia" w:ascii="Times New Roman" w:hAnsi="Times New Roman" w:eastAsia="宋体" w:cs="Times New Roman"/>
                      <w:b w:val="0"/>
                      <w:bCs/>
                      <w:color w:val="FF0000"/>
                      <w:spacing w:val="0"/>
                      <w:sz w:val="21"/>
                      <w:szCs w:val="24"/>
                      <w:vertAlign w:val="baseline"/>
                      <w:lang w:val="en-US" w:eastAsia="zh-CN"/>
                    </w:rPr>
                    <w:t>0.000456</w:t>
                  </w:r>
                </w:p>
              </w:tc>
              <w:tc>
                <w:tcPr>
                  <w:tcW w:w="725" w:type="dxa"/>
                  <w:tcBorders>
                    <w:tl2br w:val="nil"/>
                    <w:tr2bl w:val="nil"/>
                  </w:tcBorders>
                  <w:vAlign w:val="center"/>
                </w:tcPr>
                <w:p w14:paraId="0973603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eastAsia" w:ascii="Times New Roman" w:hAnsi="Times New Roman" w:eastAsia="宋体" w:cs="Times New Roman"/>
                      <w:b w:val="0"/>
                      <w:bCs/>
                      <w:color w:val="FF0000"/>
                      <w:spacing w:val="0"/>
                      <w:sz w:val="21"/>
                      <w:szCs w:val="24"/>
                      <w:vertAlign w:val="baseline"/>
                      <w:lang w:val="en-US" w:eastAsia="zh-CN"/>
                    </w:rPr>
                  </w:pPr>
                  <w:r>
                    <w:rPr>
                      <w:rFonts w:hint="eastAsia" w:ascii="Times New Roman" w:hAnsi="Times New Roman" w:eastAsia="宋体" w:cs="Times New Roman"/>
                      <w:b w:val="0"/>
                      <w:bCs/>
                      <w:color w:val="FF0000"/>
                      <w:spacing w:val="0"/>
                      <w:sz w:val="21"/>
                      <w:szCs w:val="24"/>
                      <w:vertAlign w:val="baseline"/>
                      <w:lang w:val="en-US" w:eastAsia="zh-CN"/>
                    </w:rPr>
                    <w:t>/</w:t>
                  </w:r>
                </w:p>
              </w:tc>
              <w:tc>
                <w:tcPr>
                  <w:tcW w:w="1420" w:type="dxa"/>
                  <w:tcBorders>
                    <w:tl2br w:val="nil"/>
                    <w:tr2bl w:val="nil"/>
                  </w:tcBorders>
                  <w:vAlign w:val="center"/>
                </w:tcPr>
                <w:p w14:paraId="4923A81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FF0000"/>
                      <w:spacing w:val="0"/>
                      <w:sz w:val="21"/>
                      <w:szCs w:val="24"/>
                      <w:vertAlign w:val="baseline"/>
                      <w:lang w:val="en-US" w:eastAsia="zh-CN"/>
                    </w:rPr>
                  </w:pPr>
                  <w:r>
                    <w:rPr>
                      <w:rFonts w:hint="eastAsia" w:ascii="Times New Roman" w:hAnsi="Times New Roman" w:eastAsia="宋体" w:cs="Times New Roman"/>
                      <w:b w:val="0"/>
                      <w:bCs/>
                      <w:color w:val="FF0000"/>
                      <w:spacing w:val="0"/>
                      <w:sz w:val="21"/>
                      <w:szCs w:val="24"/>
                      <w:vertAlign w:val="baseline"/>
                      <w:lang w:val="en-US" w:eastAsia="zh-CN"/>
                    </w:rPr>
                    <w:t>0.000095</w:t>
                  </w:r>
                </w:p>
              </w:tc>
              <w:tc>
                <w:tcPr>
                  <w:tcW w:w="1315" w:type="dxa"/>
                  <w:tcBorders>
                    <w:tl2br w:val="nil"/>
                    <w:tr2bl w:val="nil"/>
                  </w:tcBorders>
                  <w:vAlign w:val="center"/>
                </w:tcPr>
                <w:p w14:paraId="7ECEFD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rPr>
                      <w:rFonts w:hint="default" w:ascii="Times New Roman" w:hAnsi="Times New Roman" w:eastAsia="宋体" w:cs="Times New Roman"/>
                      <w:b w:val="0"/>
                      <w:bCs/>
                      <w:color w:val="FF0000"/>
                      <w:spacing w:val="0"/>
                      <w:sz w:val="21"/>
                      <w:szCs w:val="24"/>
                      <w:vertAlign w:val="baseline"/>
                      <w:lang w:val="en-US" w:eastAsia="zh-CN"/>
                    </w:rPr>
                  </w:pPr>
                  <w:r>
                    <w:rPr>
                      <w:rFonts w:hint="eastAsia" w:ascii="Times New Roman" w:hAnsi="Times New Roman" w:eastAsia="宋体" w:cs="Times New Roman"/>
                      <w:b w:val="0"/>
                      <w:bCs/>
                      <w:color w:val="FF0000"/>
                      <w:spacing w:val="0"/>
                      <w:sz w:val="21"/>
                      <w:szCs w:val="24"/>
                      <w:vertAlign w:val="baseline"/>
                      <w:lang w:val="en-US" w:eastAsia="zh-CN"/>
                    </w:rPr>
                    <w:t>0.000456</w:t>
                  </w:r>
                </w:p>
              </w:tc>
              <w:tc>
                <w:tcPr>
                  <w:tcW w:w="1134" w:type="dxa"/>
                  <w:vMerge w:val="continue"/>
                  <w:tcBorders>
                    <w:tl2br w:val="nil"/>
                    <w:tr2bl w:val="nil"/>
                  </w:tcBorders>
                  <w:vAlign w:val="center"/>
                </w:tcPr>
                <w:p w14:paraId="14185764">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eastAsia" w:cs="Times New Roman"/>
                      <w:b/>
                      <w:bCs w:val="0"/>
                      <w:color w:val="FF0000"/>
                      <w:spacing w:val="0"/>
                      <w:sz w:val="21"/>
                      <w:szCs w:val="21"/>
                      <w:vertAlign w:val="baseline"/>
                      <w:lang w:val="en-US" w:eastAsia="zh-CN"/>
                    </w:rPr>
                  </w:pPr>
                </w:p>
              </w:tc>
            </w:tr>
          </w:tbl>
          <w:p w14:paraId="3236B383">
            <w:pPr>
              <w:numPr>
                <w:ilvl w:val="0"/>
                <w:numId w:val="0"/>
              </w:numPr>
              <w:adjustRightInd w:val="0"/>
              <w:snapToGrid w:val="0"/>
              <w:spacing w:line="360" w:lineRule="auto"/>
              <w:ind w:firstLine="480" w:firstLineChars="200"/>
              <w:rPr>
                <w:rFonts w:hint="eastAsia" w:ascii="Times New Roman" w:hAnsi="Times New Roman" w:eastAsia="宋体" w:cs="Times New Roman"/>
                <w:b w:val="0"/>
                <w:bCs/>
                <w:snapToGrid w:val="0"/>
                <w:color w:val="FF0000"/>
                <w:kern w:val="2"/>
                <w:sz w:val="24"/>
                <w:szCs w:val="24"/>
                <w:lang w:val="en-US" w:eastAsia="zh-CN" w:bidi="ar-SA"/>
              </w:rPr>
            </w:pPr>
            <w:r>
              <w:rPr>
                <w:rFonts w:hint="eastAsia" w:ascii="Times New Roman" w:hAnsi="Times New Roman" w:eastAsia="宋体" w:cs="Times New Roman"/>
                <w:b w:val="0"/>
                <w:bCs/>
                <w:snapToGrid w:val="0"/>
                <w:color w:val="FF0000"/>
                <w:kern w:val="2"/>
                <w:sz w:val="24"/>
                <w:szCs w:val="24"/>
                <w:lang w:val="en-US" w:eastAsia="zh-CN" w:bidi="ar-SA"/>
              </w:rPr>
              <w:t>2）医用退热贴及冰凉贴生产过程产生的废气</w:t>
            </w:r>
          </w:p>
          <w:p w14:paraId="72AC8F98">
            <w:pPr>
              <w:numPr>
                <w:ilvl w:val="0"/>
                <w:numId w:val="0"/>
              </w:numPr>
              <w:adjustRightInd w:val="0"/>
              <w:snapToGrid w:val="0"/>
              <w:spacing w:line="360" w:lineRule="auto"/>
              <w:ind w:firstLine="480" w:firstLineChars="200"/>
              <w:rPr>
                <w:rFonts w:hint="eastAsia" w:cs="Times New Roman"/>
                <w:b w:val="0"/>
                <w:bCs/>
                <w:snapToGrid w:val="0"/>
                <w:color w:val="FF0000"/>
                <w:kern w:val="2"/>
                <w:sz w:val="24"/>
                <w:szCs w:val="24"/>
                <w:lang w:val="en-US" w:eastAsia="zh-CN" w:bidi="ar-SA"/>
              </w:rPr>
            </w:pPr>
            <w:r>
              <w:rPr>
                <w:rFonts w:hint="eastAsia" w:ascii="Times New Roman" w:hAnsi="Times New Roman" w:eastAsia="宋体" w:cs="Times New Roman"/>
                <w:b w:val="0"/>
                <w:bCs/>
                <w:snapToGrid w:val="0"/>
                <w:color w:val="FF0000"/>
                <w:kern w:val="2"/>
                <w:sz w:val="24"/>
                <w:szCs w:val="24"/>
                <w:lang w:val="en-US" w:eastAsia="zh-CN" w:bidi="ar-SA"/>
              </w:rPr>
              <w:t>项目使用的原料采用安全、无毒原材料进行加工生产，且生产工艺简单，生产过程无生物、化学反应。项目原料溶解、混合、搅拌及加热等过程均在设备内进行，原料由加料口加料，出设备即可，过程仅有少量的有机废气无组织逸散（以非甲烷总烃计）。本项目加热温度较低，有机废气非甲烷总烃产生量较小，类比青海珠穆格桑医疗器械有限公司的《一类贴剂、凝胶剂医疗器械产业化项目环境影响报告表》，非甲烷总烃的产生量约为有机原料用量的</w:t>
            </w:r>
            <w:r>
              <w:rPr>
                <w:rFonts w:hint="default" w:ascii="Times New Roman" w:hAnsi="Times New Roman" w:eastAsia="宋体" w:cs="Times New Roman"/>
                <w:b w:val="0"/>
                <w:bCs/>
                <w:snapToGrid w:val="0"/>
                <w:color w:val="FF0000"/>
                <w:kern w:val="2"/>
                <w:sz w:val="24"/>
                <w:szCs w:val="24"/>
                <w:lang w:val="en-US" w:eastAsia="zh-CN" w:bidi="ar-SA"/>
              </w:rPr>
              <w:t>0.1%</w:t>
            </w:r>
            <w:r>
              <w:rPr>
                <w:rFonts w:hint="eastAsia" w:cs="Times New Roman"/>
                <w:b w:val="0"/>
                <w:bCs/>
                <w:snapToGrid w:val="0"/>
                <w:color w:val="FF0000"/>
                <w:kern w:val="2"/>
                <w:sz w:val="24"/>
                <w:szCs w:val="24"/>
                <w:lang w:val="en-US" w:eastAsia="zh-CN" w:bidi="ar-SA"/>
              </w:rPr>
              <w:t>。</w:t>
            </w:r>
          </w:p>
          <w:p w14:paraId="27DFB083">
            <w:pPr>
              <w:numPr>
                <w:ilvl w:val="0"/>
                <w:numId w:val="0"/>
              </w:numPr>
              <w:adjustRightInd w:val="0"/>
              <w:snapToGrid w:val="0"/>
              <w:spacing w:line="360" w:lineRule="auto"/>
              <w:ind w:firstLine="480" w:firstLineChars="200"/>
              <w:rPr>
                <w:rFonts w:hint="eastAsia" w:ascii="Times New Roman" w:hAnsi="Times New Roman" w:eastAsia="宋体" w:cs="Times New Roman"/>
                <w:b w:val="0"/>
                <w:bCs/>
                <w:snapToGrid w:val="0"/>
                <w:color w:val="FF0000"/>
                <w:kern w:val="2"/>
                <w:sz w:val="24"/>
                <w:szCs w:val="24"/>
                <w:lang w:val="en-US" w:eastAsia="zh-CN" w:bidi="ar-SA"/>
              </w:rPr>
            </w:pPr>
            <w:r>
              <w:rPr>
                <w:rFonts w:hint="eastAsia" w:ascii="Times New Roman" w:hAnsi="Times New Roman" w:eastAsia="宋体" w:cs="Times New Roman"/>
                <w:b w:val="0"/>
                <w:bCs/>
                <w:snapToGrid w:val="0"/>
                <w:color w:val="FF0000"/>
                <w:kern w:val="2"/>
                <w:sz w:val="24"/>
                <w:szCs w:val="24"/>
                <w:lang w:val="en-US" w:eastAsia="zh-CN" w:bidi="ar-SA"/>
              </w:rPr>
              <w:t>根据业主提供资料，医用退热贴有机物使用量约为</w:t>
            </w:r>
            <w:r>
              <w:rPr>
                <w:rFonts w:hint="eastAsia" w:cs="Times New Roman"/>
                <w:b w:val="0"/>
                <w:bCs/>
                <w:snapToGrid w:val="0"/>
                <w:color w:val="FF0000"/>
                <w:kern w:val="2"/>
                <w:sz w:val="24"/>
                <w:szCs w:val="24"/>
                <w:lang w:val="en-US" w:eastAsia="zh-CN" w:bidi="ar-SA"/>
              </w:rPr>
              <w:t>455</w:t>
            </w:r>
            <w:r>
              <w:rPr>
                <w:rFonts w:hint="default" w:ascii="Times New Roman" w:hAnsi="Times New Roman" w:eastAsia="宋体" w:cs="Times New Roman"/>
                <w:b w:val="0"/>
                <w:bCs/>
                <w:snapToGrid w:val="0"/>
                <w:color w:val="FF0000"/>
                <w:kern w:val="2"/>
                <w:sz w:val="24"/>
                <w:szCs w:val="24"/>
                <w:lang w:val="en-US" w:eastAsia="zh-CN" w:bidi="ar-SA"/>
              </w:rPr>
              <w:t>t/a</w:t>
            </w:r>
            <w:r>
              <w:rPr>
                <w:rFonts w:hint="eastAsia" w:ascii="Times New Roman" w:hAnsi="Times New Roman" w:eastAsia="宋体" w:cs="Times New Roman"/>
                <w:b w:val="0"/>
                <w:bCs/>
                <w:snapToGrid w:val="0"/>
                <w:color w:val="FF0000"/>
                <w:kern w:val="2"/>
                <w:sz w:val="24"/>
                <w:szCs w:val="24"/>
                <w:lang w:val="en-US" w:eastAsia="zh-CN" w:bidi="ar-SA"/>
              </w:rPr>
              <w:t>，则产生有机废气约为</w:t>
            </w:r>
            <w:r>
              <w:rPr>
                <w:rFonts w:hint="default" w:ascii="Times New Roman" w:hAnsi="Times New Roman" w:eastAsia="宋体" w:cs="Times New Roman"/>
                <w:b w:val="0"/>
                <w:bCs/>
                <w:snapToGrid w:val="0"/>
                <w:color w:val="FF0000"/>
                <w:kern w:val="2"/>
                <w:sz w:val="24"/>
                <w:szCs w:val="24"/>
                <w:lang w:val="en-US" w:eastAsia="zh-CN" w:bidi="ar-SA"/>
              </w:rPr>
              <w:t>0.</w:t>
            </w:r>
            <w:r>
              <w:rPr>
                <w:rFonts w:hint="eastAsia" w:cs="Times New Roman"/>
                <w:b w:val="0"/>
                <w:bCs/>
                <w:snapToGrid w:val="0"/>
                <w:color w:val="FF0000"/>
                <w:kern w:val="2"/>
                <w:sz w:val="24"/>
                <w:szCs w:val="24"/>
                <w:lang w:val="en-US" w:eastAsia="zh-CN" w:bidi="ar-SA"/>
              </w:rPr>
              <w:t>455</w:t>
            </w:r>
            <w:r>
              <w:rPr>
                <w:rFonts w:hint="default" w:ascii="Times New Roman" w:hAnsi="Times New Roman" w:eastAsia="宋体" w:cs="Times New Roman"/>
                <w:b w:val="0"/>
                <w:bCs/>
                <w:snapToGrid w:val="0"/>
                <w:color w:val="FF0000"/>
                <w:kern w:val="2"/>
                <w:sz w:val="24"/>
                <w:szCs w:val="24"/>
                <w:lang w:val="en-US" w:eastAsia="zh-CN" w:bidi="ar-SA"/>
              </w:rPr>
              <w:t>t/a</w:t>
            </w:r>
            <w:r>
              <w:rPr>
                <w:rFonts w:hint="eastAsia" w:ascii="Times New Roman" w:hAnsi="Times New Roman" w:eastAsia="宋体" w:cs="Times New Roman"/>
                <w:b w:val="0"/>
                <w:bCs/>
                <w:snapToGrid w:val="0"/>
                <w:color w:val="FF0000"/>
                <w:kern w:val="2"/>
                <w:sz w:val="24"/>
                <w:szCs w:val="24"/>
                <w:lang w:val="en-US" w:eastAsia="zh-CN" w:bidi="ar-SA"/>
              </w:rPr>
              <w:t>；冰凉贴有机物使用量约为</w:t>
            </w:r>
            <w:r>
              <w:rPr>
                <w:rFonts w:hint="eastAsia" w:cs="Times New Roman"/>
                <w:b w:val="0"/>
                <w:bCs/>
                <w:snapToGrid w:val="0"/>
                <w:color w:val="FF0000"/>
                <w:kern w:val="2"/>
                <w:sz w:val="24"/>
                <w:szCs w:val="24"/>
                <w:lang w:val="en-US" w:eastAsia="zh-CN" w:bidi="ar-SA"/>
              </w:rPr>
              <w:t>149.6</w:t>
            </w:r>
            <w:r>
              <w:rPr>
                <w:rFonts w:hint="default" w:ascii="Times New Roman" w:hAnsi="Times New Roman" w:eastAsia="宋体" w:cs="Times New Roman"/>
                <w:b w:val="0"/>
                <w:bCs/>
                <w:snapToGrid w:val="0"/>
                <w:color w:val="FF0000"/>
                <w:kern w:val="2"/>
                <w:sz w:val="24"/>
                <w:szCs w:val="24"/>
                <w:lang w:val="en-US" w:eastAsia="zh-CN" w:bidi="ar-SA"/>
              </w:rPr>
              <w:t>t/a</w:t>
            </w:r>
            <w:r>
              <w:rPr>
                <w:rFonts w:hint="eastAsia" w:ascii="Times New Roman" w:hAnsi="Times New Roman" w:eastAsia="宋体" w:cs="Times New Roman"/>
                <w:b w:val="0"/>
                <w:bCs/>
                <w:snapToGrid w:val="0"/>
                <w:color w:val="FF0000"/>
                <w:kern w:val="2"/>
                <w:sz w:val="24"/>
                <w:szCs w:val="24"/>
                <w:lang w:val="en-US" w:eastAsia="zh-CN" w:bidi="ar-SA"/>
              </w:rPr>
              <w:t>，则产生有机废气约为</w:t>
            </w:r>
            <w:r>
              <w:rPr>
                <w:rFonts w:hint="default" w:ascii="Times New Roman" w:hAnsi="Times New Roman" w:eastAsia="宋体" w:cs="Times New Roman"/>
                <w:b w:val="0"/>
                <w:bCs/>
                <w:snapToGrid w:val="0"/>
                <w:color w:val="FF0000"/>
                <w:kern w:val="2"/>
                <w:sz w:val="24"/>
                <w:szCs w:val="24"/>
                <w:lang w:val="en-US" w:eastAsia="zh-CN" w:bidi="ar-SA"/>
              </w:rPr>
              <w:t>0.</w:t>
            </w:r>
            <w:r>
              <w:rPr>
                <w:rFonts w:hint="eastAsia" w:cs="Times New Roman"/>
                <w:b w:val="0"/>
                <w:bCs/>
                <w:snapToGrid w:val="0"/>
                <w:color w:val="FF0000"/>
                <w:kern w:val="2"/>
                <w:sz w:val="24"/>
                <w:szCs w:val="24"/>
                <w:lang w:val="en-US" w:eastAsia="zh-CN" w:bidi="ar-SA"/>
              </w:rPr>
              <w:t>15</w:t>
            </w:r>
            <w:r>
              <w:rPr>
                <w:rFonts w:hint="default" w:ascii="Times New Roman" w:hAnsi="Times New Roman" w:eastAsia="宋体" w:cs="Times New Roman"/>
                <w:b w:val="0"/>
                <w:bCs/>
                <w:snapToGrid w:val="0"/>
                <w:color w:val="FF0000"/>
                <w:kern w:val="2"/>
                <w:sz w:val="24"/>
                <w:szCs w:val="24"/>
                <w:lang w:val="en-US" w:eastAsia="zh-CN" w:bidi="ar-SA"/>
              </w:rPr>
              <w:t>t/a</w:t>
            </w:r>
            <w:r>
              <w:rPr>
                <w:rFonts w:hint="eastAsia" w:ascii="Times New Roman" w:hAnsi="Times New Roman" w:eastAsia="宋体" w:cs="Times New Roman"/>
                <w:b w:val="0"/>
                <w:bCs/>
                <w:snapToGrid w:val="0"/>
                <w:color w:val="FF0000"/>
                <w:kern w:val="2"/>
                <w:sz w:val="24"/>
                <w:szCs w:val="24"/>
                <w:lang w:val="en-US" w:eastAsia="zh-CN" w:bidi="ar-SA"/>
              </w:rPr>
              <w:t>。</w:t>
            </w:r>
          </w:p>
          <w:p w14:paraId="116203BD">
            <w:pPr>
              <w:numPr>
                <w:ilvl w:val="0"/>
                <w:numId w:val="0"/>
              </w:numPr>
              <w:adjustRightInd w:val="0"/>
              <w:snapToGrid w:val="0"/>
              <w:spacing w:line="360" w:lineRule="auto"/>
              <w:ind w:firstLine="480" w:firstLineChars="200"/>
              <w:rPr>
                <w:rFonts w:hint="eastAsia" w:ascii="Times New Roman" w:hAnsi="Times New Roman" w:eastAsia="宋体" w:cs="Times New Roman"/>
                <w:b w:val="0"/>
                <w:bCs/>
                <w:snapToGrid w:val="0"/>
                <w:color w:val="FF0000"/>
                <w:kern w:val="2"/>
                <w:sz w:val="24"/>
                <w:szCs w:val="24"/>
                <w:lang w:val="en-US" w:eastAsia="zh-CN" w:bidi="ar-SA"/>
              </w:rPr>
            </w:pPr>
            <w:r>
              <w:rPr>
                <w:rFonts w:hint="eastAsia" w:ascii="Times New Roman" w:hAnsi="Times New Roman" w:eastAsia="宋体" w:cs="Times New Roman"/>
                <w:b w:val="0"/>
                <w:bCs/>
                <w:snapToGrid w:val="0"/>
                <w:color w:val="FF0000"/>
                <w:kern w:val="2"/>
                <w:sz w:val="24"/>
                <w:szCs w:val="24"/>
                <w:lang w:val="en-US" w:eastAsia="zh-CN" w:bidi="ar-SA"/>
              </w:rPr>
              <w:t>医用退热贴及冰凉贴制作过程非甲烷总烃产生量合为</w:t>
            </w:r>
            <w:r>
              <w:rPr>
                <w:rFonts w:hint="eastAsia" w:cs="Times New Roman"/>
                <w:b w:val="0"/>
                <w:bCs/>
                <w:snapToGrid w:val="0"/>
                <w:color w:val="FF0000"/>
                <w:kern w:val="2"/>
                <w:sz w:val="24"/>
                <w:szCs w:val="24"/>
                <w:lang w:val="en-US" w:eastAsia="zh-CN" w:bidi="ar-SA"/>
              </w:rPr>
              <w:t>0.605t</w:t>
            </w:r>
            <w:r>
              <w:rPr>
                <w:rFonts w:hint="eastAsia" w:ascii="Times New Roman" w:hAnsi="Times New Roman" w:eastAsia="宋体" w:cs="Times New Roman"/>
                <w:b w:val="0"/>
                <w:bCs/>
                <w:snapToGrid w:val="0"/>
                <w:color w:val="FF0000"/>
                <w:kern w:val="2"/>
                <w:sz w:val="24"/>
                <w:szCs w:val="24"/>
                <w:lang w:val="en-US" w:eastAsia="zh-CN" w:bidi="ar-SA"/>
              </w:rPr>
              <w:t>/a。所使用原料为食品级，废气经车间空气净化系统</w:t>
            </w:r>
            <w:r>
              <w:rPr>
                <w:rFonts w:hint="eastAsia" w:cs="Times New Roman"/>
                <w:b w:val="0"/>
                <w:bCs/>
                <w:snapToGrid w:val="0"/>
                <w:color w:val="FF0000"/>
                <w:kern w:val="2"/>
                <w:sz w:val="24"/>
                <w:szCs w:val="24"/>
                <w:lang w:val="en-US" w:eastAsia="zh-CN" w:bidi="ar-SA"/>
              </w:rPr>
              <w:t>+二级活性炭处理装置</w:t>
            </w:r>
            <w:r>
              <w:rPr>
                <w:rFonts w:hint="default" w:ascii="Times New Roman" w:hAnsi="Times New Roman" w:eastAsia="宋体" w:cs="Times New Roman"/>
                <w:color w:val="FF0000"/>
                <w:kern w:val="0"/>
                <w:sz w:val="24"/>
                <w:szCs w:val="24"/>
                <w:lang w:val="en-US" w:eastAsia="zh-CN" w:bidi="ar"/>
              </w:rPr>
              <w:t>（处理效率</w:t>
            </w:r>
            <w:r>
              <w:rPr>
                <w:rFonts w:hint="eastAsia" w:cs="Times New Roman"/>
                <w:color w:val="FF0000"/>
                <w:kern w:val="0"/>
                <w:sz w:val="24"/>
                <w:szCs w:val="24"/>
                <w:lang w:val="en-US" w:eastAsia="zh-CN" w:bidi="ar"/>
              </w:rPr>
              <w:t>51</w:t>
            </w:r>
            <w:r>
              <w:rPr>
                <w:rFonts w:hint="default" w:ascii="Times New Roman" w:hAnsi="Times New Roman" w:eastAsia="宋体" w:cs="Times New Roman"/>
                <w:color w:val="FF0000"/>
                <w:kern w:val="0"/>
                <w:sz w:val="24"/>
                <w:szCs w:val="24"/>
                <w:lang w:val="en-US" w:eastAsia="zh-CN" w:bidi="ar"/>
              </w:rPr>
              <w:t>%）</w:t>
            </w:r>
            <w:r>
              <w:rPr>
                <w:rFonts w:hint="eastAsia" w:cs="Times New Roman"/>
                <w:b w:val="0"/>
                <w:bCs/>
                <w:snapToGrid w:val="0"/>
                <w:color w:val="FF0000"/>
                <w:kern w:val="2"/>
                <w:sz w:val="24"/>
                <w:szCs w:val="24"/>
                <w:lang w:val="en-US" w:eastAsia="zh-CN" w:bidi="ar-SA"/>
              </w:rPr>
              <w:t>处理后</w:t>
            </w:r>
            <w:r>
              <w:rPr>
                <w:rFonts w:hint="eastAsia" w:ascii="Times New Roman" w:hAnsi="Times New Roman" w:eastAsia="宋体" w:cs="Times New Roman"/>
                <w:b w:val="0"/>
                <w:bCs/>
                <w:snapToGrid w:val="0"/>
                <w:color w:val="FF0000"/>
                <w:kern w:val="2"/>
                <w:sz w:val="24"/>
                <w:szCs w:val="24"/>
                <w:lang w:val="en-US" w:eastAsia="zh-CN" w:bidi="ar-SA"/>
              </w:rPr>
              <w:t>无组织排放。</w:t>
            </w:r>
          </w:p>
          <w:p w14:paraId="49EF1F23">
            <w:pPr>
              <w:numPr>
                <w:ilvl w:val="0"/>
                <w:numId w:val="0"/>
              </w:numPr>
              <w:adjustRightInd w:val="0"/>
              <w:snapToGrid w:val="0"/>
              <w:spacing w:line="360" w:lineRule="auto"/>
              <w:ind w:firstLine="480" w:firstLineChars="200"/>
              <w:rPr>
                <w:rFonts w:hint="default" w:ascii="Times New Roman" w:hAnsi="Times New Roman" w:eastAsia="宋体" w:cs="Times New Roman"/>
                <w:b w:val="0"/>
                <w:bCs/>
                <w:snapToGrid w:val="0"/>
                <w:color w:val="FF0000"/>
                <w:kern w:val="2"/>
                <w:sz w:val="24"/>
                <w:szCs w:val="24"/>
                <w:lang w:val="en-US" w:eastAsia="zh-CN" w:bidi="ar-SA"/>
              </w:rPr>
            </w:pPr>
            <w:r>
              <w:rPr>
                <w:rFonts w:hint="eastAsia" w:ascii="Times New Roman" w:hAnsi="Times New Roman" w:eastAsia="宋体" w:cs="Times New Roman"/>
                <w:b w:val="0"/>
                <w:bCs/>
                <w:snapToGrid w:val="0"/>
                <w:color w:val="FF0000"/>
                <w:kern w:val="2"/>
                <w:sz w:val="24"/>
                <w:szCs w:val="24"/>
                <w:lang w:val="en-US" w:eastAsia="zh-CN" w:bidi="ar-SA"/>
              </w:rPr>
              <w:t>3）制胶</w:t>
            </w:r>
            <w:r>
              <w:rPr>
                <w:rFonts w:hint="eastAsia" w:cs="Times New Roman"/>
                <w:b w:val="0"/>
                <w:bCs/>
                <w:snapToGrid w:val="0"/>
                <w:color w:val="FF0000"/>
                <w:kern w:val="2"/>
                <w:sz w:val="24"/>
                <w:szCs w:val="24"/>
                <w:lang w:val="en-US" w:eastAsia="zh-CN" w:bidi="ar-SA"/>
              </w:rPr>
              <w:t>涂布</w:t>
            </w:r>
            <w:r>
              <w:rPr>
                <w:rFonts w:hint="eastAsia" w:ascii="Times New Roman" w:hAnsi="Times New Roman" w:eastAsia="宋体" w:cs="Times New Roman"/>
                <w:b w:val="0"/>
                <w:bCs/>
                <w:snapToGrid w:val="0"/>
                <w:color w:val="FF0000"/>
                <w:kern w:val="2"/>
                <w:sz w:val="24"/>
                <w:szCs w:val="24"/>
                <w:lang w:val="en-US" w:eastAsia="zh-CN" w:bidi="ar-SA"/>
              </w:rPr>
              <w:t>废气</w:t>
            </w:r>
          </w:p>
          <w:p w14:paraId="4EC20C40">
            <w:pPr>
              <w:numPr>
                <w:ilvl w:val="0"/>
                <w:numId w:val="0"/>
              </w:numPr>
              <w:adjustRightInd w:val="0"/>
              <w:snapToGrid w:val="0"/>
              <w:spacing w:line="360" w:lineRule="auto"/>
              <w:ind w:firstLine="480" w:firstLineChars="200"/>
              <w:rPr>
                <w:rFonts w:hint="eastAsia" w:ascii="Times New Roman" w:hAnsi="Times New Roman" w:eastAsia="宋体" w:cs="Times New Roman"/>
                <w:b w:val="0"/>
                <w:bCs/>
                <w:snapToGrid w:val="0"/>
                <w:color w:val="FF0000"/>
                <w:kern w:val="2"/>
                <w:sz w:val="24"/>
                <w:szCs w:val="24"/>
                <w:lang w:val="en-US" w:eastAsia="zh-CN" w:bidi="ar-SA"/>
              </w:rPr>
            </w:pPr>
            <w:r>
              <w:rPr>
                <w:rFonts w:hint="eastAsia" w:ascii="Times New Roman" w:hAnsi="Times New Roman" w:eastAsia="宋体" w:cs="Times New Roman"/>
                <w:b w:val="0"/>
                <w:bCs/>
                <w:snapToGrid w:val="0"/>
                <w:color w:val="FF0000"/>
                <w:kern w:val="2"/>
                <w:sz w:val="24"/>
                <w:szCs w:val="24"/>
                <w:lang w:val="en-US" w:eastAsia="zh-CN" w:bidi="ar-SA"/>
              </w:rPr>
              <w:t>项目穴位压力刺激贴和晕车贴制胶</w:t>
            </w:r>
            <w:r>
              <w:rPr>
                <w:rFonts w:hint="eastAsia" w:cs="Times New Roman"/>
                <w:b w:val="0"/>
                <w:bCs/>
                <w:snapToGrid w:val="0"/>
                <w:color w:val="FF0000"/>
                <w:kern w:val="2"/>
                <w:sz w:val="24"/>
                <w:szCs w:val="24"/>
                <w:lang w:val="en-US" w:eastAsia="zh-CN" w:bidi="ar-SA"/>
              </w:rPr>
              <w:t>涂布</w:t>
            </w:r>
            <w:r>
              <w:rPr>
                <w:rFonts w:hint="eastAsia" w:ascii="Times New Roman" w:hAnsi="Times New Roman" w:eastAsia="宋体" w:cs="Times New Roman"/>
                <w:b w:val="0"/>
                <w:bCs/>
                <w:snapToGrid w:val="0"/>
                <w:color w:val="FF0000"/>
                <w:kern w:val="2"/>
                <w:sz w:val="24"/>
                <w:szCs w:val="24"/>
                <w:lang w:val="en-US" w:eastAsia="zh-CN" w:bidi="ar-SA"/>
              </w:rPr>
              <w:t>过程中热熔胶会产生挥发性有机物，以非甲烷总烃计。根据热熔胶成分报告可知，挥发性有机物占比2%，产生的非甲烷总烃以挥发性有机成分全部挥发考虑，项目穴位压力刺激贴热熔胶用量为</w:t>
            </w:r>
            <w:r>
              <w:rPr>
                <w:rFonts w:hint="eastAsia" w:cs="Times New Roman"/>
                <w:b w:val="0"/>
                <w:bCs/>
                <w:snapToGrid w:val="0"/>
                <w:color w:val="FF0000"/>
                <w:kern w:val="2"/>
                <w:sz w:val="24"/>
                <w:szCs w:val="24"/>
                <w:lang w:val="en-US" w:eastAsia="zh-CN" w:bidi="ar-SA"/>
              </w:rPr>
              <w:t>1</w:t>
            </w:r>
            <w:r>
              <w:rPr>
                <w:rFonts w:hint="eastAsia" w:ascii="Times New Roman" w:hAnsi="Times New Roman" w:eastAsia="宋体" w:cs="Times New Roman"/>
                <w:b w:val="0"/>
                <w:bCs/>
                <w:snapToGrid w:val="0"/>
                <w:color w:val="FF0000"/>
                <w:kern w:val="2"/>
                <w:sz w:val="24"/>
                <w:szCs w:val="24"/>
                <w:lang w:val="en-US" w:eastAsia="zh-CN" w:bidi="ar-SA"/>
              </w:rPr>
              <w:t>t/a，晕车贴热熔胶用量为0.5t/a，合计1.5t/a。则非甲烷总烃产生量为0.03t/a，废气经车间空气净化系统</w:t>
            </w:r>
            <w:r>
              <w:rPr>
                <w:rFonts w:hint="eastAsia" w:cs="Times New Roman"/>
                <w:b w:val="0"/>
                <w:bCs/>
                <w:snapToGrid w:val="0"/>
                <w:color w:val="FF0000"/>
                <w:kern w:val="2"/>
                <w:sz w:val="24"/>
                <w:szCs w:val="24"/>
                <w:lang w:val="en-US" w:eastAsia="zh-CN" w:bidi="ar-SA"/>
              </w:rPr>
              <w:t>+二级活性炭处理装置</w:t>
            </w:r>
            <w:r>
              <w:rPr>
                <w:rFonts w:hint="default" w:ascii="Times New Roman" w:hAnsi="Times New Roman" w:eastAsia="宋体" w:cs="Times New Roman"/>
                <w:color w:val="FF0000"/>
                <w:kern w:val="0"/>
                <w:sz w:val="24"/>
                <w:szCs w:val="24"/>
                <w:lang w:val="en-US" w:eastAsia="zh-CN" w:bidi="ar"/>
              </w:rPr>
              <w:t>（处理效率</w:t>
            </w:r>
            <w:r>
              <w:rPr>
                <w:rFonts w:hint="eastAsia" w:cs="Times New Roman"/>
                <w:color w:val="FF0000"/>
                <w:kern w:val="0"/>
                <w:sz w:val="24"/>
                <w:szCs w:val="24"/>
                <w:lang w:val="en-US" w:eastAsia="zh-CN" w:bidi="ar"/>
              </w:rPr>
              <w:t>51</w:t>
            </w:r>
            <w:r>
              <w:rPr>
                <w:rFonts w:hint="default" w:ascii="Times New Roman" w:hAnsi="Times New Roman" w:eastAsia="宋体" w:cs="Times New Roman"/>
                <w:color w:val="FF0000"/>
                <w:kern w:val="0"/>
                <w:sz w:val="24"/>
                <w:szCs w:val="24"/>
                <w:lang w:val="en-US" w:eastAsia="zh-CN" w:bidi="ar"/>
              </w:rPr>
              <w:t>%）</w:t>
            </w:r>
            <w:r>
              <w:rPr>
                <w:rFonts w:hint="eastAsia" w:cs="Times New Roman"/>
                <w:b w:val="0"/>
                <w:bCs/>
                <w:snapToGrid w:val="0"/>
                <w:color w:val="FF0000"/>
                <w:kern w:val="2"/>
                <w:sz w:val="24"/>
                <w:szCs w:val="24"/>
                <w:lang w:val="en-US" w:eastAsia="zh-CN" w:bidi="ar-SA"/>
              </w:rPr>
              <w:t>处理后</w:t>
            </w:r>
            <w:r>
              <w:rPr>
                <w:rFonts w:hint="eastAsia" w:ascii="Times New Roman" w:hAnsi="Times New Roman" w:eastAsia="宋体" w:cs="Times New Roman"/>
                <w:b w:val="0"/>
                <w:bCs/>
                <w:snapToGrid w:val="0"/>
                <w:color w:val="FF0000"/>
                <w:kern w:val="2"/>
                <w:sz w:val="24"/>
                <w:szCs w:val="24"/>
                <w:lang w:val="en-US" w:eastAsia="zh-CN" w:bidi="ar-SA"/>
              </w:rPr>
              <w:t>无组织排放。</w:t>
            </w:r>
          </w:p>
          <w:p w14:paraId="385094F4">
            <w:pPr>
              <w:numPr>
                <w:ilvl w:val="0"/>
                <w:numId w:val="0"/>
              </w:numPr>
              <w:adjustRightInd w:val="0"/>
              <w:snapToGrid w:val="0"/>
              <w:spacing w:line="360" w:lineRule="auto"/>
              <w:ind w:firstLine="480" w:firstLineChars="200"/>
              <w:rPr>
                <w:rFonts w:hint="default" w:ascii="Times New Roman" w:hAnsi="Times New Roman" w:eastAsia="宋体" w:cs="Times New Roman"/>
                <w:b w:val="0"/>
                <w:bCs/>
                <w:snapToGrid w:val="0"/>
                <w:color w:val="FF0000"/>
                <w:kern w:val="2"/>
                <w:sz w:val="24"/>
                <w:szCs w:val="24"/>
                <w:lang w:val="en-US" w:eastAsia="zh-CN" w:bidi="ar-SA"/>
              </w:rPr>
            </w:pPr>
            <w:r>
              <w:rPr>
                <w:rFonts w:hint="eastAsia" w:ascii="Times New Roman" w:hAnsi="Times New Roman" w:eastAsia="宋体" w:cs="Times New Roman"/>
                <w:b w:val="0"/>
                <w:bCs/>
                <w:snapToGrid w:val="0"/>
                <w:color w:val="FF0000"/>
                <w:kern w:val="2"/>
                <w:sz w:val="24"/>
                <w:szCs w:val="24"/>
                <w:lang w:val="en-US" w:eastAsia="zh-CN" w:bidi="ar-SA"/>
              </w:rPr>
              <w:t>4）喷码废气</w:t>
            </w:r>
          </w:p>
          <w:p w14:paraId="15633DD3">
            <w:pPr>
              <w:numPr>
                <w:ilvl w:val="0"/>
                <w:numId w:val="0"/>
              </w:numPr>
              <w:adjustRightInd w:val="0"/>
              <w:snapToGrid w:val="0"/>
              <w:spacing w:line="360" w:lineRule="auto"/>
              <w:ind w:firstLine="480" w:firstLineChars="200"/>
              <w:rPr>
                <w:rFonts w:hint="eastAsia" w:cs="Times New Roman"/>
                <w:b w:val="0"/>
                <w:bCs/>
                <w:color w:val="FF0000"/>
                <w:spacing w:val="0"/>
                <w:sz w:val="24"/>
                <w:szCs w:val="24"/>
                <w:lang w:val="en-US" w:eastAsia="zh-CN"/>
              </w:rPr>
            </w:pPr>
            <w:r>
              <w:rPr>
                <w:rFonts w:hint="eastAsia" w:ascii="Times New Roman" w:hAnsi="Times New Roman" w:eastAsia="宋体" w:cs="Times New Roman"/>
                <w:b w:val="0"/>
                <w:bCs/>
                <w:snapToGrid w:val="0"/>
                <w:color w:val="FF0000"/>
                <w:kern w:val="2"/>
                <w:sz w:val="24"/>
                <w:szCs w:val="24"/>
                <w:lang w:val="en-US" w:eastAsia="zh-CN" w:bidi="ar-SA"/>
              </w:rPr>
              <w:t>项目使用水性油墨对</w:t>
            </w:r>
            <w:r>
              <w:rPr>
                <w:rFonts w:hint="eastAsia" w:eastAsia="宋体" w:cs="Times New Roman"/>
                <w:b w:val="0"/>
                <w:bCs/>
                <w:snapToGrid w:val="0"/>
                <w:color w:val="FF0000"/>
                <w:kern w:val="2"/>
                <w:sz w:val="24"/>
                <w:szCs w:val="24"/>
                <w:lang w:val="en-US" w:eastAsia="zh-CN" w:bidi="ar-SA"/>
              </w:rPr>
              <w:t>外包装进行</w:t>
            </w:r>
            <w:r>
              <w:rPr>
                <w:rFonts w:hint="eastAsia" w:ascii="Times New Roman" w:hAnsi="Times New Roman" w:eastAsia="宋体" w:cs="Times New Roman"/>
                <w:b w:val="0"/>
                <w:bCs/>
                <w:snapToGrid w:val="0"/>
                <w:color w:val="FF0000"/>
                <w:kern w:val="2"/>
                <w:sz w:val="24"/>
                <w:szCs w:val="24"/>
                <w:lang w:val="en-US" w:eastAsia="zh-CN" w:bidi="ar-SA"/>
              </w:rPr>
              <w:t>喷码，喷印油墨的过程中会产生挥发性有机物，以非甲烷总烃计。根据油墨成分报告，</w:t>
            </w:r>
            <w:r>
              <w:rPr>
                <w:rFonts w:hint="eastAsia" w:ascii="Times New Roman" w:hAnsi="Times New Roman" w:eastAsia="宋体" w:cs="Times New Roman"/>
                <w:b w:val="0"/>
                <w:bCs w:val="0"/>
                <w:color w:val="FF0000"/>
                <w:sz w:val="24"/>
                <w:szCs w:val="24"/>
                <w:highlight w:val="none"/>
                <w:lang w:val="en-US" w:eastAsia="zh-CN"/>
              </w:rPr>
              <w:t>项目</w:t>
            </w:r>
            <w:r>
              <w:rPr>
                <w:rFonts w:hint="eastAsia" w:ascii="Times New Roman" w:hAnsi="Times New Roman" w:eastAsia="宋体" w:cs="Times New Roman"/>
                <w:b w:val="0"/>
                <w:bCs/>
                <w:snapToGrid w:val="0"/>
                <w:color w:val="FF0000"/>
                <w:kern w:val="2"/>
                <w:sz w:val="24"/>
                <w:szCs w:val="24"/>
                <w:lang w:val="en-US" w:eastAsia="zh-CN" w:bidi="ar-SA"/>
              </w:rPr>
              <w:t>喷码</w:t>
            </w:r>
            <w:r>
              <w:rPr>
                <w:rFonts w:hint="eastAsia" w:ascii="Times New Roman" w:hAnsi="Times New Roman" w:eastAsia="宋体" w:cs="Times New Roman"/>
                <w:b w:val="0"/>
                <w:bCs w:val="0"/>
                <w:color w:val="FF0000"/>
                <w:sz w:val="24"/>
                <w:szCs w:val="24"/>
                <w:highlight w:val="none"/>
                <w:lang w:val="en-US" w:eastAsia="zh-CN"/>
              </w:rPr>
              <w:t>工序所用油墨中主要成分为：有机颜料40%、水性丙烯酸树脂30%（</w:t>
            </w:r>
            <w:r>
              <w:rPr>
                <w:rFonts w:hint="eastAsia" w:ascii="Times New Roman" w:hAnsi="Times New Roman" w:eastAsia="宋体" w:cs="Times New Roman"/>
                <w:b w:val="0"/>
                <w:bCs w:val="0"/>
                <w:color w:val="FF0000"/>
                <w:sz w:val="24"/>
                <w:szCs w:val="24"/>
                <w:highlight w:val="none"/>
                <w:shd w:val="clear" w:color="auto" w:fill="auto"/>
                <w:lang w:val="en-US" w:eastAsia="zh-CN"/>
              </w:rPr>
              <w:t>水性丙烯酸树脂中游离单体按其质量的2%计，即30x2%=0.6%</w:t>
            </w:r>
            <w:r>
              <w:rPr>
                <w:rFonts w:hint="eastAsia" w:ascii="Times New Roman" w:hAnsi="Times New Roman" w:eastAsia="宋体" w:cs="Times New Roman"/>
                <w:b w:val="0"/>
                <w:bCs w:val="0"/>
                <w:color w:val="FF0000"/>
                <w:sz w:val="24"/>
                <w:szCs w:val="24"/>
                <w:highlight w:val="none"/>
                <w:lang w:val="en-US" w:eastAsia="zh-CN"/>
              </w:rPr>
              <w:t>）、蒸馏水24.7%、氨5%，消泡剂0.3%。本次评价以</w:t>
            </w:r>
            <w:r>
              <w:rPr>
                <w:rFonts w:hint="eastAsia" w:ascii="Times New Roman" w:hAnsi="Times New Roman" w:eastAsia="宋体" w:cs="Times New Roman"/>
                <w:b w:val="0"/>
                <w:bCs w:val="0"/>
                <w:color w:val="FF0000"/>
                <w:sz w:val="24"/>
                <w:szCs w:val="24"/>
                <w:highlight w:val="none"/>
                <w:shd w:val="clear" w:color="auto" w:fill="auto"/>
                <w:lang w:val="en-US" w:eastAsia="zh-CN"/>
              </w:rPr>
              <w:t>水性丙烯酸树脂中游离单体、</w:t>
            </w:r>
            <w:r>
              <w:rPr>
                <w:rFonts w:hint="eastAsia" w:ascii="Times New Roman" w:hAnsi="Times New Roman" w:eastAsia="宋体" w:cs="Times New Roman"/>
                <w:b w:val="0"/>
                <w:bCs w:val="0"/>
                <w:color w:val="FF0000"/>
                <w:sz w:val="24"/>
                <w:szCs w:val="24"/>
                <w:highlight w:val="none"/>
                <w:lang w:val="en-US" w:eastAsia="zh-CN"/>
              </w:rPr>
              <w:t>氨、消泡剂全部挥发计，占油墨比例为5.9%。</w:t>
            </w:r>
            <w:r>
              <w:rPr>
                <w:rFonts w:hint="eastAsia" w:ascii="Times New Roman" w:hAnsi="Times New Roman" w:eastAsia="宋体" w:cs="Times New Roman"/>
                <w:b w:val="0"/>
                <w:bCs/>
                <w:snapToGrid w:val="0"/>
                <w:color w:val="FF0000"/>
                <w:kern w:val="2"/>
                <w:sz w:val="24"/>
                <w:szCs w:val="24"/>
                <w:lang w:val="en-US" w:eastAsia="zh-CN" w:bidi="ar-SA"/>
              </w:rPr>
              <w:t>项目油墨用量0.</w:t>
            </w:r>
            <w:r>
              <w:rPr>
                <w:rFonts w:hint="eastAsia" w:eastAsia="宋体" w:cs="Times New Roman"/>
                <w:b w:val="0"/>
                <w:bCs/>
                <w:snapToGrid w:val="0"/>
                <w:color w:val="FF0000"/>
                <w:kern w:val="2"/>
                <w:sz w:val="24"/>
                <w:szCs w:val="24"/>
                <w:lang w:val="en-US" w:eastAsia="zh-CN" w:bidi="ar-SA"/>
              </w:rPr>
              <w:t>1</w:t>
            </w:r>
            <w:r>
              <w:rPr>
                <w:rFonts w:hint="eastAsia" w:ascii="Times New Roman" w:hAnsi="Times New Roman" w:eastAsia="宋体" w:cs="Times New Roman"/>
                <w:b w:val="0"/>
                <w:bCs/>
                <w:snapToGrid w:val="0"/>
                <w:color w:val="FF0000"/>
                <w:kern w:val="2"/>
                <w:sz w:val="24"/>
                <w:szCs w:val="24"/>
                <w:lang w:val="en-US" w:eastAsia="zh-CN" w:bidi="ar-SA"/>
              </w:rPr>
              <w:t>t/a，</w:t>
            </w:r>
            <w:r>
              <w:rPr>
                <w:rFonts w:hint="eastAsia" w:ascii="Times New Roman" w:hAnsi="Times New Roman" w:eastAsia="宋体" w:cs="Times New Roman"/>
                <w:b w:val="0"/>
                <w:bCs w:val="0"/>
                <w:color w:val="FF0000"/>
                <w:sz w:val="24"/>
                <w:szCs w:val="24"/>
                <w:highlight w:val="none"/>
                <w:lang w:val="en-US" w:eastAsia="zh-CN"/>
              </w:rPr>
              <w:t>则</w:t>
            </w:r>
            <w:r>
              <w:rPr>
                <w:rFonts w:hint="eastAsia" w:ascii="Times New Roman" w:hAnsi="Times New Roman" w:eastAsia="宋体" w:cs="Times New Roman"/>
                <w:b w:val="0"/>
                <w:bCs/>
                <w:snapToGrid w:val="0"/>
                <w:color w:val="FF0000"/>
                <w:kern w:val="2"/>
                <w:sz w:val="24"/>
                <w:szCs w:val="24"/>
                <w:lang w:val="en-US" w:eastAsia="zh-CN" w:bidi="ar-SA"/>
              </w:rPr>
              <w:t>喷码</w:t>
            </w:r>
            <w:r>
              <w:rPr>
                <w:rFonts w:hint="eastAsia" w:ascii="Times New Roman" w:hAnsi="Times New Roman" w:eastAsia="宋体" w:cs="Times New Roman"/>
                <w:b w:val="0"/>
                <w:bCs w:val="0"/>
                <w:color w:val="FF0000"/>
                <w:sz w:val="24"/>
                <w:szCs w:val="24"/>
                <w:highlight w:val="none"/>
                <w:lang w:val="en-US" w:eastAsia="zh-CN"/>
              </w:rPr>
              <w:t>废气产生量为0.006t/a，其中氨0.005t/a，有机废气0.001t/a，有机废气中的挥发性有机物以非甲烷总烃进行表征</w:t>
            </w:r>
            <w:r>
              <w:rPr>
                <w:rFonts w:hint="eastAsia" w:ascii="Times New Roman" w:hAnsi="Times New Roman" w:eastAsia="宋体" w:cs="Times New Roman"/>
                <w:b w:val="0"/>
                <w:bCs/>
                <w:snapToGrid w:val="0"/>
                <w:color w:val="FF0000"/>
                <w:kern w:val="2"/>
                <w:sz w:val="24"/>
                <w:szCs w:val="24"/>
                <w:lang w:val="en-US" w:eastAsia="zh-CN" w:bidi="ar-SA"/>
              </w:rPr>
              <w:t>，废气经车间空气净化系统</w:t>
            </w:r>
            <w:r>
              <w:rPr>
                <w:rFonts w:hint="eastAsia" w:cs="Times New Roman"/>
                <w:b w:val="0"/>
                <w:bCs/>
                <w:snapToGrid w:val="0"/>
                <w:color w:val="FF0000"/>
                <w:kern w:val="2"/>
                <w:sz w:val="24"/>
                <w:szCs w:val="24"/>
                <w:lang w:val="en-US" w:eastAsia="zh-CN" w:bidi="ar-SA"/>
              </w:rPr>
              <w:t>+二级活性炭处理装置</w:t>
            </w:r>
            <w:r>
              <w:rPr>
                <w:rFonts w:hint="default" w:ascii="Times New Roman" w:hAnsi="Times New Roman" w:eastAsia="宋体" w:cs="Times New Roman"/>
                <w:color w:val="FF0000"/>
                <w:kern w:val="0"/>
                <w:sz w:val="24"/>
                <w:szCs w:val="24"/>
                <w:lang w:val="en-US" w:eastAsia="zh-CN" w:bidi="ar"/>
              </w:rPr>
              <w:t>（处理效率</w:t>
            </w:r>
            <w:r>
              <w:rPr>
                <w:rFonts w:hint="eastAsia" w:cs="Times New Roman"/>
                <w:color w:val="FF0000"/>
                <w:kern w:val="0"/>
                <w:sz w:val="24"/>
                <w:szCs w:val="24"/>
                <w:lang w:val="en-US" w:eastAsia="zh-CN" w:bidi="ar"/>
              </w:rPr>
              <w:t>51</w:t>
            </w:r>
            <w:r>
              <w:rPr>
                <w:rFonts w:hint="default" w:ascii="Times New Roman" w:hAnsi="Times New Roman" w:eastAsia="宋体" w:cs="Times New Roman"/>
                <w:color w:val="FF0000"/>
                <w:kern w:val="0"/>
                <w:sz w:val="24"/>
                <w:szCs w:val="24"/>
                <w:lang w:val="en-US" w:eastAsia="zh-CN" w:bidi="ar"/>
              </w:rPr>
              <w:t>%）</w:t>
            </w:r>
            <w:r>
              <w:rPr>
                <w:rFonts w:hint="eastAsia" w:cs="Times New Roman"/>
                <w:b w:val="0"/>
                <w:bCs/>
                <w:snapToGrid w:val="0"/>
                <w:color w:val="FF0000"/>
                <w:kern w:val="2"/>
                <w:sz w:val="24"/>
                <w:szCs w:val="24"/>
                <w:lang w:val="en-US" w:eastAsia="zh-CN" w:bidi="ar-SA"/>
              </w:rPr>
              <w:t>处理后</w:t>
            </w:r>
            <w:r>
              <w:rPr>
                <w:rFonts w:hint="eastAsia" w:ascii="Times New Roman" w:hAnsi="Times New Roman" w:eastAsia="宋体" w:cs="Times New Roman"/>
                <w:b w:val="0"/>
                <w:bCs/>
                <w:snapToGrid w:val="0"/>
                <w:color w:val="FF0000"/>
                <w:kern w:val="2"/>
                <w:sz w:val="24"/>
                <w:szCs w:val="24"/>
                <w:lang w:val="en-US" w:eastAsia="zh-CN" w:bidi="ar-SA"/>
              </w:rPr>
              <w:t>无组织排放。</w:t>
            </w:r>
          </w:p>
          <w:p w14:paraId="4128683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val="0"/>
                <w:snapToGrid w:val="0"/>
                <w:color w:val="FF0000"/>
                <w:kern w:val="2"/>
                <w:sz w:val="24"/>
                <w:szCs w:val="24"/>
                <w:lang w:val="en-US" w:eastAsia="zh-CN" w:bidi="ar-SA"/>
              </w:rPr>
            </w:pPr>
            <w:r>
              <w:rPr>
                <w:rFonts w:hint="eastAsia" w:cs="Times New Roman"/>
                <w:b/>
                <w:bCs w:val="0"/>
                <w:color w:val="FF0000"/>
                <w:spacing w:val="0"/>
                <w:sz w:val="24"/>
                <w:szCs w:val="24"/>
                <w:lang w:val="en-US" w:eastAsia="zh-CN"/>
              </w:rPr>
              <w:t>（2）二车间废气产生情况</w:t>
            </w:r>
          </w:p>
          <w:p w14:paraId="221A71E3">
            <w:pPr>
              <w:numPr>
                <w:ilvl w:val="0"/>
                <w:numId w:val="0"/>
              </w:numPr>
              <w:adjustRightInd w:val="0"/>
              <w:snapToGrid w:val="0"/>
              <w:spacing w:line="360" w:lineRule="auto"/>
              <w:ind w:firstLine="480" w:firstLineChars="200"/>
              <w:rPr>
                <w:rFonts w:hint="eastAsia" w:ascii="Times New Roman" w:hAnsi="Times New Roman" w:eastAsia="宋体" w:cs="Times New Roman"/>
                <w:b w:val="0"/>
                <w:bCs/>
                <w:snapToGrid w:val="0"/>
                <w:color w:val="FF0000"/>
                <w:kern w:val="2"/>
                <w:sz w:val="24"/>
                <w:szCs w:val="24"/>
                <w:lang w:val="en-US" w:eastAsia="zh-CN" w:bidi="ar-SA"/>
              </w:rPr>
            </w:pPr>
            <w:r>
              <w:rPr>
                <w:rFonts w:hint="eastAsia" w:cs="Times New Roman"/>
                <w:b w:val="0"/>
                <w:bCs/>
                <w:snapToGrid w:val="0"/>
                <w:color w:val="FF0000"/>
                <w:kern w:val="2"/>
                <w:sz w:val="24"/>
                <w:szCs w:val="24"/>
                <w:lang w:val="en-US" w:eastAsia="zh-CN" w:bidi="ar-SA"/>
              </w:rPr>
              <w:t>1</w:t>
            </w:r>
            <w:r>
              <w:rPr>
                <w:rFonts w:hint="eastAsia" w:ascii="Times New Roman" w:hAnsi="Times New Roman" w:eastAsia="宋体" w:cs="Times New Roman"/>
                <w:b w:val="0"/>
                <w:bCs/>
                <w:snapToGrid w:val="0"/>
                <w:color w:val="FF0000"/>
                <w:kern w:val="2"/>
                <w:sz w:val="24"/>
                <w:szCs w:val="24"/>
                <w:lang w:val="en-US" w:eastAsia="zh-CN" w:bidi="ar-SA"/>
              </w:rPr>
              <w:t>）医用硅酮疤痕凝胶、重组胶原蛋白贴</w:t>
            </w:r>
            <w:r>
              <w:rPr>
                <w:rFonts w:hint="eastAsia" w:cs="Times New Roman"/>
                <w:b w:val="0"/>
                <w:bCs/>
                <w:snapToGrid w:val="0"/>
                <w:color w:val="FF0000"/>
                <w:kern w:val="2"/>
                <w:sz w:val="24"/>
                <w:szCs w:val="24"/>
                <w:lang w:val="en-US" w:eastAsia="zh-CN" w:bidi="ar-SA"/>
              </w:rPr>
              <w:t>及</w:t>
            </w:r>
            <w:r>
              <w:rPr>
                <w:rFonts w:hint="eastAsia" w:ascii="Times New Roman" w:hAnsi="Times New Roman" w:eastAsia="宋体" w:cs="Times New Roman"/>
                <w:b w:val="0"/>
                <w:bCs/>
                <w:snapToGrid w:val="0"/>
                <w:color w:val="FF0000"/>
                <w:kern w:val="2"/>
                <w:sz w:val="24"/>
                <w:szCs w:val="24"/>
                <w:lang w:val="en-US" w:eastAsia="zh-CN" w:bidi="ar-SA"/>
              </w:rPr>
              <w:t>医用透明质酸钠敷贴生产过程产生的废气</w:t>
            </w:r>
          </w:p>
          <w:p w14:paraId="44C231C4">
            <w:pPr>
              <w:numPr>
                <w:ilvl w:val="0"/>
                <w:numId w:val="0"/>
              </w:numPr>
              <w:adjustRightInd w:val="0"/>
              <w:snapToGrid w:val="0"/>
              <w:spacing w:line="360" w:lineRule="auto"/>
              <w:ind w:firstLine="480" w:firstLineChars="200"/>
              <w:rPr>
                <w:rFonts w:hint="eastAsia" w:cs="Times New Roman"/>
                <w:b w:val="0"/>
                <w:bCs/>
                <w:snapToGrid w:val="0"/>
                <w:color w:val="FF0000"/>
                <w:kern w:val="2"/>
                <w:sz w:val="24"/>
                <w:szCs w:val="24"/>
                <w:lang w:val="en-US" w:eastAsia="zh-CN" w:bidi="ar-SA"/>
              </w:rPr>
            </w:pPr>
            <w:r>
              <w:rPr>
                <w:rFonts w:hint="eastAsia" w:ascii="Times New Roman" w:hAnsi="Times New Roman" w:eastAsia="宋体" w:cs="Times New Roman"/>
                <w:b w:val="0"/>
                <w:bCs/>
                <w:snapToGrid w:val="0"/>
                <w:color w:val="FF0000"/>
                <w:kern w:val="2"/>
                <w:sz w:val="24"/>
                <w:szCs w:val="24"/>
                <w:lang w:val="en-US" w:eastAsia="zh-CN" w:bidi="ar-SA"/>
              </w:rPr>
              <w:t>项目使用的原料采用安全、无毒原材料进行加工生产，且生产工艺简单，生产过程无生物、化学反应。项目选用真空乳化机机组设备，原料溶解、混合、搅拌及加热等过程均在设备内进行，原料由加料口加料，出设备即可，过程仅有少量的有机废气无组织逸散（以非甲烷总烃计）。本项目加热温度较低，有机废气非甲烷总烃产生量较小，类比青海珠穆格桑医疗器械有限公司的《一类贴剂、凝胶剂医疗器械产业化项目环境影响报告表》，非甲烷总烃的产生量约为有机原料用量的</w:t>
            </w:r>
            <w:r>
              <w:rPr>
                <w:rFonts w:hint="default" w:ascii="Times New Roman" w:hAnsi="Times New Roman" w:eastAsia="宋体" w:cs="Times New Roman"/>
                <w:b w:val="0"/>
                <w:bCs/>
                <w:snapToGrid w:val="0"/>
                <w:color w:val="FF0000"/>
                <w:kern w:val="2"/>
                <w:sz w:val="24"/>
                <w:szCs w:val="24"/>
                <w:lang w:val="en-US" w:eastAsia="zh-CN" w:bidi="ar-SA"/>
              </w:rPr>
              <w:t>0.1%</w:t>
            </w:r>
            <w:r>
              <w:rPr>
                <w:rFonts w:hint="eastAsia" w:cs="Times New Roman"/>
                <w:b w:val="0"/>
                <w:bCs/>
                <w:snapToGrid w:val="0"/>
                <w:color w:val="FF0000"/>
                <w:kern w:val="2"/>
                <w:sz w:val="24"/>
                <w:szCs w:val="24"/>
                <w:lang w:val="en-US" w:eastAsia="zh-CN" w:bidi="ar-SA"/>
              </w:rPr>
              <w:t>。</w:t>
            </w:r>
          </w:p>
          <w:p w14:paraId="28B064DD">
            <w:pPr>
              <w:numPr>
                <w:ilvl w:val="0"/>
                <w:numId w:val="0"/>
              </w:numPr>
              <w:adjustRightInd w:val="0"/>
              <w:snapToGrid w:val="0"/>
              <w:spacing w:line="360" w:lineRule="auto"/>
              <w:ind w:firstLine="480" w:firstLineChars="200"/>
              <w:rPr>
                <w:rFonts w:hint="eastAsia" w:ascii="Times New Roman" w:hAnsi="Times New Roman" w:eastAsia="宋体" w:cs="Times New Roman"/>
                <w:b w:val="0"/>
                <w:bCs/>
                <w:snapToGrid w:val="0"/>
                <w:color w:val="FF0000"/>
                <w:kern w:val="2"/>
                <w:sz w:val="24"/>
                <w:szCs w:val="24"/>
                <w:lang w:val="en-US" w:eastAsia="zh-CN" w:bidi="ar-SA"/>
              </w:rPr>
            </w:pPr>
            <w:r>
              <w:rPr>
                <w:rFonts w:hint="eastAsia" w:ascii="Times New Roman" w:hAnsi="Times New Roman" w:eastAsia="宋体" w:cs="Times New Roman"/>
                <w:b w:val="0"/>
                <w:bCs/>
                <w:snapToGrid w:val="0"/>
                <w:color w:val="FF0000"/>
                <w:kern w:val="2"/>
                <w:sz w:val="24"/>
                <w:szCs w:val="24"/>
                <w:lang w:val="en-US" w:eastAsia="zh-CN" w:bidi="ar-SA"/>
              </w:rPr>
              <w:t>根据业主提供资料，医用硅酮疤痕凝胶有机物使用量约为</w:t>
            </w:r>
            <w:r>
              <w:rPr>
                <w:rFonts w:hint="eastAsia" w:cs="Times New Roman"/>
                <w:b w:val="0"/>
                <w:bCs/>
                <w:snapToGrid w:val="0"/>
                <w:color w:val="FF0000"/>
                <w:kern w:val="2"/>
                <w:sz w:val="24"/>
                <w:szCs w:val="24"/>
                <w:lang w:val="en-US" w:eastAsia="zh-CN" w:bidi="ar-SA"/>
              </w:rPr>
              <w:t>10</w:t>
            </w:r>
            <w:r>
              <w:rPr>
                <w:rFonts w:hint="default" w:ascii="Times New Roman" w:hAnsi="Times New Roman" w:eastAsia="宋体" w:cs="Times New Roman"/>
                <w:b w:val="0"/>
                <w:bCs/>
                <w:snapToGrid w:val="0"/>
                <w:color w:val="FF0000"/>
                <w:kern w:val="2"/>
                <w:sz w:val="24"/>
                <w:szCs w:val="24"/>
                <w:lang w:val="en-US" w:eastAsia="zh-CN" w:bidi="ar-SA"/>
              </w:rPr>
              <w:t>t/a</w:t>
            </w:r>
            <w:r>
              <w:rPr>
                <w:rFonts w:hint="eastAsia" w:ascii="Times New Roman" w:hAnsi="Times New Roman" w:eastAsia="宋体" w:cs="Times New Roman"/>
                <w:b w:val="0"/>
                <w:bCs/>
                <w:snapToGrid w:val="0"/>
                <w:color w:val="FF0000"/>
                <w:kern w:val="2"/>
                <w:sz w:val="24"/>
                <w:szCs w:val="24"/>
                <w:lang w:val="en-US" w:eastAsia="zh-CN" w:bidi="ar-SA"/>
              </w:rPr>
              <w:t>，则产生有机废气约为</w:t>
            </w:r>
            <w:r>
              <w:rPr>
                <w:rFonts w:hint="default" w:ascii="Times New Roman" w:hAnsi="Times New Roman" w:eastAsia="宋体" w:cs="Times New Roman"/>
                <w:b w:val="0"/>
                <w:bCs/>
                <w:snapToGrid w:val="0"/>
                <w:color w:val="FF0000"/>
                <w:kern w:val="2"/>
                <w:sz w:val="24"/>
                <w:szCs w:val="24"/>
                <w:lang w:val="en-US" w:eastAsia="zh-CN" w:bidi="ar-SA"/>
              </w:rPr>
              <w:t>0.0</w:t>
            </w:r>
            <w:r>
              <w:rPr>
                <w:rFonts w:hint="eastAsia" w:cs="Times New Roman"/>
                <w:b w:val="0"/>
                <w:bCs/>
                <w:snapToGrid w:val="0"/>
                <w:color w:val="FF0000"/>
                <w:kern w:val="2"/>
                <w:sz w:val="24"/>
                <w:szCs w:val="24"/>
                <w:lang w:val="en-US" w:eastAsia="zh-CN" w:bidi="ar-SA"/>
              </w:rPr>
              <w:t>1</w:t>
            </w:r>
            <w:r>
              <w:rPr>
                <w:rFonts w:hint="default" w:ascii="Times New Roman" w:hAnsi="Times New Roman" w:eastAsia="宋体" w:cs="Times New Roman"/>
                <w:b w:val="0"/>
                <w:bCs/>
                <w:snapToGrid w:val="0"/>
                <w:color w:val="FF0000"/>
                <w:kern w:val="2"/>
                <w:sz w:val="24"/>
                <w:szCs w:val="24"/>
                <w:lang w:val="en-US" w:eastAsia="zh-CN" w:bidi="ar-SA"/>
              </w:rPr>
              <w:t>t/a</w:t>
            </w:r>
            <w:r>
              <w:rPr>
                <w:rFonts w:hint="eastAsia" w:ascii="Times New Roman" w:hAnsi="Times New Roman" w:eastAsia="宋体" w:cs="Times New Roman"/>
                <w:b w:val="0"/>
                <w:bCs/>
                <w:snapToGrid w:val="0"/>
                <w:color w:val="FF0000"/>
                <w:kern w:val="2"/>
                <w:sz w:val="24"/>
                <w:szCs w:val="24"/>
                <w:lang w:val="en-US" w:eastAsia="zh-CN" w:bidi="ar-SA"/>
              </w:rPr>
              <w:t>；重组胶原蛋白贴有机物使用量约为</w:t>
            </w:r>
            <w:r>
              <w:rPr>
                <w:rFonts w:hint="eastAsia" w:cs="Times New Roman"/>
                <w:b w:val="0"/>
                <w:bCs/>
                <w:snapToGrid w:val="0"/>
                <w:color w:val="FF0000"/>
                <w:kern w:val="2"/>
                <w:sz w:val="24"/>
                <w:szCs w:val="24"/>
                <w:lang w:val="en-US" w:eastAsia="zh-CN" w:bidi="ar-SA"/>
              </w:rPr>
              <w:t>9.07</w:t>
            </w:r>
            <w:r>
              <w:rPr>
                <w:rFonts w:hint="default" w:ascii="Times New Roman" w:hAnsi="Times New Roman" w:eastAsia="宋体" w:cs="Times New Roman"/>
                <w:b w:val="0"/>
                <w:bCs/>
                <w:snapToGrid w:val="0"/>
                <w:color w:val="FF0000"/>
                <w:kern w:val="2"/>
                <w:sz w:val="24"/>
                <w:szCs w:val="24"/>
                <w:lang w:val="en-US" w:eastAsia="zh-CN" w:bidi="ar-SA"/>
              </w:rPr>
              <w:t>t/a</w:t>
            </w:r>
            <w:r>
              <w:rPr>
                <w:rFonts w:hint="eastAsia" w:ascii="Times New Roman" w:hAnsi="Times New Roman" w:eastAsia="宋体" w:cs="Times New Roman"/>
                <w:b w:val="0"/>
                <w:bCs/>
                <w:snapToGrid w:val="0"/>
                <w:color w:val="FF0000"/>
                <w:kern w:val="2"/>
                <w:sz w:val="24"/>
                <w:szCs w:val="24"/>
                <w:lang w:val="en-US" w:eastAsia="zh-CN" w:bidi="ar-SA"/>
              </w:rPr>
              <w:t>，则产生有机废气约为</w:t>
            </w:r>
            <w:r>
              <w:rPr>
                <w:rFonts w:hint="default" w:ascii="Times New Roman" w:hAnsi="Times New Roman" w:eastAsia="宋体" w:cs="Times New Roman"/>
                <w:b w:val="0"/>
                <w:bCs/>
                <w:snapToGrid w:val="0"/>
                <w:color w:val="FF0000"/>
                <w:kern w:val="2"/>
                <w:sz w:val="24"/>
                <w:szCs w:val="24"/>
                <w:lang w:val="en-US" w:eastAsia="zh-CN" w:bidi="ar-SA"/>
              </w:rPr>
              <w:t>0.0</w:t>
            </w:r>
            <w:r>
              <w:rPr>
                <w:rFonts w:hint="eastAsia" w:cs="Times New Roman"/>
                <w:b w:val="0"/>
                <w:bCs/>
                <w:snapToGrid w:val="0"/>
                <w:color w:val="FF0000"/>
                <w:kern w:val="2"/>
                <w:sz w:val="24"/>
                <w:szCs w:val="24"/>
                <w:lang w:val="en-US" w:eastAsia="zh-CN" w:bidi="ar-SA"/>
              </w:rPr>
              <w:t>09</w:t>
            </w:r>
            <w:r>
              <w:rPr>
                <w:rFonts w:hint="default" w:ascii="Times New Roman" w:hAnsi="Times New Roman" w:eastAsia="宋体" w:cs="Times New Roman"/>
                <w:b w:val="0"/>
                <w:bCs/>
                <w:snapToGrid w:val="0"/>
                <w:color w:val="FF0000"/>
                <w:kern w:val="2"/>
                <w:sz w:val="24"/>
                <w:szCs w:val="24"/>
                <w:lang w:val="en-US" w:eastAsia="zh-CN" w:bidi="ar-SA"/>
              </w:rPr>
              <w:t>t/a</w:t>
            </w:r>
            <w:r>
              <w:rPr>
                <w:rFonts w:hint="eastAsia" w:ascii="Times New Roman" w:hAnsi="Times New Roman" w:eastAsia="宋体" w:cs="Times New Roman"/>
                <w:b w:val="0"/>
                <w:bCs/>
                <w:snapToGrid w:val="0"/>
                <w:color w:val="FF0000"/>
                <w:kern w:val="2"/>
                <w:sz w:val="24"/>
                <w:szCs w:val="24"/>
                <w:lang w:val="en-US" w:eastAsia="zh-CN" w:bidi="ar-SA"/>
              </w:rPr>
              <w:t>；医用透明质酸钠敷贴有机物使用量约为3</w:t>
            </w:r>
            <w:r>
              <w:rPr>
                <w:rFonts w:hint="default" w:ascii="Times New Roman" w:hAnsi="Times New Roman" w:eastAsia="宋体" w:cs="Times New Roman"/>
                <w:b w:val="0"/>
                <w:bCs/>
                <w:snapToGrid w:val="0"/>
                <w:color w:val="FF0000"/>
                <w:kern w:val="2"/>
                <w:sz w:val="24"/>
                <w:szCs w:val="24"/>
                <w:lang w:val="en-US" w:eastAsia="zh-CN" w:bidi="ar-SA"/>
              </w:rPr>
              <w:t>t/a</w:t>
            </w:r>
            <w:r>
              <w:rPr>
                <w:rFonts w:hint="eastAsia" w:ascii="Times New Roman" w:hAnsi="Times New Roman" w:eastAsia="宋体" w:cs="Times New Roman"/>
                <w:b w:val="0"/>
                <w:bCs/>
                <w:snapToGrid w:val="0"/>
                <w:color w:val="FF0000"/>
                <w:kern w:val="2"/>
                <w:sz w:val="24"/>
                <w:szCs w:val="24"/>
                <w:lang w:val="en-US" w:eastAsia="zh-CN" w:bidi="ar-SA"/>
              </w:rPr>
              <w:t>，则产生有机废气约为</w:t>
            </w:r>
            <w:r>
              <w:rPr>
                <w:rFonts w:hint="default" w:ascii="Times New Roman" w:hAnsi="Times New Roman" w:eastAsia="宋体" w:cs="Times New Roman"/>
                <w:b w:val="0"/>
                <w:bCs/>
                <w:snapToGrid w:val="0"/>
                <w:color w:val="FF0000"/>
                <w:kern w:val="2"/>
                <w:sz w:val="24"/>
                <w:szCs w:val="24"/>
                <w:lang w:val="en-US" w:eastAsia="zh-CN" w:bidi="ar-SA"/>
              </w:rPr>
              <w:t>0.0</w:t>
            </w:r>
            <w:r>
              <w:rPr>
                <w:rFonts w:hint="eastAsia" w:cs="Times New Roman"/>
                <w:b w:val="0"/>
                <w:bCs/>
                <w:snapToGrid w:val="0"/>
                <w:color w:val="FF0000"/>
                <w:kern w:val="2"/>
                <w:sz w:val="24"/>
                <w:szCs w:val="24"/>
                <w:lang w:val="en-US" w:eastAsia="zh-CN" w:bidi="ar-SA"/>
              </w:rPr>
              <w:t>03</w:t>
            </w:r>
            <w:r>
              <w:rPr>
                <w:rFonts w:hint="default" w:ascii="Times New Roman" w:hAnsi="Times New Roman" w:eastAsia="宋体" w:cs="Times New Roman"/>
                <w:b w:val="0"/>
                <w:bCs/>
                <w:snapToGrid w:val="0"/>
                <w:color w:val="FF0000"/>
                <w:kern w:val="2"/>
                <w:sz w:val="24"/>
                <w:szCs w:val="24"/>
                <w:lang w:val="en-US" w:eastAsia="zh-CN" w:bidi="ar-SA"/>
              </w:rPr>
              <w:t>t/a</w:t>
            </w:r>
            <w:r>
              <w:rPr>
                <w:rFonts w:hint="eastAsia" w:ascii="Times New Roman" w:hAnsi="Times New Roman" w:eastAsia="宋体" w:cs="Times New Roman"/>
                <w:b w:val="0"/>
                <w:bCs/>
                <w:snapToGrid w:val="0"/>
                <w:color w:val="FF0000"/>
                <w:kern w:val="2"/>
                <w:sz w:val="24"/>
                <w:szCs w:val="24"/>
                <w:lang w:val="en-US" w:eastAsia="zh-CN" w:bidi="ar-SA"/>
              </w:rPr>
              <w:t>。</w:t>
            </w:r>
          </w:p>
          <w:p w14:paraId="671EBC55">
            <w:pPr>
              <w:numPr>
                <w:ilvl w:val="0"/>
                <w:numId w:val="0"/>
              </w:numPr>
              <w:adjustRightInd w:val="0"/>
              <w:snapToGrid w:val="0"/>
              <w:spacing w:line="360" w:lineRule="auto"/>
              <w:ind w:firstLine="480" w:firstLineChars="200"/>
              <w:rPr>
                <w:rFonts w:hint="eastAsia" w:ascii="Times New Roman" w:hAnsi="Times New Roman" w:eastAsia="宋体" w:cs="Times New Roman"/>
                <w:b w:val="0"/>
                <w:bCs/>
                <w:snapToGrid w:val="0"/>
                <w:color w:val="FF0000"/>
                <w:kern w:val="2"/>
                <w:sz w:val="24"/>
                <w:szCs w:val="24"/>
                <w:lang w:val="en-US" w:eastAsia="zh-CN" w:bidi="ar-SA"/>
              </w:rPr>
            </w:pPr>
            <w:r>
              <w:rPr>
                <w:rFonts w:hint="eastAsia" w:ascii="Times New Roman" w:hAnsi="Times New Roman" w:eastAsia="宋体" w:cs="Times New Roman"/>
                <w:b w:val="0"/>
                <w:bCs/>
                <w:snapToGrid w:val="0"/>
                <w:color w:val="FF0000"/>
                <w:kern w:val="2"/>
                <w:sz w:val="24"/>
                <w:szCs w:val="24"/>
                <w:lang w:val="en-US" w:eastAsia="zh-CN" w:bidi="ar-SA"/>
              </w:rPr>
              <w:t>医用硅酮疤痕凝胶、重组胶原蛋白贴</w:t>
            </w:r>
            <w:r>
              <w:rPr>
                <w:rFonts w:hint="eastAsia" w:cs="Times New Roman"/>
                <w:b w:val="0"/>
                <w:bCs/>
                <w:snapToGrid w:val="0"/>
                <w:color w:val="FF0000"/>
                <w:kern w:val="2"/>
                <w:sz w:val="24"/>
                <w:szCs w:val="24"/>
                <w:lang w:val="en-US" w:eastAsia="zh-CN" w:bidi="ar-SA"/>
              </w:rPr>
              <w:t>及</w:t>
            </w:r>
            <w:r>
              <w:rPr>
                <w:rFonts w:hint="eastAsia" w:ascii="Times New Roman" w:hAnsi="Times New Roman" w:eastAsia="宋体" w:cs="Times New Roman"/>
                <w:b w:val="0"/>
                <w:bCs/>
                <w:snapToGrid w:val="0"/>
                <w:color w:val="FF0000"/>
                <w:kern w:val="2"/>
                <w:sz w:val="24"/>
                <w:szCs w:val="24"/>
                <w:lang w:val="en-US" w:eastAsia="zh-CN" w:bidi="ar-SA"/>
              </w:rPr>
              <w:t>医用透明质酸钠敷贴制作过程非甲烷总烃产生量合为</w:t>
            </w:r>
            <w:r>
              <w:rPr>
                <w:rFonts w:hint="eastAsia" w:cs="Times New Roman"/>
                <w:b w:val="0"/>
                <w:bCs/>
                <w:snapToGrid w:val="0"/>
                <w:color w:val="FF0000"/>
                <w:kern w:val="2"/>
                <w:sz w:val="24"/>
                <w:szCs w:val="24"/>
                <w:lang w:val="en-US" w:eastAsia="zh-CN" w:bidi="ar-SA"/>
              </w:rPr>
              <w:t>0.022t</w:t>
            </w:r>
            <w:r>
              <w:rPr>
                <w:rFonts w:hint="eastAsia" w:ascii="Times New Roman" w:hAnsi="Times New Roman" w:eastAsia="宋体" w:cs="Times New Roman"/>
                <w:b w:val="0"/>
                <w:bCs/>
                <w:snapToGrid w:val="0"/>
                <w:color w:val="FF0000"/>
                <w:kern w:val="2"/>
                <w:sz w:val="24"/>
                <w:szCs w:val="24"/>
                <w:lang w:val="en-US" w:eastAsia="zh-CN" w:bidi="ar-SA"/>
              </w:rPr>
              <w:t>/a。所使用原料为食品级，废气经车间空气净化系统</w:t>
            </w:r>
            <w:r>
              <w:rPr>
                <w:rFonts w:hint="eastAsia" w:cs="Times New Roman"/>
                <w:b w:val="0"/>
                <w:bCs/>
                <w:snapToGrid w:val="0"/>
                <w:color w:val="FF0000"/>
                <w:kern w:val="2"/>
                <w:sz w:val="24"/>
                <w:szCs w:val="24"/>
                <w:lang w:val="en-US" w:eastAsia="zh-CN" w:bidi="ar-SA"/>
              </w:rPr>
              <w:t>+二级活性炭处理装置</w:t>
            </w:r>
            <w:r>
              <w:rPr>
                <w:rFonts w:hint="default" w:ascii="Times New Roman" w:hAnsi="Times New Roman" w:eastAsia="宋体" w:cs="Times New Roman"/>
                <w:color w:val="FF0000"/>
                <w:kern w:val="0"/>
                <w:sz w:val="24"/>
                <w:szCs w:val="24"/>
                <w:lang w:val="en-US" w:eastAsia="zh-CN" w:bidi="ar"/>
              </w:rPr>
              <w:t>（处理效率</w:t>
            </w:r>
            <w:r>
              <w:rPr>
                <w:rFonts w:hint="eastAsia" w:cs="Times New Roman"/>
                <w:color w:val="FF0000"/>
                <w:kern w:val="0"/>
                <w:sz w:val="24"/>
                <w:szCs w:val="24"/>
                <w:lang w:val="en-US" w:eastAsia="zh-CN" w:bidi="ar"/>
              </w:rPr>
              <w:t>51</w:t>
            </w:r>
            <w:r>
              <w:rPr>
                <w:rFonts w:hint="default" w:ascii="Times New Roman" w:hAnsi="Times New Roman" w:eastAsia="宋体" w:cs="Times New Roman"/>
                <w:color w:val="FF0000"/>
                <w:kern w:val="0"/>
                <w:sz w:val="24"/>
                <w:szCs w:val="24"/>
                <w:lang w:val="en-US" w:eastAsia="zh-CN" w:bidi="ar"/>
              </w:rPr>
              <w:t>%）</w:t>
            </w:r>
            <w:r>
              <w:rPr>
                <w:rFonts w:hint="eastAsia" w:cs="Times New Roman"/>
                <w:b w:val="0"/>
                <w:bCs/>
                <w:snapToGrid w:val="0"/>
                <w:color w:val="FF0000"/>
                <w:kern w:val="2"/>
                <w:sz w:val="24"/>
                <w:szCs w:val="24"/>
                <w:lang w:val="en-US" w:eastAsia="zh-CN" w:bidi="ar-SA"/>
              </w:rPr>
              <w:t>处理后</w:t>
            </w:r>
            <w:r>
              <w:rPr>
                <w:rFonts w:hint="eastAsia" w:ascii="Times New Roman" w:hAnsi="Times New Roman" w:eastAsia="宋体" w:cs="Times New Roman"/>
                <w:b w:val="0"/>
                <w:bCs/>
                <w:snapToGrid w:val="0"/>
                <w:color w:val="FF0000"/>
                <w:kern w:val="2"/>
                <w:sz w:val="24"/>
                <w:szCs w:val="24"/>
                <w:lang w:val="en-US" w:eastAsia="zh-CN" w:bidi="ar-SA"/>
              </w:rPr>
              <w:t>无组织排放。</w:t>
            </w:r>
          </w:p>
          <w:p w14:paraId="3CD8E6DE">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2" w:firstLineChars="200"/>
              <w:jc w:val="both"/>
              <w:textAlignment w:val="auto"/>
              <w:rPr>
                <w:rFonts w:hint="eastAsia" w:hAnsi="宋体" w:cs="宋体"/>
                <w:b/>
                <w:bCs w:val="0"/>
                <w:color w:val="FF0000"/>
                <w:sz w:val="24"/>
              </w:rPr>
            </w:pPr>
            <w:r>
              <w:rPr>
                <w:rFonts w:hint="eastAsia" w:cs="Times New Roman"/>
                <w:b/>
                <w:bCs w:val="0"/>
                <w:color w:val="FF0000"/>
                <w:spacing w:val="0"/>
                <w:sz w:val="24"/>
                <w:szCs w:val="24"/>
                <w:lang w:val="en-US" w:eastAsia="zh-CN"/>
              </w:rPr>
              <w:t>（2）</w:t>
            </w:r>
            <w:r>
              <w:rPr>
                <w:rFonts w:hint="eastAsia" w:hAnsi="宋体" w:cs="宋体"/>
                <w:b/>
                <w:bCs w:val="0"/>
                <w:color w:val="FF0000"/>
                <w:sz w:val="24"/>
              </w:rPr>
              <w:t>各车间污染物汇总</w:t>
            </w:r>
          </w:p>
          <w:p w14:paraId="181C2FA7">
            <w:pPr>
              <w:widowControl/>
              <w:spacing w:line="360" w:lineRule="auto"/>
              <w:ind w:firstLine="480" w:firstLineChars="200"/>
              <w:jc w:val="left"/>
              <w:rPr>
                <w:rFonts w:hint="eastAsia" w:hAnsi="宋体" w:cs="宋体"/>
                <w:color w:val="FF0000"/>
                <w:sz w:val="24"/>
              </w:rPr>
            </w:pPr>
            <w:r>
              <w:rPr>
                <w:rFonts w:hint="eastAsia" w:hAnsi="宋体" w:cs="宋体"/>
                <w:color w:val="FF0000"/>
                <w:sz w:val="24"/>
              </w:rPr>
              <w:t>本项目各车间污染物产生情况见表4-2。</w:t>
            </w:r>
          </w:p>
          <w:p w14:paraId="2DB0E2BE">
            <w:pPr>
              <w:pStyle w:val="7"/>
              <w:adjustRightInd w:val="0"/>
              <w:spacing w:before="120" w:beforeLines="50" w:line="240" w:lineRule="auto"/>
              <w:ind w:firstLine="0"/>
              <w:jc w:val="center"/>
              <w:textAlignment w:val="baseline"/>
              <w:rPr>
                <w:b/>
                <w:bCs/>
                <w:color w:val="FF0000"/>
                <w:sz w:val="21"/>
                <w:szCs w:val="21"/>
              </w:rPr>
            </w:pPr>
            <w:r>
              <w:rPr>
                <w:rFonts w:hint="default" w:ascii="Times New Roman" w:hAnsi="Times New Roman" w:eastAsia="宋体" w:cs="Times New Roman"/>
                <w:b/>
                <w:bCs/>
                <w:color w:val="FF0000"/>
                <w:sz w:val="21"/>
                <w:szCs w:val="21"/>
                <w:lang w:val="en-US" w:eastAsia="zh-CN"/>
              </w:rPr>
              <w:t xml:space="preserve">表4-2 </w:t>
            </w:r>
            <w:r>
              <w:rPr>
                <w:rFonts w:hint="eastAsia" w:ascii="宋体" w:hAnsi="宋体" w:eastAsia="宋体" w:cs="Times New Roman"/>
                <w:b/>
                <w:bCs/>
                <w:color w:val="FF0000"/>
                <w:sz w:val="21"/>
                <w:szCs w:val="21"/>
                <w:lang w:val="en-US" w:eastAsia="zh-CN"/>
              </w:rPr>
              <w:t>各</w:t>
            </w:r>
            <w:r>
              <w:rPr>
                <w:rFonts w:hint="eastAsia" w:ascii="宋体" w:hAnsi="宋体" w:eastAsia="宋体" w:cs="Times New Roman"/>
                <w:b/>
                <w:bCs/>
                <w:color w:val="FF0000"/>
                <w:sz w:val="21"/>
                <w:szCs w:val="21"/>
              </w:rPr>
              <w:t>车间污</w:t>
            </w:r>
            <w:r>
              <w:rPr>
                <w:rFonts w:hint="eastAsia"/>
                <w:b/>
                <w:bCs/>
                <w:color w:val="FF0000"/>
                <w:sz w:val="21"/>
                <w:szCs w:val="21"/>
              </w:rPr>
              <w:t>染物</w:t>
            </w:r>
            <w:r>
              <w:rPr>
                <w:b/>
                <w:bCs/>
                <w:color w:val="FF0000"/>
                <w:sz w:val="21"/>
                <w:szCs w:val="21"/>
              </w:rPr>
              <w:t>产生量</w:t>
            </w:r>
          </w:p>
          <w:tbl>
            <w:tblPr>
              <w:tblStyle w:val="24"/>
              <w:tblW w:w="493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22"/>
              <w:gridCol w:w="1349"/>
              <w:gridCol w:w="1499"/>
              <w:gridCol w:w="1268"/>
            </w:tblGrid>
            <w:tr w14:paraId="7E0C0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407" w:type="pct"/>
                  <w:noWrap w:val="0"/>
                  <w:vAlign w:val="center"/>
                </w:tcPr>
                <w:p w14:paraId="24BA1537">
                  <w:pPr>
                    <w:pStyle w:val="83"/>
                    <w:spacing w:line="240" w:lineRule="auto"/>
                    <w:ind w:firstLine="0" w:firstLineChars="0"/>
                    <w:jc w:val="center"/>
                    <w:textAlignment w:val="baseline"/>
                    <w:rPr>
                      <w:rFonts w:hint="eastAsia"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rPr>
                    <w:t>工序</w:t>
                  </w:r>
                </w:p>
              </w:tc>
              <w:tc>
                <w:tcPr>
                  <w:tcW w:w="849" w:type="pct"/>
                  <w:noWrap w:val="0"/>
                  <w:vAlign w:val="center"/>
                </w:tcPr>
                <w:p w14:paraId="3B71079B">
                  <w:pPr>
                    <w:pStyle w:val="83"/>
                    <w:spacing w:line="240" w:lineRule="auto"/>
                    <w:ind w:firstLine="0" w:firstLineChars="0"/>
                    <w:jc w:val="center"/>
                    <w:textAlignment w:val="baseline"/>
                    <w:rPr>
                      <w:rFonts w:hint="eastAsia" w:ascii="Times New Roman" w:hAnsi="Times New Roman" w:eastAsia="宋体" w:cs="Times New Roman"/>
                      <w:b/>
                      <w:bCs/>
                      <w:color w:val="FF0000"/>
                      <w:sz w:val="21"/>
                      <w:szCs w:val="21"/>
                    </w:rPr>
                  </w:pPr>
                  <w:r>
                    <w:rPr>
                      <w:rFonts w:hint="eastAsia" w:hAnsi="Times New Roman" w:cs="Times New Roman"/>
                      <w:b/>
                      <w:bCs/>
                      <w:color w:val="FF0000"/>
                      <w:sz w:val="21"/>
                      <w:szCs w:val="21"/>
                    </w:rPr>
                    <w:t>污染物</w:t>
                  </w:r>
                </w:p>
              </w:tc>
              <w:tc>
                <w:tcPr>
                  <w:tcW w:w="944" w:type="pct"/>
                  <w:noWrap w:val="0"/>
                  <w:vAlign w:val="center"/>
                </w:tcPr>
                <w:p w14:paraId="6364BC07">
                  <w:pPr>
                    <w:pStyle w:val="83"/>
                    <w:spacing w:line="240" w:lineRule="auto"/>
                    <w:ind w:firstLine="0" w:firstLineChars="0"/>
                    <w:jc w:val="center"/>
                    <w:textAlignment w:val="baseline"/>
                    <w:rPr>
                      <w:rFonts w:hint="eastAsia" w:ascii="Times New Roman" w:hAnsi="Times New Roman" w:eastAsia="宋体" w:cs="Times New Roman"/>
                      <w:b/>
                      <w:bCs/>
                      <w:color w:val="FF0000"/>
                      <w:sz w:val="21"/>
                      <w:szCs w:val="21"/>
                    </w:rPr>
                  </w:pPr>
                  <w:r>
                    <w:rPr>
                      <w:rFonts w:hint="eastAsia" w:ascii="Times New Roman" w:hAnsi="Times New Roman" w:eastAsia="宋体" w:cs="Times New Roman"/>
                      <w:b/>
                      <w:bCs/>
                      <w:color w:val="FF0000"/>
                      <w:sz w:val="21"/>
                      <w:szCs w:val="21"/>
                      <w:lang w:val="en-US" w:eastAsia="zh-CN"/>
                    </w:rPr>
                    <w:t>产生量</w:t>
                  </w:r>
                </w:p>
              </w:tc>
              <w:tc>
                <w:tcPr>
                  <w:tcW w:w="798" w:type="pct"/>
                  <w:noWrap w:val="0"/>
                  <w:vAlign w:val="center"/>
                </w:tcPr>
                <w:p w14:paraId="1D9B3563">
                  <w:pPr>
                    <w:pStyle w:val="83"/>
                    <w:spacing w:line="240" w:lineRule="auto"/>
                    <w:ind w:firstLine="0" w:firstLineChars="0"/>
                    <w:jc w:val="center"/>
                    <w:textAlignment w:val="baseline"/>
                    <w:rPr>
                      <w:rFonts w:hint="eastAsia"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合计</w:t>
                  </w:r>
                </w:p>
              </w:tc>
            </w:tr>
            <w:tr w14:paraId="1BEBB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4"/>
                  <w:noWrap w:val="0"/>
                  <w:vAlign w:val="center"/>
                </w:tcPr>
                <w:p w14:paraId="12E7191F">
                  <w:pPr>
                    <w:pStyle w:val="83"/>
                    <w:spacing w:line="240" w:lineRule="auto"/>
                    <w:ind w:firstLine="0" w:firstLineChars="0"/>
                    <w:jc w:val="center"/>
                    <w:textAlignment w:val="baseline"/>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一车间</w:t>
                  </w:r>
                </w:p>
              </w:tc>
            </w:tr>
            <w:tr w14:paraId="0AF66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07" w:type="pct"/>
                  <w:noWrap w:val="0"/>
                  <w:vAlign w:val="center"/>
                </w:tcPr>
                <w:p w14:paraId="25D8A9CF">
                  <w:pPr>
                    <w:pStyle w:val="83"/>
                    <w:spacing w:line="240" w:lineRule="auto"/>
                    <w:ind w:firstLine="0" w:firstLineChars="0"/>
                    <w:jc w:val="center"/>
                    <w:textAlignment w:val="baseline"/>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医用退热贴和冰凉贴配粉过程</w:t>
                  </w:r>
                </w:p>
              </w:tc>
              <w:tc>
                <w:tcPr>
                  <w:tcW w:w="849" w:type="pct"/>
                  <w:noWrap w:val="0"/>
                  <w:vAlign w:val="center"/>
                </w:tcPr>
                <w:p w14:paraId="625FFCED">
                  <w:pPr>
                    <w:pStyle w:val="83"/>
                    <w:spacing w:line="240" w:lineRule="auto"/>
                    <w:ind w:firstLine="0" w:firstLineChars="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颗粒物</w:t>
                  </w:r>
                </w:p>
              </w:tc>
              <w:tc>
                <w:tcPr>
                  <w:tcW w:w="944" w:type="pct"/>
                  <w:noWrap w:val="0"/>
                  <w:vAlign w:val="center"/>
                </w:tcPr>
                <w:p w14:paraId="0C4E42A2">
                  <w:pPr>
                    <w:pStyle w:val="83"/>
                    <w:spacing w:line="240" w:lineRule="auto"/>
                    <w:ind w:firstLine="0" w:firstLineChars="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0.001836t/a</w:t>
                  </w:r>
                </w:p>
              </w:tc>
              <w:tc>
                <w:tcPr>
                  <w:tcW w:w="798" w:type="pct"/>
                  <w:noWrap w:val="0"/>
                  <w:vAlign w:val="center"/>
                </w:tcPr>
                <w:p w14:paraId="158DAF08">
                  <w:pPr>
                    <w:pStyle w:val="83"/>
                    <w:spacing w:line="240" w:lineRule="auto"/>
                    <w:ind w:firstLine="0" w:firstLineChars="0"/>
                    <w:jc w:val="center"/>
                    <w:textAlignment w:val="baseline"/>
                    <w:rPr>
                      <w:rFonts w:hAnsi="Times New Roman" w:cs="Times New Roman"/>
                      <w:color w:val="FF0000"/>
                      <w:sz w:val="21"/>
                      <w:szCs w:val="21"/>
                    </w:rPr>
                  </w:pPr>
                  <w:r>
                    <w:rPr>
                      <w:rFonts w:hint="eastAsia" w:ascii="Times New Roman" w:hAnsi="Times New Roman" w:eastAsia="宋体" w:cs="Times New Roman"/>
                      <w:color w:val="FF0000"/>
                      <w:sz w:val="21"/>
                      <w:szCs w:val="21"/>
                      <w:lang w:val="en-US" w:eastAsia="zh-CN"/>
                    </w:rPr>
                    <w:t>0.001836t/a</w:t>
                  </w:r>
                </w:p>
              </w:tc>
            </w:tr>
            <w:tr w14:paraId="5AE05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407" w:type="pct"/>
                  <w:noWrap w:val="0"/>
                  <w:vAlign w:val="center"/>
                </w:tcPr>
                <w:p w14:paraId="4B0EFE22">
                  <w:pPr>
                    <w:pStyle w:val="83"/>
                    <w:spacing w:line="240" w:lineRule="auto"/>
                    <w:ind w:firstLine="0" w:firstLineChars="0"/>
                    <w:jc w:val="center"/>
                    <w:textAlignment w:val="baseline"/>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医用退热贴及冰凉贴生产过程</w:t>
                  </w:r>
                </w:p>
              </w:tc>
              <w:tc>
                <w:tcPr>
                  <w:tcW w:w="849" w:type="pct"/>
                  <w:vMerge w:val="restart"/>
                  <w:noWrap w:val="0"/>
                  <w:vAlign w:val="center"/>
                </w:tcPr>
                <w:p w14:paraId="45D81D11">
                  <w:pPr>
                    <w:pStyle w:val="83"/>
                    <w:spacing w:line="240" w:lineRule="auto"/>
                    <w:ind w:firstLine="0" w:firstLineChars="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非甲烷总烃</w:t>
                  </w:r>
                </w:p>
              </w:tc>
              <w:tc>
                <w:tcPr>
                  <w:tcW w:w="944" w:type="pct"/>
                  <w:noWrap w:val="0"/>
                  <w:vAlign w:val="center"/>
                </w:tcPr>
                <w:p w14:paraId="33DEFD6C">
                  <w:pPr>
                    <w:pStyle w:val="83"/>
                    <w:spacing w:line="240" w:lineRule="auto"/>
                    <w:ind w:firstLine="0" w:firstLineChars="0"/>
                    <w:jc w:val="center"/>
                    <w:textAlignment w:val="baseline"/>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w:t>
                  </w:r>
                  <w:r>
                    <w:rPr>
                      <w:rFonts w:hint="eastAsia" w:hAnsi="Times New Roman" w:cs="Times New Roman"/>
                      <w:color w:val="FF0000"/>
                      <w:sz w:val="21"/>
                      <w:szCs w:val="21"/>
                      <w:lang w:val="en-US" w:eastAsia="zh-CN"/>
                    </w:rPr>
                    <w:t>605</w:t>
                  </w:r>
                  <w:r>
                    <w:rPr>
                      <w:rFonts w:hint="eastAsia" w:ascii="Times New Roman" w:hAnsi="Times New Roman" w:eastAsia="宋体" w:cs="Times New Roman"/>
                      <w:color w:val="FF0000"/>
                      <w:sz w:val="21"/>
                      <w:szCs w:val="21"/>
                      <w:lang w:val="en-US" w:eastAsia="zh-CN"/>
                    </w:rPr>
                    <w:t>t/a</w:t>
                  </w:r>
                </w:p>
              </w:tc>
              <w:tc>
                <w:tcPr>
                  <w:tcW w:w="798" w:type="pct"/>
                  <w:vMerge w:val="restart"/>
                  <w:noWrap w:val="0"/>
                  <w:vAlign w:val="center"/>
                </w:tcPr>
                <w:p w14:paraId="2755F53D">
                  <w:pPr>
                    <w:pStyle w:val="83"/>
                    <w:spacing w:line="240" w:lineRule="auto"/>
                    <w:ind w:firstLine="0" w:firstLineChars="0"/>
                    <w:jc w:val="center"/>
                    <w:textAlignment w:val="baseline"/>
                    <w:rPr>
                      <w:rFonts w:hint="default" w:hAnsi="Times New Roman" w:eastAsia="宋体" w:cs="Times New Roman"/>
                      <w:color w:val="FF0000"/>
                      <w:sz w:val="21"/>
                      <w:szCs w:val="21"/>
                      <w:lang w:val="en-US" w:eastAsia="zh-CN"/>
                    </w:rPr>
                  </w:pPr>
                  <w:r>
                    <w:rPr>
                      <w:rFonts w:hint="eastAsia" w:hAnsi="Times New Roman" w:cs="Times New Roman"/>
                      <w:color w:val="FF0000"/>
                      <w:sz w:val="21"/>
                      <w:szCs w:val="21"/>
                      <w:lang w:val="en-US" w:eastAsia="zh-CN"/>
                    </w:rPr>
                    <w:t>0.636</w:t>
                  </w:r>
                  <w:r>
                    <w:rPr>
                      <w:rFonts w:hint="eastAsia" w:ascii="Times New Roman" w:hAnsi="Times New Roman" w:eastAsia="宋体" w:cs="Times New Roman"/>
                      <w:color w:val="FF0000"/>
                      <w:sz w:val="21"/>
                      <w:szCs w:val="21"/>
                      <w:lang w:val="en-US" w:eastAsia="zh-CN"/>
                    </w:rPr>
                    <w:t>t/a</w:t>
                  </w:r>
                </w:p>
              </w:tc>
            </w:tr>
            <w:tr w14:paraId="0EF452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407" w:type="pct"/>
                  <w:noWrap w:val="0"/>
                  <w:vAlign w:val="center"/>
                </w:tcPr>
                <w:p w14:paraId="526B2F7A">
                  <w:pPr>
                    <w:pStyle w:val="83"/>
                    <w:spacing w:line="240" w:lineRule="auto"/>
                    <w:ind w:firstLine="0" w:firstLineChars="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穴位压力刺激贴和晕车贴制胶</w:t>
                  </w:r>
                  <w:r>
                    <w:rPr>
                      <w:rFonts w:hint="eastAsia" w:hAnsi="Times New Roman" w:cs="Times New Roman"/>
                      <w:color w:val="FF0000"/>
                      <w:sz w:val="21"/>
                      <w:szCs w:val="21"/>
                      <w:lang w:val="en-US" w:eastAsia="zh-CN"/>
                    </w:rPr>
                    <w:t>涂布</w:t>
                  </w:r>
                  <w:r>
                    <w:rPr>
                      <w:rFonts w:hint="eastAsia" w:ascii="Times New Roman" w:hAnsi="Times New Roman" w:eastAsia="宋体" w:cs="Times New Roman"/>
                      <w:color w:val="FF0000"/>
                      <w:sz w:val="21"/>
                      <w:szCs w:val="21"/>
                      <w:lang w:val="en-US" w:eastAsia="zh-CN"/>
                    </w:rPr>
                    <w:t>过程</w:t>
                  </w:r>
                </w:p>
              </w:tc>
              <w:tc>
                <w:tcPr>
                  <w:tcW w:w="849" w:type="pct"/>
                  <w:vMerge w:val="continue"/>
                  <w:noWrap w:val="0"/>
                  <w:vAlign w:val="center"/>
                </w:tcPr>
                <w:p w14:paraId="5A30FF48">
                  <w:pPr>
                    <w:pStyle w:val="83"/>
                    <w:spacing w:line="240" w:lineRule="auto"/>
                    <w:ind w:firstLine="0" w:firstLineChars="0"/>
                    <w:jc w:val="center"/>
                    <w:textAlignment w:val="baseline"/>
                    <w:rPr>
                      <w:rFonts w:hint="eastAsia" w:ascii="Times New Roman" w:hAnsi="Times New Roman" w:eastAsia="宋体" w:cs="Times New Roman"/>
                      <w:color w:val="FF0000"/>
                      <w:sz w:val="21"/>
                      <w:szCs w:val="21"/>
                      <w:lang w:val="en-US" w:eastAsia="zh-CN"/>
                    </w:rPr>
                  </w:pPr>
                </w:p>
              </w:tc>
              <w:tc>
                <w:tcPr>
                  <w:tcW w:w="944" w:type="pct"/>
                  <w:noWrap w:val="0"/>
                  <w:vAlign w:val="center"/>
                </w:tcPr>
                <w:p w14:paraId="4D7900F1">
                  <w:pPr>
                    <w:pStyle w:val="83"/>
                    <w:spacing w:line="240" w:lineRule="auto"/>
                    <w:ind w:firstLine="0" w:firstLineChars="0"/>
                    <w:jc w:val="center"/>
                    <w:textAlignment w:val="baseline"/>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0.03t/a</w:t>
                  </w:r>
                </w:p>
              </w:tc>
              <w:tc>
                <w:tcPr>
                  <w:tcW w:w="798" w:type="pct"/>
                  <w:vMerge w:val="continue"/>
                  <w:noWrap w:val="0"/>
                  <w:vAlign w:val="center"/>
                </w:tcPr>
                <w:p w14:paraId="10F877E8">
                  <w:pPr>
                    <w:pStyle w:val="83"/>
                    <w:spacing w:line="240" w:lineRule="auto"/>
                    <w:ind w:firstLine="0" w:firstLineChars="0"/>
                    <w:jc w:val="center"/>
                    <w:textAlignment w:val="baseline"/>
                    <w:rPr>
                      <w:rFonts w:hAnsi="Times New Roman" w:cs="Times New Roman"/>
                      <w:color w:val="FF0000"/>
                      <w:sz w:val="21"/>
                      <w:szCs w:val="21"/>
                    </w:rPr>
                  </w:pPr>
                </w:p>
              </w:tc>
            </w:tr>
            <w:tr w14:paraId="6A9C2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2407" w:type="pct"/>
                  <w:vMerge w:val="restart"/>
                  <w:noWrap w:val="0"/>
                  <w:vAlign w:val="center"/>
                </w:tcPr>
                <w:p w14:paraId="0A56C647">
                  <w:pPr>
                    <w:pStyle w:val="83"/>
                    <w:spacing w:line="240" w:lineRule="auto"/>
                    <w:ind w:firstLine="0" w:firstLineChars="0"/>
                    <w:jc w:val="center"/>
                    <w:textAlignment w:val="baseline"/>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外包装喷码过程</w:t>
                  </w:r>
                </w:p>
              </w:tc>
              <w:tc>
                <w:tcPr>
                  <w:tcW w:w="849" w:type="pct"/>
                  <w:vMerge w:val="continue"/>
                  <w:noWrap w:val="0"/>
                  <w:vAlign w:val="center"/>
                </w:tcPr>
                <w:p w14:paraId="50979411">
                  <w:pPr>
                    <w:pStyle w:val="83"/>
                    <w:spacing w:line="240" w:lineRule="auto"/>
                    <w:ind w:firstLine="0" w:firstLineChars="0"/>
                    <w:jc w:val="center"/>
                    <w:textAlignment w:val="baseline"/>
                    <w:rPr>
                      <w:rFonts w:hint="eastAsia" w:ascii="Times New Roman" w:hAnsi="Times New Roman" w:eastAsia="宋体" w:cs="Times New Roman"/>
                      <w:color w:val="FF0000"/>
                      <w:sz w:val="21"/>
                      <w:szCs w:val="21"/>
                      <w:lang w:val="en-US" w:eastAsia="zh-CN"/>
                    </w:rPr>
                  </w:pPr>
                </w:p>
              </w:tc>
              <w:tc>
                <w:tcPr>
                  <w:tcW w:w="944" w:type="pct"/>
                  <w:noWrap w:val="0"/>
                  <w:vAlign w:val="center"/>
                </w:tcPr>
                <w:p w14:paraId="481E77B3">
                  <w:pPr>
                    <w:pStyle w:val="83"/>
                    <w:spacing w:line="240" w:lineRule="auto"/>
                    <w:ind w:firstLine="0" w:firstLineChars="0"/>
                    <w:jc w:val="center"/>
                    <w:textAlignment w:val="baseline"/>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0.001t/a</w:t>
                  </w:r>
                </w:p>
              </w:tc>
              <w:tc>
                <w:tcPr>
                  <w:tcW w:w="798" w:type="pct"/>
                  <w:vMerge w:val="continue"/>
                  <w:noWrap w:val="0"/>
                  <w:vAlign w:val="center"/>
                </w:tcPr>
                <w:p w14:paraId="7835E697">
                  <w:pPr>
                    <w:pStyle w:val="83"/>
                    <w:spacing w:line="240" w:lineRule="auto"/>
                    <w:ind w:firstLine="0" w:firstLineChars="0"/>
                    <w:jc w:val="center"/>
                    <w:textAlignment w:val="baseline"/>
                    <w:rPr>
                      <w:rFonts w:hAnsi="Times New Roman" w:cs="Times New Roman"/>
                      <w:color w:val="FF0000"/>
                      <w:sz w:val="21"/>
                      <w:szCs w:val="21"/>
                    </w:rPr>
                  </w:pPr>
                </w:p>
              </w:tc>
            </w:tr>
            <w:tr w14:paraId="25F46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07" w:type="pct"/>
                  <w:vMerge w:val="continue"/>
                  <w:noWrap w:val="0"/>
                  <w:vAlign w:val="center"/>
                </w:tcPr>
                <w:p w14:paraId="23059B65">
                  <w:pPr>
                    <w:pStyle w:val="83"/>
                    <w:spacing w:line="240" w:lineRule="auto"/>
                    <w:ind w:firstLine="0" w:firstLineChars="0"/>
                    <w:jc w:val="center"/>
                    <w:textAlignment w:val="baseline"/>
                    <w:rPr>
                      <w:rFonts w:hint="eastAsia" w:ascii="Times New Roman" w:hAnsi="Times New Roman" w:eastAsia="宋体" w:cs="Times New Roman"/>
                      <w:color w:val="FF0000"/>
                      <w:sz w:val="21"/>
                      <w:szCs w:val="21"/>
                      <w:lang w:val="en-US" w:eastAsia="zh-CN"/>
                    </w:rPr>
                  </w:pPr>
                </w:p>
              </w:tc>
              <w:tc>
                <w:tcPr>
                  <w:tcW w:w="849" w:type="pct"/>
                  <w:noWrap w:val="0"/>
                  <w:vAlign w:val="center"/>
                </w:tcPr>
                <w:p w14:paraId="246753BD">
                  <w:pPr>
                    <w:pStyle w:val="83"/>
                    <w:spacing w:line="240" w:lineRule="auto"/>
                    <w:ind w:firstLine="0" w:firstLineChars="0"/>
                    <w:jc w:val="center"/>
                    <w:textAlignment w:val="baseline"/>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氨</w:t>
                  </w:r>
                </w:p>
              </w:tc>
              <w:tc>
                <w:tcPr>
                  <w:tcW w:w="944" w:type="pct"/>
                  <w:noWrap w:val="0"/>
                  <w:vAlign w:val="center"/>
                </w:tcPr>
                <w:p w14:paraId="4B8DAC9A">
                  <w:pPr>
                    <w:pStyle w:val="83"/>
                    <w:spacing w:line="240" w:lineRule="auto"/>
                    <w:ind w:firstLine="0" w:firstLineChars="0"/>
                    <w:jc w:val="center"/>
                    <w:textAlignment w:val="baseline"/>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0.005t/a</w:t>
                  </w:r>
                </w:p>
              </w:tc>
              <w:tc>
                <w:tcPr>
                  <w:tcW w:w="798" w:type="pct"/>
                  <w:noWrap w:val="0"/>
                  <w:vAlign w:val="center"/>
                </w:tcPr>
                <w:p w14:paraId="04FE666F">
                  <w:pPr>
                    <w:pStyle w:val="83"/>
                    <w:spacing w:line="240" w:lineRule="auto"/>
                    <w:ind w:firstLine="0" w:firstLineChars="0"/>
                    <w:jc w:val="center"/>
                    <w:textAlignment w:val="baseline"/>
                    <w:rPr>
                      <w:rFonts w:hAnsi="Times New Roman" w:cs="Times New Roman"/>
                      <w:color w:val="FF0000"/>
                      <w:sz w:val="21"/>
                      <w:szCs w:val="21"/>
                    </w:rPr>
                  </w:pPr>
                  <w:r>
                    <w:rPr>
                      <w:rFonts w:hint="eastAsia" w:ascii="Times New Roman" w:hAnsi="Times New Roman" w:eastAsia="宋体" w:cs="Times New Roman"/>
                      <w:color w:val="FF0000"/>
                      <w:sz w:val="21"/>
                      <w:szCs w:val="21"/>
                      <w:lang w:val="en-US" w:eastAsia="zh-CN"/>
                    </w:rPr>
                    <w:t>0.005t/a</w:t>
                  </w:r>
                </w:p>
              </w:tc>
            </w:tr>
            <w:tr w14:paraId="14494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4"/>
                  <w:noWrap w:val="0"/>
                  <w:vAlign w:val="center"/>
                </w:tcPr>
                <w:p w14:paraId="77487D28">
                  <w:pPr>
                    <w:pStyle w:val="83"/>
                    <w:spacing w:line="240" w:lineRule="auto"/>
                    <w:ind w:firstLine="0" w:firstLineChars="0"/>
                    <w:jc w:val="center"/>
                    <w:textAlignment w:val="baseline"/>
                    <w:rPr>
                      <w:rFonts w:hint="default" w:hAnsi="Times New Roman" w:eastAsia="宋体" w:cs="Times New Roman"/>
                      <w:color w:val="FF0000"/>
                      <w:sz w:val="21"/>
                      <w:szCs w:val="21"/>
                      <w:lang w:val="en-US" w:eastAsia="zh-CN"/>
                    </w:rPr>
                  </w:pPr>
                  <w:r>
                    <w:rPr>
                      <w:rFonts w:hint="eastAsia" w:hAnsi="Times New Roman" w:cs="Times New Roman"/>
                      <w:b/>
                      <w:bCs/>
                      <w:color w:val="FF0000"/>
                      <w:sz w:val="21"/>
                      <w:szCs w:val="21"/>
                      <w:lang w:val="en-US" w:eastAsia="zh-CN"/>
                    </w:rPr>
                    <w:t>二车间</w:t>
                  </w:r>
                </w:p>
              </w:tc>
            </w:tr>
            <w:tr w14:paraId="2DD10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2407" w:type="pct"/>
                  <w:noWrap w:val="0"/>
                  <w:vAlign w:val="center"/>
                </w:tcPr>
                <w:p w14:paraId="618A65E0">
                  <w:pPr>
                    <w:pStyle w:val="83"/>
                    <w:spacing w:line="240" w:lineRule="auto"/>
                    <w:ind w:firstLine="0" w:firstLineChars="0"/>
                    <w:jc w:val="center"/>
                    <w:textAlignment w:val="baseline"/>
                    <w:rPr>
                      <w:rFonts w:hint="eastAsia" w:hAnsi="Times New Roman" w:cs="Times New Roman"/>
                      <w:b/>
                      <w:bCs/>
                      <w:color w:val="FF0000"/>
                      <w:sz w:val="21"/>
                      <w:szCs w:val="21"/>
                    </w:rPr>
                  </w:pPr>
                  <w:r>
                    <w:rPr>
                      <w:rFonts w:hint="eastAsia" w:ascii="Times New Roman" w:hAnsi="Times New Roman" w:eastAsia="宋体" w:cs="Times New Roman"/>
                      <w:b w:val="0"/>
                      <w:bCs/>
                      <w:snapToGrid w:val="0"/>
                      <w:color w:val="FF0000"/>
                      <w:kern w:val="2"/>
                      <w:sz w:val="21"/>
                      <w:szCs w:val="21"/>
                      <w:lang w:val="en-US" w:eastAsia="zh-CN" w:bidi="ar-SA"/>
                    </w:rPr>
                    <w:t>医用硅酮疤痕凝胶、重组胶原蛋白贴</w:t>
                  </w:r>
                  <w:r>
                    <w:rPr>
                      <w:rFonts w:hint="eastAsia" w:cs="Times New Roman"/>
                      <w:b w:val="0"/>
                      <w:bCs/>
                      <w:snapToGrid w:val="0"/>
                      <w:color w:val="FF0000"/>
                      <w:kern w:val="2"/>
                      <w:sz w:val="21"/>
                      <w:szCs w:val="21"/>
                      <w:lang w:val="en-US" w:eastAsia="zh-CN" w:bidi="ar-SA"/>
                    </w:rPr>
                    <w:t>及</w:t>
                  </w:r>
                  <w:r>
                    <w:rPr>
                      <w:rFonts w:hint="eastAsia" w:ascii="Times New Roman" w:hAnsi="Times New Roman" w:eastAsia="宋体" w:cs="Times New Roman"/>
                      <w:b w:val="0"/>
                      <w:bCs/>
                      <w:snapToGrid w:val="0"/>
                      <w:color w:val="FF0000"/>
                      <w:kern w:val="2"/>
                      <w:sz w:val="21"/>
                      <w:szCs w:val="21"/>
                      <w:lang w:val="en-US" w:eastAsia="zh-CN" w:bidi="ar-SA"/>
                    </w:rPr>
                    <w:t>医用透明质酸钠敷贴</w:t>
                  </w:r>
                  <w:r>
                    <w:rPr>
                      <w:rFonts w:hint="eastAsia" w:ascii="Times New Roman" w:hAnsi="Times New Roman" w:eastAsia="宋体" w:cs="Times New Roman"/>
                      <w:color w:val="FF0000"/>
                      <w:sz w:val="21"/>
                      <w:szCs w:val="21"/>
                      <w:lang w:val="en-US" w:eastAsia="zh-CN"/>
                    </w:rPr>
                    <w:t>生产</w:t>
                  </w:r>
                  <w:r>
                    <w:rPr>
                      <w:rFonts w:hint="eastAsia" w:ascii="Times New Roman" w:hAnsi="Times New Roman" w:eastAsia="宋体" w:cs="Times New Roman"/>
                      <w:b w:val="0"/>
                      <w:bCs/>
                      <w:snapToGrid w:val="0"/>
                      <w:color w:val="FF0000"/>
                      <w:kern w:val="2"/>
                      <w:sz w:val="21"/>
                      <w:szCs w:val="21"/>
                      <w:lang w:val="en-US" w:eastAsia="zh-CN" w:bidi="ar-SA"/>
                    </w:rPr>
                    <w:t>过程</w:t>
                  </w:r>
                </w:p>
              </w:tc>
              <w:tc>
                <w:tcPr>
                  <w:tcW w:w="849" w:type="pct"/>
                  <w:noWrap w:val="0"/>
                  <w:vAlign w:val="center"/>
                </w:tcPr>
                <w:p w14:paraId="7AD4C570">
                  <w:pPr>
                    <w:pStyle w:val="83"/>
                    <w:spacing w:line="240" w:lineRule="auto"/>
                    <w:ind w:firstLine="0" w:firstLineChars="0"/>
                    <w:jc w:val="center"/>
                    <w:textAlignment w:val="baseline"/>
                    <w:rPr>
                      <w:rFonts w:hint="eastAsia"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sz w:val="21"/>
                      <w:szCs w:val="21"/>
                      <w:lang w:val="en-US" w:eastAsia="zh-CN"/>
                    </w:rPr>
                    <w:t>非甲烷总烃</w:t>
                  </w:r>
                </w:p>
              </w:tc>
              <w:tc>
                <w:tcPr>
                  <w:tcW w:w="944" w:type="pct"/>
                  <w:noWrap w:val="0"/>
                  <w:vAlign w:val="center"/>
                </w:tcPr>
                <w:p w14:paraId="69177622">
                  <w:pPr>
                    <w:pStyle w:val="83"/>
                    <w:spacing w:line="240" w:lineRule="auto"/>
                    <w:ind w:firstLine="0" w:firstLineChars="0"/>
                    <w:jc w:val="center"/>
                    <w:textAlignment w:val="baseline"/>
                    <w:rPr>
                      <w:rFonts w:hint="eastAsia" w:hAnsi="Times New Roman" w:cs="Times New Roman"/>
                      <w:color w:val="FF0000"/>
                      <w:sz w:val="21"/>
                      <w:szCs w:val="21"/>
                      <w:lang w:val="en-US" w:eastAsia="zh-CN"/>
                    </w:rPr>
                  </w:pPr>
                  <w:r>
                    <w:rPr>
                      <w:rFonts w:hint="eastAsia" w:hAnsi="Times New Roman" w:cs="Times New Roman"/>
                      <w:color w:val="FF0000"/>
                      <w:sz w:val="21"/>
                      <w:szCs w:val="21"/>
                      <w:lang w:val="en-US" w:eastAsia="zh-CN"/>
                    </w:rPr>
                    <w:t>0.022</w:t>
                  </w:r>
                  <w:r>
                    <w:rPr>
                      <w:rFonts w:hint="eastAsia" w:ascii="Times New Roman" w:hAnsi="Times New Roman" w:eastAsia="宋体" w:cs="Times New Roman"/>
                      <w:color w:val="FF0000"/>
                      <w:sz w:val="21"/>
                      <w:szCs w:val="21"/>
                      <w:lang w:val="en-US" w:eastAsia="zh-CN"/>
                    </w:rPr>
                    <w:t>t/a</w:t>
                  </w:r>
                </w:p>
              </w:tc>
              <w:tc>
                <w:tcPr>
                  <w:tcW w:w="798" w:type="pct"/>
                  <w:noWrap w:val="0"/>
                  <w:vAlign w:val="center"/>
                </w:tcPr>
                <w:p w14:paraId="13B7856C">
                  <w:pPr>
                    <w:pStyle w:val="83"/>
                    <w:spacing w:line="240" w:lineRule="auto"/>
                    <w:ind w:firstLine="0" w:firstLineChars="0"/>
                    <w:jc w:val="center"/>
                    <w:textAlignment w:val="baseline"/>
                    <w:rPr>
                      <w:rFonts w:hint="default" w:hAnsi="Times New Roman" w:eastAsia="宋体" w:cs="Times New Roman"/>
                      <w:color w:val="FF0000"/>
                      <w:sz w:val="21"/>
                      <w:szCs w:val="21"/>
                      <w:lang w:val="en-US" w:eastAsia="zh-CN"/>
                    </w:rPr>
                  </w:pPr>
                  <w:r>
                    <w:rPr>
                      <w:rFonts w:hint="eastAsia" w:hAnsi="Times New Roman" w:cs="Times New Roman"/>
                      <w:color w:val="FF0000"/>
                      <w:sz w:val="21"/>
                      <w:szCs w:val="21"/>
                      <w:lang w:val="en-US" w:eastAsia="zh-CN"/>
                    </w:rPr>
                    <w:t>0.022</w:t>
                  </w:r>
                  <w:r>
                    <w:rPr>
                      <w:rFonts w:hint="eastAsia" w:ascii="Times New Roman" w:hAnsi="Times New Roman" w:eastAsia="宋体" w:cs="Times New Roman"/>
                      <w:color w:val="FF0000"/>
                      <w:sz w:val="21"/>
                      <w:szCs w:val="21"/>
                      <w:lang w:val="en-US" w:eastAsia="zh-CN"/>
                    </w:rPr>
                    <w:t>t/a</w:t>
                  </w:r>
                </w:p>
              </w:tc>
            </w:tr>
          </w:tbl>
          <w:p w14:paraId="28990628">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commentRangeStart w:id="32"/>
            <w:r>
              <w:rPr>
                <w:rFonts w:hint="eastAsia" w:ascii="Times New Roman" w:hAnsi="Times New Roman" w:eastAsia="宋体" w:cs="Times New Roman"/>
                <w:b w:val="0"/>
                <w:bCs/>
                <w:snapToGrid w:val="0"/>
                <w:color w:val="FF0000"/>
                <w:kern w:val="2"/>
                <w:sz w:val="24"/>
                <w:szCs w:val="24"/>
                <w:lang w:val="en-US" w:eastAsia="zh-CN" w:bidi="ar-SA"/>
              </w:rPr>
              <w:t>根据</w:t>
            </w:r>
            <w:commentRangeEnd w:id="32"/>
            <w:r>
              <w:rPr>
                <w:color w:val="FF0000"/>
              </w:rPr>
              <w:commentReference w:id="32"/>
            </w:r>
            <w:r>
              <w:rPr>
                <w:rFonts w:hint="eastAsia" w:ascii="宋体" w:hAnsi="宋体" w:eastAsia="宋体" w:cs="宋体"/>
                <w:color w:val="FF0000"/>
                <w:kern w:val="0"/>
                <w:sz w:val="24"/>
                <w:szCs w:val="24"/>
                <w:lang w:val="en-US" w:eastAsia="zh-CN" w:bidi="ar"/>
              </w:rPr>
              <w:t>《江西省生态环境厅关于印发江西省重点行业挥发性有机物综合治理方案的通知（赣环大气（</w:t>
            </w:r>
            <w:r>
              <w:rPr>
                <w:rFonts w:hint="default" w:ascii="Times New Roman" w:hAnsi="Times New Roman" w:eastAsia="宋体" w:cs="Times New Roman"/>
                <w:color w:val="FF0000"/>
                <w:kern w:val="0"/>
                <w:sz w:val="24"/>
                <w:szCs w:val="24"/>
                <w:lang w:val="en-US" w:eastAsia="zh-CN" w:bidi="ar"/>
              </w:rPr>
              <w:t>2019</w:t>
            </w:r>
            <w:r>
              <w:rPr>
                <w:rFonts w:hint="eastAsia" w:ascii="宋体" w:hAnsi="宋体" w:eastAsia="宋体" w:cs="宋体"/>
                <w:color w:val="FF0000"/>
                <w:kern w:val="0"/>
                <w:sz w:val="24"/>
                <w:szCs w:val="24"/>
                <w:lang w:val="en-US" w:eastAsia="zh-CN" w:bidi="ar"/>
              </w:rPr>
              <w:t>）</w:t>
            </w:r>
            <w:r>
              <w:rPr>
                <w:rFonts w:hint="default" w:ascii="Times New Roman" w:hAnsi="Times New Roman" w:eastAsia="宋体" w:cs="Times New Roman"/>
                <w:color w:val="FF0000"/>
                <w:kern w:val="0"/>
                <w:sz w:val="24"/>
                <w:szCs w:val="24"/>
                <w:lang w:val="en-US" w:eastAsia="zh-CN" w:bidi="ar"/>
              </w:rPr>
              <w:t>20</w:t>
            </w:r>
            <w:r>
              <w:rPr>
                <w:rFonts w:hint="eastAsia" w:ascii="宋体" w:hAnsi="宋体" w:eastAsia="宋体" w:cs="宋体"/>
                <w:color w:val="FF0000"/>
                <w:kern w:val="0"/>
                <w:sz w:val="24"/>
                <w:szCs w:val="24"/>
                <w:lang w:val="en-US" w:eastAsia="zh-CN" w:bidi="ar"/>
              </w:rPr>
              <w:t>号）》</w:t>
            </w:r>
            <w:r>
              <w:rPr>
                <w:rFonts w:hint="eastAsia" w:ascii="Times New Roman" w:hAnsi="Times New Roman" w:eastAsia="宋体" w:cs="Times New Roman"/>
                <w:b w:val="0"/>
                <w:bCs/>
                <w:snapToGrid w:val="0"/>
                <w:color w:val="FF0000"/>
                <w:kern w:val="2"/>
                <w:sz w:val="24"/>
                <w:szCs w:val="24"/>
                <w:lang w:val="en-US" w:eastAsia="zh-CN" w:bidi="ar-SA"/>
              </w:rPr>
              <w:t>，企业使用的原辅材料VOCs含量(质量比)低于10%的工序</w:t>
            </w:r>
            <w:r>
              <w:rPr>
                <w:rFonts w:hint="eastAsia" w:cs="Times New Roman"/>
                <w:b w:val="0"/>
                <w:bCs/>
                <w:snapToGrid w:val="0"/>
                <w:color w:val="FF0000"/>
                <w:kern w:val="2"/>
                <w:sz w:val="24"/>
                <w:szCs w:val="24"/>
                <w:lang w:val="en-US" w:eastAsia="zh-CN" w:bidi="ar-SA"/>
              </w:rPr>
              <w:t>，</w:t>
            </w:r>
            <w:r>
              <w:rPr>
                <w:rFonts w:hint="eastAsia" w:ascii="Times New Roman" w:hAnsi="Times New Roman" w:eastAsia="宋体" w:cs="Times New Roman"/>
                <w:b w:val="0"/>
                <w:bCs/>
                <w:snapToGrid w:val="0"/>
                <w:color w:val="FF0000"/>
                <w:kern w:val="2"/>
                <w:sz w:val="24"/>
                <w:szCs w:val="24"/>
                <w:lang w:val="en-US" w:eastAsia="zh-CN" w:bidi="ar-SA"/>
              </w:rPr>
              <w:t>可不要求采取无组织排放收集措施。</w:t>
            </w:r>
            <w:r>
              <w:rPr>
                <w:rFonts w:hint="eastAsia" w:cs="Times New Roman"/>
                <w:b w:val="0"/>
                <w:bCs/>
                <w:snapToGrid w:val="0"/>
                <w:color w:val="FF0000"/>
                <w:kern w:val="2"/>
                <w:sz w:val="24"/>
                <w:szCs w:val="24"/>
                <w:lang w:val="en-US" w:eastAsia="zh-CN" w:bidi="ar-SA"/>
              </w:rPr>
              <w:t>本项目</w:t>
            </w:r>
            <w:r>
              <w:rPr>
                <w:rFonts w:hint="eastAsia" w:ascii="Times New Roman" w:hAnsi="Times New Roman" w:eastAsia="宋体" w:cs="Times New Roman"/>
                <w:b w:val="0"/>
                <w:bCs/>
                <w:snapToGrid w:val="0"/>
                <w:color w:val="FF0000"/>
                <w:kern w:val="2"/>
                <w:sz w:val="24"/>
                <w:szCs w:val="24"/>
                <w:lang w:val="en-US" w:eastAsia="zh-CN" w:bidi="ar-SA"/>
              </w:rPr>
              <w:t>使用的原辅材料VOCs含量(质量比)均低于10%</w:t>
            </w:r>
            <w:r>
              <w:rPr>
                <w:rFonts w:hint="eastAsia" w:cs="Times New Roman"/>
                <w:b w:val="0"/>
                <w:bCs/>
                <w:snapToGrid w:val="0"/>
                <w:color w:val="FF0000"/>
                <w:kern w:val="2"/>
                <w:sz w:val="24"/>
                <w:szCs w:val="24"/>
                <w:lang w:val="en-US" w:eastAsia="zh-CN" w:bidi="ar-SA"/>
              </w:rPr>
              <w:t>，</w:t>
            </w:r>
            <w:r>
              <w:rPr>
                <w:rFonts w:hint="eastAsia" w:ascii="Times New Roman" w:hAnsi="Times New Roman" w:eastAsia="宋体" w:cs="Times New Roman"/>
                <w:b w:val="0"/>
                <w:bCs/>
                <w:snapToGrid w:val="0"/>
                <w:color w:val="FF0000"/>
                <w:kern w:val="2"/>
                <w:sz w:val="24"/>
                <w:szCs w:val="24"/>
                <w:lang w:val="en-US" w:eastAsia="zh-CN" w:bidi="ar-SA"/>
              </w:rPr>
              <w:t>因此可不强制配备废气处理设施，因此本项目采取的措施符合环保要求。</w:t>
            </w:r>
          </w:p>
          <w:p w14:paraId="5EB3B1CB">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11E14675">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6CB5DE27">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357A5902">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54B53E64">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07D51606">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6A7A8327">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23385CD6">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53395DE0">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64BA5713">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3D969B06">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6A2C919C">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10CF7B5C">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6F06F633">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5EA108E3">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2B42C2C0">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p w14:paraId="7DCA396E">
            <w:pPr>
              <w:keepNext w:val="0"/>
              <w:keepLines w:val="0"/>
              <w:pageBreakBefore w:val="0"/>
              <w:widowControl w:val="0"/>
              <w:numPr>
                <w:ilvl w:val="0"/>
                <w:numId w:val="0"/>
              </w:numPr>
              <w:kinsoku/>
              <w:wordWrap/>
              <w:overflowPunct/>
              <w:topLinePunct w:val="0"/>
              <w:autoSpaceDE/>
              <w:autoSpaceDN/>
              <w:bidi w:val="0"/>
              <w:adjustRightInd w:val="0"/>
              <w:snapToGrid w:val="0"/>
              <w:spacing w:before="0" w:beforeLines="-2147483648" w:line="360" w:lineRule="auto"/>
              <w:ind w:firstLine="480" w:firstLineChars="200"/>
              <w:jc w:val="both"/>
              <w:textAlignment w:val="auto"/>
              <w:rPr>
                <w:rFonts w:hint="eastAsia" w:ascii="Times New Roman" w:hAnsi="Times New Roman" w:eastAsia="宋体" w:cs="Times New Roman"/>
                <w:b w:val="0"/>
                <w:bCs/>
                <w:snapToGrid w:val="0"/>
                <w:color w:val="auto"/>
                <w:kern w:val="2"/>
                <w:sz w:val="24"/>
                <w:szCs w:val="24"/>
                <w:lang w:val="en-US" w:eastAsia="zh-CN" w:bidi="ar-SA"/>
              </w:rPr>
            </w:pPr>
          </w:p>
        </w:tc>
      </w:tr>
    </w:tbl>
    <w:p w14:paraId="498AF833">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outlineLvl w:val="0"/>
        <w:rPr>
          <w:rFonts w:hint="eastAsia" w:ascii="黑体" w:hAnsi="黑体" w:eastAsia="黑体"/>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2770"/>
      </w:tblGrid>
      <w:tr w14:paraId="005E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8" w:hRule="atLeast"/>
        </w:trPr>
        <w:tc>
          <w:tcPr>
            <w:tcW w:w="458" w:type="dxa"/>
            <w:vAlign w:val="center"/>
          </w:tcPr>
          <w:p w14:paraId="3C0953F5">
            <w:pPr>
              <w:widowControl/>
              <w:adjustRightInd w:val="0"/>
              <w:snapToGrid w:val="0"/>
              <w:spacing w:before="0" w:beforeAutospacing="0" w:after="0" w:afterAutospacing="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运</w:t>
            </w:r>
          </w:p>
          <w:p w14:paraId="49E89700">
            <w:pPr>
              <w:widowControl/>
              <w:adjustRightInd w:val="0"/>
              <w:snapToGrid w:val="0"/>
              <w:spacing w:before="0" w:beforeAutospacing="0" w:after="0" w:afterAutospacing="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营</w:t>
            </w:r>
          </w:p>
          <w:p w14:paraId="6A5E1483">
            <w:pPr>
              <w:widowControl/>
              <w:adjustRightInd w:val="0"/>
              <w:snapToGrid w:val="0"/>
              <w:spacing w:before="0" w:beforeAutospacing="0" w:after="0" w:afterAutospacing="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期</w:t>
            </w:r>
          </w:p>
          <w:p w14:paraId="67AB9D11">
            <w:pPr>
              <w:widowControl/>
              <w:adjustRightInd w:val="0"/>
              <w:snapToGrid w:val="0"/>
              <w:spacing w:before="0" w:beforeAutospacing="0" w:after="0" w:afterAutospacing="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环</w:t>
            </w:r>
          </w:p>
          <w:p w14:paraId="02FCEE59">
            <w:pPr>
              <w:widowControl/>
              <w:adjustRightInd w:val="0"/>
              <w:snapToGrid w:val="0"/>
              <w:spacing w:before="0" w:beforeAutospacing="0" w:after="0" w:afterAutospacing="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境</w:t>
            </w:r>
          </w:p>
          <w:p w14:paraId="062950B3">
            <w:pPr>
              <w:widowControl/>
              <w:adjustRightInd w:val="0"/>
              <w:snapToGrid w:val="0"/>
              <w:spacing w:before="0" w:beforeAutospacing="0" w:after="0" w:afterAutospacing="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影</w:t>
            </w:r>
          </w:p>
          <w:p w14:paraId="10056DAF">
            <w:pPr>
              <w:widowControl/>
              <w:adjustRightInd w:val="0"/>
              <w:snapToGrid w:val="0"/>
              <w:spacing w:before="0" w:beforeAutospacing="0" w:after="0" w:afterAutospacing="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响</w:t>
            </w:r>
          </w:p>
          <w:p w14:paraId="709285FD">
            <w:pPr>
              <w:widowControl/>
              <w:adjustRightInd w:val="0"/>
              <w:snapToGrid w:val="0"/>
              <w:spacing w:before="0" w:beforeAutospacing="0" w:after="0" w:afterAutospacing="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和</w:t>
            </w:r>
          </w:p>
          <w:p w14:paraId="456DC248">
            <w:pPr>
              <w:widowControl/>
              <w:adjustRightInd w:val="0"/>
              <w:snapToGrid w:val="0"/>
              <w:spacing w:before="0" w:beforeAutospacing="0" w:after="0" w:afterAutospacing="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保</w:t>
            </w:r>
          </w:p>
          <w:p w14:paraId="0E4B3D6C">
            <w:pPr>
              <w:widowControl/>
              <w:adjustRightInd w:val="0"/>
              <w:snapToGrid w:val="0"/>
              <w:spacing w:before="0" w:beforeAutospacing="0" w:after="0" w:afterAutospacing="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护</w:t>
            </w:r>
          </w:p>
          <w:p w14:paraId="3BC76E1A">
            <w:pPr>
              <w:adjustRightInd w:val="0"/>
              <w:snapToGrid w:val="0"/>
              <w:spacing w:before="0" w:beforeAutospacing="0" w:after="0" w:afterAutospacing="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措</w:t>
            </w:r>
          </w:p>
          <w:p w14:paraId="51D28BCA">
            <w:pPr>
              <w:adjustRightInd w:val="0"/>
              <w:snapToGrid w:val="0"/>
              <w:spacing w:before="0" w:beforeAutospacing="0" w:after="0" w:afterAutospacing="0"/>
              <w:jc w:val="center"/>
              <w:rPr>
                <w:rFonts w:hint="eastAsia" w:ascii="黑体" w:hAnsi="黑体" w:eastAsia="黑体"/>
                <w:snapToGrid w:val="0"/>
                <w:color w:val="auto"/>
                <w:sz w:val="30"/>
                <w:szCs w:val="30"/>
                <w:vertAlign w:val="baseline"/>
              </w:rPr>
            </w:pPr>
            <w:r>
              <w:rPr>
                <w:rFonts w:hint="eastAsia" w:ascii="宋体" w:hAnsi="宋体" w:eastAsia="宋体" w:cs="宋体"/>
                <w:color w:val="auto"/>
                <w:kern w:val="2"/>
                <w:sz w:val="21"/>
                <w:szCs w:val="21"/>
                <w:highlight w:val="none"/>
                <w:shd w:val="clear" w:color="auto" w:fill="auto"/>
                <w:lang w:val="en-US" w:eastAsia="zh-CN" w:bidi="ar-SA"/>
              </w:rPr>
              <w:t>施</w:t>
            </w:r>
          </w:p>
        </w:tc>
        <w:tc>
          <w:tcPr>
            <w:tcW w:w="12770" w:type="dxa"/>
          </w:tcPr>
          <w:p w14:paraId="6457E20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right="0" w:rightChars="0"/>
              <w:jc w:val="both"/>
              <w:textAlignment w:val="auto"/>
              <w:rPr>
                <w:rFonts w:hint="eastAsia" w:ascii="Times New Roman" w:hAnsi="Times New Roman" w:eastAsia="宋体" w:cs="宋体"/>
                <w:b/>
                <w:bCs/>
                <w:color w:val="auto"/>
                <w:sz w:val="24"/>
                <w:szCs w:val="21"/>
                <w:highlight w:val="none"/>
                <w:lang w:val="zh-CN" w:eastAsia="zh-CN" w:bidi="zh-CN"/>
              </w:rPr>
            </w:pPr>
            <w:r>
              <w:rPr>
                <w:rFonts w:hint="eastAsia" w:ascii="Times New Roman" w:hAnsi="Times New Roman" w:eastAsia="宋体" w:cs="宋体"/>
                <w:b/>
                <w:bCs/>
                <w:color w:val="auto"/>
                <w:sz w:val="24"/>
                <w:szCs w:val="21"/>
                <w:highlight w:val="none"/>
                <w:lang w:val="en-US" w:eastAsia="zh-CN" w:bidi="zh-CN"/>
              </w:rPr>
              <w:t>2、</w:t>
            </w:r>
            <w:r>
              <w:rPr>
                <w:rFonts w:hint="eastAsia" w:ascii="Times New Roman" w:hAnsi="Times New Roman" w:eastAsia="宋体" w:cs="宋体"/>
                <w:b/>
                <w:bCs/>
                <w:color w:val="auto"/>
                <w:sz w:val="24"/>
                <w:szCs w:val="21"/>
                <w:highlight w:val="none"/>
                <w:lang w:val="zh-CN" w:eastAsia="zh-CN" w:bidi="zh-CN"/>
              </w:rPr>
              <w:t>废气污染物产排情况</w:t>
            </w:r>
          </w:p>
          <w:p w14:paraId="1191BE25">
            <w:pPr>
              <w:pStyle w:val="8"/>
              <w:keepNext w:val="0"/>
              <w:keepLines w:val="0"/>
              <w:pageBreakBefore w:val="0"/>
              <w:widowControl w:val="0"/>
              <w:kinsoku/>
              <w:wordWrap/>
              <w:overflowPunct/>
              <w:topLinePunct w:val="0"/>
              <w:autoSpaceDE/>
              <w:autoSpaceDN/>
              <w:bidi w:val="0"/>
              <w:adjustRightInd/>
              <w:snapToGrid/>
              <w:spacing w:before="0" w:line="240" w:lineRule="auto"/>
              <w:ind w:leftChars="0" w:firstLine="480" w:firstLineChars="200"/>
              <w:textAlignment w:val="auto"/>
              <w:rPr>
                <w:rFonts w:hint="eastAsia"/>
                <w:color w:val="auto"/>
                <w:highlight w:val="none"/>
                <w:lang w:val="zh-CN" w:eastAsia="zh-CN"/>
              </w:rPr>
            </w:pPr>
            <w:r>
              <w:rPr>
                <w:rFonts w:hint="eastAsia" w:ascii="Times New Roman" w:hAnsi="Times New Roman" w:eastAsia="宋体" w:cs="Times New Roman"/>
                <w:b w:val="0"/>
                <w:bCs w:val="0"/>
                <w:color w:val="auto"/>
                <w:kern w:val="0"/>
                <w:sz w:val="24"/>
                <w:szCs w:val="24"/>
                <w:highlight w:val="none"/>
                <w:lang w:val="en-US" w:eastAsia="zh-CN" w:bidi="ar-SA"/>
              </w:rPr>
              <w:t>项目废气污染物产排放情况见表4-</w:t>
            </w:r>
            <w:r>
              <w:rPr>
                <w:rFonts w:hint="eastAsia" w:ascii="Times New Roman" w:hAnsi="Times New Roman" w:cs="Times New Roman"/>
                <w:b w:val="0"/>
                <w:bCs w:val="0"/>
                <w:color w:val="auto"/>
                <w:kern w:val="0"/>
                <w:sz w:val="24"/>
                <w:szCs w:val="24"/>
                <w:highlight w:val="none"/>
                <w:lang w:val="en-US" w:eastAsia="zh-CN" w:bidi="ar-SA"/>
              </w:rPr>
              <w:t>3</w:t>
            </w:r>
            <w:r>
              <w:rPr>
                <w:rFonts w:hint="eastAsia" w:ascii="Times New Roman" w:hAnsi="Times New Roman" w:eastAsia="宋体" w:cs="Times New Roman"/>
                <w:b w:val="0"/>
                <w:bCs w:val="0"/>
                <w:color w:val="auto"/>
                <w:kern w:val="0"/>
                <w:sz w:val="24"/>
                <w:szCs w:val="24"/>
                <w:highlight w:val="none"/>
                <w:lang w:val="en-US" w:eastAsia="zh-CN" w:bidi="ar-SA"/>
              </w:rPr>
              <w:t>。</w:t>
            </w:r>
          </w:p>
          <w:p w14:paraId="547EBA36">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right="0" w:rightChars="0" w:firstLine="422" w:firstLineChars="200"/>
              <w:jc w:val="center"/>
              <w:textAlignment w:val="auto"/>
              <w:rPr>
                <w:rFonts w:hint="eastAsia" w:ascii="Times New Roman" w:hAnsi="Times New Roman" w:eastAsia="宋体" w:cs="宋体"/>
                <w:b/>
                <w:bCs/>
                <w:color w:val="auto"/>
                <w:sz w:val="21"/>
                <w:szCs w:val="21"/>
                <w:highlight w:val="none"/>
                <w:lang w:val="zh-CN" w:eastAsia="zh-CN" w:bidi="zh-CN"/>
              </w:rPr>
            </w:pPr>
            <w:r>
              <w:rPr>
                <w:rFonts w:ascii="Times New Roman" w:hAnsi="Times New Roman" w:eastAsia="宋体" w:cs="Times New Roman"/>
                <w:b/>
                <w:color w:val="auto"/>
                <w:sz w:val="21"/>
                <w:szCs w:val="21"/>
                <w:highlight w:val="none"/>
              </w:rPr>
              <w:t>表4-</w:t>
            </w:r>
            <w:r>
              <w:rPr>
                <w:rFonts w:hint="eastAsia" w:cs="Times New Roman"/>
                <w:b/>
                <w:color w:val="auto"/>
                <w:sz w:val="21"/>
                <w:szCs w:val="21"/>
                <w:highlight w:val="none"/>
                <w:lang w:val="en-US" w:eastAsia="zh-CN"/>
              </w:rPr>
              <w:t>3</w:t>
            </w:r>
            <w:r>
              <w:rPr>
                <w:rFonts w:ascii="Times New Roman" w:hAnsi="Times New Roman" w:eastAsia="宋体" w:cs="Times New Roman"/>
                <w:b/>
                <w:color w:val="auto"/>
                <w:sz w:val="21"/>
                <w:szCs w:val="21"/>
                <w:highlight w:val="none"/>
              </w:rPr>
              <w:t xml:space="preserve">  废气污染</w:t>
            </w:r>
            <w:r>
              <w:rPr>
                <w:rFonts w:hint="eastAsia" w:ascii="Times New Roman" w:hAnsi="Times New Roman" w:eastAsia="宋体" w:cs="Times New Roman"/>
                <w:b/>
                <w:color w:val="auto"/>
                <w:sz w:val="21"/>
                <w:szCs w:val="21"/>
                <w:highlight w:val="none"/>
                <w:lang w:eastAsia="zh-CN"/>
              </w:rPr>
              <w:t>物产排情况</w:t>
            </w:r>
            <w:r>
              <w:rPr>
                <w:rFonts w:ascii="Times New Roman" w:hAnsi="Times New Roman" w:eastAsia="宋体" w:cs="Times New Roman"/>
                <w:b/>
                <w:color w:val="auto"/>
                <w:sz w:val="21"/>
                <w:szCs w:val="21"/>
                <w:highlight w:val="none"/>
              </w:rPr>
              <w:t>汇总表</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371"/>
              <w:gridCol w:w="450"/>
              <w:gridCol w:w="465"/>
              <w:gridCol w:w="583"/>
              <w:gridCol w:w="505"/>
              <w:gridCol w:w="686"/>
              <w:gridCol w:w="598"/>
              <w:gridCol w:w="367"/>
              <w:gridCol w:w="324"/>
              <w:gridCol w:w="658"/>
              <w:gridCol w:w="1156"/>
              <w:gridCol w:w="643"/>
              <w:gridCol w:w="545"/>
              <w:gridCol w:w="691"/>
              <w:gridCol w:w="839"/>
              <w:gridCol w:w="382"/>
              <w:gridCol w:w="515"/>
              <w:gridCol w:w="490"/>
              <w:gridCol w:w="460"/>
              <w:gridCol w:w="804"/>
              <w:gridCol w:w="555"/>
              <w:gridCol w:w="467"/>
            </w:tblGrid>
            <w:tr w14:paraId="532A2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4" w:hRule="atLeast"/>
              </w:trPr>
              <w:tc>
                <w:tcPr>
                  <w:tcW w:w="148" w:type="pct"/>
                  <w:vMerge w:val="restart"/>
                  <w:tcBorders>
                    <w:tl2br w:val="nil"/>
                    <w:tr2bl w:val="nil"/>
                  </w:tcBorders>
                  <w:noWrap w:val="0"/>
                  <w:vAlign w:val="center"/>
                </w:tcPr>
                <w:p w14:paraId="2BF03D6A">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产排污环节</w:t>
                  </w:r>
                </w:p>
              </w:tc>
              <w:tc>
                <w:tcPr>
                  <w:tcW w:w="179" w:type="pct"/>
                  <w:vMerge w:val="restart"/>
                  <w:tcBorders>
                    <w:tl2br w:val="nil"/>
                    <w:tr2bl w:val="nil"/>
                  </w:tcBorders>
                  <w:noWrap w:val="0"/>
                  <w:vAlign w:val="center"/>
                </w:tcPr>
                <w:p w14:paraId="48993B6D">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排放形式</w:t>
                  </w:r>
                </w:p>
              </w:tc>
              <w:tc>
                <w:tcPr>
                  <w:tcW w:w="185" w:type="pct"/>
                  <w:vMerge w:val="restart"/>
                  <w:tcBorders>
                    <w:tl2br w:val="nil"/>
                    <w:tr2bl w:val="nil"/>
                  </w:tcBorders>
                  <w:noWrap w:val="0"/>
                  <w:vAlign w:val="center"/>
                </w:tcPr>
                <w:p w14:paraId="10B8944F">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污染物</w:t>
                  </w:r>
                </w:p>
                <w:p w14:paraId="0DFAB815">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种类</w:t>
                  </w:r>
                </w:p>
              </w:tc>
              <w:tc>
                <w:tcPr>
                  <w:tcW w:w="706" w:type="pct"/>
                  <w:gridSpan w:val="3"/>
                  <w:tcBorders>
                    <w:tl2br w:val="nil"/>
                    <w:tr2bl w:val="nil"/>
                  </w:tcBorders>
                  <w:noWrap w:val="0"/>
                  <w:vAlign w:val="center"/>
                </w:tcPr>
                <w:p w14:paraId="5493F33F">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污染物产生量和浓度</w:t>
                  </w:r>
                </w:p>
              </w:tc>
              <w:tc>
                <w:tcPr>
                  <w:tcW w:w="1235" w:type="pct"/>
                  <w:gridSpan w:val="5"/>
                  <w:tcBorders>
                    <w:tl2br w:val="nil"/>
                    <w:tr2bl w:val="nil"/>
                  </w:tcBorders>
                  <w:noWrap w:val="0"/>
                  <w:vAlign w:val="center"/>
                </w:tcPr>
                <w:p w14:paraId="7CFD0757">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污染治理设施</w:t>
                  </w:r>
                </w:p>
              </w:tc>
              <w:tc>
                <w:tcPr>
                  <w:tcW w:w="748" w:type="pct"/>
                  <w:gridSpan w:val="3"/>
                  <w:tcBorders>
                    <w:tl2br w:val="nil"/>
                    <w:tr2bl w:val="nil"/>
                  </w:tcBorders>
                  <w:noWrap w:val="0"/>
                  <w:vAlign w:val="center"/>
                </w:tcPr>
                <w:p w14:paraId="3D8B7883">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污染物排放量和浓度</w:t>
                  </w:r>
                </w:p>
              </w:tc>
              <w:tc>
                <w:tcPr>
                  <w:tcW w:w="1389" w:type="pct"/>
                  <w:gridSpan w:val="6"/>
                  <w:tcBorders>
                    <w:tl2br w:val="nil"/>
                    <w:tr2bl w:val="nil"/>
                  </w:tcBorders>
                  <w:noWrap w:val="0"/>
                  <w:vAlign w:val="center"/>
                </w:tcPr>
                <w:p w14:paraId="37A62299">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排放口基本情况</w:t>
                  </w:r>
                </w:p>
              </w:tc>
              <w:tc>
                <w:tcPr>
                  <w:tcW w:w="407" w:type="pct"/>
                  <w:gridSpan w:val="2"/>
                  <w:tcBorders>
                    <w:tl2br w:val="nil"/>
                    <w:tr2bl w:val="nil"/>
                  </w:tcBorders>
                  <w:noWrap w:val="0"/>
                  <w:vAlign w:val="center"/>
                </w:tcPr>
                <w:p w14:paraId="44BF71CB">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排放标准</w:t>
                  </w:r>
                </w:p>
              </w:tc>
            </w:tr>
            <w:tr w14:paraId="1EF253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197" w:hRule="atLeast"/>
              </w:trPr>
              <w:tc>
                <w:tcPr>
                  <w:tcW w:w="148" w:type="pct"/>
                  <w:vMerge w:val="continue"/>
                  <w:tcBorders>
                    <w:tl2br w:val="nil"/>
                    <w:tr2bl w:val="nil"/>
                  </w:tcBorders>
                  <w:noWrap w:val="0"/>
                  <w:vAlign w:val="center"/>
                </w:tcPr>
                <w:p w14:paraId="25CC2D93">
                  <w:pPr>
                    <w:adjustRightInd w:val="0"/>
                    <w:snapToGrid w:val="0"/>
                    <w:spacing w:line="240" w:lineRule="exact"/>
                    <w:jc w:val="center"/>
                    <w:rPr>
                      <w:rFonts w:ascii="Times New Roman" w:hAnsi="Times New Roman" w:eastAsia="宋体" w:cs="Times New Roman"/>
                      <w:b/>
                      <w:bCs/>
                      <w:color w:val="FF0000"/>
                      <w:sz w:val="18"/>
                      <w:szCs w:val="18"/>
                      <w:highlight w:val="none"/>
                    </w:rPr>
                  </w:pPr>
                </w:p>
              </w:tc>
              <w:tc>
                <w:tcPr>
                  <w:tcW w:w="179" w:type="pct"/>
                  <w:vMerge w:val="continue"/>
                  <w:tcBorders>
                    <w:tl2br w:val="nil"/>
                    <w:tr2bl w:val="nil"/>
                  </w:tcBorders>
                  <w:noWrap w:val="0"/>
                  <w:vAlign w:val="center"/>
                </w:tcPr>
                <w:p w14:paraId="4C3686EE">
                  <w:pPr>
                    <w:adjustRightInd w:val="0"/>
                    <w:snapToGrid w:val="0"/>
                    <w:spacing w:line="240" w:lineRule="exact"/>
                    <w:jc w:val="center"/>
                    <w:rPr>
                      <w:rFonts w:ascii="Times New Roman" w:hAnsi="Times New Roman" w:eastAsia="宋体" w:cs="Times New Roman"/>
                      <w:b/>
                      <w:bCs/>
                      <w:color w:val="FF0000"/>
                      <w:sz w:val="18"/>
                      <w:szCs w:val="18"/>
                      <w:highlight w:val="none"/>
                    </w:rPr>
                  </w:pPr>
                </w:p>
              </w:tc>
              <w:tc>
                <w:tcPr>
                  <w:tcW w:w="185" w:type="pct"/>
                  <w:vMerge w:val="continue"/>
                  <w:tcBorders>
                    <w:tl2br w:val="nil"/>
                    <w:tr2bl w:val="nil"/>
                  </w:tcBorders>
                  <w:noWrap w:val="0"/>
                  <w:vAlign w:val="center"/>
                </w:tcPr>
                <w:p w14:paraId="27FA18B2">
                  <w:pPr>
                    <w:adjustRightInd w:val="0"/>
                    <w:snapToGrid w:val="0"/>
                    <w:spacing w:line="240" w:lineRule="exact"/>
                    <w:jc w:val="center"/>
                    <w:rPr>
                      <w:rFonts w:ascii="Times New Roman" w:hAnsi="Times New Roman" w:eastAsia="宋体" w:cs="Times New Roman"/>
                      <w:b/>
                      <w:bCs/>
                      <w:color w:val="FF0000"/>
                      <w:sz w:val="18"/>
                      <w:szCs w:val="18"/>
                      <w:highlight w:val="none"/>
                    </w:rPr>
                  </w:pPr>
                </w:p>
              </w:tc>
              <w:tc>
                <w:tcPr>
                  <w:tcW w:w="232" w:type="pct"/>
                  <w:vMerge w:val="restart"/>
                  <w:tcBorders>
                    <w:tl2br w:val="nil"/>
                    <w:tr2bl w:val="nil"/>
                  </w:tcBorders>
                  <w:noWrap w:val="0"/>
                  <w:vAlign w:val="center"/>
                </w:tcPr>
                <w:p w14:paraId="3DA2C722">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产生</w:t>
                  </w:r>
                </w:p>
                <w:p w14:paraId="1CE11AD4">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浓度</w:t>
                  </w:r>
                </w:p>
                <w:p w14:paraId="64267836">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mg/m</w:t>
                  </w:r>
                  <w:r>
                    <w:rPr>
                      <w:rFonts w:ascii="Times New Roman" w:hAnsi="Times New Roman" w:eastAsia="宋体" w:cs="Times New Roman"/>
                      <w:b/>
                      <w:bCs/>
                      <w:color w:val="FF0000"/>
                      <w:sz w:val="18"/>
                      <w:szCs w:val="18"/>
                      <w:highlight w:val="none"/>
                      <w:vertAlign w:val="superscript"/>
                    </w:rPr>
                    <w:t>3</w:t>
                  </w:r>
                </w:p>
              </w:tc>
              <w:tc>
                <w:tcPr>
                  <w:tcW w:w="474" w:type="pct"/>
                  <w:gridSpan w:val="2"/>
                  <w:tcBorders>
                    <w:tl2br w:val="nil"/>
                    <w:tr2bl w:val="nil"/>
                  </w:tcBorders>
                  <w:noWrap w:val="0"/>
                  <w:vAlign w:val="center"/>
                </w:tcPr>
                <w:p w14:paraId="4D7D1915">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产生量</w:t>
                  </w:r>
                </w:p>
              </w:tc>
              <w:tc>
                <w:tcPr>
                  <w:tcW w:w="238" w:type="pct"/>
                  <w:tcBorders>
                    <w:tl2br w:val="nil"/>
                    <w:tr2bl w:val="nil"/>
                  </w:tcBorders>
                  <w:noWrap w:val="0"/>
                  <w:vAlign w:val="center"/>
                </w:tcPr>
                <w:p w14:paraId="29D524C8">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处理</w:t>
                  </w:r>
                </w:p>
                <w:p w14:paraId="5584E682">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能力</w:t>
                  </w:r>
                </w:p>
              </w:tc>
              <w:tc>
                <w:tcPr>
                  <w:tcW w:w="146" w:type="pct"/>
                  <w:tcBorders>
                    <w:tl2br w:val="nil"/>
                    <w:tr2bl w:val="nil"/>
                  </w:tcBorders>
                  <w:noWrap w:val="0"/>
                  <w:vAlign w:val="center"/>
                </w:tcPr>
                <w:p w14:paraId="2CCEC00B">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收集效率</w:t>
                  </w:r>
                </w:p>
              </w:tc>
              <w:tc>
                <w:tcPr>
                  <w:tcW w:w="129" w:type="pct"/>
                  <w:tcBorders>
                    <w:tl2br w:val="nil"/>
                    <w:tr2bl w:val="nil"/>
                  </w:tcBorders>
                  <w:noWrap w:val="0"/>
                  <w:vAlign w:val="center"/>
                </w:tcPr>
                <w:p w14:paraId="1C8C19E8">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去除效率</w:t>
                  </w:r>
                </w:p>
              </w:tc>
              <w:tc>
                <w:tcPr>
                  <w:tcW w:w="262" w:type="pct"/>
                  <w:vMerge w:val="restart"/>
                  <w:tcBorders>
                    <w:tl2br w:val="nil"/>
                    <w:tr2bl w:val="nil"/>
                  </w:tcBorders>
                  <w:noWrap w:val="0"/>
                  <w:vAlign w:val="center"/>
                </w:tcPr>
                <w:p w14:paraId="5ECF1792">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是否可行技术</w:t>
                  </w:r>
                </w:p>
              </w:tc>
              <w:tc>
                <w:tcPr>
                  <w:tcW w:w="459" w:type="pct"/>
                  <w:vMerge w:val="restart"/>
                  <w:tcBorders>
                    <w:tl2br w:val="nil"/>
                    <w:tr2bl w:val="nil"/>
                  </w:tcBorders>
                  <w:noWrap w:val="0"/>
                  <w:vAlign w:val="center"/>
                </w:tcPr>
                <w:p w14:paraId="220D7848">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处理工艺</w:t>
                  </w:r>
                </w:p>
              </w:tc>
              <w:tc>
                <w:tcPr>
                  <w:tcW w:w="256" w:type="pct"/>
                  <w:vMerge w:val="restart"/>
                  <w:tcBorders>
                    <w:tl2br w:val="nil"/>
                    <w:tr2bl w:val="nil"/>
                  </w:tcBorders>
                  <w:noWrap w:val="0"/>
                  <w:vAlign w:val="center"/>
                </w:tcPr>
                <w:p w14:paraId="233BE048">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排放</w:t>
                  </w:r>
                </w:p>
                <w:p w14:paraId="4B40C201">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浓度</w:t>
                  </w:r>
                </w:p>
                <w:p w14:paraId="09135270">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mg/m</w:t>
                  </w:r>
                  <w:r>
                    <w:rPr>
                      <w:rFonts w:ascii="Times New Roman" w:hAnsi="Times New Roman" w:eastAsia="宋体" w:cs="Times New Roman"/>
                      <w:b/>
                      <w:bCs/>
                      <w:color w:val="FF0000"/>
                      <w:sz w:val="18"/>
                      <w:szCs w:val="18"/>
                      <w:highlight w:val="none"/>
                      <w:vertAlign w:val="superscript"/>
                    </w:rPr>
                    <w:t>3</w:t>
                  </w:r>
                </w:p>
              </w:tc>
              <w:tc>
                <w:tcPr>
                  <w:tcW w:w="492" w:type="pct"/>
                  <w:gridSpan w:val="2"/>
                  <w:tcBorders>
                    <w:tl2br w:val="nil"/>
                    <w:tr2bl w:val="nil"/>
                  </w:tcBorders>
                  <w:noWrap w:val="0"/>
                  <w:vAlign w:val="center"/>
                </w:tcPr>
                <w:p w14:paraId="012D1E00">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排放量</w:t>
                  </w:r>
                </w:p>
              </w:tc>
              <w:tc>
                <w:tcPr>
                  <w:tcW w:w="334" w:type="pct"/>
                  <w:tcBorders>
                    <w:tl2br w:val="nil"/>
                    <w:tr2bl w:val="nil"/>
                  </w:tcBorders>
                  <w:noWrap w:val="0"/>
                  <w:vAlign w:val="center"/>
                </w:tcPr>
                <w:p w14:paraId="3CDD0462">
                  <w:pPr>
                    <w:adjustRightInd w:val="0"/>
                    <w:snapToGrid w:val="0"/>
                    <w:spacing w:line="240" w:lineRule="exact"/>
                    <w:jc w:val="center"/>
                    <w:rPr>
                      <w:rFonts w:ascii="Times New Roman" w:hAnsi="Times New Roman" w:eastAsia="宋体" w:cs="Times New Roman"/>
                      <w:b/>
                      <w:bCs/>
                      <w:color w:val="FF0000"/>
                      <w:spacing w:val="-10"/>
                      <w:sz w:val="18"/>
                      <w:szCs w:val="18"/>
                      <w:highlight w:val="none"/>
                    </w:rPr>
                  </w:pPr>
                  <w:r>
                    <w:rPr>
                      <w:rFonts w:ascii="Times New Roman" w:hAnsi="Times New Roman" w:eastAsia="宋体" w:cs="Times New Roman"/>
                      <w:b/>
                      <w:bCs/>
                      <w:color w:val="FF0000"/>
                      <w:spacing w:val="-10"/>
                      <w:sz w:val="18"/>
                      <w:szCs w:val="18"/>
                      <w:highlight w:val="none"/>
                    </w:rPr>
                    <w:t>编号及</w:t>
                  </w:r>
                </w:p>
                <w:p w14:paraId="396DC633">
                  <w:pPr>
                    <w:adjustRightInd w:val="0"/>
                    <w:snapToGrid w:val="0"/>
                    <w:spacing w:line="240" w:lineRule="exact"/>
                    <w:jc w:val="center"/>
                    <w:rPr>
                      <w:rFonts w:ascii="Times New Roman" w:hAnsi="Times New Roman" w:eastAsia="宋体" w:cs="Times New Roman"/>
                      <w:b/>
                      <w:bCs/>
                      <w:color w:val="FF0000"/>
                      <w:spacing w:val="-10"/>
                      <w:sz w:val="18"/>
                      <w:szCs w:val="18"/>
                      <w:highlight w:val="none"/>
                    </w:rPr>
                  </w:pPr>
                  <w:r>
                    <w:rPr>
                      <w:rFonts w:ascii="Times New Roman" w:hAnsi="Times New Roman" w:eastAsia="宋体" w:cs="Times New Roman"/>
                      <w:b/>
                      <w:bCs/>
                      <w:color w:val="FF0000"/>
                      <w:spacing w:val="-10"/>
                      <w:sz w:val="18"/>
                      <w:szCs w:val="18"/>
                      <w:highlight w:val="none"/>
                    </w:rPr>
                    <w:t>名称</w:t>
                  </w:r>
                </w:p>
              </w:tc>
              <w:tc>
                <w:tcPr>
                  <w:tcW w:w="152" w:type="pct"/>
                  <w:tcBorders>
                    <w:tl2br w:val="nil"/>
                    <w:tr2bl w:val="nil"/>
                  </w:tcBorders>
                  <w:noWrap w:val="0"/>
                  <w:vAlign w:val="center"/>
                </w:tcPr>
                <w:p w14:paraId="03D825AD">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高度</w:t>
                  </w:r>
                </w:p>
              </w:tc>
              <w:tc>
                <w:tcPr>
                  <w:tcW w:w="205" w:type="pct"/>
                  <w:tcBorders>
                    <w:tl2br w:val="nil"/>
                    <w:tr2bl w:val="nil"/>
                  </w:tcBorders>
                  <w:noWrap w:val="0"/>
                  <w:vAlign w:val="center"/>
                </w:tcPr>
                <w:p w14:paraId="5293A219">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内径</w:t>
                  </w:r>
                </w:p>
              </w:tc>
              <w:tc>
                <w:tcPr>
                  <w:tcW w:w="195" w:type="pct"/>
                  <w:tcBorders>
                    <w:tl2br w:val="nil"/>
                    <w:tr2bl w:val="nil"/>
                  </w:tcBorders>
                  <w:noWrap w:val="0"/>
                  <w:vAlign w:val="center"/>
                </w:tcPr>
                <w:p w14:paraId="175C0F8F">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温度</w:t>
                  </w:r>
                </w:p>
              </w:tc>
              <w:tc>
                <w:tcPr>
                  <w:tcW w:w="183" w:type="pct"/>
                  <w:tcBorders>
                    <w:tl2br w:val="nil"/>
                    <w:tr2bl w:val="nil"/>
                  </w:tcBorders>
                  <w:noWrap w:val="0"/>
                  <w:vAlign w:val="center"/>
                </w:tcPr>
                <w:p w14:paraId="5941AE22">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类型</w:t>
                  </w:r>
                </w:p>
              </w:tc>
              <w:tc>
                <w:tcPr>
                  <w:tcW w:w="320" w:type="pct"/>
                  <w:tcBorders>
                    <w:tl2br w:val="nil"/>
                    <w:tr2bl w:val="nil"/>
                  </w:tcBorders>
                  <w:noWrap w:val="0"/>
                  <w:vAlign w:val="center"/>
                </w:tcPr>
                <w:p w14:paraId="5E7C6305">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地理</w:t>
                  </w:r>
                </w:p>
                <w:p w14:paraId="0036E479">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坐标</w:t>
                  </w:r>
                </w:p>
              </w:tc>
              <w:tc>
                <w:tcPr>
                  <w:tcW w:w="221" w:type="pct"/>
                  <w:vMerge w:val="restart"/>
                  <w:tcBorders>
                    <w:tl2br w:val="nil"/>
                    <w:tr2bl w:val="nil"/>
                  </w:tcBorders>
                  <w:noWrap w:val="0"/>
                  <w:vAlign w:val="center"/>
                </w:tcPr>
                <w:p w14:paraId="4E53C6B9">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浓度</w:t>
                  </w:r>
                </w:p>
                <w:p w14:paraId="4E58643B">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mg/m</w:t>
                  </w:r>
                  <w:r>
                    <w:rPr>
                      <w:rFonts w:ascii="Times New Roman" w:hAnsi="Times New Roman" w:eastAsia="宋体" w:cs="Times New Roman"/>
                      <w:b/>
                      <w:bCs/>
                      <w:color w:val="FF0000"/>
                      <w:sz w:val="18"/>
                      <w:szCs w:val="18"/>
                      <w:highlight w:val="none"/>
                      <w:vertAlign w:val="superscript"/>
                    </w:rPr>
                    <w:t>3</w:t>
                  </w:r>
                </w:p>
              </w:tc>
              <w:tc>
                <w:tcPr>
                  <w:tcW w:w="185" w:type="pct"/>
                  <w:vMerge w:val="restart"/>
                  <w:tcBorders>
                    <w:tl2br w:val="nil"/>
                    <w:tr2bl w:val="nil"/>
                  </w:tcBorders>
                  <w:noWrap w:val="0"/>
                  <w:vAlign w:val="center"/>
                </w:tcPr>
                <w:p w14:paraId="4DF9E738">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速率</w:t>
                  </w:r>
                </w:p>
                <w:p w14:paraId="52FBFB35">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kg/h</w:t>
                  </w:r>
                </w:p>
              </w:tc>
            </w:tr>
            <w:tr w14:paraId="50778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6" w:hRule="atLeast"/>
              </w:trPr>
              <w:tc>
                <w:tcPr>
                  <w:tcW w:w="148" w:type="pct"/>
                  <w:vMerge w:val="continue"/>
                  <w:tcBorders>
                    <w:bottom w:val="single" w:color="auto" w:sz="12" w:space="0"/>
                    <w:tl2br w:val="nil"/>
                    <w:tr2bl w:val="nil"/>
                  </w:tcBorders>
                  <w:noWrap w:val="0"/>
                  <w:vAlign w:val="center"/>
                </w:tcPr>
                <w:p w14:paraId="3C306BD6">
                  <w:pPr>
                    <w:adjustRightInd w:val="0"/>
                    <w:snapToGrid w:val="0"/>
                    <w:spacing w:line="240" w:lineRule="exact"/>
                    <w:jc w:val="center"/>
                    <w:rPr>
                      <w:rFonts w:ascii="Times New Roman" w:hAnsi="Times New Roman" w:eastAsia="宋体" w:cs="Times New Roman"/>
                      <w:bCs/>
                      <w:color w:val="FF0000"/>
                      <w:sz w:val="18"/>
                      <w:szCs w:val="18"/>
                      <w:highlight w:val="none"/>
                    </w:rPr>
                  </w:pPr>
                </w:p>
              </w:tc>
              <w:tc>
                <w:tcPr>
                  <w:tcW w:w="179" w:type="pct"/>
                  <w:vMerge w:val="continue"/>
                  <w:tcBorders>
                    <w:bottom w:val="single" w:color="auto" w:sz="12" w:space="0"/>
                    <w:tl2br w:val="nil"/>
                    <w:tr2bl w:val="nil"/>
                  </w:tcBorders>
                  <w:noWrap w:val="0"/>
                  <w:vAlign w:val="center"/>
                </w:tcPr>
                <w:p w14:paraId="14BD7FC6">
                  <w:pPr>
                    <w:adjustRightInd w:val="0"/>
                    <w:snapToGrid w:val="0"/>
                    <w:spacing w:line="240" w:lineRule="exact"/>
                    <w:jc w:val="center"/>
                    <w:rPr>
                      <w:rFonts w:ascii="Times New Roman" w:hAnsi="Times New Roman" w:eastAsia="宋体" w:cs="Times New Roman"/>
                      <w:bCs/>
                      <w:color w:val="FF0000"/>
                      <w:sz w:val="18"/>
                      <w:szCs w:val="18"/>
                      <w:highlight w:val="none"/>
                    </w:rPr>
                  </w:pPr>
                </w:p>
              </w:tc>
              <w:tc>
                <w:tcPr>
                  <w:tcW w:w="185" w:type="pct"/>
                  <w:vMerge w:val="continue"/>
                  <w:tcBorders>
                    <w:bottom w:val="single" w:color="auto" w:sz="12" w:space="0"/>
                    <w:tl2br w:val="nil"/>
                    <w:tr2bl w:val="nil"/>
                  </w:tcBorders>
                  <w:noWrap w:val="0"/>
                  <w:vAlign w:val="center"/>
                </w:tcPr>
                <w:p w14:paraId="3715E670">
                  <w:pPr>
                    <w:adjustRightInd w:val="0"/>
                    <w:snapToGrid w:val="0"/>
                    <w:spacing w:line="240" w:lineRule="exact"/>
                    <w:jc w:val="center"/>
                    <w:rPr>
                      <w:rFonts w:ascii="Times New Roman" w:hAnsi="Times New Roman" w:eastAsia="宋体" w:cs="Times New Roman"/>
                      <w:bCs/>
                      <w:color w:val="FF0000"/>
                      <w:sz w:val="18"/>
                      <w:szCs w:val="18"/>
                      <w:highlight w:val="none"/>
                    </w:rPr>
                  </w:pPr>
                </w:p>
              </w:tc>
              <w:tc>
                <w:tcPr>
                  <w:tcW w:w="232" w:type="pct"/>
                  <w:vMerge w:val="continue"/>
                  <w:tcBorders>
                    <w:bottom w:val="single" w:color="auto" w:sz="12" w:space="0"/>
                    <w:tl2br w:val="nil"/>
                    <w:tr2bl w:val="nil"/>
                  </w:tcBorders>
                  <w:noWrap w:val="0"/>
                  <w:vAlign w:val="center"/>
                </w:tcPr>
                <w:p w14:paraId="1304F7AA">
                  <w:pPr>
                    <w:adjustRightInd w:val="0"/>
                    <w:snapToGrid w:val="0"/>
                    <w:spacing w:line="240" w:lineRule="exact"/>
                    <w:jc w:val="center"/>
                    <w:rPr>
                      <w:rFonts w:ascii="Times New Roman" w:hAnsi="Times New Roman" w:eastAsia="宋体" w:cs="Times New Roman"/>
                      <w:bCs/>
                      <w:color w:val="FF0000"/>
                      <w:sz w:val="18"/>
                      <w:szCs w:val="18"/>
                      <w:highlight w:val="none"/>
                    </w:rPr>
                  </w:pPr>
                </w:p>
              </w:tc>
              <w:tc>
                <w:tcPr>
                  <w:tcW w:w="201" w:type="pct"/>
                  <w:tcBorders>
                    <w:bottom w:val="single" w:color="auto" w:sz="12" w:space="0"/>
                    <w:tl2br w:val="nil"/>
                    <w:tr2bl w:val="nil"/>
                  </w:tcBorders>
                  <w:noWrap w:val="0"/>
                  <w:vAlign w:val="center"/>
                </w:tcPr>
                <w:p w14:paraId="75B34753">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kg/h</w:t>
                  </w:r>
                </w:p>
              </w:tc>
              <w:tc>
                <w:tcPr>
                  <w:tcW w:w="273" w:type="pct"/>
                  <w:tcBorders>
                    <w:bottom w:val="single" w:color="auto" w:sz="12" w:space="0"/>
                    <w:tl2br w:val="nil"/>
                    <w:tr2bl w:val="nil"/>
                  </w:tcBorders>
                  <w:noWrap w:val="0"/>
                  <w:vAlign w:val="center"/>
                </w:tcPr>
                <w:p w14:paraId="503BFF92">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t/a</w:t>
                  </w:r>
                </w:p>
              </w:tc>
              <w:tc>
                <w:tcPr>
                  <w:tcW w:w="238" w:type="pct"/>
                  <w:tcBorders>
                    <w:bottom w:val="single" w:color="auto" w:sz="12" w:space="0"/>
                    <w:tl2br w:val="nil"/>
                    <w:tr2bl w:val="nil"/>
                  </w:tcBorders>
                  <w:noWrap w:val="0"/>
                  <w:vAlign w:val="center"/>
                </w:tcPr>
                <w:p w14:paraId="6E9173FA">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m</w:t>
                  </w:r>
                  <w:r>
                    <w:rPr>
                      <w:rFonts w:ascii="Times New Roman" w:hAnsi="Times New Roman" w:eastAsia="宋体" w:cs="Times New Roman"/>
                      <w:b/>
                      <w:bCs/>
                      <w:color w:val="FF0000"/>
                      <w:sz w:val="18"/>
                      <w:szCs w:val="18"/>
                      <w:highlight w:val="none"/>
                      <w:vertAlign w:val="superscript"/>
                    </w:rPr>
                    <w:t>3</w:t>
                  </w:r>
                  <w:r>
                    <w:rPr>
                      <w:rFonts w:ascii="Times New Roman" w:hAnsi="Times New Roman" w:eastAsia="宋体" w:cs="Times New Roman"/>
                      <w:b/>
                      <w:bCs/>
                      <w:color w:val="FF0000"/>
                      <w:sz w:val="18"/>
                      <w:szCs w:val="18"/>
                      <w:highlight w:val="none"/>
                    </w:rPr>
                    <w:t>/h</w:t>
                  </w:r>
                </w:p>
              </w:tc>
              <w:tc>
                <w:tcPr>
                  <w:tcW w:w="146" w:type="pct"/>
                  <w:tcBorders>
                    <w:bottom w:val="single" w:color="auto" w:sz="12" w:space="0"/>
                    <w:tl2br w:val="nil"/>
                    <w:tr2bl w:val="nil"/>
                  </w:tcBorders>
                  <w:noWrap w:val="0"/>
                  <w:vAlign w:val="center"/>
                </w:tcPr>
                <w:p w14:paraId="7CDDDE5F">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w:t>
                  </w:r>
                </w:p>
              </w:tc>
              <w:tc>
                <w:tcPr>
                  <w:tcW w:w="129" w:type="pct"/>
                  <w:tcBorders>
                    <w:bottom w:val="single" w:color="auto" w:sz="12" w:space="0"/>
                    <w:tl2br w:val="nil"/>
                    <w:tr2bl w:val="nil"/>
                  </w:tcBorders>
                  <w:noWrap w:val="0"/>
                  <w:vAlign w:val="center"/>
                </w:tcPr>
                <w:p w14:paraId="7507F0DE">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w:t>
                  </w:r>
                </w:p>
              </w:tc>
              <w:tc>
                <w:tcPr>
                  <w:tcW w:w="262" w:type="pct"/>
                  <w:vMerge w:val="continue"/>
                  <w:tcBorders>
                    <w:bottom w:val="single" w:color="auto" w:sz="12" w:space="0"/>
                    <w:tl2br w:val="nil"/>
                    <w:tr2bl w:val="nil"/>
                  </w:tcBorders>
                  <w:noWrap w:val="0"/>
                  <w:vAlign w:val="center"/>
                </w:tcPr>
                <w:p w14:paraId="32C850E1">
                  <w:pPr>
                    <w:adjustRightInd w:val="0"/>
                    <w:snapToGrid w:val="0"/>
                    <w:spacing w:line="240" w:lineRule="exact"/>
                    <w:jc w:val="center"/>
                    <w:rPr>
                      <w:rFonts w:ascii="Times New Roman" w:hAnsi="Times New Roman" w:eastAsia="宋体" w:cs="Times New Roman"/>
                      <w:bCs/>
                      <w:color w:val="FF0000"/>
                      <w:sz w:val="18"/>
                      <w:szCs w:val="18"/>
                      <w:highlight w:val="none"/>
                    </w:rPr>
                  </w:pPr>
                </w:p>
              </w:tc>
              <w:tc>
                <w:tcPr>
                  <w:tcW w:w="459" w:type="pct"/>
                  <w:vMerge w:val="continue"/>
                  <w:tcBorders>
                    <w:bottom w:val="single" w:color="auto" w:sz="12" w:space="0"/>
                    <w:tl2br w:val="nil"/>
                    <w:tr2bl w:val="nil"/>
                  </w:tcBorders>
                  <w:noWrap w:val="0"/>
                  <w:vAlign w:val="center"/>
                </w:tcPr>
                <w:p w14:paraId="425AD6AE">
                  <w:pPr>
                    <w:adjustRightInd w:val="0"/>
                    <w:snapToGrid w:val="0"/>
                    <w:spacing w:line="240" w:lineRule="exact"/>
                    <w:jc w:val="center"/>
                    <w:rPr>
                      <w:rFonts w:ascii="Times New Roman" w:hAnsi="Times New Roman" w:eastAsia="宋体" w:cs="Times New Roman"/>
                      <w:bCs/>
                      <w:color w:val="FF0000"/>
                      <w:sz w:val="18"/>
                      <w:szCs w:val="18"/>
                      <w:highlight w:val="none"/>
                    </w:rPr>
                  </w:pPr>
                </w:p>
              </w:tc>
              <w:tc>
                <w:tcPr>
                  <w:tcW w:w="256" w:type="pct"/>
                  <w:vMerge w:val="continue"/>
                  <w:tcBorders>
                    <w:bottom w:val="single" w:color="auto" w:sz="12" w:space="0"/>
                    <w:tl2br w:val="nil"/>
                    <w:tr2bl w:val="nil"/>
                  </w:tcBorders>
                  <w:noWrap w:val="0"/>
                  <w:vAlign w:val="center"/>
                </w:tcPr>
                <w:p w14:paraId="68F8E1FB">
                  <w:pPr>
                    <w:adjustRightInd w:val="0"/>
                    <w:snapToGrid w:val="0"/>
                    <w:spacing w:line="240" w:lineRule="exact"/>
                    <w:jc w:val="center"/>
                    <w:rPr>
                      <w:rFonts w:ascii="Times New Roman" w:hAnsi="Times New Roman" w:eastAsia="宋体" w:cs="Times New Roman"/>
                      <w:bCs/>
                      <w:color w:val="FF0000"/>
                      <w:sz w:val="18"/>
                      <w:szCs w:val="18"/>
                      <w:highlight w:val="none"/>
                    </w:rPr>
                  </w:pPr>
                </w:p>
              </w:tc>
              <w:tc>
                <w:tcPr>
                  <w:tcW w:w="217" w:type="pct"/>
                  <w:tcBorders>
                    <w:bottom w:val="single" w:color="auto" w:sz="12" w:space="0"/>
                    <w:tl2br w:val="nil"/>
                    <w:tr2bl w:val="nil"/>
                  </w:tcBorders>
                  <w:noWrap w:val="0"/>
                  <w:vAlign w:val="center"/>
                </w:tcPr>
                <w:p w14:paraId="6A7763CD">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kg/h</w:t>
                  </w:r>
                </w:p>
              </w:tc>
              <w:tc>
                <w:tcPr>
                  <w:tcW w:w="275" w:type="pct"/>
                  <w:tcBorders>
                    <w:bottom w:val="single" w:color="auto" w:sz="12" w:space="0"/>
                    <w:tl2br w:val="nil"/>
                    <w:tr2bl w:val="nil"/>
                  </w:tcBorders>
                  <w:noWrap w:val="0"/>
                  <w:vAlign w:val="center"/>
                </w:tcPr>
                <w:p w14:paraId="7E79630B">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t/a</w:t>
                  </w:r>
                </w:p>
              </w:tc>
              <w:tc>
                <w:tcPr>
                  <w:tcW w:w="334" w:type="pct"/>
                  <w:tcBorders>
                    <w:bottom w:val="single" w:color="auto" w:sz="12" w:space="0"/>
                    <w:tl2br w:val="nil"/>
                    <w:tr2bl w:val="nil"/>
                  </w:tcBorders>
                  <w:noWrap w:val="0"/>
                  <w:vAlign w:val="center"/>
                </w:tcPr>
                <w:p w14:paraId="4AA2D043">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w:t>
                  </w:r>
                </w:p>
              </w:tc>
              <w:tc>
                <w:tcPr>
                  <w:tcW w:w="152" w:type="pct"/>
                  <w:tcBorders>
                    <w:bottom w:val="single" w:color="auto" w:sz="12" w:space="0"/>
                    <w:tl2br w:val="nil"/>
                    <w:tr2bl w:val="nil"/>
                  </w:tcBorders>
                  <w:noWrap w:val="0"/>
                  <w:vAlign w:val="center"/>
                </w:tcPr>
                <w:p w14:paraId="6796B86E">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m</w:t>
                  </w:r>
                </w:p>
              </w:tc>
              <w:tc>
                <w:tcPr>
                  <w:tcW w:w="205" w:type="pct"/>
                  <w:tcBorders>
                    <w:bottom w:val="single" w:color="auto" w:sz="12" w:space="0"/>
                    <w:tl2br w:val="nil"/>
                    <w:tr2bl w:val="nil"/>
                  </w:tcBorders>
                  <w:noWrap w:val="0"/>
                  <w:vAlign w:val="center"/>
                </w:tcPr>
                <w:p w14:paraId="1F9F699F">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m</w:t>
                  </w:r>
                </w:p>
              </w:tc>
              <w:tc>
                <w:tcPr>
                  <w:tcW w:w="195" w:type="pct"/>
                  <w:tcBorders>
                    <w:bottom w:val="single" w:color="auto" w:sz="12" w:space="0"/>
                    <w:tl2br w:val="nil"/>
                    <w:tr2bl w:val="nil"/>
                  </w:tcBorders>
                  <w:noWrap w:val="0"/>
                  <w:vAlign w:val="center"/>
                </w:tcPr>
                <w:p w14:paraId="3A84EDAE">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w:t>
                  </w:r>
                </w:p>
              </w:tc>
              <w:tc>
                <w:tcPr>
                  <w:tcW w:w="183" w:type="pct"/>
                  <w:tcBorders>
                    <w:bottom w:val="single" w:color="auto" w:sz="12" w:space="0"/>
                    <w:tl2br w:val="nil"/>
                    <w:tr2bl w:val="nil"/>
                  </w:tcBorders>
                  <w:noWrap w:val="0"/>
                  <w:vAlign w:val="center"/>
                </w:tcPr>
                <w:p w14:paraId="26DD4F9F">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w:t>
                  </w:r>
                </w:p>
              </w:tc>
              <w:tc>
                <w:tcPr>
                  <w:tcW w:w="320" w:type="pct"/>
                  <w:tcBorders>
                    <w:bottom w:val="single" w:color="auto" w:sz="12" w:space="0"/>
                    <w:tl2br w:val="nil"/>
                    <w:tr2bl w:val="nil"/>
                  </w:tcBorders>
                  <w:noWrap w:val="0"/>
                  <w:vAlign w:val="center"/>
                </w:tcPr>
                <w:p w14:paraId="7F537AB9">
                  <w:pPr>
                    <w:adjustRightInd w:val="0"/>
                    <w:snapToGrid w:val="0"/>
                    <w:spacing w:line="240" w:lineRule="exact"/>
                    <w:jc w:val="center"/>
                    <w:rPr>
                      <w:rFonts w:ascii="Times New Roman" w:hAnsi="Times New Roman" w:eastAsia="宋体" w:cs="Times New Roman"/>
                      <w:b/>
                      <w:bCs/>
                      <w:color w:val="FF0000"/>
                      <w:sz w:val="18"/>
                      <w:szCs w:val="18"/>
                      <w:highlight w:val="none"/>
                    </w:rPr>
                  </w:pPr>
                  <w:r>
                    <w:rPr>
                      <w:rFonts w:ascii="Times New Roman" w:hAnsi="Times New Roman" w:eastAsia="宋体" w:cs="Times New Roman"/>
                      <w:b/>
                      <w:bCs/>
                      <w:color w:val="FF0000"/>
                      <w:sz w:val="18"/>
                      <w:szCs w:val="18"/>
                      <w:highlight w:val="none"/>
                    </w:rPr>
                    <w:t>/</w:t>
                  </w:r>
                </w:p>
              </w:tc>
              <w:tc>
                <w:tcPr>
                  <w:tcW w:w="221" w:type="pct"/>
                  <w:vMerge w:val="continue"/>
                  <w:tcBorders>
                    <w:bottom w:val="single" w:color="auto" w:sz="12" w:space="0"/>
                    <w:tl2br w:val="nil"/>
                    <w:tr2bl w:val="nil"/>
                  </w:tcBorders>
                  <w:noWrap w:val="0"/>
                  <w:vAlign w:val="center"/>
                </w:tcPr>
                <w:p w14:paraId="3FC35337">
                  <w:pPr>
                    <w:adjustRightInd w:val="0"/>
                    <w:snapToGrid w:val="0"/>
                    <w:spacing w:line="240" w:lineRule="exact"/>
                    <w:jc w:val="center"/>
                    <w:rPr>
                      <w:rFonts w:ascii="Times New Roman" w:hAnsi="Times New Roman" w:eastAsia="宋体" w:cs="Times New Roman"/>
                      <w:bCs/>
                      <w:color w:val="FF0000"/>
                      <w:sz w:val="18"/>
                      <w:szCs w:val="18"/>
                      <w:highlight w:val="none"/>
                    </w:rPr>
                  </w:pPr>
                </w:p>
              </w:tc>
              <w:tc>
                <w:tcPr>
                  <w:tcW w:w="185" w:type="pct"/>
                  <w:vMerge w:val="continue"/>
                  <w:tcBorders>
                    <w:bottom w:val="single" w:color="auto" w:sz="12" w:space="0"/>
                    <w:tl2br w:val="nil"/>
                    <w:tr2bl w:val="nil"/>
                  </w:tcBorders>
                  <w:noWrap w:val="0"/>
                  <w:vAlign w:val="center"/>
                </w:tcPr>
                <w:p w14:paraId="2982748B">
                  <w:pPr>
                    <w:adjustRightInd w:val="0"/>
                    <w:snapToGrid w:val="0"/>
                    <w:spacing w:line="240" w:lineRule="exact"/>
                    <w:jc w:val="center"/>
                    <w:rPr>
                      <w:rFonts w:ascii="Times New Roman" w:hAnsi="Times New Roman" w:eastAsia="宋体" w:cs="Times New Roman"/>
                      <w:bCs/>
                      <w:color w:val="FF0000"/>
                      <w:sz w:val="18"/>
                      <w:szCs w:val="18"/>
                      <w:highlight w:val="none"/>
                    </w:rPr>
                  </w:pPr>
                </w:p>
              </w:tc>
            </w:tr>
            <w:tr w14:paraId="2128F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26" w:hRule="atLeast"/>
              </w:trPr>
              <w:tc>
                <w:tcPr>
                  <w:tcW w:w="148" w:type="pct"/>
                  <w:vMerge w:val="restart"/>
                  <w:tcBorders>
                    <w:top w:val="single" w:color="auto" w:sz="12" w:space="0"/>
                  </w:tcBorders>
                  <w:noWrap w:val="0"/>
                  <w:vAlign w:val="center"/>
                </w:tcPr>
                <w:p w14:paraId="6B4C0BFE">
                  <w:pPr>
                    <w:snapToGrid w:val="0"/>
                    <w:spacing w:line="240" w:lineRule="atLeast"/>
                    <w:jc w:val="center"/>
                    <w:rPr>
                      <w:rFonts w:hint="default" w:ascii="Times New Roman" w:hAnsi="Times New Roman" w:eastAsia="宋体" w:cs="Times New Roman"/>
                      <w:bCs/>
                      <w:color w:val="FF0000"/>
                      <w:sz w:val="18"/>
                      <w:szCs w:val="18"/>
                      <w:highlight w:val="none"/>
                      <w:lang w:val="en-US" w:eastAsia="zh-CN"/>
                    </w:rPr>
                  </w:pPr>
                  <w:r>
                    <w:rPr>
                      <w:rFonts w:hint="eastAsia" w:ascii="Times New Roman" w:hAnsi="Times New Roman" w:eastAsia="宋体" w:cs="Times New Roman"/>
                      <w:bCs/>
                      <w:color w:val="FF0000"/>
                      <w:sz w:val="18"/>
                      <w:szCs w:val="18"/>
                      <w:highlight w:val="none"/>
                      <w:lang w:val="en-US" w:eastAsia="zh-CN"/>
                    </w:rPr>
                    <w:t>一车间废气</w:t>
                  </w:r>
                </w:p>
              </w:tc>
              <w:tc>
                <w:tcPr>
                  <w:tcW w:w="179" w:type="pct"/>
                  <w:tcBorders>
                    <w:top w:val="single" w:color="auto" w:sz="12" w:space="0"/>
                  </w:tcBorders>
                  <w:noWrap w:val="0"/>
                  <w:vAlign w:val="center"/>
                </w:tcPr>
                <w:p w14:paraId="3645B18B">
                  <w:pPr>
                    <w:widowControl/>
                    <w:snapToGrid/>
                    <w:spacing w:line="240" w:lineRule="auto"/>
                    <w:jc w:val="center"/>
                    <w:textAlignment w:val="center"/>
                    <w:rPr>
                      <w:rFonts w:hint="eastAsia" w:ascii="宋体" w:hAnsi="宋体" w:eastAsia="宋体" w:cs="宋体"/>
                      <w:color w:val="FF0000"/>
                      <w:kern w:val="0"/>
                      <w:sz w:val="18"/>
                      <w:szCs w:val="18"/>
                      <w:highlight w:val="none"/>
                      <w:u w:val="none"/>
                      <w:lang w:val="en-US" w:eastAsia="zh-CN" w:bidi="ar"/>
                    </w:rPr>
                  </w:pPr>
                  <w:r>
                    <w:rPr>
                      <w:rFonts w:hint="eastAsia" w:ascii="宋体" w:hAnsi="宋体" w:eastAsia="宋体" w:cs="宋体"/>
                      <w:color w:val="FF0000"/>
                      <w:kern w:val="0"/>
                      <w:sz w:val="18"/>
                      <w:szCs w:val="18"/>
                      <w:highlight w:val="none"/>
                      <w:u w:val="none"/>
                      <w:lang w:val="en-US" w:eastAsia="zh-CN" w:bidi="ar"/>
                    </w:rPr>
                    <w:t>无组织</w:t>
                  </w:r>
                </w:p>
              </w:tc>
              <w:tc>
                <w:tcPr>
                  <w:tcW w:w="185" w:type="pct"/>
                  <w:tcBorders>
                    <w:top w:val="single" w:color="auto" w:sz="12" w:space="0"/>
                  </w:tcBorders>
                  <w:noWrap w:val="0"/>
                  <w:vAlign w:val="center"/>
                </w:tcPr>
                <w:p w14:paraId="102B0EF2">
                  <w:pPr>
                    <w:keepNext w:val="0"/>
                    <w:keepLines w:val="0"/>
                    <w:widowControl/>
                    <w:suppressLineNumbers w:val="0"/>
                    <w:spacing w:line="240" w:lineRule="auto"/>
                    <w:jc w:val="center"/>
                    <w:textAlignment w:val="center"/>
                    <w:rPr>
                      <w:rFonts w:hint="eastAsia" w:ascii="宋体" w:hAnsi="宋体" w:eastAsia="宋体" w:cs="宋体"/>
                      <w:i w:val="0"/>
                      <w:iCs w:val="0"/>
                      <w:color w:val="FF0000"/>
                      <w:kern w:val="0"/>
                      <w:sz w:val="18"/>
                      <w:szCs w:val="18"/>
                      <w:highlight w:val="none"/>
                      <w:u w:val="none"/>
                      <w:lang w:val="en-US" w:eastAsia="zh-CN" w:bidi="ar"/>
                    </w:rPr>
                  </w:pPr>
                  <w:r>
                    <w:rPr>
                      <w:rFonts w:hint="eastAsia" w:ascii="宋体" w:hAnsi="宋体" w:eastAsia="宋体" w:cs="宋体"/>
                      <w:i w:val="0"/>
                      <w:iCs w:val="0"/>
                      <w:color w:val="FF0000"/>
                      <w:kern w:val="0"/>
                      <w:sz w:val="18"/>
                      <w:szCs w:val="18"/>
                      <w:highlight w:val="none"/>
                      <w:u w:val="none"/>
                      <w:lang w:val="en-US" w:eastAsia="zh-CN" w:bidi="ar"/>
                    </w:rPr>
                    <w:t>颗粒物</w:t>
                  </w:r>
                </w:p>
              </w:tc>
              <w:tc>
                <w:tcPr>
                  <w:tcW w:w="232" w:type="pct"/>
                  <w:tcBorders>
                    <w:top w:val="single" w:color="auto" w:sz="12" w:space="0"/>
                  </w:tcBorders>
                  <w:noWrap w:val="0"/>
                  <w:vAlign w:val="center"/>
                </w:tcPr>
                <w:p w14:paraId="264A830E">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i w:val="0"/>
                      <w:iCs w:val="0"/>
                      <w:color w:val="FF0000"/>
                      <w:kern w:val="0"/>
                      <w:sz w:val="18"/>
                      <w:szCs w:val="18"/>
                      <w:highlight w:val="none"/>
                      <w:u w:val="none"/>
                      <w:lang w:val="en-US" w:eastAsia="zh-CN" w:bidi="ar"/>
                    </w:rPr>
                    <w:t>/</w:t>
                  </w:r>
                </w:p>
              </w:tc>
              <w:tc>
                <w:tcPr>
                  <w:tcW w:w="201" w:type="pct"/>
                  <w:tcBorders>
                    <w:top w:val="single" w:color="auto" w:sz="12" w:space="0"/>
                  </w:tcBorders>
                  <w:noWrap w:val="0"/>
                  <w:vAlign w:val="center"/>
                </w:tcPr>
                <w:p w14:paraId="233E3AE7">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i w:val="0"/>
                      <w:iCs w:val="0"/>
                      <w:color w:val="FF0000"/>
                      <w:kern w:val="0"/>
                      <w:sz w:val="18"/>
                      <w:szCs w:val="18"/>
                      <w:highlight w:val="none"/>
                      <w:u w:val="none"/>
                      <w:lang w:val="en-US" w:eastAsia="zh-CN" w:bidi="ar"/>
                    </w:rPr>
                    <w:t>0.0004</w:t>
                  </w:r>
                </w:p>
              </w:tc>
              <w:tc>
                <w:tcPr>
                  <w:tcW w:w="273" w:type="pct"/>
                  <w:tcBorders>
                    <w:top w:val="single" w:color="auto" w:sz="12" w:space="0"/>
                  </w:tcBorders>
                  <w:noWrap w:val="0"/>
                  <w:vAlign w:val="center"/>
                </w:tcPr>
                <w:p w14:paraId="1FDB7441">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color w:val="FF0000"/>
                      <w:spacing w:val="0"/>
                      <w:kern w:val="0"/>
                      <w:sz w:val="18"/>
                      <w:szCs w:val="18"/>
                      <w:highlight w:val="none"/>
                      <w:u w:val="none"/>
                      <w:vertAlign w:val="baseline"/>
                      <w:lang w:val="en-US" w:eastAsia="zh-CN" w:bidi="ar"/>
                    </w:rPr>
                    <w:t>0.001836</w:t>
                  </w:r>
                </w:p>
              </w:tc>
              <w:tc>
                <w:tcPr>
                  <w:tcW w:w="238" w:type="pct"/>
                  <w:tcBorders>
                    <w:top w:val="single" w:color="auto" w:sz="12" w:space="0"/>
                  </w:tcBorders>
                  <w:noWrap w:val="0"/>
                  <w:vAlign w:val="center"/>
                </w:tcPr>
                <w:p w14:paraId="4A70DA4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46" w:type="pct"/>
                  <w:tcBorders>
                    <w:top w:val="single" w:color="auto" w:sz="12" w:space="0"/>
                  </w:tcBorders>
                  <w:noWrap w:val="0"/>
                  <w:vAlign w:val="center"/>
                </w:tcPr>
                <w:p w14:paraId="7C429C4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29" w:type="pct"/>
                  <w:tcBorders>
                    <w:top w:val="single" w:color="auto" w:sz="12" w:space="0"/>
                  </w:tcBorders>
                  <w:noWrap w:val="0"/>
                  <w:vAlign w:val="center"/>
                </w:tcPr>
                <w:p w14:paraId="1B54E23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262" w:type="pct"/>
                  <w:tcBorders>
                    <w:top w:val="single" w:color="auto" w:sz="12" w:space="0"/>
                  </w:tcBorders>
                  <w:noWrap w:val="0"/>
                  <w:vAlign w:val="center"/>
                </w:tcPr>
                <w:p w14:paraId="062FF6FA">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是</w:t>
                  </w:r>
                </w:p>
              </w:tc>
              <w:tc>
                <w:tcPr>
                  <w:tcW w:w="459" w:type="pct"/>
                  <w:tcBorders>
                    <w:top w:val="single" w:color="auto" w:sz="12" w:space="0"/>
                  </w:tcBorders>
                  <w:noWrap w:val="0"/>
                  <w:vAlign w:val="center"/>
                </w:tcPr>
                <w:p w14:paraId="50181F8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snapToGrid/>
                      <w:color w:val="FF0000"/>
                      <w:kern w:val="0"/>
                      <w:sz w:val="18"/>
                      <w:szCs w:val="18"/>
                      <w:highlight w:val="none"/>
                      <w:u w:val="none"/>
                      <w:lang w:val="en-US" w:eastAsia="zh-CN" w:bidi="ar"/>
                    </w:rPr>
                    <w:t>车间空气净化系统</w:t>
                  </w:r>
                  <w:r>
                    <w:rPr>
                      <w:rFonts w:hint="eastAsia" w:ascii="Times New Roman" w:hAnsi="Times New Roman" w:eastAsia="宋体" w:cs="Times New Roman"/>
                      <w:i w:val="0"/>
                      <w:iCs w:val="0"/>
                      <w:color w:val="FF0000"/>
                      <w:kern w:val="0"/>
                      <w:sz w:val="18"/>
                      <w:szCs w:val="18"/>
                      <w:highlight w:val="none"/>
                      <w:u w:val="none"/>
                      <w:lang w:val="en-US" w:eastAsia="zh-CN" w:bidi="ar"/>
                    </w:rPr>
                    <w:t>、厂区绿化</w:t>
                  </w:r>
                </w:p>
              </w:tc>
              <w:tc>
                <w:tcPr>
                  <w:tcW w:w="256" w:type="pct"/>
                  <w:tcBorders>
                    <w:top w:val="single" w:color="auto" w:sz="12" w:space="0"/>
                  </w:tcBorders>
                  <w:noWrap w:val="0"/>
                  <w:vAlign w:val="center"/>
                </w:tcPr>
                <w:p w14:paraId="04C75668">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i w:val="0"/>
                      <w:iCs w:val="0"/>
                      <w:color w:val="FF0000"/>
                      <w:kern w:val="0"/>
                      <w:sz w:val="18"/>
                      <w:szCs w:val="18"/>
                      <w:highlight w:val="none"/>
                      <w:u w:val="none"/>
                      <w:lang w:val="en-US" w:eastAsia="zh-CN" w:bidi="ar"/>
                    </w:rPr>
                    <w:t>/</w:t>
                  </w:r>
                </w:p>
              </w:tc>
              <w:tc>
                <w:tcPr>
                  <w:tcW w:w="217" w:type="pct"/>
                  <w:tcBorders>
                    <w:top w:val="single" w:color="auto" w:sz="12" w:space="0"/>
                  </w:tcBorders>
                  <w:noWrap w:val="0"/>
                  <w:vAlign w:val="center"/>
                </w:tcPr>
                <w:p w14:paraId="3D5FE428">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i w:val="0"/>
                      <w:iCs w:val="0"/>
                      <w:color w:val="FF0000"/>
                      <w:kern w:val="0"/>
                      <w:sz w:val="18"/>
                      <w:szCs w:val="18"/>
                      <w:highlight w:val="none"/>
                      <w:u w:val="none"/>
                      <w:lang w:val="en-US" w:eastAsia="zh-CN" w:bidi="ar"/>
                    </w:rPr>
                    <w:t>0.0004</w:t>
                  </w:r>
                </w:p>
              </w:tc>
              <w:tc>
                <w:tcPr>
                  <w:tcW w:w="275" w:type="pct"/>
                  <w:tcBorders>
                    <w:top w:val="single" w:color="auto" w:sz="12" w:space="0"/>
                  </w:tcBorders>
                  <w:noWrap w:val="0"/>
                  <w:vAlign w:val="center"/>
                </w:tcPr>
                <w:p w14:paraId="7B96FAE0">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color w:val="FF0000"/>
                      <w:spacing w:val="0"/>
                      <w:kern w:val="0"/>
                      <w:sz w:val="18"/>
                      <w:szCs w:val="18"/>
                      <w:highlight w:val="none"/>
                      <w:u w:val="none"/>
                      <w:vertAlign w:val="baseline"/>
                      <w:lang w:val="en-US" w:eastAsia="zh-CN" w:bidi="ar"/>
                    </w:rPr>
                    <w:t>0.001836</w:t>
                  </w:r>
                </w:p>
              </w:tc>
              <w:tc>
                <w:tcPr>
                  <w:tcW w:w="334" w:type="pct"/>
                  <w:tcBorders>
                    <w:top w:val="single" w:color="auto" w:sz="12" w:space="0"/>
                  </w:tcBorders>
                  <w:noWrap w:val="0"/>
                  <w:vAlign w:val="center"/>
                </w:tcPr>
                <w:p w14:paraId="6F3AE27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52" w:type="pct"/>
                  <w:tcBorders>
                    <w:top w:val="single" w:color="auto" w:sz="12" w:space="0"/>
                  </w:tcBorders>
                  <w:noWrap w:val="0"/>
                  <w:vAlign w:val="center"/>
                </w:tcPr>
                <w:p w14:paraId="073923D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205" w:type="pct"/>
                  <w:tcBorders>
                    <w:top w:val="single" w:color="auto" w:sz="12" w:space="0"/>
                  </w:tcBorders>
                  <w:noWrap w:val="0"/>
                  <w:vAlign w:val="center"/>
                </w:tcPr>
                <w:p w14:paraId="3CC80F12">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95" w:type="pct"/>
                  <w:tcBorders>
                    <w:top w:val="single" w:color="auto" w:sz="12" w:space="0"/>
                  </w:tcBorders>
                  <w:noWrap w:val="0"/>
                  <w:vAlign w:val="center"/>
                </w:tcPr>
                <w:p w14:paraId="4E00E68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83" w:type="pct"/>
                  <w:tcBorders>
                    <w:top w:val="single" w:color="auto" w:sz="12" w:space="0"/>
                  </w:tcBorders>
                  <w:noWrap w:val="0"/>
                  <w:vAlign w:val="center"/>
                </w:tcPr>
                <w:p w14:paraId="102D4080">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320" w:type="pct"/>
                  <w:tcBorders>
                    <w:top w:val="single" w:color="auto" w:sz="12" w:space="0"/>
                  </w:tcBorders>
                  <w:noWrap w:val="0"/>
                  <w:vAlign w:val="center"/>
                </w:tcPr>
                <w:p w14:paraId="1831BCEC">
                  <w:pPr>
                    <w:keepNext w:val="0"/>
                    <w:keepLines w:val="0"/>
                    <w:widowControl/>
                    <w:suppressLineNumbers w:val="0"/>
                    <w:spacing w:line="240" w:lineRule="auto"/>
                    <w:jc w:val="center"/>
                    <w:textAlignment w:val="center"/>
                    <w:rPr>
                      <w:rFonts w:ascii="Times New Roman" w:hAnsi="Times New Roman" w:eastAsia="宋体" w:cs="Times New Roman"/>
                      <w:bCs/>
                      <w:color w:val="FF0000"/>
                      <w:sz w:val="18"/>
                      <w:szCs w:val="18"/>
                      <w:highlight w:val="none"/>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221" w:type="pct"/>
                  <w:tcBorders>
                    <w:top w:val="single" w:color="auto" w:sz="12" w:space="0"/>
                  </w:tcBorders>
                  <w:noWrap w:val="0"/>
                  <w:vAlign w:val="center"/>
                </w:tcPr>
                <w:p w14:paraId="714D5F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0.5</w:t>
                  </w:r>
                </w:p>
              </w:tc>
              <w:tc>
                <w:tcPr>
                  <w:tcW w:w="185" w:type="pct"/>
                  <w:tcBorders>
                    <w:top w:val="single" w:color="auto" w:sz="12" w:space="0"/>
                  </w:tcBorders>
                  <w:noWrap w:val="0"/>
                  <w:vAlign w:val="center"/>
                </w:tcPr>
                <w:p w14:paraId="067D6AE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r>
            <w:tr w14:paraId="05332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450" w:hRule="atLeast"/>
              </w:trPr>
              <w:tc>
                <w:tcPr>
                  <w:tcW w:w="148" w:type="pct"/>
                  <w:vMerge w:val="continue"/>
                  <w:tcBorders>
                    <w:tl2br w:val="nil"/>
                    <w:tr2bl w:val="nil"/>
                  </w:tcBorders>
                  <w:noWrap w:val="0"/>
                  <w:vAlign w:val="center"/>
                </w:tcPr>
                <w:p w14:paraId="06B92BC4">
                  <w:pPr>
                    <w:widowControl/>
                    <w:snapToGrid/>
                    <w:spacing w:line="240" w:lineRule="auto"/>
                    <w:jc w:val="center"/>
                    <w:textAlignment w:val="center"/>
                    <w:rPr>
                      <w:rFonts w:hint="default" w:ascii="宋体" w:hAnsi="宋体" w:eastAsia="宋体" w:cs="宋体"/>
                      <w:bCs w:val="0"/>
                      <w:color w:val="FF0000"/>
                      <w:kern w:val="0"/>
                      <w:sz w:val="18"/>
                      <w:szCs w:val="18"/>
                      <w:highlight w:val="none"/>
                      <w:u w:val="none"/>
                      <w:lang w:val="en-US" w:eastAsia="zh-CN" w:bidi="ar"/>
                    </w:rPr>
                  </w:pPr>
                </w:p>
              </w:tc>
              <w:tc>
                <w:tcPr>
                  <w:tcW w:w="179" w:type="pct"/>
                  <w:tcBorders>
                    <w:tl2br w:val="nil"/>
                    <w:tr2bl w:val="nil"/>
                  </w:tcBorders>
                  <w:noWrap w:val="0"/>
                  <w:vAlign w:val="center"/>
                </w:tcPr>
                <w:p w14:paraId="33A1AEC3">
                  <w:pPr>
                    <w:widowControl/>
                    <w:snapToGrid/>
                    <w:spacing w:line="240" w:lineRule="auto"/>
                    <w:jc w:val="center"/>
                    <w:textAlignment w:val="center"/>
                    <w:rPr>
                      <w:rFonts w:hint="eastAsia" w:ascii="宋体" w:hAnsi="宋体" w:eastAsia="宋体" w:cs="宋体"/>
                      <w:color w:val="FF0000"/>
                      <w:kern w:val="0"/>
                      <w:sz w:val="18"/>
                      <w:szCs w:val="18"/>
                      <w:highlight w:val="none"/>
                      <w:u w:val="none"/>
                      <w:lang w:val="en-US" w:eastAsia="zh-CN" w:bidi="ar"/>
                    </w:rPr>
                  </w:pPr>
                  <w:r>
                    <w:rPr>
                      <w:rFonts w:hint="eastAsia" w:ascii="宋体" w:hAnsi="宋体" w:eastAsia="宋体" w:cs="宋体"/>
                      <w:color w:val="FF0000"/>
                      <w:kern w:val="0"/>
                      <w:sz w:val="18"/>
                      <w:szCs w:val="18"/>
                      <w:highlight w:val="none"/>
                      <w:u w:val="none"/>
                      <w:lang w:val="en-US" w:eastAsia="zh-CN" w:bidi="ar"/>
                    </w:rPr>
                    <w:t>无组织</w:t>
                  </w:r>
                </w:p>
              </w:tc>
              <w:tc>
                <w:tcPr>
                  <w:tcW w:w="185" w:type="pct"/>
                  <w:tcBorders>
                    <w:tl2br w:val="nil"/>
                    <w:tr2bl w:val="nil"/>
                  </w:tcBorders>
                  <w:noWrap w:val="0"/>
                  <w:vAlign w:val="center"/>
                </w:tcPr>
                <w:p w14:paraId="3DBC2A05">
                  <w:pPr>
                    <w:keepNext w:val="0"/>
                    <w:keepLines w:val="0"/>
                    <w:widowControl/>
                    <w:suppressLineNumbers w:val="0"/>
                    <w:spacing w:line="240" w:lineRule="auto"/>
                    <w:jc w:val="center"/>
                    <w:textAlignment w:val="center"/>
                    <w:rPr>
                      <w:rFonts w:hint="default" w:ascii="宋体" w:hAnsi="宋体" w:eastAsia="宋体" w:cs="宋体"/>
                      <w:i w:val="0"/>
                      <w:iCs w:val="0"/>
                      <w:color w:val="FF0000"/>
                      <w:kern w:val="0"/>
                      <w:sz w:val="18"/>
                      <w:szCs w:val="18"/>
                      <w:highlight w:val="none"/>
                      <w:u w:val="none"/>
                      <w:lang w:val="en-US" w:eastAsia="zh-CN" w:bidi="ar"/>
                    </w:rPr>
                  </w:pPr>
                  <w:r>
                    <w:rPr>
                      <w:rFonts w:hint="eastAsia" w:ascii="宋体" w:hAnsi="宋体" w:eastAsia="宋体" w:cs="宋体"/>
                      <w:i w:val="0"/>
                      <w:iCs w:val="0"/>
                      <w:color w:val="FF0000"/>
                      <w:kern w:val="0"/>
                      <w:sz w:val="18"/>
                      <w:szCs w:val="18"/>
                      <w:highlight w:val="none"/>
                      <w:u w:val="none"/>
                      <w:lang w:val="en-US" w:eastAsia="zh-CN" w:bidi="ar"/>
                    </w:rPr>
                    <w:t>非甲烷总烃</w:t>
                  </w:r>
                </w:p>
              </w:tc>
              <w:tc>
                <w:tcPr>
                  <w:tcW w:w="232" w:type="pct"/>
                  <w:tcBorders>
                    <w:tl2br w:val="nil"/>
                    <w:tr2bl w:val="nil"/>
                  </w:tcBorders>
                  <w:noWrap w:val="0"/>
                  <w:vAlign w:val="center"/>
                </w:tcPr>
                <w:p w14:paraId="58BC2CD4">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i w:val="0"/>
                      <w:iCs w:val="0"/>
                      <w:color w:val="FF0000"/>
                      <w:kern w:val="0"/>
                      <w:sz w:val="18"/>
                      <w:szCs w:val="18"/>
                      <w:highlight w:val="none"/>
                      <w:u w:val="none"/>
                      <w:lang w:val="en-US" w:eastAsia="zh-CN" w:bidi="ar"/>
                    </w:rPr>
                    <w:t>/</w:t>
                  </w:r>
                </w:p>
              </w:tc>
              <w:tc>
                <w:tcPr>
                  <w:tcW w:w="201" w:type="pct"/>
                  <w:tcBorders>
                    <w:tl2br w:val="nil"/>
                    <w:tr2bl w:val="nil"/>
                  </w:tcBorders>
                  <w:noWrap w:val="0"/>
                  <w:vAlign w:val="center"/>
                </w:tcPr>
                <w:p w14:paraId="24B66789">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0.133</w:t>
                  </w:r>
                </w:p>
              </w:tc>
              <w:tc>
                <w:tcPr>
                  <w:tcW w:w="273" w:type="pct"/>
                  <w:tcBorders>
                    <w:tl2br w:val="nil"/>
                    <w:tr2bl w:val="nil"/>
                  </w:tcBorders>
                  <w:noWrap w:val="0"/>
                  <w:vAlign w:val="center"/>
                </w:tcPr>
                <w:p w14:paraId="5EF438B8">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0.636</w:t>
                  </w:r>
                </w:p>
              </w:tc>
              <w:tc>
                <w:tcPr>
                  <w:tcW w:w="238" w:type="pct"/>
                  <w:tcBorders>
                    <w:tl2br w:val="nil"/>
                    <w:tr2bl w:val="nil"/>
                  </w:tcBorders>
                  <w:noWrap w:val="0"/>
                  <w:vAlign w:val="center"/>
                </w:tcPr>
                <w:p w14:paraId="13AAEB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46" w:type="pct"/>
                  <w:tcBorders>
                    <w:tl2br w:val="nil"/>
                    <w:tr2bl w:val="nil"/>
                  </w:tcBorders>
                  <w:noWrap w:val="0"/>
                  <w:vAlign w:val="center"/>
                </w:tcPr>
                <w:p w14:paraId="349264B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100</w:t>
                  </w:r>
                </w:p>
              </w:tc>
              <w:tc>
                <w:tcPr>
                  <w:tcW w:w="129" w:type="pct"/>
                  <w:tcBorders>
                    <w:tl2br w:val="nil"/>
                    <w:tr2bl w:val="nil"/>
                  </w:tcBorders>
                  <w:noWrap w:val="0"/>
                  <w:vAlign w:val="center"/>
                </w:tcPr>
                <w:p w14:paraId="7EB47D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51</w:t>
                  </w:r>
                </w:p>
              </w:tc>
              <w:tc>
                <w:tcPr>
                  <w:tcW w:w="262" w:type="pct"/>
                  <w:tcBorders>
                    <w:tl2br w:val="nil"/>
                    <w:tr2bl w:val="nil"/>
                  </w:tcBorders>
                  <w:noWrap w:val="0"/>
                  <w:vAlign w:val="center"/>
                </w:tcPr>
                <w:p w14:paraId="42DD21E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是</w:t>
                  </w:r>
                </w:p>
              </w:tc>
              <w:tc>
                <w:tcPr>
                  <w:tcW w:w="459" w:type="pct"/>
                  <w:vMerge w:val="restart"/>
                  <w:tcBorders>
                    <w:tl2br w:val="nil"/>
                    <w:tr2bl w:val="nil"/>
                  </w:tcBorders>
                  <w:noWrap w:val="0"/>
                  <w:vAlign w:val="center"/>
                </w:tcPr>
                <w:p w14:paraId="6837272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snapToGrid/>
                      <w:color w:val="FF0000"/>
                      <w:kern w:val="0"/>
                      <w:sz w:val="18"/>
                      <w:szCs w:val="18"/>
                      <w:highlight w:val="none"/>
                      <w:u w:val="none"/>
                      <w:lang w:val="en-US" w:eastAsia="zh-CN" w:bidi="ar"/>
                    </w:rPr>
                    <w:t>车间空气净化系统</w:t>
                  </w:r>
                  <w:r>
                    <w:rPr>
                      <w:rFonts w:hint="eastAsia" w:ascii="Times New Roman" w:hAnsi="Times New Roman" w:eastAsia="宋体" w:cs="Times New Roman"/>
                      <w:i w:val="0"/>
                      <w:iCs w:val="0"/>
                      <w:color w:val="FF0000"/>
                      <w:kern w:val="0"/>
                      <w:sz w:val="18"/>
                      <w:szCs w:val="18"/>
                      <w:highlight w:val="none"/>
                      <w:u w:val="none"/>
                      <w:lang w:val="en-US" w:eastAsia="zh-CN" w:bidi="ar"/>
                    </w:rPr>
                    <w:t>+</w:t>
                  </w:r>
                  <w:r>
                    <w:rPr>
                      <w:rFonts w:hint="eastAsia" w:cs="Times New Roman"/>
                      <w:i w:val="0"/>
                      <w:iCs w:val="0"/>
                      <w:color w:val="FF0000"/>
                      <w:kern w:val="0"/>
                      <w:sz w:val="18"/>
                      <w:szCs w:val="18"/>
                      <w:highlight w:val="none"/>
                      <w:u w:val="none"/>
                      <w:lang w:val="en-US" w:eastAsia="zh-CN" w:bidi="ar"/>
                    </w:rPr>
                    <w:t>二</w:t>
                  </w:r>
                  <w:r>
                    <w:rPr>
                      <w:rFonts w:hint="eastAsia" w:ascii="Times New Roman" w:hAnsi="Times New Roman" w:eastAsia="宋体" w:cs="Times New Roman"/>
                      <w:i w:val="0"/>
                      <w:iCs w:val="0"/>
                      <w:color w:val="FF0000"/>
                      <w:kern w:val="0"/>
                      <w:sz w:val="18"/>
                      <w:szCs w:val="18"/>
                      <w:highlight w:val="none"/>
                      <w:u w:val="none"/>
                      <w:lang w:val="en-US" w:eastAsia="zh-CN" w:bidi="ar"/>
                    </w:rPr>
                    <w:t>活性炭吸附</w:t>
                  </w:r>
                </w:p>
              </w:tc>
              <w:tc>
                <w:tcPr>
                  <w:tcW w:w="256" w:type="pct"/>
                  <w:tcBorders>
                    <w:tl2br w:val="nil"/>
                    <w:tr2bl w:val="nil"/>
                  </w:tcBorders>
                  <w:noWrap w:val="0"/>
                  <w:vAlign w:val="center"/>
                </w:tcPr>
                <w:p w14:paraId="3401BC3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i w:val="0"/>
                      <w:iCs w:val="0"/>
                      <w:color w:val="FF0000"/>
                      <w:kern w:val="0"/>
                      <w:sz w:val="18"/>
                      <w:szCs w:val="18"/>
                      <w:highlight w:val="none"/>
                      <w:u w:val="none"/>
                      <w:lang w:val="en-US" w:eastAsia="zh-CN" w:bidi="ar"/>
                    </w:rPr>
                    <w:t>/</w:t>
                  </w:r>
                </w:p>
              </w:tc>
              <w:tc>
                <w:tcPr>
                  <w:tcW w:w="217" w:type="pct"/>
                  <w:tcBorders>
                    <w:tl2br w:val="nil"/>
                    <w:tr2bl w:val="nil"/>
                  </w:tcBorders>
                  <w:noWrap w:val="0"/>
                  <w:vAlign w:val="center"/>
                </w:tcPr>
                <w:p w14:paraId="41E1620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0.065</w:t>
                  </w:r>
                </w:p>
              </w:tc>
              <w:tc>
                <w:tcPr>
                  <w:tcW w:w="275" w:type="pct"/>
                  <w:tcBorders>
                    <w:tl2br w:val="nil"/>
                    <w:tr2bl w:val="nil"/>
                  </w:tcBorders>
                  <w:noWrap w:val="0"/>
                  <w:vAlign w:val="center"/>
                </w:tcPr>
                <w:p w14:paraId="1C581C88">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0.312</w:t>
                  </w:r>
                </w:p>
              </w:tc>
              <w:tc>
                <w:tcPr>
                  <w:tcW w:w="334" w:type="pct"/>
                  <w:tcBorders>
                    <w:tl2br w:val="nil"/>
                    <w:tr2bl w:val="nil"/>
                  </w:tcBorders>
                  <w:noWrap w:val="0"/>
                  <w:vAlign w:val="center"/>
                </w:tcPr>
                <w:p w14:paraId="79BF793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52" w:type="pct"/>
                  <w:tcBorders>
                    <w:tl2br w:val="nil"/>
                    <w:tr2bl w:val="nil"/>
                  </w:tcBorders>
                  <w:noWrap w:val="0"/>
                  <w:vAlign w:val="center"/>
                </w:tcPr>
                <w:p w14:paraId="083DF4A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205" w:type="pct"/>
                  <w:tcBorders>
                    <w:tl2br w:val="nil"/>
                    <w:tr2bl w:val="nil"/>
                  </w:tcBorders>
                  <w:noWrap w:val="0"/>
                  <w:vAlign w:val="center"/>
                </w:tcPr>
                <w:p w14:paraId="3AEA9B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95" w:type="pct"/>
                  <w:tcBorders>
                    <w:tl2br w:val="nil"/>
                    <w:tr2bl w:val="nil"/>
                  </w:tcBorders>
                  <w:noWrap w:val="0"/>
                  <w:vAlign w:val="center"/>
                </w:tcPr>
                <w:p w14:paraId="000668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83" w:type="pct"/>
                  <w:tcBorders>
                    <w:tl2br w:val="nil"/>
                    <w:tr2bl w:val="nil"/>
                  </w:tcBorders>
                  <w:noWrap w:val="0"/>
                  <w:vAlign w:val="center"/>
                </w:tcPr>
                <w:p w14:paraId="4341EDB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320" w:type="pct"/>
                  <w:tcBorders>
                    <w:tl2br w:val="nil"/>
                    <w:tr2bl w:val="nil"/>
                  </w:tcBorders>
                  <w:noWrap w:val="0"/>
                  <w:vAlign w:val="center"/>
                </w:tcPr>
                <w:p w14:paraId="401A3EF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221" w:type="pct"/>
                  <w:tcBorders>
                    <w:tl2br w:val="nil"/>
                    <w:tr2bl w:val="nil"/>
                  </w:tcBorders>
                  <w:noWrap w:val="0"/>
                  <w:vAlign w:val="center"/>
                </w:tcPr>
                <w:p w14:paraId="5175CE0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2</w:t>
                  </w:r>
                  <w:r>
                    <w:rPr>
                      <w:rFonts w:hint="eastAsia" w:ascii="Times New Roman" w:hAnsi="Times New Roman" w:eastAsia="宋体" w:cs="Times New Roman"/>
                      <w:i w:val="0"/>
                      <w:iCs w:val="0"/>
                      <w:color w:val="FF0000"/>
                      <w:kern w:val="0"/>
                      <w:sz w:val="18"/>
                      <w:szCs w:val="18"/>
                      <w:highlight w:val="none"/>
                      <w:u w:val="none"/>
                      <w:lang w:val="en-US" w:eastAsia="zh-CN" w:bidi="ar"/>
                    </w:rPr>
                    <w:t>.0</w:t>
                  </w:r>
                </w:p>
              </w:tc>
              <w:tc>
                <w:tcPr>
                  <w:tcW w:w="185" w:type="pct"/>
                  <w:tcBorders>
                    <w:tl2br w:val="nil"/>
                    <w:tr2bl w:val="nil"/>
                  </w:tcBorders>
                  <w:noWrap w:val="0"/>
                  <w:vAlign w:val="center"/>
                </w:tcPr>
                <w:p w14:paraId="42AF524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r>
            <w:tr w14:paraId="3D01B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878" w:hRule="atLeast"/>
              </w:trPr>
              <w:tc>
                <w:tcPr>
                  <w:tcW w:w="148" w:type="pct"/>
                  <w:vMerge w:val="continue"/>
                  <w:tcBorders>
                    <w:tl2br w:val="nil"/>
                    <w:tr2bl w:val="nil"/>
                  </w:tcBorders>
                  <w:noWrap w:val="0"/>
                  <w:vAlign w:val="center"/>
                </w:tcPr>
                <w:p w14:paraId="69F59335">
                  <w:pPr>
                    <w:snapToGrid w:val="0"/>
                    <w:spacing w:line="240" w:lineRule="atLeast"/>
                    <w:jc w:val="center"/>
                    <w:rPr>
                      <w:rFonts w:hint="default" w:ascii="Times New Roman" w:hAnsi="Times New Roman" w:eastAsia="宋体" w:cs="Times New Roman"/>
                      <w:bCs/>
                      <w:color w:val="FF0000"/>
                      <w:sz w:val="18"/>
                      <w:szCs w:val="18"/>
                      <w:highlight w:val="none"/>
                      <w:lang w:val="en-US" w:eastAsia="zh-CN"/>
                    </w:rPr>
                  </w:pPr>
                </w:p>
              </w:tc>
              <w:tc>
                <w:tcPr>
                  <w:tcW w:w="179" w:type="pct"/>
                  <w:tcBorders>
                    <w:tl2br w:val="nil"/>
                    <w:tr2bl w:val="nil"/>
                  </w:tcBorders>
                  <w:noWrap w:val="0"/>
                  <w:vAlign w:val="center"/>
                </w:tcPr>
                <w:p w14:paraId="7436A660">
                  <w:pPr>
                    <w:widowControl/>
                    <w:snapToGrid/>
                    <w:spacing w:line="240" w:lineRule="auto"/>
                    <w:jc w:val="center"/>
                    <w:textAlignment w:val="center"/>
                    <w:rPr>
                      <w:rFonts w:hint="eastAsia" w:ascii="Times New Roman" w:hAnsi="Times New Roman" w:eastAsia="宋体" w:cs="Times New Roman"/>
                      <w:color w:val="FF0000"/>
                      <w:sz w:val="18"/>
                      <w:szCs w:val="18"/>
                      <w:highlight w:val="none"/>
                      <w:lang w:val="en-US" w:eastAsia="zh-CN"/>
                    </w:rPr>
                  </w:pPr>
                  <w:r>
                    <w:rPr>
                      <w:rFonts w:hint="eastAsia" w:ascii="宋体" w:hAnsi="宋体" w:eastAsia="宋体" w:cs="宋体"/>
                      <w:color w:val="FF0000"/>
                      <w:kern w:val="0"/>
                      <w:sz w:val="18"/>
                      <w:szCs w:val="18"/>
                      <w:highlight w:val="none"/>
                      <w:u w:val="none"/>
                      <w:lang w:val="en-US" w:eastAsia="zh-CN" w:bidi="ar"/>
                    </w:rPr>
                    <w:t>无组织</w:t>
                  </w:r>
                </w:p>
              </w:tc>
              <w:tc>
                <w:tcPr>
                  <w:tcW w:w="185" w:type="pct"/>
                  <w:tcBorders>
                    <w:tl2br w:val="nil"/>
                    <w:tr2bl w:val="nil"/>
                  </w:tcBorders>
                  <w:noWrap w:val="0"/>
                  <w:vAlign w:val="center"/>
                </w:tcPr>
                <w:p w14:paraId="1C61E7D8">
                  <w:pPr>
                    <w:keepNext w:val="0"/>
                    <w:keepLines w:val="0"/>
                    <w:widowControl/>
                    <w:suppressLineNumbers w:val="0"/>
                    <w:spacing w:line="240" w:lineRule="auto"/>
                    <w:jc w:val="center"/>
                    <w:textAlignment w:val="center"/>
                    <w:rPr>
                      <w:rFonts w:hint="eastAsia" w:ascii="宋体" w:hAnsi="宋体" w:eastAsia="宋体" w:cs="宋体"/>
                      <w:i w:val="0"/>
                      <w:iCs w:val="0"/>
                      <w:color w:val="FF0000"/>
                      <w:kern w:val="0"/>
                      <w:sz w:val="18"/>
                      <w:szCs w:val="18"/>
                      <w:highlight w:val="none"/>
                      <w:u w:val="none"/>
                      <w:lang w:val="en-US" w:eastAsia="zh-CN" w:bidi="ar"/>
                    </w:rPr>
                  </w:pPr>
                  <w:r>
                    <w:rPr>
                      <w:rFonts w:hint="eastAsia" w:ascii="宋体" w:hAnsi="宋体" w:eastAsia="宋体" w:cs="宋体"/>
                      <w:i w:val="0"/>
                      <w:iCs w:val="0"/>
                      <w:color w:val="FF0000"/>
                      <w:kern w:val="0"/>
                      <w:sz w:val="18"/>
                      <w:szCs w:val="18"/>
                      <w:highlight w:val="none"/>
                      <w:u w:val="none"/>
                      <w:lang w:val="en-US" w:eastAsia="zh-CN" w:bidi="ar"/>
                    </w:rPr>
                    <w:t>氨</w:t>
                  </w:r>
                </w:p>
              </w:tc>
              <w:tc>
                <w:tcPr>
                  <w:tcW w:w="232" w:type="pct"/>
                  <w:tcBorders>
                    <w:tl2br w:val="nil"/>
                    <w:tr2bl w:val="nil"/>
                  </w:tcBorders>
                  <w:noWrap w:val="0"/>
                  <w:vAlign w:val="center"/>
                </w:tcPr>
                <w:p w14:paraId="2D90550F">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i w:val="0"/>
                      <w:iCs w:val="0"/>
                      <w:color w:val="FF0000"/>
                      <w:kern w:val="0"/>
                      <w:sz w:val="18"/>
                      <w:szCs w:val="18"/>
                      <w:highlight w:val="none"/>
                      <w:u w:val="none"/>
                      <w:lang w:val="en-US" w:eastAsia="zh-CN" w:bidi="ar"/>
                    </w:rPr>
                    <w:t>/</w:t>
                  </w:r>
                </w:p>
              </w:tc>
              <w:tc>
                <w:tcPr>
                  <w:tcW w:w="201" w:type="pct"/>
                  <w:tcBorders>
                    <w:tl2br w:val="nil"/>
                    <w:tr2bl w:val="nil"/>
                  </w:tcBorders>
                  <w:noWrap w:val="0"/>
                  <w:vAlign w:val="center"/>
                </w:tcPr>
                <w:p w14:paraId="431419A1">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0.001</w:t>
                  </w:r>
                </w:p>
              </w:tc>
              <w:tc>
                <w:tcPr>
                  <w:tcW w:w="273" w:type="pct"/>
                  <w:tcBorders>
                    <w:tl2br w:val="nil"/>
                    <w:tr2bl w:val="nil"/>
                  </w:tcBorders>
                  <w:noWrap w:val="0"/>
                  <w:vAlign w:val="center"/>
                </w:tcPr>
                <w:p w14:paraId="114E797F">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0.005</w:t>
                  </w:r>
                </w:p>
              </w:tc>
              <w:tc>
                <w:tcPr>
                  <w:tcW w:w="238" w:type="pct"/>
                  <w:tcBorders>
                    <w:tl2br w:val="nil"/>
                    <w:tr2bl w:val="nil"/>
                  </w:tcBorders>
                  <w:noWrap w:val="0"/>
                  <w:vAlign w:val="center"/>
                </w:tcPr>
                <w:p w14:paraId="14EEE95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46" w:type="pct"/>
                  <w:tcBorders>
                    <w:tl2br w:val="nil"/>
                    <w:tr2bl w:val="nil"/>
                  </w:tcBorders>
                  <w:noWrap w:val="0"/>
                  <w:vAlign w:val="center"/>
                </w:tcPr>
                <w:p w14:paraId="24B8359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100</w:t>
                  </w:r>
                </w:p>
              </w:tc>
              <w:tc>
                <w:tcPr>
                  <w:tcW w:w="129" w:type="pct"/>
                  <w:tcBorders>
                    <w:tl2br w:val="nil"/>
                    <w:tr2bl w:val="nil"/>
                  </w:tcBorders>
                  <w:noWrap w:val="0"/>
                  <w:vAlign w:val="center"/>
                </w:tcPr>
                <w:p w14:paraId="4D9C110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51</w:t>
                  </w:r>
                </w:p>
              </w:tc>
              <w:tc>
                <w:tcPr>
                  <w:tcW w:w="262" w:type="pct"/>
                  <w:tcBorders>
                    <w:tl2br w:val="nil"/>
                    <w:tr2bl w:val="nil"/>
                  </w:tcBorders>
                  <w:noWrap w:val="0"/>
                  <w:vAlign w:val="center"/>
                </w:tcPr>
                <w:p w14:paraId="7E7665F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是</w:t>
                  </w:r>
                </w:p>
              </w:tc>
              <w:tc>
                <w:tcPr>
                  <w:tcW w:w="459" w:type="pct"/>
                  <w:vMerge w:val="continue"/>
                  <w:tcBorders>
                    <w:tl2br w:val="nil"/>
                    <w:tr2bl w:val="nil"/>
                  </w:tcBorders>
                  <w:noWrap w:val="0"/>
                  <w:vAlign w:val="center"/>
                </w:tcPr>
                <w:p w14:paraId="2E978DF9">
                  <w:pPr>
                    <w:rPr>
                      <w:rFonts w:hint="eastAsia"/>
                      <w:lang w:val="en-US" w:eastAsia="zh-CN"/>
                    </w:rPr>
                  </w:pPr>
                </w:p>
              </w:tc>
              <w:tc>
                <w:tcPr>
                  <w:tcW w:w="256" w:type="pct"/>
                  <w:tcBorders>
                    <w:tl2br w:val="nil"/>
                    <w:tr2bl w:val="nil"/>
                  </w:tcBorders>
                  <w:noWrap w:val="0"/>
                  <w:vAlign w:val="center"/>
                </w:tcPr>
                <w:p w14:paraId="16AE67C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i w:val="0"/>
                      <w:iCs w:val="0"/>
                      <w:color w:val="FF0000"/>
                      <w:kern w:val="0"/>
                      <w:sz w:val="18"/>
                      <w:szCs w:val="18"/>
                      <w:highlight w:val="none"/>
                      <w:u w:val="none"/>
                      <w:lang w:val="en-US" w:eastAsia="zh-CN" w:bidi="ar"/>
                    </w:rPr>
                    <w:t>/</w:t>
                  </w:r>
                </w:p>
              </w:tc>
              <w:tc>
                <w:tcPr>
                  <w:tcW w:w="217" w:type="pct"/>
                  <w:tcBorders>
                    <w:tl2br w:val="nil"/>
                    <w:tr2bl w:val="nil"/>
                  </w:tcBorders>
                  <w:noWrap w:val="0"/>
                  <w:vAlign w:val="center"/>
                </w:tcPr>
                <w:p w14:paraId="4E1ED934">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0.0005</w:t>
                  </w:r>
                </w:p>
              </w:tc>
              <w:tc>
                <w:tcPr>
                  <w:tcW w:w="275" w:type="pct"/>
                  <w:tcBorders>
                    <w:tl2br w:val="nil"/>
                    <w:tr2bl w:val="nil"/>
                  </w:tcBorders>
                  <w:noWrap w:val="0"/>
                  <w:vAlign w:val="center"/>
                </w:tcPr>
                <w:p w14:paraId="42A3DD53">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0.0025</w:t>
                  </w:r>
                </w:p>
              </w:tc>
              <w:tc>
                <w:tcPr>
                  <w:tcW w:w="334" w:type="pct"/>
                  <w:tcBorders>
                    <w:tl2br w:val="nil"/>
                    <w:tr2bl w:val="nil"/>
                  </w:tcBorders>
                  <w:noWrap w:val="0"/>
                  <w:vAlign w:val="center"/>
                </w:tcPr>
                <w:p w14:paraId="1CA5C1CB">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52" w:type="pct"/>
                  <w:tcBorders>
                    <w:tl2br w:val="nil"/>
                    <w:tr2bl w:val="nil"/>
                  </w:tcBorders>
                  <w:noWrap w:val="0"/>
                  <w:vAlign w:val="center"/>
                </w:tcPr>
                <w:p w14:paraId="282BB76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205" w:type="pct"/>
                  <w:tcBorders>
                    <w:tl2br w:val="nil"/>
                    <w:tr2bl w:val="nil"/>
                  </w:tcBorders>
                  <w:noWrap w:val="0"/>
                  <w:vAlign w:val="center"/>
                </w:tcPr>
                <w:p w14:paraId="328DE0F5">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95" w:type="pct"/>
                  <w:tcBorders>
                    <w:tl2br w:val="nil"/>
                    <w:tr2bl w:val="nil"/>
                  </w:tcBorders>
                  <w:noWrap w:val="0"/>
                  <w:vAlign w:val="center"/>
                </w:tcPr>
                <w:p w14:paraId="0350F0B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83" w:type="pct"/>
                  <w:tcBorders>
                    <w:tl2br w:val="nil"/>
                    <w:tr2bl w:val="nil"/>
                  </w:tcBorders>
                  <w:noWrap w:val="0"/>
                  <w:vAlign w:val="center"/>
                </w:tcPr>
                <w:p w14:paraId="43076365">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320" w:type="pct"/>
                  <w:tcBorders>
                    <w:tl2br w:val="nil"/>
                    <w:tr2bl w:val="nil"/>
                  </w:tcBorders>
                  <w:noWrap w:val="0"/>
                  <w:vAlign w:val="center"/>
                </w:tcPr>
                <w:p w14:paraId="1517EA31">
                  <w:pPr>
                    <w:keepNext w:val="0"/>
                    <w:keepLines w:val="0"/>
                    <w:widowControl/>
                    <w:suppressLineNumbers w:val="0"/>
                    <w:spacing w:line="240" w:lineRule="auto"/>
                    <w:jc w:val="center"/>
                    <w:textAlignment w:val="center"/>
                    <w:rPr>
                      <w:rFonts w:ascii="Times New Roman" w:hAnsi="Times New Roman" w:eastAsia="宋体" w:cs="Times New Roman"/>
                      <w:bCs/>
                      <w:color w:val="FF0000"/>
                      <w:sz w:val="18"/>
                      <w:szCs w:val="18"/>
                      <w:highlight w:val="none"/>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221" w:type="pct"/>
                  <w:tcBorders>
                    <w:tl2br w:val="nil"/>
                    <w:tr2bl w:val="nil"/>
                  </w:tcBorders>
                  <w:noWrap w:val="0"/>
                  <w:vAlign w:val="center"/>
                </w:tcPr>
                <w:p w14:paraId="2072A0C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1.5</w:t>
                  </w:r>
                </w:p>
              </w:tc>
              <w:tc>
                <w:tcPr>
                  <w:tcW w:w="185" w:type="pct"/>
                  <w:tcBorders>
                    <w:tl2br w:val="nil"/>
                    <w:tr2bl w:val="nil"/>
                  </w:tcBorders>
                  <w:noWrap w:val="0"/>
                  <w:vAlign w:val="center"/>
                </w:tcPr>
                <w:p w14:paraId="4D796BB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r>
            <w:tr w14:paraId="1F461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78" w:hRule="atLeast"/>
              </w:trPr>
              <w:tc>
                <w:tcPr>
                  <w:tcW w:w="148" w:type="pct"/>
                  <w:tcBorders>
                    <w:tl2br w:val="nil"/>
                    <w:tr2bl w:val="nil"/>
                  </w:tcBorders>
                  <w:noWrap w:val="0"/>
                  <w:vAlign w:val="center"/>
                </w:tcPr>
                <w:p w14:paraId="4DEF8801">
                  <w:pPr>
                    <w:widowControl/>
                    <w:snapToGrid/>
                    <w:spacing w:line="240" w:lineRule="auto"/>
                    <w:jc w:val="center"/>
                    <w:textAlignment w:val="center"/>
                    <w:rPr>
                      <w:rFonts w:hint="eastAsia" w:ascii="Times New Roman" w:hAnsi="Times New Roman" w:eastAsia="宋体" w:cs="Times New Roman"/>
                      <w:bCs/>
                      <w:color w:val="FF0000"/>
                      <w:sz w:val="18"/>
                      <w:szCs w:val="18"/>
                      <w:highlight w:val="none"/>
                      <w:lang w:val="en-US" w:eastAsia="zh-CN"/>
                    </w:rPr>
                  </w:pPr>
                  <w:r>
                    <w:rPr>
                      <w:rFonts w:hint="eastAsia" w:ascii="宋体" w:hAnsi="宋体" w:eastAsia="宋体" w:cs="宋体"/>
                      <w:b w:val="0"/>
                      <w:bCs w:val="0"/>
                      <w:snapToGrid/>
                      <w:color w:val="FF0000"/>
                      <w:kern w:val="0"/>
                      <w:sz w:val="18"/>
                      <w:szCs w:val="18"/>
                      <w:highlight w:val="none"/>
                      <w:u w:val="none"/>
                      <w:lang w:val="en-US" w:eastAsia="zh-CN" w:bidi="ar"/>
                    </w:rPr>
                    <w:t>二车间废气</w:t>
                  </w:r>
                </w:p>
              </w:tc>
              <w:tc>
                <w:tcPr>
                  <w:tcW w:w="179" w:type="pct"/>
                  <w:tcBorders>
                    <w:tl2br w:val="nil"/>
                    <w:tr2bl w:val="nil"/>
                  </w:tcBorders>
                  <w:noWrap w:val="0"/>
                  <w:vAlign w:val="center"/>
                </w:tcPr>
                <w:p w14:paraId="284420A3">
                  <w:pPr>
                    <w:widowControl/>
                    <w:snapToGrid/>
                    <w:spacing w:line="240" w:lineRule="auto"/>
                    <w:jc w:val="center"/>
                    <w:textAlignment w:val="center"/>
                    <w:rPr>
                      <w:rFonts w:hint="eastAsia" w:ascii="宋体" w:hAnsi="宋体" w:eastAsia="宋体" w:cs="宋体"/>
                      <w:color w:val="FF0000"/>
                      <w:kern w:val="0"/>
                      <w:sz w:val="18"/>
                      <w:szCs w:val="18"/>
                      <w:highlight w:val="none"/>
                      <w:u w:val="none"/>
                      <w:lang w:val="en-US" w:eastAsia="zh-CN" w:bidi="ar"/>
                    </w:rPr>
                  </w:pPr>
                  <w:r>
                    <w:rPr>
                      <w:rFonts w:hint="eastAsia" w:ascii="宋体" w:hAnsi="宋体" w:eastAsia="宋体" w:cs="宋体"/>
                      <w:color w:val="FF0000"/>
                      <w:kern w:val="0"/>
                      <w:sz w:val="18"/>
                      <w:szCs w:val="18"/>
                      <w:highlight w:val="none"/>
                      <w:u w:val="none"/>
                      <w:lang w:val="en-US" w:eastAsia="zh-CN" w:bidi="ar"/>
                    </w:rPr>
                    <w:t>无组织</w:t>
                  </w:r>
                </w:p>
              </w:tc>
              <w:tc>
                <w:tcPr>
                  <w:tcW w:w="185" w:type="pct"/>
                  <w:tcBorders>
                    <w:tl2br w:val="nil"/>
                    <w:tr2bl w:val="nil"/>
                  </w:tcBorders>
                  <w:noWrap w:val="0"/>
                  <w:vAlign w:val="center"/>
                </w:tcPr>
                <w:p w14:paraId="15A37810">
                  <w:pPr>
                    <w:keepNext w:val="0"/>
                    <w:keepLines w:val="0"/>
                    <w:widowControl/>
                    <w:suppressLineNumbers w:val="0"/>
                    <w:spacing w:line="240" w:lineRule="auto"/>
                    <w:jc w:val="center"/>
                    <w:textAlignment w:val="center"/>
                    <w:rPr>
                      <w:rFonts w:hint="eastAsia" w:ascii="宋体" w:hAnsi="宋体" w:eastAsia="宋体" w:cs="宋体"/>
                      <w:i w:val="0"/>
                      <w:iCs w:val="0"/>
                      <w:color w:val="FF0000"/>
                      <w:kern w:val="0"/>
                      <w:sz w:val="18"/>
                      <w:szCs w:val="18"/>
                      <w:highlight w:val="none"/>
                      <w:u w:val="none"/>
                      <w:lang w:val="en-US" w:eastAsia="zh-CN" w:bidi="ar"/>
                    </w:rPr>
                  </w:pPr>
                  <w:r>
                    <w:rPr>
                      <w:rFonts w:hint="eastAsia" w:ascii="宋体" w:hAnsi="宋体" w:eastAsia="宋体" w:cs="宋体"/>
                      <w:i w:val="0"/>
                      <w:iCs w:val="0"/>
                      <w:color w:val="FF0000"/>
                      <w:kern w:val="0"/>
                      <w:sz w:val="18"/>
                      <w:szCs w:val="18"/>
                      <w:highlight w:val="none"/>
                      <w:u w:val="none"/>
                      <w:lang w:val="en-US" w:eastAsia="zh-CN" w:bidi="ar"/>
                    </w:rPr>
                    <w:t>非甲烷总烃</w:t>
                  </w:r>
                </w:p>
              </w:tc>
              <w:tc>
                <w:tcPr>
                  <w:tcW w:w="232" w:type="pct"/>
                  <w:tcBorders>
                    <w:tl2br w:val="nil"/>
                    <w:tr2bl w:val="nil"/>
                  </w:tcBorders>
                  <w:noWrap w:val="0"/>
                  <w:vAlign w:val="center"/>
                </w:tcPr>
                <w:p w14:paraId="1695D9F7">
                  <w:pPr>
                    <w:keepNext w:val="0"/>
                    <w:keepLines w:val="0"/>
                    <w:widowControl/>
                    <w:suppressLineNumbers w:val="0"/>
                    <w:jc w:val="center"/>
                    <w:textAlignment w:val="center"/>
                    <w:rPr>
                      <w:rFonts w:hint="eastAsia" w:ascii="Times New Roman" w:hAnsi="Times New Roman" w:eastAsia="宋体" w:cs="Times New Roman"/>
                      <w:b w:val="0"/>
                      <w:bCs w:val="0"/>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i w:val="0"/>
                      <w:iCs w:val="0"/>
                      <w:color w:val="FF0000"/>
                      <w:kern w:val="0"/>
                      <w:sz w:val="18"/>
                      <w:szCs w:val="18"/>
                      <w:highlight w:val="none"/>
                      <w:u w:val="none"/>
                      <w:lang w:val="en-US" w:eastAsia="zh-CN" w:bidi="ar"/>
                    </w:rPr>
                    <w:t>/</w:t>
                  </w:r>
                </w:p>
              </w:tc>
              <w:tc>
                <w:tcPr>
                  <w:tcW w:w="201" w:type="pct"/>
                  <w:tcBorders>
                    <w:tl2br w:val="nil"/>
                    <w:tr2bl w:val="nil"/>
                  </w:tcBorders>
                  <w:noWrap w:val="0"/>
                  <w:vAlign w:val="center"/>
                </w:tcPr>
                <w:p w14:paraId="2F99C5D7">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0.005</w:t>
                  </w:r>
                </w:p>
              </w:tc>
              <w:tc>
                <w:tcPr>
                  <w:tcW w:w="273" w:type="pct"/>
                  <w:tcBorders>
                    <w:tl2br w:val="nil"/>
                    <w:tr2bl w:val="nil"/>
                  </w:tcBorders>
                  <w:noWrap w:val="0"/>
                  <w:vAlign w:val="center"/>
                </w:tcPr>
                <w:p w14:paraId="7FEBD84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0.022</w:t>
                  </w:r>
                </w:p>
              </w:tc>
              <w:tc>
                <w:tcPr>
                  <w:tcW w:w="238" w:type="pct"/>
                  <w:tcBorders>
                    <w:tl2br w:val="nil"/>
                    <w:tr2bl w:val="nil"/>
                  </w:tcBorders>
                  <w:noWrap w:val="0"/>
                  <w:vAlign w:val="center"/>
                </w:tcPr>
                <w:p w14:paraId="696E9FB4">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46" w:type="pct"/>
                  <w:tcBorders>
                    <w:tl2br w:val="nil"/>
                    <w:tr2bl w:val="nil"/>
                  </w:tcBorders>
                  <w:noWrap w:val="0"/>
                  <w:vAlign w:val="center"/>
                </w:tcPr>
                <w:p w14:paraId="3FE77798">
                  <w:pPr>
                    <w:keepNext w:val="0"/>
                    <w:keepLines w:val="0"/>
                    <w:widowControl/>
                    <w:suppressLineNumbers w:val="0"/>
                    <w:spacing w:line="240" w:lineRule="auto"/>
                    <w:jc w:val="center"/>
                    <w:textAlignment w:val="center"/>
                    <w:rPr>
                      <w:rFonts w:hint="eastAsia"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100</w:t>
                  </w:r>
                </w:p>
              </w:tc>
              <w:tc>
                <w:tcPr>
                  <w:tcW w:w="129" w:type="pct"/>
                  <w:tcBorders>
                    <w:tl2br w:val="nil"/>
                    <w:tr2bl w:val="nil"/>
                  </w:tcBorders>
                  <w:noWrap w:val="0"/>
                  <w:vAlign w:val="center"/>
                </w:tcPr>
                <w:p w14:paraId="65961369">
                  <w:pPr>
                    <w:keepNext w:val="0"/>
                    <w:keepLines w:val="0"/>
                    <w:widowControl/>
                    <w:suppressLineNumbers w:val="0"/>
                    <w:spacing w:line="240" w:lineRule="auto"/>
                    <w:jc w:val="center"/>
                    <w:textAlignment w:val="center"/>
                    <w:rPr>
                      <w:rFonts w:hint="eastAsia"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51</w:t>
                  </w:r>
                </w:p>
              </w:tc>
              <w:tc>
                <w:tcPr>
                  <w:tcW w:w="262" w:type="pct"/>
                  <w:tcBorders>
                    <w:tl2br w:val="nil"/>
                    <w:tr2bl w:val="nil"/>
                  </w:tcBorders>
                  <w:noWrap w:val="0"/>
                  <w:vAlign w:val="center"/>
                </w:tcPr>
                <w:p w14:paraId="3964BC1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是</w:t>
                  </w:r>
                </w:p>
              </w:tc>
              <w:tc>
                <w:tcPr>
                  <w:tcW w:w="459" w:type="pct"/>
                  <w:tcBorders>
                    <w:tl2br w:val="nil"/>
                    <w:tr2bl w:val="nil"/>
                  </w:tcBorders>
                  <w:noWrap w:val="0"/>
                  <w:vAlign w:val="center"/>
                </w:tcPr>
                <w:p w14:paraId="3DCBB941">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snapToGrid/>
                      <w:color w:val="FF0000"/>
                      <w:kern w:val="0"/>
                      <w:sz w:val="18"/>
                      <w:szCs w:val="18"/>
                      <w:highlight w:val="none"/>
                      <w:u w:val="none"/>
                      <w:lang w:val="en-US" w:eastAsia="zh-CN" w:bidi="ar"/>
                    </w:rPr>
                  </w:pPr>
                  <w:r>
                    <w:rPr>
                      <w:rFonts w:hint="eastAsia" w:ascii="Times New Roman" w:hAnsi="Times New Roman" w:eastAsia="宋体" w:cs="Times New Roman"/>
                      <w:b w:val="0"/>
                      <w:bCs w:val="0"/>
                      <w:snapToGrid/>
                      <w:color w:val="FF0000"/>
                      <w:kern w:val="0"/>
                      <w:sz w:val="18"/>
                      <w:szCs w:val="18"/>
                      <w:highlight w:val="none"/>
                      <w:u w:val="none"/>
                      <w:lang w:val="en-US" w:eastAsia="zh-CN" w:bidi="ar"/>
                    </w:rPr>
                    <w:t>车间空气净化系统</w:t>
                  </w:r>
                  <w:r>
                    <w:rPr>
                      <w:rFonts w:hint="eastAsia" w:ascii="Times New Roman" w:hAnsi="Times New Roman" w:eastAsia="宋体" w:cs="Times New Roman"/>
                      <w:i w:val="0"/>
                      <w:iCs w:val="0"/>
                      <w:color w:val="FF0000"/>
                      <w:kern w:val="0"/>
                      <w:sz w:val="18"/>
                      <w:szCs w:val="18"/>
                      <w:highlight w:val="none"/>
                      <w:u w:val="none"/>
                      <w:lang w:val="en-US" w:eastAsia="zh-CN" w:bidi="ar"/>
                    </w:rPr>
                    <w:t>+</w:t>
                  </w:r>
                  <w:r>
                    <w:rPr>
                      <w:rFonts w:hint="eastAsia" w:cs="Times New Roman"/>
                      <w:i w:val="0"/>
                      <w:iCs w:val="0"/>
                      <w:color w:val="FF0000"/>
                      <w:kern w:val="0"/>
                      <w:sz w:val="18"/>
                      <w:szCs w:val="18"/>
                      <w:highlight w:val="none"/>
                      <w:u w:val="none"/>
                      <w:lang w:val="en-US" w:eastAsia="zh-CN" w:bidi="ar"/>
                    </w:rPr>
                    <w:t>二</w:t>
                  </w:r>
                  <w:r>
                    <w:rPr>
                      <w:rFonts w:hint="eastAsia" w:ascii="Times New Roman" w:hAnsi="Times New Roman" w:eastAsia="宋体" w:cs="Times New Roman"/>
                      <w:i w:val="0"/>
                      <w:iCs w:val="0"/>
                      <w:color w:val="FF0000"/>
                      <w:kern w:val="0"/>
                      <w:sz w:val="18"/>
                      <w:szCs w:val="18"/>
                      <w:highlight w:val="none"/>
                      <w:u w:val="none"/>
                      <w:lang w:val="en-US" w:eastAsia="zh-CN" w:bidi="ar"/>
                    </w:rPr>
                    <w:t>活性炭吸附</w:t>
                  </w:r>
                </w:p>
              </w:tc>
              <w:tc>
                <w:tcPr>
                  <w:tcW w:w="256" w:type="pct"/>
                  <w:tcBorders>
                    <w:tl2br w:val="nil"/>
                    <w:tr2bl w:val="nil"/>
                  </w:tcBorders>
                  <w:noWrap w:val="0"/>
                  <w:vAlign w:val="center"/>
                </w:tcPr>
                <w:p w14:paraId="61CF3617">
                  <w:pPr>
                    <w:keepNext w:val="0"/>
                    <w:keepLines w:val="0"/>
                    <w:widowControl/>
                    <w:suppressLineNumbers w:val="0"/>
                    <w:spacing w:line="240" w:lineRule="auto"/>
                    <w:jc w:val="center"/>
                    <w:textAlignment w:val="center"/>
                    <w:rPr>
                      <w:rFonts w:hint="eastAsia" w:ascii="Times New Roman" w:hAnsi="Times New Roman" w:eastAsia="宋体" w:cs="Times New Roman"/>
                      <w:b w:val="0"/>
                      <w:bCs w:val="0"/>
                      <w:i w:val="0"/>
                      <w:iCs w:val="0"/>
                      <w:color w:val="FF0000"/>
                      <w:kern w:val="0"/>
                      <w:sz w:val="18"/>
                      <w:szCs w:val="18"/>
                      <w:highlight w:val="none"/>
                      <w:u w:val="none"/>
                      <w:lang w:val="en-US" w:eastAsia="zh-CN" w:bidi="ar"/>
                    </w:rPr>
                  </w:pPr>
                  <w:r>
                    <w:rPr>
                      <w:rFonts w:hint="eastAsia" w:ascii="Times New Roman" w:hAnsi="Times New Roman" w:eastAsia="宋体" w:cs="Times New Roman"/>
                      <w:b w:val="0"/>
                      <w:bCs w:val="0"/>
                      <w:i w:val="0"/>
                      <w:iCs w:val="0"/>
                      <w:color w:val="FF0000"/>
                      <w:kern w:val="0"/>
                      <w:sz w:val="18"/>
                      <w:szCs w:val="18"/>
                      <w:highlight w:val="none"/>
                      <w:u w:val="none"/>
                      <w:lang w:val="en-US" w:eastAsia="zh-CN" w:bidi="ar"/>
                    </w:rPr>
                    <w:t>/</w:t>
                  </w:r>
                </w:p>
              </w:tc>
              <w:tc>
                <w:tcPr>
                  <w:tcW w:w="217" w:type="pct"/>
                  <w:tcBorders>
                    <w:tl2br w:val="nil"/>
                    <w:tr2bl w:val="nil"/>
                  </w:tcBorders>
                  <w:noWrap w:val="0"/>
                  <w:vAlign w:val="center"/>
                </w:tcPr>
                <w:p w14:paraId="24DF1727">
                  <w:pPr>
                    <w:keepNext w:val="0"/>
                    <w:keepLines w:val="0"/>
                    <w:widowControl/>
                    <w:suppressLineNumbers w:val="0"/>
                    <w:jc w:val="center"/>
                    <w:textAlignment w:val="center"/>
                    <w:rPr>
                      <w:rFonts w:hint="default"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0.002</w:t>
                  </w:r>
                </w:p>
              </w:tc>
              <w:tc>
                <w:tcPr>
                  <w:tcW w:w="275" w:type="pct"/>
                  <w:tcBorders>
                    <w:tl2br w:val="nil"/>
                    <w:tr2bl w:val="nil"/>
                  </w:tcBorders>
                  <w:noWrap w:val="0"/>
                  <w:vAlign w:val="center"/>
                </w:tcPr>
                <w:p w14:paraId="6679AF0D">
                  <w:pPr>
                    <w:keepNext w:val="0"/>
                    <w:keepLines w:val="0"/>
                    <w:widowControl/>
                    <w:suppressLineNumbers w:val="0"/>
                    <w:jc w:val="center"/>
                    <w:textAlignment w:val="center"/>
                    <w:rPr>
                      <w:rFonts w:hint="default"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0.011</w:t>
                  </w:r>
                </w:p>
              </w:tc>
              <w:tc>
                <w:tcPr>
                  <w:tcW w:w="334" w:type="pct"/>
                  <w:tcBorders>
                    <w:tl2br w:val="nil"/>
                    <w:tr2bl w:val="nil"/>
                  </w:tcBorders>
                  <w:noWrap w:val="0"/>
                  <w:vAlign w:val="center"/>
                </w:tcPr>
                <w:p w14:paraId="333B5D03">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52" w:type="pct"/>
                  <w:tcBorders>
                    <w:tl2br w:val="nil"/>
                    <w:tr2bl w:val="nil"/>
                  </w:tcBorders>
                  <w:noWrap w:val="0"/>
                  <w:vAlign w:val="center"/>
                </w:tcPr>
                <w:p w14:paraId="13438F0D">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205" w:type="pct"/>
                  <w:tcBorders>
                    <w:tl2br w:val="nil"/>
                    <w:tr2bl w:val="nil"/>
                  </w:tcBorders>
                  <w:noWrap w:val="0"/>
                  <w:vAlign w:val="center"/>
                </w:tcPr>
                <w:p w14:paraId="45329CFC">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95" w:type="pct"/>
                  <w:tcBorders>
                    <w:tl2br w:val="nil"/>
                    <w:tr2bl w:val="nil"/>
                  </w:tcBorders>
                  <w:noWrap w:val="0"/>
                  <w:vAlign w:val="center"/>
                </w:tcPr>
                <w:p w14:paraId="4925D9CF">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183" w:type="pct"/>
                  <w:tcBorders>
                    <w:tl2br w:val="nil"/>
                    <w:tr2bl w:val="nil"/>
                  </w:tcBorders>
                  <w:noWrap w:val="0"/>
                  <w:vAlign w:val="center"/>
                </w:tcPr>
                <w:p w14:paraId="113347CA">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320" w:type="pct"/>
                  <w:tcBorders>
                    <w:tl2br w:val="nil"/>
                    <w:tr2bl w:val="nil"/>
                  </w:tcBorders>
                  <w:noWrap w:val="0"/>
                  <w:vAlign w:val="center"/>
                </w:tcPr>
                <w:p w14:paraId="64E21028">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c>
                <w:tcPr>
                  <w:tcW w:w="221" w:type="pct"/>
                  <w:tcBorders>
                    <w:tl2br w:val="nil"/>
                    <w:tr2bl w:val="nil"/>
                  </w:tcBorders>
                  <w:noWrap w:val="0"/>
                  <w:vAlign w:val="center"/>
                </w:tcPr>
                <w:p w14:paraId="0C0D7C69">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cs="Times New Roman"/>
                      <w:i w:val="0"/>
                      <w:iCs w:val="0"/>
                      <w:color w:val="FF0000"/>
                      <w:kern w:val="0"/>
                      <w:sz w:val="18"/>
                      <w:szCs w:val="18"/>
                      <w:highlight w:val="none"/>
                      <w:u w:val="none"/>
                      <w:lang w:val="en-US" w:eastAsia="zh-CN" w:bidi="ar"/>
                    </w:rPr>
                    <w:t>2</w:t>
                  </w:r>
                  <w:r>
                    <w:rPr>
                      <w:rFonts w:hint="eastAsia" w:ascii="Times New Roman" w:hAnsi="Times New Roman" w:eastAsia="宋体" w:cs="Times New Roman"/>
                      <w:i w:val="0"/>
                      <w:iCs w:val="0"/>
                      <w:color w:val="FF0000"/>
                      <w:kern w:val="0"/>
                      <w:sz w:val="18"/>
                      <w:szCs w:val="18"/>
                      <w:highlight w:val="none"/>
                      <w:u w:val="none"/>
                      <w:lang w:val="en-US" w:eastAsia="zh-CN" w:bidi="ar"/>
                    </w:rPr>
                    <w:t>.0</w:t>
                  </w:r>
                </w:p>
              </w:tc>
              <w:tc>
                <w:tcPr>
                  <w:tcW w:w="185" w:type="pct"/>
                  <w:tcBorders>
                    <w:tl2br w:val="nil"/>
                    <w:tr2bl w:val="nil"/>
                  </w:tcBorders>
                  <w:noWrap w:val="0"/>
                  <w:vAlign w:val="center"/>
                </w:tcPr>
                <w:p w14:paraId="40D2061E">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FF0000"/>
                      <w:kern w:val="0"/>
                      <w:sz w:val="18"/>
                      <w:szCs w:val="18"/>
                      <w:highlight w:val="none"/>
                      <w:u w:val="none"/>
                      <w:lang w:val="en-US" w:eastAsia="zh-CN" w:bidi="ar"/>
                    </w:rPr>
                  </w:pPr>
                  <w:r>
                    <w:rPr>
                      <w:rFonts w:hint="eastAsia" w:ascii="Times New Roman" w:hAnsi="Times New Roman" w:eastAsia="宋体" w:cs="Times New Roman"/>
                      <w:i w:val="0"/>
                      <w:iCs w:val="0"/>
                      <w:color w:val="FF0000"/>
                      <w:kern w:val="0"/>
                      <w:sz w:val="18"/>
                      <w:szCs w:val="18"/>
                      <w:highlight w:val="none"/>
                      <w:u w:val="none"/>
                      <w:lang w:val="en-US" w:eastAsia="zh-CN" w:bidi="ar"/>
                    </w:rPr>
                    <w:t>/</w:t>
                  </w:r>
                </w:p>
              </w:tc>
            </w:tr>
          </w:tbl>
          <w:p w14:paraId="313DB6D1">
            <w:pPr>
              <w:pStyle w:val="20"/>
              <w:jc w:val="center"/>
              <w:outlineLvl w:val="0"/>
              <w:rPr>
                <w:rFonts w:hint="eastAsia" w:ascii="黑体" w:hAnsi="黑体" w:eastAsia="黑体"/>
                <w:snapToGrid w:val="0"/>
                <w:color w:val="auto"/>
                <w:sz w:val="30"/>
                <w:szCs w:val="30"/>
                <w:vertAlign w:val="baseline"/>
              </w:rPr>
            </w:pPr>
          </w:p>
        </w:tc>
      </w:tr>
    </w:tbl>
    <w:p w14:paraId="14A9142F">
      <w:pPr>
        <w:pStyle w:val="20"/>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eastAsia" w:ascii="黑体" w:hAnsi="黑体" w:eastAsia="黑体"/>
          <w:snapToGrid w:val="0"/>
          <w:color w:val="auto"/>
          <w:sz w:val="30"/>
          <w:szCs w:val="30"/>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p w14:paraId="6B90A5CA">
      <w:pPr>
        <w:pStyle w:val="20"/>
        <w:jc w:val="center"/>
        <w:outlineLvl w:val="9"/>
        <w:rPr>
          <w:rFonts w:hint="eastAsia" w:ascii="黑体" w:hAnsi="黑体" w:eastAsia="黑体"/>
          <w:snapToGrid w:val="0"/>
          <w:color w:val="auto"/>
          <w:sz w:val="30"/>
          <w:szCs w:val="30"/>
        </w:rPr>
      </w:pPr>
    </w:p>
    <w:tbl>
      <w:tblPr>
        <w:tblStyle w:val="24"/>
        <w:tblW w:w="919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766"/>
      </w:tblGrid>
      <w:tr w14:paraId="313871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27" w:hRule="atLeast"/>
          <w:jc w:val="center"/>
        </w:trPr>
        <w:tc>
          <w:tcPr>
            <w:tcW w:w="515" w:type="dxa"/>
            <w:noWrap w:val="0"/>
            <w:tcMar>
              <w:left w:w="28" w:type="dxa"/>
              <w:right w:w="28" w:type="dxa"/>
            </w:tcMar>
            <w:vAlign w:val="center"/>
          </w:tcPr>
          <w:p w14:paraId="6645EBC9">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7653563A">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188E1345">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34774DC5">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19402DB8">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627310C9">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676" w:type="dxa"/>
            <w:noWrap w:val="0"/>
            <w:vAlign w:val="top"/>
          </w:tcPr>
          <w:p w14:paraId="4235A74E">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color w:val="auto"/>
                <w:sz w:val="24"/>
                <w:szCs w:val="21"/>
                <w:highlight w:val="none"/>
                <w:lang w:val="en-US" w:eastAsia="zh-CN" w:bidi="zh-CN"/>
              </w:rPr>
            </w:pPr>
            <w:r>
              <w:rPr>
                <w:rFonts w:hint="eastAsia" w:cs="宋体"/>
                <w:b w:val="0"/>
                <w:bCs w:val="0"/>
                <w:color w:val="auto"/>
                <w:sz w:val="24"/>
                <w:szCs w:val="21"/>
                <w:highlight w:val="none"/>
                <w:lang w:val="en-US" w:eastAsia="zh-CN" w:bidi="zh-CN"/>
              </w:rPr>
              <w:t>3</w:t>
            </w:r>
            <w:r>
              <w:rPr>
                <w:rFonts w:hint="eastAsia" w:ascii="Times New Roman" w:hAnsi="Times New Roman" w:eastAsia="宋体" w:cs="宋体"/>
                <w:b w:val="0"/>
                <w:bCs w:val="0"/>
                <w:color w:val="auto"/>
                <w:sz w:val="24"/>
                <w:szCs w:val="21"/>
                <w:highlight w:val="none"/>
                <w:lang w:val="en-US" w:eastAsia="zh-CN" w:bidi="zh-CN"/>
              </w:rPr>
              <w:t>、无组织废气防治措施</w:t>
            </w:r>
          </w:p>
          <w:p w14:paraId="690D2D9F">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color w:val="auto"/>
                <w:sz w:val="24"/>
                <w:szCs w:val="21"/>
                <w:highlight w:val="none"/>
                <w:lang w:val="en-US" w:eastAsia="zh-CN" w:bidi="zh-CN"/>
              </w:rPr>
            </w:pPr>
            <w:r>
              <w:rPr>
                <w:rFonts w:hint="eastAsia" w:ascii="Times New Roman" w:hAnsi="Times New Roman" w:eastAsia="宋体" w:cs="宋体"/>
                <w:b w:val="0"/>
                <w:bCs w:val="0"/>
                <w:color w:val="auto"/>
                <w:sz w:val="24"/>
                <w:szCs w:val="21"/>
                <w:highlight w:val="none"/>
                <w:lang w:val="en-US" w:eastAsia="zh-CN" w:bidi="zh-CN"/>
              </w:rPr>
              <w:t>本项目无组织排放废气主要为车间未收集的有机废气和颗粒物，针对以上废气本次评价提出以下防治措施：</w:t>
            </w:r>
          </w:p>
          <w:p w14:paraId="37CAEE53">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color w:val="auto"/>
                <w:sz w:val="24"/>
                <w:szCs w:val="21"/>
                <w:highlight w:val="none"/>
                <w:lang w:val="en-US" w:eastAsia="zh-CN" w:bidi="zh-CN"/>
              </w:rPr>
            </w:pPr>
            <w:r>
              <w:rPr>
                <w:rFonts w:hint="eastAsia" w:ascii="Times New Roman" w:hAnsi="Times New Roman" w:eastAsia="宋体" w:cs="宋体"/>
                <w:b w:val="0"/>
                <w:bCs w:val="0"/>
                <w:color w:val="auto"/>
                <w:sz w:val="24"/>
                <w:szCs w:val="21"/>
                <w:highlight w:val="none"/>
                <w:lang w:val="en-US" w:eastAsia="zh-CN" w:bidi="zh-CN"/>
              </w:rPr>
              <w:t>1）加强清理车间通风和空气流通，做好员工防护工作，配备必要的防护装备（如口罩、手套等）；</w:t>
            </w:r>
          </w:p>
          <w:p w14:paraId="5164EA89">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color w:val="auto"/>
                <w:sz w:val="24"/>
                <w:szCs w:val="21"/>
                <w:highlight w:val="none"/>
                <w:lang w:val="en-US" w:eastAsia="zh-CN" w:bidi="zh-CN"/>
              </w:rPr>
            </w:pPr>
            <w:r>
              <w:rPr>
                <w:rFonts w:hint="eastAsia" w:ascii="Times New Roman" w:hAnsi="Times New Roman" w:eastAsia="宋体" w:cs="宋体"/>
                <w:b w:val="0"/>
                <w:bCs w:val="0"/>
                <w:color w:val="auto"/>
                <w:sz w:val="24"/>
                <w:szCs w:val="21"/>
                <w:highlight w:val="none"/>
                <w:lang w:val="en-US" w:eastAsia="zh-CN" w:bidi="zh-CN"/>
              </w:rPr>
              <w:t>2）加强生产车间通风和空气流通，生产车间的无组织废气采用车间整体换气、提高废气收集效率等方式处理；</w:t>
            </w:r>
          </w:p>
          <w:p w14:paraId="331EE068">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color w:val="auto"/>
                <w:sz w:val="24"/>
                <w:szCs w:val="21"/>
                <w:highlight w:val="none"/>
                <w:lang w:val="en-US" w:eastAsia="zh-CN" w:bidi="zh-CN"/>
              </w:rPr>
            </w:pPr>
            <w:r>
              <w:rPr>
                <w:rFonts w:hint="eastAsia" w:ascii="Times New Roman" w:hAnsi="Times New Roman" w:eastAsia="宋体" w:cs="宋体"/>
                <w:b w:val="0"/>
                <w:bCs w:val="0"/>
                <w:color w:val="auto"/>
                <w:sz w:val="24"/>
                <w:szCs w:val="21"/>
                <w:highlight w:val="none"/>
                <w:lang w:val="en-US" w:eastAsia="zh-CN" w:bidi="zh-CN"/>
              </w:rPr>
              <w:t>3）同时加强厂区周边绿化，做好管道和生产设备密封，减少无组织废气外排的不利影响。</w:t>
            </w:r>
          </w:p>
          <w:p w14:paraId="333BDCC6">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color w:val="auto"/>
                <w:sz w:val="24"/>
                <w:szCs w:val="21"/>
                <w:highlight w:val="none"/>
                <w:lang w:val="en-US" w:eastAsia="zh-CN" w:bidi="zh-CN"/>
              </w:rPr>
            </w:pPr>
            <w:r>
              <w:rPr>
                <w:rFonts w:hint="eastAsia" w:ascii="Times New Roman" w:hAnsi="Times New Roman" w:eastAsia="宋体" w:cs="宋体"/>
                <w:b w:val="0"/>
                <w:bCs w:val="0"/>
                <w:color w:val="auto"/>
                <w:sz w:val="24"/>
                <w:szCs w:val="21"/>
                <w:highlight w:val="none"/>
                <w:lang w:val="en-US" w:eastAsia="zh-CN" w:bidi="zh-CN"/>
              </w:rPr>
              <w:t>经过以上处理措施后，无组织废气对周边环境影响较小。</w:t>
            </w:r>
          </w:p>
          <w:p w14:paraId="459399FD">
            <w:pPr>
              <w:snapToGrid w:val="0"/>
              <w:spacing w:line="360" w:lineRule="auto"/>
              <w:ind w:firstLine="480" w:firstLineChars="200"/>
              <w:rPr>
                <w:rFonts w:hint="eastAsia" w:ascii="Times New Roman" w:hAnsi="Times New Roman" w:eastAsia="宋体" w:cs="Times New Roman"/>
                <w:b w:val="0"/>
                <w:bCs w:val="0"/>
                <w:color w:val="FF0000"/>
                <w:sz w:val="24"/>
                <w:highlight w:val="none"/>
                <w:lang w:val="en-US" w:eastAsia="zh-CN"/>
              </w:rPr>
            </w:pPr>
            <w:r>
              <w:rPr>
                <w:rFonts w:hint="eastAsia" w:cs="Times New Roman"/>
                <w:b w:val="0"/>
                <w:bCs w:val="0"/>
                <w:color w:val="FF0000"/>
                <w:sz w:val="24"/>
                <w:highlight w:val="none"/>
                <w:lang w:val="en-US" w:eastAsia="zh-CN"/>
              </w:rPr>
              <w:t>4</w:t>
            </w:r>
            <w:r>
              <w:rPr>
                <w:rFonts w:hint="eastAsia" w:ascii="Times New Roman" w:hAnsi="Times New Roman" w:eastAsia="宋体" w:cs="Times New Roman"/>
                <w:b w:val="0"/>
                <w:bCs w:val="0"/>
                <w:color w:val="FF0000"/>
                <w:sz w:val="24"/>
                <w:highlight w:val="none"/>
                <w:lang w:val="en-US" w:eastAsia="zh-CN"/>
              </w:rPr>
              <w:t>、</w:t>
            </w:r>
            <w:commentRangeStart w:id="33"/>
            <w:commentRangeStart w:id="34"/>
            <w:r>
              <w:rPr>
                <w:rFonts w:hint="eastAsia" w:ascii="Times New Roman" w:hAnsi="Times New Roman" w:eastAsia="宋体" w:cs="Times New Roman"/>
                <w:b w:val="0"/>
                <w:bCs w:val="0"/>
                <w:color w:val="FF0000"/>
                <w:sz w:val="24"/>
                <w:highlight w:val="none"/>
                <w:lang w:val="en-US" w:eastAsia="zh-CN"/>
              </w:rPr>
              <w:t>卫生</w:t>
            </w:r>
            <w:commentRangeEnd w:id="33"/>
            <w:r>
              <w:commentReference w:id="33"/>
            </w:r>
            <w:commentRangeEnd w:id="34"/>
            <w:r>
              <w:commentReference w:id="34"/>
            </w:r>
            <w:r>
              <w:rPr>
                <w:rFonts w:hint="eastAsia" w:ascii="Times New Roman" w:hAnsi="Times New Roman" w:eastAsia="宋体" w:cs="Times New Roman"/>
                <w:b w:val="0"/>
                <w:bCs w:val="0"/>
                <w:color w:val="FF0000"/>
                <w:sz w:val="24"/>
                <w:highlight w:val="none"/>
                <w:lang w:val="en-US" w:eastAsia="zh-CN"/>
              </w:rPr>
              <w:t>防护距离</w:t>
            </w:r>
          </w:p>
          <w:p w14:paraId="3412EB7D">
            <w:pPr>
              <w:spacing w:line="360" w:lineRule="auto"/>
              <w:ind w:firstLine="480" w:firstLineChars="200"/>
              <w:rPr>
                <w:rFonts w:cs="Times New Roman"/>
                <w:color w:val="FF0000"/>
                <w:sz w:val="24"/>
                <w:szCs w:val="24"/>
                <w:highlight w:val="none"/>
              </w:rPr>
            </w:pPr>
            <w:r>
              <w:rPr>
                <w:rFonts w:cs="Times New Roman"/>
                <w:color w:val="FF0000"/>
                <w:sz w:val="24"/>
                <w:szCs w:val="24"/>
                <w:highlight w:val="none"/>
              </w:rPr>
              <w:t>根据《大气有害物质无组织排放卫生防护距离推导技术导则》</w:t>
            </w:r>
            <w:r>
              <w:rPr>
                <w:rFonts w:hint="eastAsia" w:cs="Times New Roman"/>
                <w:color w:val="FF0000"/>
                <w:sz w:val="24"/>
                <w:szCs w:val="24"/>
                <w:highlight w:val="none"/>
              </w:rPr>
              <w:t>（</w:t>
            </w:r>
            <w:r>
              <w:rPr>
                <w:rFonts w:cs="Times New Roman"/>
                <w:color w:val="FF0000"/>
                <w:sz w:val="24"/>
                <w:szCs w:val="24"/>
                <w:highlight w:val="none"/>
              </w:rPr>
              <w:t>GB/T</w:t>
            </w:r>
            <w:r>
              <w:rPr>
                <w:rFonts w:hint="eastAsia" w:cs="Times New Roman"/>
                <w:color w:val="FF0000"/>
                <w:sz w:val="24"/>
                <w:szCs w:val="24"/>
                <w:highlight w:val="none"/>
              </w:rPr>
              <w:t>39499-2020）</w:t>
            </w:r>
            <w:r>
              <w:rPr>
                <w:rFonts w:cs="Times New Roman"/>
                <w:color w:val="FF0000"/>
                <w:sz w:val="24"/>
                <w:szCs w:val="24"/>
                <w:highlight w:val="none"/>
              </w:rPr>
              <w:t>的规定，为了防控无组织排放的大气污染物的健康危害，</w:t>
            </w:r>
            <w:r>
              <w:rPr>
                <w:rFonts w:hint="eastAsia" w:cs="Times New Roman"/>
                <w:color w:val="FF0000"/>
                <w:sz w:val="24"/>
                <w:szCs w:val="24"/>
                <w:highlight w:val="none"/>
              </w:rPr>
              <w:t>卫生防护距离为</w:t>
            </w:r>
            <w:r>
              <w:rPr>
                <w:rFonts w:cs="Times New Roman"/>
                <w:color w:val="FF0000"/>
                <w:sz w:val="24"/>
                <w:szCs w:val="24"/>
                <w:highlight w:val="none"/>
              </w:rPr>
              <w:t>产生大气有害物质的生产单元</w:t>
            </w:r>
            <w:r>
              <w:rPr>
                <w:rFonts w:hint="eastAsia" w:cs="Times New Roman"/>
                <w:color w:val="FF0000"/>
                <w:sz w:val="24"/>
                <w:szCs w:val="24"/>
                <w:highlight w:val="none"/>
              </w:rPr>
              <w:t>（生产车间或作业场所）的边界至敏感区边界的最小距离。</w:t>
            </w:r>
          </w:p>
          <w:p w14:paraId="4F3DB435">
            <w:pPr>
              <w:spacing w:line="360" w:lineRule="auto"/>
              <w:ind w:firstLine="480" w:firstLineChars="200"/>
              <w:rPr>
                <w:rFonts w:cs="Times New Roman"/>
                <w:color w:val="FF0000"/>
                <w:sz w:val="24"/>
                <w:szCs w:val="24"/>
                <w:highlight w:val="none"/>
              </w:rPr>
            </w:pPr>
            <w:r>
              <w:rPr>
                <w:rFonts w:hint="eastAsia" w:ascii="Times New Roman" w:hAnsi="Times New Roman" w:eastAsia="宋体" w:cs="Times New Roman"/>
                <w:b w:val="0"/>
                <w:bCs w:val="0"/>
                <w:color w:val="FF0000"/>
                <w:sz w:val="24"/>
                <w:szCs w:val="24"/>
                <w:highlight w:val="none"/>
                <w:shd w:val="clear" w:color="auto" w:fill="auto"/>
                <w:lang w:val="en-US" w:eastAsia="zh-CN"/>
              </w:rPr>
              <w:t>（1）</w:t>
            </w:r>
            <w:r>
              <w:rPr>
                <w:rFonts w:hint="eastAsia" w:cs="Times New Roman"/>
                <w:color w:val="FF0000"/>
                <w:sz w:val="24"/>
                <w:szCs w:val="24"/>
                <w:highlight w:val="none"/>
              </w:rPr>
              <w:t>特征有害物质确定</w:t>
            </w:r>
          </w:p>
          <w:p w14:paraId="07D6A815">
            <w:pPr>
              <w:pStyle w:val="31"/>
              <w:keepNext w:val="0"/>
              <w:keepLines w:val="0"/>
              <w:pageBreakBefore w:val="0"/>
              <w:widowControl w:val="0"/>
              <w:numPr>
                <w:ilvl w:val="0"/>
                <w:numId w:val="0"/>
              </w:numPr>
              <w:tabs>
                <w:tab w:val="left" w:pos="58"/>
              </w:tabs>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污染物等标排放量</w:t>
            </w:r>
          </w:p>
          <w:p w14:paraId="307B8E1D">
            <w:pPr>
              <w:pStyle w:val="23"/>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jc w:val="center"/>
              <w:textAlignment w:val="auto"/>
              <w:rPr>
                <w:rFonts w:hint="eastAsia" w:ascii="Times New Roman" w:hAnsi="Times New Roman" w:cs="Times New Roman"/>
                <w:color w:val="FF0000"/>
                <w:sz w:val="24"/>
                <w:szCs w:val="24"/>
                <w:highlight w:val="none"/>
                <w:lang w:val="en-US" w:eastAsia="zh-CN"/>
              </w:rPr>
            </w:pPr>
            <w:r>
              <w:rPr>
                <w:rFonts w:hint="eastAsia" w:ascii="Times New Roman" w:hAnsi="Times New Roman" w:cs="Times New Roman"/>
                <w:color w:val="FF0000"/>
                <w:sz w:val="24"/>
                <w:szCs w:val="24"/>
                <w:highlight w:val="none"/>
                <w:lang w:val="en-US" w:eastAsia="zh-CN"/>
              </w:rPr>
              <w:t>P</w:t>
            </w:r>
            <w:r>
              <w:rPr>
                <w:rFonts w:hint="eastAsia" w:ascii="Times New Roman" w:hAnsi="Times New Roman" w:cs="Times New Roman"/>
                <w:color w:val="FF0000"/>
                <w:sz w:val="24"/>
                <w:szCs w:val="24"/>
                <w:highlight w:val="none"/>
                <w:vertAlign w:val="subscript"/>
                <w:lang w:val="en-US" w:eastAsia="zh-CN"/>
              </w:rPr>
              <w:t>i</w:t>
            </w:r>
            <w:r>
              <w:rPr>
                <w:rFonts w:hint="eastAsia" w:ascii="Times New Roman" w:hAnsi="Times New Roman" w:cs="Times New Roman"/>
                <w:color w:val="FF0000"/>
                <w:sz w:val="24"/>
                <w:szCs w:val="24"/>
                <w:highlight w:val="none"/>
                <w:lang w:val="en-US" w:eastAsia="zh-CN"/>
              </w:rPr>
              <w:t>=Q</w:t>
            </w:r>
            <w:r>
              <w:rPr>
                <w:rFonts w:hint="eastAsia" w:ascii="Times New Roman" w:hAnsi="Times New Roman" w:cs="Times New Roman"/>
                <w:color w:val="FF0000"/>
                <w:sz w:val="24"/>
                <w:szCs w:val="24"/>
                <w:highlight w:val="none"/>
                <w:vertAlign w:val="subscript"/>
                <w:lang w:val="en-US" w:eastAsia="zh-CN"/>
              </w:rPr>
              <w:t>i</w:t>
            </w:r>
            <w:r>
              <w:rPr>
                <w:rFonts w:hint="eastAsia" w:ascii="Times New Roman" w:hAnsi="Times New Roman" w:cs="Times New Roman"/>
                <w:color w:val="FF0000"/>
                <w:sz w:val="24"/>
                <w:szCs w:val="24"/>
                <w:highlight w:val="none"/>
                <w:lang w:val="en-US" w:eastAsia="zh-CN"/>
              </w:rPr>
              <w:t>/Co</w:t>
            </w:r>
            <w:r>
              <w:rPr>
                <w:rFonts w:hint="eastAsia" w:ascii="Times New Roman" w:hAnsi="Times New Roman" w:cs="Times New Roman"/>
                <w:color w:val="FF0000"/>
                <w:sz w:val="24"/>
                <w:szCs w:val="24"/>
                <w:highlight w:val="none"/>
                <w:vertAlign w:val="subscript"/>
                <w:lang w:val="en-US" w:eastAsia="zh-CN"/>
              </w:rPr>
              <w:t>i</w:t>
            </w:r>
          </w:p>
          <w:p w14:paraId="76C87F44">
            <w:pPr>
              <w:keepNext w:val="0"/>
              <w:keepLines w:val="0"/>
              <w:pageBreakBefore w:val="0"/>
              <w:widowControl/>
              <w:kinsoku/>
              <w:wordWrap/>
              <w:overflowPunct w:val="0"/>
              <w:topLinePunct/>
              <w:autoSpaceDE w:val="0"/>
              <w:autoSpaceDN/>
              <w:bidi w:val="0"/>
              <w:adjustRightInd/>
              <w:snapToGrid/>
              <w:spacing w:line="360" w:lineRule="auto"/>
              <w:ind w:firstLine="480" w:firstLineChars="200"/>
              <w:textAlignment w:val="baseline"/>
              <w:rPr>
                <w:rFonts w:ascii="Times New Roman" w:hAnsi="Times New Roman" w:eastAsia="宋体" w:cs="Times New Roman"/>
                <w:bCs/>
                <w:snapToGrid w:val="0"/>
                <w:color w:val="FF0000"/>
                <w:sz w:val="24"/>
                <w:szCs w:val="24"/>
                <w:highlight w:val="none"/>
                <w:shd w:val="clear" w:color="auto" w:fill="auto"/>
              </w:rPr>
            </w:pPr>
            <w:r>
              <w:rPr>
                <w:rFonts w:ascii="Times New Roman" w:hAnsi="Times New Roman" w:eastAsia="宋体" w:cs="Times New Roman"/>
                <w:bCs/>
                <w:snapToGrid w:val="0"/>
                <w:color w:val="FF0000"/>
                <w:sz w:val="24"/>
                <w:szCs w:val="24"/>
                <w:highlight w:val="none"/>
                <w:shd w:val="clear" w:color="auto" w:fill="auto"/>
              </w:rPr>
              <w:t>式中：</w:t>
            </w:r>
            <w:r>
              <w:rPr>
                <w:rFonts w:hint="eastAsia" w:ascii="Times New Roman" w:hAnsi="Times New Roman" w:eastAsia="宋体" w:cs="Times New Roman"/>
                <w:bCs/>
                <w:snapToGrid w:val="0"/>
                <w:color w:val="FF0000"/>
                <w:sz w:val="24"/>
                <w:szCs w:val="24"/>
                <w:highlight w:val="none"/>
                <w:shd w:val="clear" w:color="auto" w:fill="auto"/>
                <w:lang w:val="en-US" w:eastAsia="zh-CN"/>
              </w:rPr>
              <w:t>P</w:t>
            </w:r>
            <w:r>
              <w:rPr>
                <w:rFonts w:hint="eastAsia" w:ascii="Times New Roman" w:hAnsi="Times New Roman" w:eastAsia="宋体" w:cs="Times New Roman"/>
                <w:bCs/>
                <w:snapToGrid w:val="0"/>
                <w:color w:val="FF0000"/>
                <w:sz w:val="24"/>
                <w:szCs w:val="24"/>
                <w:highlight w:val="none"/>
                <w:shd w:val="clear" w:color="auto" w:fill="auto"/>
                <w:vertAlign w:val="subscript"/>
                <w:lang w:val="en-US" w:eastAsia="zh-CN"/>
              </w:rPr>
              <w:t>i</w:t>
            </w:r>
            <w:r>
              <w:rPr>
                <w:rFonts w:hint="eastAsia" w:ascii="宋体" w:hAnsi="宋体" w:eastAsia="宋体" w:cs="宋体"/>
                <w:bCs/>
                <w:snapToGrid w:val="0"/>
                <w:color w:val="FF0000"/>
                <w:sz w:val="24"/>
                <w:szCs w:val="24"/>
                <w:highlight w:val="none"/>
                <w:shd w:val="clear" w:color="auto" w:fill="auto"/>
              </w:rPr>
              <w:t>——</w:t>
            </w:r>
            <w:r>
              <w:rPr>
                <w:rFonts w:hint="eastAsia" w:ascii="宋体" w:hAnsi="宋体" w:eastAsia="宋体" w:cs="宋体"/>
                <w:bCs/>
                <w:snapToGrid w:val="0"/>
                <w:color w:val="FF0000"/>
                <w:sz w:val="24"/>
                <w:szCs w:val="24"/>
                <w:highlight w:val="none"/>
                <w:shd w:val="clear" w:color="auto" w:fill="auto"/>
                <w:lang w:val="en-US" w:eastAsia="zh-CN"/>
              </w:rPr>
              <w:t>等标排放量</w:t>
            </w:r>
            <w:r>
              <w:rPr>
                <w:rFonts w:ascii="Times New Roman" w:hAnsi="Times New Roman" w:eastAsia="宋体" w:cs="Times New Roman"/>
                <w:bCs/>
                <w:snapToGrid w:val="0"/>
                <w:color w:val="FF0000"/>
                <w:sz w:val="24"/>
                <w:szCs w:val="24"/>
                <w:highlight w:val="none"/>
                <w:shd w:val="clear" w:color="auto" w:fill="auto"/>
              </w:rPr>
              <w:t>，</w:t>
            </w:r>
            <w:r>
              <w:rPr>
                <w:rFonts w:hint="eastAsia" w:ascii="Times New Roman" w:hAnsi="Times New Roman" w:eastAsia="宋体" w:cs="Times New Roman"/>
                <w:bCs/>
                <w:snapToGrid w:val="0"/>
                <w:color w:val="FF0000"/>
                <w:sz w:val="24"/>
                <w:szCs w:val="24"/>
                <w:highlight w:val="none"/>
                <w:shd w:val="clear" w:color="auto" w:fill="auto"/>
                <w:lang w:val="en-US" w:eastAsia="zh-CN"/>
              </w:rPr>
              <w:t>m</w:t>
            </w:r>
            <w:r>
              <w:rPr>
                <w:rFonts w:hint="eastAsia" w:ascii="Times New Roman" w:hAnsi="Times New Roman" w:eastAsia="宋体" w:cs="Times New Roman"/>
                <w:bCs/>
                <w:snapToGrid w:val="0"/>
                <w:color w:val="FF0000"/>
                <w:sz w:val="24"/>
                <w:szCs w:val="24"/>
                <w:highlight w:val="none"/>
                <w:shd w:val="clear" w:color="auto" w:fill="auto"/>
                <w:vertAlign w:val="superscript"/>
                <w:lang w:val="en-US" w:eastAsia="zh-CN"/>
              </w:rPr>
              <w:t>3</w:t>
            </w:r>
            <w:r>
              <w:rPr>
                <w:rFonts w:hint="eastAsia" w:ascii="Times New Roman" w:hAnsi="Times New Roman" w:eastAsia="宋体" w:cs="Times New Roman"/>
                <w:bCs/>
                <w:snapToGrid w:val="0"/>
                <w:color w:val="FF0000"/>
                <w:sz w:val="24"/>
                <w:szCs w:val="24"/>
                <w:highlight w:val="none"/>
                <w:shd w:val="clear" w:color="auto" w:fill="auto"/>
                <w:lang w:val="en-US" w:eastAsia="zh-CN"/>
              </w:rPr>
              <w:t>/h</w:t>
            </w:r>
            <w:r>
              <w:rPr>
                <w:rFonts w:ascii="Times New Roman" w:hAnsi="Times New Roman" w:eastAsia="宋体" w:cs="Times New Roman"/>
                <w:bCs/>
                <w:snapToGrid w:val="0"/>
                <w:color w:val="FF0000"/>
                <w:sz w:val="24"/>
                <w:szCs w:val="24"/>
                <w:highlight w:val="none"/>
                <w:shd w:val="clear" w:color="auto" w:fill="auto"/>
              </w:rPr>
              <w:t>；</w:t>
            </w:r>
          </w:p>
          <w:p w14:paraId="24E6C87C">
            <w:pPr>
              <w:keepNext w:val="0"/>
              <w:keepLines w:val="0"/>
              <w:pageBreakBefore w:val="0"/>
              <w:widowControl/>
              <w:kinsoku/>
              <w:wordWrap/>
              <w:overflowPunct w:val="0"/>
              <w:topLinePunct/>
              <w:autoSpaceDE w:val="0"/>
              <w:autoSpaceDN/>
              <w:bidi w:val="0"/>
              <w:adjustRightInd/>
              <w:snapToGrid/>
              <w:spacing w:line="360" w:lineRule="auto"/>
              <w:ind w:firstLine="1200" w:firstLineChars="500"/>
              <w:textAlignment w:val="baseline"/>
              <w:rPr>
                <w:rFonts w:ascii="Times New Roman" w:hAnsi="Times New Roman" w:eastAsia="宋体" w:cs="Times New Roman"/>
                <w:bCs/>
                <w:snapToGrid w:val="0"/>
                <w:color w:val="FF0000"/>
                <w:sz w:val="24"/>
                <w:szCs w:val="24"/>
                <w:highlight w:val="none"/>
                <w:shd w:val="clear" w:color="auto" w:fill="auto"/>
              </w:rPr>
            </w:pPr>
            <w:r>
              <w:rPr>
                <w:rFonts w:hint="eastAsia" w:ascii="Times New Roman" w:hAnsi="Times New Roman" w:eastAsia="宋体" w:cs="Times New Roman"/>
                <w:bCs/>
                <w:snapToGrid w:val="0"/>
                <w:color w:val="FF0000"/>
                <w:sz w:val="24"/>
                <w:szCs w:val="24"/>
                <w:highlight w:val="none"/>
                <w:shd w:val="clear" w:color="auto" w:fill="auto"/>
                <w:lang w:val="en-US" w:eastAsia="zh-CN"/>
              </w:rPr>
              <w:t>Q</w:t>
            </w:r>
            <w:r>
              <w:rPr>
                <w:rFonts w:hint="eastAsia" w:ascii="Times New Roman" w:hAnsi="Times New Roman" w:eastAsia="宋体" w:cs="Times New Roman"/>
                <w:bCs/>
                <w:snapToGrid w:val="0"/>
                <w:color w:val="FF0000"/>
                <w:sz w:val="24"/>
                <w:szCs w:val="24"/>
                <w:highlight w:val="none"/>
                <w:shd w:val="clear" w:color="auto" w:fill="auto"/>
                <w:vertAlign w:val="subscript"/>
                <w:lang w:val="en-US" w:eastAsia="zh-CN"/>
              </w:rPr>
              <w:t>i</w:t>
            </w:r>
            <w:r>
              <w:rPr>
                <w:rFonts w:hint="eastAsia" w:ascii="宋体" w:hAnsi="宋体" w:eastAsia="宋体" w:cs="宋体"/>
                <w:bCs/>
                <w:snapToGrid w:val="0"/>
                <w:color w:val="FF0000"/>
                <w:sz w:val="24"/>
                <w:szCs w:val="24"/>
                <w:highlight w:val="none"/>
                <w:shd w:val="clear" w:color="auto" w:fill="auto"/>
              </w:rPr>
              <w:t>——</w:t>
            </w:r>
            <w:r>
              <w:rPr>
                <w:rFonts w:hint="eastAsia" w:ascii="宋体" w:hAnsi="宋体" w:eastAsia="宋体" w:cs="宋体"/>
                <w:bCs/>
                <w:snapToGrid w:val="0"/>
                <w:color w:val="FF0000"/>
                <w:sz w:val="24"/>
                <w:szCs w:val="24"/>
                <w:highlight w:val="none"/>
                <w:shd w:val="clear" w:color="auto" w:fill="auto"/>
                <w:lang w:val="en-US" w:eastAsia="zh-CN"/>
              </w:rPr>
              <w:t>单位时间的排放量</w:t>
            </w:r>
            <w:r>
              <w:rPr>
                <w:rFonts w:ascii="Times New Roman" w:hAnsi="Times New Roman" w:eastAsia="宋体" w:cs="Times New Roman"/>
                <w:bCs/>
                <w:snapToGrid w:val="0"/>
                <w:color w:val="FF0000"/>
                <w:sz w:val="24"/>
                <w:szCs w:val="24"/>
                <w:highlight w:val="none"/>
                <w:shd w:val="clear" w:color="auto" w:fill="auto"/>
              </w:rPr>
              <w:t>，</w:t>
            </w:r>
            <w:r>
              <w:rPr>
                <w:rFonts w:hint="eastAsia" w:ascii="Times New Roman" w:hAnsi="Times New Roman" w:eastAsia="宋体" w:cs="Times New Roman"/>
                <w:bCs/>
                <w:snapToGrid w:val="0"/>
                <w:color w:val="FF0000"/>
                <w:sz w:val="24"/>
                <w:szCs w:val="24"/>
                <w:highlight w:val="none"/>
                <w:shd w:val="clear" w:color="auto" w:fill="auto"/>
                <w:lang w:val="en-US" w:eastAsia="zh-CN"/>
              </w:rPr>
              <w:t>kg/h</w:t>
            </w:r>
            <w:r>
              <w:rPr>
                <w:rFonts w:ascii="Times New Roman" w:hAnsi="Times New Roman" w:eastAsia="宋体" w:cs="Times New Roman"/>
                <w:bCs/>
                <w:snapToGrid w:val="0"/>
                <w:color w:val="FF0000"/>
                <w:sz w:val="24"/>
                <w:szCs w:val="24"/>
                <w:highlight w:val="none"/>
                <w:shd w:val="clear" w:color="auto" w:fill="auto"/>
              </w:rPr>
              <w:t>；</w:t>
            </w:r>
          </w:p>
          <w:p w14:paraId="69C49A8C">
            <w:pPr>
              <w:pStyle w:val="14"/>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1200" w:firstLineChars="500"/>
              <w:jc w:val="both"/>
              <w:textAlignment w:val="auto"/>
              <w:rPr>
                <w:rFonts w:ascii="Times New Roman" w:hAnsi="Times New Roman" w:eastAsia="宋体" w:cs="Times New Roman"/>
                <w:bCs/>
                <w:snapToGrid w:val="0"/>
                <w:color w:val="FF0000"/>
                <w:sz w:val="24"/>
                <w:szCs w:val="24"/>
                <w:highlight w:val="none"/>
                <w:shd w:val="clear" w:color="auto" w:fill="auto"/>
              </w:rPr>
            </w:pPr>
            <w:r>
              <w:rPr>
                <w:rFonts w:hint="eastAsia" w:ascii="Times New Roman" w:hAnsi="Times New Roman" w:eastAsia="宋体" w:cs="Times New Roman"/>
                <w:bCs/>
                <w:snapToGrid w:val="0"/>
                <w:color w:val="FF0000"/>
                <w:sz w:val="24"/>
                <w:szCs w:val="24"/>
                <w:highlight w:val="none"/>
                <w:shd w:val="clear" w:color="auto" w:fill="auto"/>
                <w:lang w:val="en-US" w:eastAsia="zh-CN"/>
              </w:rPr>
              <w:t>Co</w:t>
            </w:r>
            <w:r>
              <w:rPr>
                <w:rFonts w:hint="eastAsia" w:ascii="Times New Roman" w:hAnsi="Times New Roman" w:eastAsia="宋体" w:cs="Times New Roman"/>
                <w:bCs/>
                <w:snapToGrid w:val="0"/>
                <w:color w:val="FF0000"/>
                <w:sz w:val="24"/>
                <w:szCs w:val="24"/>
                <w:highlight w:val="none"/>
                <w:shd w:val="clear" w:color="auto" w:fill="auto"/>
                <w:vertAlign w:val="subscript"/>
                <w:lang w:val="en-US" w:eastAsia="zh-CN"/>
              </w:rPr>
              <w:t>i</w:t>
            </w:r>
            <w:r>
              <w:rPr>
                <w:rFonts w:hint="eastAsia" w:ascii="宋体" w:hAnsi="宋体" w:eastAsia="宋体" w:cs="宋体"/>
                <w:bCs/>
                <w:snapToGrid w:val="0"/>
                <w:color w:val="FF0000"/>
                <w:sz w:val="24"/>
                <w:szCs w:val="24"/>
                <w:highlight w:val="none"/>
                <w:shd w:val="clear" w:color="auto" w:fill="auto"/>
              </w:rPr>
              <w:t>——</w:t>
            </w:r>
            <w:r>
              <w:rPr>
                <w:rFonts w:hint="eastAsia" w:ascii="Times New Roman" w:hAnsi="Times New Roman" w:eastAsia="宋体" w:cs="Times New Roman"/>
                <w:bCs/>
                <w:snapToGrid w:val="0"/>
                <w:color w:val="FF0000"/>
                <w:sz w:val="24"/>
                <w:szCs w:val="24"/>
                <w:highlight w:val="none"/>
                <w:shd w:val="clear" w:color="auto" w:fill="auto"/>
                <w:lang w:val="en-US" w:eastAsia="zh-CN"/>
              </w:rPr>
              <w:t>环境空气质量标准</w:t>
            </w:r>
            <w:r>
              <w:rPr>
                <w:rFonts w:ascii="Times New Roman" w:hAnsi="Times New Roman" w:eastAsia="宋体" w:cs="Times New Roman"/>
                <w:bCs/>
                <w:snapToGrid w:val="0"/>
                <w:color w:val="FF0000"/>
                <w:sz w:val="24"/>
                <w:szCs w:val="24"/>
                <w:highlight w:val="none"/>
                <w:shd w:val="clear" w:color="auto" w:fill="auto"/>
              </w:rPr>
              <w:t>，m</w:t>
            </w:r>
            <w:r>
              <w:rPr>
                <w:rFonts w:hint="eastAsia" w:ascii="Times New Roman" w:hAnsi="Times New Roman" w:eastAsia="宋体" w:cs="Times New Roman"/>
                <w:bCs/>
                <w:snapToGrid w:val="0"/>
                <w:color w:val="FF0000"/>
                <w:sz w:val="24"/>
                <w:szCs w:val="24"/>
                <w:highlight w:val="none"/>
                <w:shd w:val="clear" w:color="auto" w:fill="auto"/>
                <w:lang w:val="en-US" w:eastAsia="zh-CN"/>
              </w:rPr>
              <w:t>g/m</w:t>
            </w:r>
            <w:r>
              <w:rPr>
                <w:rFonts w:hint="eastAsia" w:ascii="Times New Roman" w:hAnsi="Times New Roman" w:eastAsia="宋体" w:cs="Times New Roman"/>
                <w:bCs/>
                <w:snapToGrid w:val="0"/>
                <w:color w:val="FF0000"/>
                <w:sz w:val="24"/>
                <w:szCs w:val="24"/>
                <w:highlight w:val="none"/>
                <w:shd w:val="clear" w:color="auto" w:fill="auto"/>
                <w:vertAlign w:val="superscript"/>
                <w:lang w:val="en-US" w:eastAsia="zh-CN"/>
              </w:rPr>
              <w:t>3</w:t>
            </w:r>
            <w:r>
              <w:rPr>
                <w:rFonts w:ascii="Times New Roman" w:hAnsi="Times New Roman" w:eastAsia="宋体" w:cs="Times New Roman"/>
                <w:bCs/>
                <w:snapToGrid w:val="0"/>
                <w:color w:val="FF0000"/>
                <w:sz w:val="24"/>
                <w:szCs w:val="24"/>
                <w:highlight w:val="none"/>
                <w:shd w:val="clear" w:color="auto" w:fill="auto"/>
              </w:rPr>
              <w:t>；</w:t>
            </w:r>
          </w:p>
          <w:p w14:paraId="19092BCF">
            <w:pPr>
              <w:spacing w:line="360" w:lineRule="auto"/>
              <w:ind w:firstLine="480" w:firstLineChars="200"/>
              <w:rPr>
                <w:rFonts w:cs="Times New Roman"/>
                <w:color w:val="FF0000"/>
                <w:sz w:val="24"/>
                <w:szCs w:val="24"/>
                <w:highlight w:val="none"/>
              </w:rPr>
            </w:pPr>
            <w:r>
              <w:rPr>
                <w:rFonts w:hint="eastAsia" w:cs="Times New Roman"/>
                <w:color w:val="FF0000"/>
                <w:sz w:val="24"/>
                <w:szCs w:val="24"/>
                <w:highlight w:val="none"/>
              </w:rPr>
              <w:t>项目无组织废气因子主要为颗粒物、</w:t>
            </w:r>
            <w:r>
              <w:rPr>
                <w:rFonts w:hint="eastAsia" w:cs="Times New Roman"/>
                <w:color w:val="FF0000"/>
                <w:sz w:val="24"/>
                <w:szCs w:val="24"/>
                <w:highlight w:val="none"/>
                <w:lang w:val="en-US" w:eastAsia="zh-CN"/>
              </w:rPr>
              <w:t>非甲烷总烃、氨</w:t>
            </w:r>
            <w:r>
              <w:rPr>
                <w:rFonts w:hint="eastAsia" w:cs="Times New Roman"/>
                <w:color w:val="FF0000"/>
                <w:sz w:val="24"/>
                <w:szCs w:val="24"/>
                <w:highlight w:val="none"/>
              </w:rPr>
              <w:t>，</w:t>
            </w:r>
            <w:r>
              <w:rPr>
                <w:rFonts w:cs="Times New Roman"/>
                <w:color w:val="FF0000"/>
                <w:sz w:val="24"/>
                <w:szCs w:val="24"/>
                <w:highlight w:val="none"/>
              </w:rPr>
              <w:t>计算结果见</w:t>
            </w:r>
            <w:r>
              <w:rPr>
                <w:rFonts w:hint="eastAsia" w:cs="Times New Roman"/>
                <w:color w:val="FF0000"/>
                <w:sz w:val="24"/>
                <w:szCs w:val="24"/>
                <w:highlight w:val="none"/>
              </w:rPr>
              <w:t>下</w:t>
            </w:r>
            <w:r>
              <w:rPr>
                <w:rFonts w:cs="Times New Roman"/>
                <w:color w:val="FF0000"/>
                <w:sz w:val="24"/>
                <w:szCs w:val="24"/>
                <w:highlight w:val="none"/>
              </w:rPr>
              <w:t>表</w:t>
            </w:r>
            <w:r>
              <w:rPr>
                <w:rFonts w:hint="eastAsia" w:cs="Times New Roman"/>
                <w:color w:val="FF0000"/>
                <w:sz w:val="24"/>
                <w:szCs w:val="24"/>
                <w:highlight w:val="none"/>
              </w:rPr>
              <w:t>。</w:t>
            </w:r>
          </w:p>
          <w:p w14:paraId="7B9FE078">
            <w:pPr>
              <w:spacing w:beforeLines="50"/>
              <w:jc w:val="center"/>
              <w:rPr>
                <w:b/>
                <w:bCs/>
                <w:color w:val="FF0000"/>
                <w:szCs w:val="21"/>
                <w:highlight w:val="none"/>
              </w:rPr>
            </w:pPr>
            <w:r>
              <w:rPr>
                <w:rFonts w:hint="eastAsia"/>
                <w:b/>
                <w:bCs/>
                <w:color w:val="FF0000"/>
                <w:szCs w:val="21"/>
                <w:highlight w:val="none"/>
              </w:rPr>
              <w:t>表4-</w:t>
            </w:r>
            <w:r>
              <w:rPr>
                <w:rFonts w:hint="eastAsia"/>
                <w:b/>
                <w:bCs/>
                <w:color w:val="FF0000"/>
                <w:szCs w:val="21"/>
                <w:highlight w:val="none"/>
                <w:lang w:val="en-US" w:eastAsia="zh-CN"/>
              </w:rPr>
              <w:t>4</w:t>
            </w:r>
            <w:r>
              <w:rPr>
                <w:rFonts w:hint="eastAsia"/>
                <w:b/>
                <w:bCs/>
                <w:color w:val="FF0000"/>
                <w:szCs w:val="21"/>
                <w:highlight w:val="none"/>
              </w:rPr>
              <w:t xml:space="preserve">  计算结果一览表</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808"/>
              <w:gridCol w:w="1647"/>
              <w:gridCol w:w="1705"/>
              <w:gridCol w:w="1705"/>
              <w:gridCol w:w="1682"/>
            </w:tblGrid>
            <w:tr w14:paraId="1C9AE33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88" w:hRule="atLeast"/>
                <w:jc w:val="center"/>
              </w:trPr>
              <w:tc>
                <w:tcPr>
                  <w:tcW w:w="1057" w:type="pct"/>
                  <w:tcBorders>
                    <w:tl2br w:val="nil"/>
                    <w:tr2bl w:val="nil"/>
                  </w:tcBorders>
                  <w:noWrap w:val="0"/>
                  <w:vAlign w:val="center"/>
                </w:tcPr>
                <w:p w14:paraId="6FBEED73">
                  <w:pPr>
                    <w:jc w:val="center"/>
                    <w:rPr>
                      <w:rFonts w:cs="Times New Roman"/>
                      <w:b/>
                      <w:color w:val="FF0000"/>
                      <w:kern w:val="0"/>
                      <w:szCs w:val="21"/>
                      <w:highlight w:val="none"/>
                    </w:rPr>
                  </w:pPr>
                  <w:r>
                    <w:rPr>
                      <w:rFonts w:cs="Times New Roman"/>
                      <w:b/>
                      <w:color w:val="FF0000"/>
                      <w:kern w:val="0"/>
                      <w:szCs w:val="21"/>
                      <w:highlight w:val="none"/>
                    </w:rPr>
                    <w:t>序号</w:t>
                  </w:r>
                </w:p>
              </w:tc>
              <w:tc>
                <w:tcPr>
                  <w:tcW w:w="963" w:type="pct"/>
                  <w:tcBorders>
                    <w:tl2br w:val="nil"/>
                    <w:tr2bl w:val="nil"/>
                  </w:tcBorders>
                  <w:noWrap w:val="0"/>
                  <w:vAlign w:val="center"/>
                </w:tcPr>
                <w:p w14:paraId="5C17A97C">
                  <w:pPr>
                    <w:jc w:val="center"/>
                    <w:rPr>
                      <w:rFonts w:cs="Times New Roman"/>
                      <w:b/>
                      <w:color w:val="FF0000"/>
                      <w:kern w:val="0"/>
                      <w:szCs w:val="21"/>
                      <w:highlight w:val="none"/>
                    </w:rPr>
                  </w:pPr>
                  <w:r>
                    <w:rPr>
                      <w:rFonts w:cs="Times New Roman"/>
                      <w:b/>
                      <w:color w:val="FF0000"/>
                      <w:kern w:val="0"/>
                      <w:szCs w:val="21"/>
                      <w:highlight w:val="none"/>
                    </w:rPr>
                    <w:t>污染物名称</w:t>
                  </w:r>
                </w:p>
              </w:tc>
              <w:tc>
                <w:tcPr>
                  <w:tcW w:w="997" w:type="pct"/>
                  <w:tcBorders>
                    <w:tl2br w:val="nil"/>
                    <w:tr2bl w:val="nil"/>
                  </w:tcBorders>
                  <w:noWrap w:val="0"/>
                  <w:vAlign w:val="center"/>
                </w:tcPr>
                <w:p w14:paraId="0A704073">
                  <w:pPr>
                    <w:jc w:val="center"/>
                    <w:rPr>
                      <w:rFonts w:cs="Times New Roman"/>
                      <w:b/>
                      <w:color w:val="FF0000"/>
                      <w:kern w:val="0"/>
                      <w:szCs w:val="21"/>
                      <w:highlight w:val="none"/>
                    </w:rPr>
                  </w:pPr>
                  <w:r>
                    <w:rPr>
                      <w:rFonts w:cs="Times New Roman"/>
                      <w:b/>
                      <w:color w:val="FF0000"/>
                      <w:kern w:val="0"/>
                      <w:szCs w:val="21"/>
                      <w:highlight w:val="none"/>
                    </w:rPr>
                    <w:t>排放速率（</w:t>
                  </w:r>
                  <w:r>
                    <w:rPr>
                      <w:rFonts w:hint="eastAsia" w:cs="Times New Roman"/>
                      <w:b/>
                      <w:color w:val="FF0000"/>
                      <w:kern w:val="0"/>
                      <w:szCs w:val="21"/>
                      <w:highlight w:val="none"/>
                    </w:rPr>
                    <w:t>kg</w:t>
                  </w:r>
                  <w:r>
                    <w:rPr>
                      <w:rFonts w:cs="Times New Roman"/>
                      <w:b/>
                      <w:color w:val="FF0000"/>
                      <w:kern w:val="0"/>
                      <w:szCs w:val="21"/>
                      <w:highlight w:val="none"/>
                    </w:rPr>
                    <w:t>/h）</w:t>
                  </w:r>
                </w:p>
              </w:tc>
              <w:tc>
                <w:tcPr>
                  <w:tcW w:w="997" w:type="pct"/>
                  <w:tcBorders>
                    <w:tl2br w:val="nil"/>
                    <w:tr2bl w:val="nil"/>
                  </w:tcBorders>
                  <w:noWrap w:val="0"/>
                  <w:vAlign w:val="center"/>
                </w:tcPr>
                <w:p w14:paraId="30737148">
                  <w:pPr>
                    <w:jc w:val="center"/>
                    <w:rPr>
                      <w:rFonts w:cs="Times New Roman"/>
                      <w:b/>
                      <w:color w:val="FF0000"/>
                      <w:kern w:val="0"/>
                      <w:szCs w:val="21"/>
                      <w:highlight w:val="none"/>
                    </w:rPr>
                  </w:pPr>
                  <w:r>
                    <w:rPr>
                      <w:rFonts w:cs="Times New Roman"/>
                      <w:b/>
                      <w:color w:val="FF0000"/>
                      <w:kern w:val="0"/>
                      <w:szCs w:val="21"/>
                      <w:highlight w:val="none"/>
                    </w:rPr>
                    <w:t>空气质量标准（mg/m</w:t>
                  </w:r>
                  <w:r>
                    <w:rPr>
                      <w:rFonts w:cs="Times New Roman"/>
                      <w:b/>
                      <w:color w:val="FF0000"/>
                      <w:kern w:val="0"/>
                      <w:szCs w:val="21"/>
                      <w:highlight w:val="none"/>
                      <w:vertAlign w:val="superscript"/>
                    </w:rPr>
                    <w:t>3</w:t>
                  </w:r>
                  <w:r>
                    <w:rPr>
                      <w:rFonts w:cs="Times New Roman"/>
                      <w:b/>
                      <w:color w:val="FF0000"/>
                      <w:kern w:val="0"/>
                      <w:szCs w:val="21"/>
                      <w:highlight w:val="none"/>
                    </w:rPr>
                    <w:t>）</w:t>
                  </w:r>
                </w:p>
              </w:tc>
              <w:tc>
                <w:tcPr>
                  <w:tcW w:w="983" w:type="pct"/>
                  <w:tcBorders>
                    <w:tl2br w:val="nil"/>
                    <w:tr2bl w:val="nil"/>
                  </w:tcBorders>
                  <w:noWrap w:val="0"/>
                  <w:vAlign w:val="center"/>
                </w:tcPr>
                <w:p w14:paraId="27749E44">
                  <w:pPr>
                    <w:jc w:val="center"/>
                    <w:rPr>
                      <w:rFonts w:cs="Times New Roman"/>
                      <w:b/>
                      <w:color w:val="FF0000"/>
                      <w:kern w:val="0"/>
                      <w:szCs w:val="21"/>
                      <w:highlight w:val="none"/>
                    </w:rPr>
                  </w:pPr>
                  <w:r>
                    <w:rPr>
                      <w:rFonts w:cs="Times New Roman"/>
                      <w:b/>
                      <w:color w:val="FF0000"/>
                      <w:kern w:val="0"/>
                      <w:szCs w:val="21"/>
                      <w:highlight w:val="none"/>
                    </w:rPr>
                    <w:t>等标排放量（m</w:t>
                  </w:r>
                  <w:r>
                    <w:rPr>
                      <w:rFonts w:cs="Times New Roman"/>
                      <w:b/>
                      <w:color w:val="FF0000"/>
                      <w:kern w:val="0"/>
                      <w:szCs w:val="21"/>
                      <w:highlight w:val="none"/>
                      <w:vertAlign w:val="superscript"/>
                    </w:rPr>
                    <w:t>3</w:t>
                  </w:r>
                  <w:r>
                    <w:rPr>
                      <w:rFonts w:cs="Times New Roman"/>
                      <w:b/>
                      <w:color w:val="FF0000"/>
                      <w:kern w:val="0"/>
                      <w:szCs w:val="21"/>
                      <w:highlight w:val="none"/>
                    </w:rPr>
                    <w:t>/h）</w:t>
                  </w:r>
                </w:p>
              </w:tc>
            </w:tr>
            <w:tr w14:paraId="266D72C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5" w:hRule="atLeast"/>
                <w:jc w:val="center"/>
              </w:trPr>
              <w:tc>
                <w:tcPr>
                  <w:tcW w:w="1057" w:type="pct"/>
                  <w:vMerge w:val="restart"/>
                  <w:tcBorders>
                    <w:tl2br w:val="nil"/>
                    <w:tr2bl w:val="nil"/>
                  </w:tcBorders>
                  <w:noWrap w:val="0"/>
                  <w:vAlign w:val="center"/>
                </w:tcPr>
                <w:p w14:paraId="60251960">
                  <w:pPr>
                    <w:jc w:val="center"/>
                    <w:rPr>
                      <w:rFonts w:hint="eastAsia" w:eastAsia="宋体" w:cs="Times New Roman"/>
                      <w:bCs/>
                      <w:color w:val="FF0000"/>
                      <w:kern w:val="0"/>
                      <w:szCs w:val="21"/>
                      <w:highlight w:val="none"/>
                      <w:lang w:eastAsia="zh-CN"/>
                    </w:rPr>
                  </w:pPr>
                  <w:r>
                    <w:rPr>
                      <w:rFonts w:hint="eastAsia" w:cs="Times New Roman"/>
                      <w:bCs/>
                      <w:color w:val="FF0000"/>
                      <w:kern w:val="0"/>
                      <w:szCs w:val="21"/>
                      <w:highlight w:val="none"/>
                      <w:lang w:val="en-US" w:eastAsia="zh-CN"/>
                    </w:rPr>
                    <w:t>一车间</w:t>
                  </w:r>
                </w:p>
              </w:tc>
              <w:tc>
                <w:tcPr>
                  <w:tcW w:w="963" w:type="pct"/>
                  <w:tcBorders>
                    <w:tl2br w:val="nil"/>
                    <w:tr2bl w:val="nil"/>
                  </w:tcBorders>
                  <w:noWrap w:val="0"/>
                  <w:vAlign w:val="center"/>
                </w:tcPr>
                <w:p w14:paraId="257F4AA7">
                  <w:pPr>
                    <w:pStyle w:val="66"/>
                    <w:autoSpaceDE w:val="0"/>
                    <w:autoSpaceDN w:val="0"/>
                    <w:jc w:val="center"/>
                    <w:rPr>
                      <w:rFonts w:hint="default" w:eastAsia="宋体" w:cs="Times New Roman"/>
                      <w:b w:val="0"/>
                      <w:bCs w:val="0"/>
                      <w:color w:val="FF0000"/>
                      <w:kern w:val="0"/>
                      <w:sz w:val="21"/>
                      <w:szCs w:val="21"/>
                      <w:highlight w:val="none"/>
                      <w:lang w:val="en-US" w:eastAsia="zh-CN"/>
                    </w:rPr>
                  </w:pPr>
                  <w:r>
                    <w:rPr>
                      <w:rFonts w:hint="eastAsia" w:eastAsia="宋体" w:cs="Times New Roman"/>
                      <w:b w:val="0"/>
                      <w:bCs w:val="0"/>
                      <w:color w:val="FF0000"/>
                      <w:kern w:val="0"/>
                      <w:sz w:val="21"/>
                      <w:szCs w:val="21"/>
                      <w:highlight w:val="none"/>
                      <w:lang w:val="en-US" w:eastAsia="zh-CN"/>
                    </w:rPr>
                    <w:t>颗粒物</w:t>
                  </w:r>
                </w:p>
              </w:tc>
              <w:tc>
                <w:tcPr>
                  <w:tcW w:w="997" w:type="pct"/>
                  <w:tcBorders>
                    <w:tl2br w:val="nil"/>
                    <w:tr2bl w:val="nil"/>
                  </w:tcBorders>
                  <w:noWrap w:val="0"/>
                  <w:vAlign w:val="center"/>
                </w:tcPr>
                <w:p w14:paraId="02ACB8A4">
                  <w:pPr>
                    <w:jc w:val="center"/>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ascii="Times New Roman" w:hAnsi="Times New Roman" w:eastAsia="宋体" w:cs="Times New Roman"/>
                      <w:b w:val="0"/>
                      <w:bCs w:val="0"/>
                      <w:color w:val="FF0000"/>
                      <w:kern w:val="0"/>
                      <w:sz w:val="21"/>
                      <w:szCs w:val="21"/>
                      <w:highlight w:val="none"/>
                      <w:lang w:val="en-US" w:eastAsia="zh-CN" w:bidi="ar-SA"/>
                    </w:rPr>
                    <w:t>0.0004</w:t>
                  </w:r>
                </w:p>
              </w:tc>
              <w:tc>
                <w:tcPr>
                  <w:tcW w:w="997" w:type="pct"/>
                  <w:tcBorders>
                    <w:tl2br w:val="nil"/>
                    <w:tr2bl w:val="nil"/>
                  </w:tcBorders>
                  <w:noWrap w:val="0"/>
                  <w:vAlign w:val="center"/>
                </w:tcPr>
                <w:p w14:paraId="002B76FD">
                  <w:pPr>
                    <w:jc w:val="center"/>
                    <w:rPr>
                      <w:rFonts w:hint="default" w:eastAsia="宋体" w:cs="Times New Roman"/>
                      <w:b w:val="0"/>
                      <w:bCs w:val="0"/>
                      <w:color w:val="FF0000"/>
                      <w:kern w:val="0"/>
                      <w:szCs w:val="21"/>
                      <w:highlight w:val="none"/>
                      <w:lang w:val="en-US" w:eastAsia="zh-CN"/>
                    </w:rPr>
                  </w:pPr>
                  <w:r>
                    <w:rPr>
                      <w:rFonts w:hint="eastAsia" w:eastAsia="宋体" w:cs="Times New Roman"/>
                      <w:b w:val="0"/>
                      <w:bCs w:val="0"/>
                      <w:color w:val="FF0000"/>
                      <w:kern w:val="0"/>
                      <w:szCs w:val="21"/>
                      <w:highlight w:val="none"/>
                      <w:lang w:val="en-US" w:eastAsia="zh-CN"/>
                    </w:rPr>
                    <w:t>0.9</w:t>
                  </w:r>
                </w:p>
              </w:tc>
              <w:tc>
                <w:tcPr>
                  <w:tcW w:w="983" w:type="pct"/>
                  <w:tcBorders>
                    <w:tl2br w:val="nil"/>
                    <w:tr2bl w:val="nil"/>
                  </w:tcBorders>
                  <w:noWrap w:val="0"/>
                  <w:vAlign w:val="center"/>
                </w:tcPr>
                <w:p w14:paraId="5548B011">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444.444</w:t>
                  </w:r>
                </w:p>
              </w:tc>
            </w:tr>
            <w:tr w14:paraId="550E23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5" w:hRule="atLeast"/>
                <w:jc w:val="center"/>
              </w:trPr>
              <w:tc>
                <w:tcPr>
                  <w:tcW w:w="1057" w:type="pct"/>
                  <w:vMerge w:val="continue"/>
                  <w:tcBorders>
                    <w:tl2br w:val="nil"/>
                    <w:tr2bl w:val="nil"/>
                  </w:tcBorders>
                  <w:noWrap w:val="0"/>
                  <w:vAlign w:val="center"/>
                </w:tcPr>
                <w:p w14:paraId="586A4625">
                  <w:pPr>
                    <w:jc w:val="center"/>
                    <w:rPr>
                      <w:rFonts w:hint="eastAsia" w:cs="Times New Roman"/>
                      <w:bCs/>
                      <w:color w:val="FF0000"/>
                      <w:kern w:val="0"/>
                      <w:szCs w:val="21"/>
                      <w:highlight w:val="none"/>
                      <w:lang w:val="en-US" w:eastAsia="zh-CN"/>
                    </w:rPr>
                  </w:pPr>
                </w:p>
              </w:tc>
              <w:tc>
                <w:tcPr>
                  <w:tcW w:w="963" w:type="pct"/>
                  <w:tcBorders>
                    <w:tl2br w:val="nil"/>
                    <w:tr2bl w:val="nil"/>
                  </w:tcBorders>
                  <w:noWrap w:val="0"/>
                  <w:vAlign w:val="center"/>
                </w:tcPr>
                <w:p w14:paraId="6FEE327D">
                  <w:pPr>
                    <w:pStyle w:val="66"/>
                    <w:autoSpaceDE w:val="0"/>
                    <w:autoSpaceDN w:val="0"/>
                    <w:jc w:val="center"/>
                    <w:rPr>
                      <w:rFonts w:hint="default" w:eastAsia="宋体" w:cs="Times New Roman"/>
                      <w:b w:val="0"/>
                      <w:bCs w:val="0"/>
                      <w:color w:val="FF0000"/>
                      <w:kern w:val="0"/>
                      <w:sz w:val="21"/>
                      <w:szCs w:val="21"/>
                      <w:highlight w:val="none"/>
                      <w:lang w:val="en-US" w:eastAsia="zh-CN"/>
                    </w:rPr>
                  </w:pPr>
                  <w:r>
                    <w:rPr>
                      <w:rFonts w:hint="eastAsia" w:eastAsia="宋体" w:cs="Times New Roman"/>
                      <w:b w:val="0"/>
                      <w:bCs w:val="0"/>
                      <w:color w:val="FF0000"/>
                      <w:kern w:val="0"/>
                      <w:sz w:val="21"/>
                      <w:szCs w:val="21"/>
                      <w:highlight w:val="none"/>
                      <w:lang w:val="en-US" w:eastAsia="zh-CN"/>
                    </w:rPr>
                    <w:t>氨</w:t>
                  </w:r>
                </w:p>
              </w:tc>
              <w:tc>
                <w:tcPr>
                  <w:tcW w:w="997" w:type="pct"/>
                  <w:tcBorders>
                    <w:tl2br w:val="nil"/>
                    <w:tr2bl w:val="nil"/>
                  </w:tcBorders>
                  <w:noWrap w:val="0"/>
                  <w:vAlign w:val="center"/>
                </w:tcPr>
                <w:p w14:paraId="0226EB81">
                  <w:pPr>
                    <w:jc w:val="center"/>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ascii="Times New Roman" w:hAnsi="Times New Roman" w:eastAsia="宋体" w:cs="Times New Roman"/>
                      <w:b w:val="0"/>
                      <w:bCs w:val="0"/>
                      <w:color w:val="FF0000"/>
                      <w:kern w:val="0"/>
                      <w:sz w:val="21"/>
                      <w:szCs w:val="21"/>
                      <w:highlight w:val="none"/>
                      <w:lang w:val="en-US" w:eastAsia="zh-CN" w:bidi="ar-SA"/>
                    </w:rPr>
                    <w:t>0.00</w:t>
                  </w:r>
                  <w:r>
                    <w:rPr>
                      <w:rFonts w:hint="eastAsia" w:cs="Times New Roman"/>
                      <w:b w:val="0"/>
                      <w:bCs w:val="0"/>
                      <w:color w:val="FF0000"/>
                      <w:kern w:val="0"/>
                      <w:sz w:val="21"/>
                      <w:szCs w:val="21"/>
                      <w:highlight w:val="none"/>
                      <w:lang w:val="en-US" w:eastAsia="zh-CN" w:bidi="ar-SA"/>
                    </w:rPr>
                    <w:t>05</w:t>
                  </w:r>
                </w:p>
              </w:tc>
              <w:tc>
                <w:tcPr>
                  <w:tcW w:w="997" w:type="pct"/>
                  <w:tcBorders>
                    <w:tl2br w:val="nil"/>
                    <w:tr2bl w:val="nil"/>
                  </w:tcBorders>
                  <w:noWrap w:val="0"/>
                  <w:vAlign w:val="center"/>
                </w:tcPr>
                <w:p w14:paraId="239D1529">
                  <w:pPr>
                    <w:jc w:val="center"/>
                    <w:rPr>
                      <w:rFonts w:hint="default" w:eastAsia="宋体" w:cs="Times New Roman"/>
                      <w:b w:val="0"/>
                      <w:bCs w:val="0"/>
                      <w:color w:val="FF0000"/>
                      <w:kern w:val="0"/>
                      <w:szCs w:val="21"/>
                      <w:highlight w:val="none"/>
                      <w:lang w:val="en-US" w:eastAsia="zh-CN"/>
                    </w:rPr>
                  </w:pPr>
                  <w:r>
                    <w:rPr>
                      <w:rFonts w:hint="eastAsia" w:eastAsia="宋体" w:cs="Times New Roman"/>
                      <w:b w:val="0"/>
                      <w:bCs w:val="0"/>
                      <w:color w:val="FF0000"/>
                      <w:kern w:val="0"/>
                      <w:szCs w:val="21"/>
                      <w:highlight w:val="none"/>
                      <w:lang w:val="en-US" w:eastAsia="zh-CN"/>
                    </w:rPr>
                    <w:t>0.2</w:t>
                  </w:r>
                </w:p>
              </w:tc>
              <w:tc>
                <w:tcPr>
                  <w:tcW w:w="983" w:type="pct"/>
                  <w:tcBorders>
                    <w:tl2br w:val="nil"/>
                    <w:tr2bl w:val="nil"/>
                  </w:tcBorders>
                  <w:noWrap w:val="0"/>
                  <w:vAlign w:val="center"/>
                </w:tcPr>
                <w:p w14:paraId="088E3872">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highlight w:val="none"/>
                      <w:lang w:val="en-US" w:eastAsia="zh-CN"/>
                    </w:rPr>
                  </w:pPr>
                  <w:r>
                    <w:rPr>
                      <w:rFonts w:hint="eastAsia" w:cs="Times New Roman"/>
                      <w:color w:val="FF0000"/>
                      <w:kern w:val="0"/>
                      <w:sz w:val="21"/>
                      <w:szCs w:val="21"/>
                      <w:highlight w:val="none"/>
                      <w:lang w:val="en-US" w:eastAsia="zh-CN"/>
                    </w:rPr>
                    <w:t>2500</w:t>
                  </w:r>
                </w:p>
              </w:tc>
            </w:tr>
            <w:tr w14:paraId="4D47FB3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057" w:type="pct"/>
                  <w:vMerge w:val="continue"/>
                  <w:tcBorders>
                    <w:tl2br w:val="nil"/>
                    <w:tr2bl w:val="nil"/>
                  </w:tcBorders>
                  <w:noWrap w:val="0"/>
                  <w:vAlign w:val="center"/>
                </w:tcPr>
                <w:p w14:paraId="540138A1">
                  <w:pPr>
                    <w:jc w:val="center"/>
                    <w:rPr>
                      <w:rFonts w:hint="eastAsia" w:cs="Times New Roman"/>
                      <w:bCs/>
                      <w:color w:val="FF0000"/>
                      <w:kern w:val="0"/>
                      <w:szCs w:val="21"/>
                      <w:highlight w:val="none"/>
                      <w:lang w:val="en-US" w:eastAsia="zh-CN"/>
                    </w:rPr>
                  </w:pPr>
                </w:p>
              </w:tc>
              <w:tc>
                <w:tcPr>
                  <w:tcW w:w="963" w:type="pct"/>
                  <w:tcBorders>
                    <w:tl2br w:val="nil"/>
                    <w:tr2bl w:val="nil"/>
                  </w:tcBorders>
                  <w:noWrap w:val="0"/>
                  <w:vAlign w:val="center"/>
                </w:tcPr>
                <w:p w14:paraId="1E7E6C21">
                  <w:pPr>
                    <w:keepNext w:val="0"/>
                    <w:keepLines w:val="0"/>
                    <w:widowControl/>
                    <w:suppressLineNumbers w:val="0"/>
                    <w:spacing w:line="240" w:lineRule="auto"/>
                    <w:jc w:val="center"/>
                    <w:textAlignment w:val="center"/>
                    <w:rPr>
                      <w:rFonts w:hint="eastAsia" w:cs="Times New Roman"/>
                      <w:b w:val="0"/>
                      <w:bCs w:val="0"/>
                      <w:color w:val="FF0000"/>
                      <w:kern w:val="0"/>
                      <w:sz w:val="21"/>
                      <w:szCs w:val="21"/>
                      <w:highlight w:val="none"/>
                    </w:rPr>
                  </w:pPr>
                  <w:r>
                    <w:rPr>
                      <w:b w:val="0"/>
                      <w:bCs w:val="0"/>
                      <w:color w:val="FF0000"/>
                      <w:sz w:val="21"/>
                      <w:szCs w:val="21"/>
                      <w:highlight w:val="none"/>
                    </w:rPr>
                    <w:t>非甲烷总烃</w:t>
                  </w:r>
                </w:p>
              </w:tc>
              <w:tc>
                <w:tcPr>
                  <w:tcW w:w="997" w:type="pct"/>
                  <w:tcBorders>
                    <w:tl2br w:val="nil"/>
                    <w:tr2bl w:val="nil"/>
                  </w:tcBorders>
                  <w:noWrap w:val="0"/>
                  <w:vAlign w:val="center"/>
                </w:tcPr>
                <w:p w14:paraId="15BD75ED">
                  <w:pPr>
                    <w:keepNext w:val="0"/>
                    <w:keepLines w:val="0"/>
                    <w:widowControl/>
                    <w:suppressLineNumbers w:val="0"/>
                    <w:jc w:val="center"/>
                    <w:textAlignment w:val="center"/>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ascii="Times New Roman" w:hAnsi="Times New Roman" w:eastAsia="宋体" w:cs="Times New Roman"/>
                      <w:b w:val="0"/>
                      <w:bCs w:val="0"/>
                      <w:color w:val="FF0000"/>
                      <w:kern w:val="0"/>
                      <w:sz w:val="21"/>
                      <w:szCs w:val="21"/>
                      <w:highlight w:val="none"/>
                      <w:lang w:val="en-US" w:eastAsia="zh-CN" w:bidi="ar-SA"/>
                    </w:rPr>
                    <w:t>0.0</w:t>
                  </w:r>
                  <w:r>
                    <w:rPr>
                      <w:rFonts w:hint="eastAsia" w:cs="Times New Roman"/>
                      <w:b w:val="0"/>
                      <w:bCs w:val="0"/>
                      <w:color w:val="FF0000"/>
                      <w:kern w:val="0"/>
                      <w:sz w:val="21"/>
                      <w:szCs w:val="21"/>
                      <w:highlight w:val="none"/>
                      <w:lang w:val="en-US" w:eastAsia="zh-CN" w:bidi="ar-SA"/>
                    </w:rPr>
                    <w:t>65</w:t>
                  </w:r>
                </w:p>
              </w:tc>
              <w:tc>
                <w:tcPr>
                  <w:tcW w:w="997" w:type="pct"/>
                  <w:tcBorders>
                    <w:tl2br w:val="nil"/>
                    <w:tr2bl w:val="nil"/>
                  </w:tcBorders>
                  <w:noWrap w:val="0"/>
                  <w:vAlign w:val="center"/>
                </w:tcPr>
                <w:p w14:paraId="6E9F3556">
                  <w:pPr>
                    <w:pStyle w:val="66"/>
                    <w:autoSpaceDE w:val="0"/>
                    <w:autoSpaceDN w:val="0"/>
                    <w:jc w:val="center"/>
                    <w:rPr>
                      <w:rFonts w:hint="default" w:eastAsia="宋体" w:cs="Times New Roman"/>
                      <w:b w:val="0"/>
                      <w:bCs w:val="0"/>
                      <w:color w:val="FF0000"/>
                      <w:kern w:val="0"/>
                      <w:szCs w:val="21"/>
                      <w:highlight w:val="none"/>
                      <w:lang w:val="en-US" w:eastAsia="zh-CN"/>
                    </w:rPr>
                  </w:pPr>
                  <w:r>
                    <w:rPr>
                      <w:rFonts w:hint="eastAsia" w:cs="Times New Roman"/>
                      <w:b w:val="0"/>
                      <w:bCs w:val="0"/>
                      <w:color w:val="FF0000"/>
                      <w:kern w:val="0"/>
                      <w:szCs w:val="21"/>
                      <w:highlight w:val="none"/>
                      <w:lang w:val="en-US" w:eastAsia="zh-CN"/>
                    </w:rPr>
                    <w:t>2.0</w:t>
                  </w:r>
                </w:p>
              </w:tc>
              <w:tc>
                <w:tcPr>
                  <w:tcW w:w="983" w:type="pct"/>
                  <w:tcBorders>
                    <w:tl2br w:val="nil"/>
                    <w:tr2bl w:val="nil"/>
                  </w:tcBorders>
                  <w:noWrap w:val="0"/>
                  <w:vAlign w:val="center"/>
                </w:tcPr>
                <w:p w14:paraId="3001A107">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highlight w:val="none"/>
                      <w:lang w:val="en-US" w:eastAsia="zh-CN"/>
                    </w:rPr>
                  </w:pPr>
                  <w:r>
                    <w:rPr>
                      <w:rFonts w:hint="eastAsia" w:cs="Times New Roman"/>
                      <w:color w:val="FF0000"/>
                      <w:kern w:val="0"/>
                      <w:sz w:val="21"/>
                      <w:szCs w:val="21"/>
                      <w:highlight w:val="none"/>
                      <w:lang w:val="en-US" w:eastAsia="zh-CN"/>
                    </w:rPr>
                    <w:t>325</w:t>
                  </w:r>
                  <w:r>
                    <w:rPr>
                      <w:rFonts w:hint="eastAsia" w:ascii="Times New Roman" w:hAnsi="Times New Roman" w:eastAsia="宋体" w:cs="Times New Roman"/>
                      <w:color w:val="FF0000"/>
                      <w:kern w:val="0"/>
                      <w:sz w:val="21"/>
                      <w:szCs w:val="21"/>
                      <w:highlight w:val="none"/>
                      <w:lang w:val="en-US" w:eastAsia="zh-CN"/>
                    </w:rPr>
                    <w:t>00</w:t>
                  </w:r>
                </w:p>
              </w:tc>
            </w:tr>
            <w:tr w14:paraId="5577F33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2" w:hRule="atLeast"/>
                <w:jc w:val="center"/>
              </w:trPr>
              <w:tc>
                <w:tcPr>
                  <w:tcW w:w="1057" w:type="pct"/>
                  <w:tcBorders>
                    <w:tl2br w:val="nil"/>
                    <w:tr2bl w:val="nil"/>
                  </w:tcBorders>
                  <w:noWrap w:val="0"/>
                  <w:vAlign w:val="center"/>
                </w:tcPr>
                <w:p w14:paraId="0C3E114A">
                  <w:pPr>
                    <w:jc w:val="center"/>
                    <w:rPr>
                      <w:rFonts w:hint="default" w:cs="Times New Roman"/>
                      <w:bCs/>
                      <w:color w:val="FF0000"/>
                      <w:kern w:val="0"/>
                      <w:szCs w:val="21"/>
                      <w:highlight w:val="none"/>
                      <w:lang w:val="en-US" w:eastAsia="zh-CN"/>
                    </w:rPr>
                  </w:pPr>
                  <w:r>
                    <w:rPr>
                      <w:rFonts w:hint="eastAsia" w:cs="Times New Roman"/>
                      <w:bCs/>
                      <w:color w:val="FF0000"/>
                      <w:kern w:val="0"/>
                      <w:szCs w:val="21"/>
                      <w:highlight w:val="none"/>
                      <w:lang w:val="en-US" w:eastAsia="zh-CN"/>
                    </w:rPr>
                    <w:t>二车间</w:t>
                  </w:r>
                </w:p>
              </w:tc>
              <w:tc>
                <w:tcPr>
                  <w:tcW w:w="963" w:type="pct"/>
                  <w:tcBorders>
                    <w:tl2br w:val="nil"/>
                    <w:tr2bl w:val="nil"/>
                  </w:tcBorders>
                  <w:noWrap w:val="0"/>
                  <w:vAlign w:val="center"/>
                </w:tcPr>
                <w:p w14:paraId="7C53A12F">
                  <w:pPr>
                    <w:keepNext w:val="0"/>
                    <w:keepLines w:val="0"/>
                    <w:widowControl/>
                    <w:suppressLineNumbers w:val="0"/>
                    <w:spacing w:line="240" w:lineRule="auto"/>
                    <w:jc w:val="center"/>
                    <w:textAlignment w:val="center"/>
                    <w:rPr>
                      <w:b w:val="0"/>
                      <w:bCs w:val="0"/>
                      <w:color w:val="FF0000"/>
                      <w:sz w:val="21"/>
                      <w:szCs w:val="21"/>
                      <w:highlight w:val="none"/>
                    </w:rPr>
                  </w:pPr>
                  <w:r>
                    <w:rPr>
                      <w:b w:val="0"/>
                      <w:bCs w:val="0"/>
                      <w:color w:val="FF0000"/>
                      <w:sz w:val="21"/>
                      <w:szCs w:val="21"/>
                      <w:highlight w:val="none"/>
                    </w:rPr>
                    <w:t>非甲烷总烃</w:t>
                  </w:r>
                </w:p>
              </w:tc>
              <w:tc>
                <w:tcPr>
                  <w:tcW w:w="997" w:type="pct"/>
                  <w:tcBorders>
                    <w:tl2br w:val="nil"/>
                    <w:tr2bl w:val="nil"/>
                  </w:tcBorders>
                  <w:noWrap w:val="0"/>
                  <w:vAlign w:val="center"/>
                </w:tcPr>
                <w:p w14:paraId="347F49D2">
                  <w:pPr>
                    <w:keepNext w:val="0"/>
                    <w:keepLines w:val="0"/>
                    <w:widowControl/>
                    <w:suppressLineNumbers w:val="0"/>
                    <w:jc w:val="center"/>
                    <w:textAlignment w:val="center"/>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cs="Times New Roman"/>
                      <w:b w:val="0"/>
                      <w:bCs w:val="0"/>
                      <w:color w:val="FF0000"/>
                      <w:kern w:val="0"/>
                      <w:sz w:val="21"/>
                      <w:szCs w:val="21"/>
                      <w:highlight w:val="none"/>
                      <w:lang w:val="en-US" w:eastAsia="zh-CN" w:bidi="ar-SA"/>
                    </w:rPr>
                    <w:t>0.002</w:t>
                  </w:r>
                </w:p>
              </w:tc>
              <w:tc>
                <w:tcPr>
                  <w:tcW w:w="997" w:type="pct"/>
                  <w:tcBorders>
                    <w:tl2br w:val="nil"/>
                    <w:tr2bl w:val="nil"/>
                  </w:tcBorders>
                  <w:noWrap w:val="0"/>
                  <w:vAlign w:val="center"/>
                </w:tcPr>
                <w:p w14:paraId="3EF9F43C">
                  <w:pPr>
                    <w:pStyle w:val="66"/>
                    <w:autoSpaceDE w:val="0"/>
                    <w:autoSpaceDN w:val="0"/>
                    <w:jc w:val="center"/>
                    <w:rPr>
                      <w:rFonts w:hint="eastAsia" w:cs="Times New Roman"/>
                      <w:b w:val="0"/>
                      <w:bCs w:val="0"/>
                      <w:color w:val="FF0000"/>
                      <w:kern w:val="0"/>
                      <w:szCs w:val="21"/>
                      <w:highlight w:val="none"/>
                      <w:lang w:val="en-US" w:eastAsia="zh-CN"/>
                    </w:rPr>
                  </w:pPr>
                  <w:r>
                    <w:rPr>
                      <w:rFonts w:hint="eastAsia" w:cs="Times New Roman"/>
                      <w:b w:val="0"/>
                      <w:bCs w:val="0"/>
                      <w:color w:val="FF0000"/>
                      <w:kern w:val="0"/>
                      <w:szCs w:val="21"/>
                      <w:highlight w:val="none"/>
                      <w:lang w:val="en-US" w:eastAsia="zh-CN"/>
                    </w:rPr>
                    <w:t>2.0</w:t>
                  </w:r>
                </w:p>
              </w:tc>
              <w:tc>
                <w:tcPr>
                  <w:tcW w:w="983" w:type="pct"/>
                  <w:tcBorders>
                    <w:tl2br w:val="nil"/>
                    <w:tr2bl w:val="nil"/>
                  </w:tcBorders>
                  <w:noWrap w:val="0"/>
                  <w:vAlign w:val="center"/>
                </w:tcPr>
                <w:p w14:paraId="742DE7C5">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highlight w:val="none"/>
                      <w:lang w:val="en-US" w:eastAsia="zh-CN"/>
                    </w:rPr>
                  </w:pPr>
                  <w:r>
                    <w:rPr>
                      <w:rFonts w:hint="eastAsia" w:cs="Times New Roman"/>
                      <w:color w:val="FF0000"/>
                      <w:kern w:val="0"/>
                      <w:sz w:val="21"/>
                      <w:szCs w:val="21"/>
                      <w:highlight w:val="none"/>
                      <w:lang w:val="en-US" w:eastAsia="zh-CN"/>
                    </w:rPr>
                    <w:t>1000</w:t>
                  </w:r>
                </w:p>
              </w:tc>
            </w:tr>
          </w:tbl>
          <w:p w14:paraId="2DFE3F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shd w:val="clear" w:color="auto" w:fill="auto"/>
                <w:lang w:val="en-GB"/>
              </w:rPr>
            </w:pPr>
            <w:r>
              <w:rPr>
                <w:rFonts w:hint="eastAsia" w:ascii="Times New Roman" w:hAnsi="Times New Roman" w:eastAsia="宋体" w:cs="Times New Roman"/>
                <w:b w:val="0"/>
                <w:bCs w:val="0"/>
                <w:color w:val="FF0000"/>
                <w:sz w:val="24"/>
                <w:szCs w:val="24"/>
                <w:highlight w:val="none"/>
                <w:shd w:val="clear" w:color="auto" w:fill="auto"/>
                <w:lang w:val="en-US" w:eastAsia="zh-CN"/>
              </w:rPr>
              <w:t>（2）</w:t>
            </w:r>
            <w:r>
              <w:rPr>
                <w:rFonts w:hint="default" w:ascii="Times New Roman" w:hAnsi="Times New Roman" w:eastAsia="宋体" w:cs="Times New Roman"/>
                <w:color w:val="FF0000"/>
                <w:sz w:val="24"/>
                <w:szCs w:val="24"/>
                <w:highlight w:val="none"/>
                <w:shd w:val="clear" w:color="auto" w:fill="auto"/>
                <w:lang w:val="en-GB"/>
              </w:rPr>
              <w:t>卫生防护距离</w:t>
            </w:r>
          </w:p>
          <w:p w14:paraId="1E169E2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shd w:val="clear" w:color="auto" w:fill="auto"/>
              </w:rPr>
            </w:pPr>
            <w:r>
              <w:rPr>
                <w:rFonts w:hint="default" w:ascii="Times New Roman" w:hAnsi="Times New Roman" w:eastAsia="宋体" w:cs="Times New Roman"/>
                <w:color w:val="FF0000"/>
                <w:sz w:val="24"/>
                <w:szCs w:val="24"/>
                <w:highlight w:val="none"/>
                <w:shd w:val="clear" w:color="auto" w:fill="auto"/>
              </w:rPr>
              <w:t>厂址处年平均风速为</w:t>
            </w:r>
            <w:r>
              <w:rPr>
                <w:rFonts w:hint="eastAsia" w:ascii="Times New Roman" w:hAnsi="Times New Roman" w:eastAsia="宋体" w:cs="Times New Roman"/>
                <w:color w:val="FF0000"/>
                <w:sz w:val="24"/>
                <w:szCs w:val="24"/>
                <w:highlight w:val="none"/>
                <w:shd w:val="clear" w:color="auto" w:fill="auto"/>
                <w:lang w:val="en-US" w:eastAsia="zh-CN"/>
              </w:rPr>
              <w:t>2.5</w:t>
            </w:r>
            <w:r>
              <w:rPr>
                <w:rFonts w:hint="default" w:ascii="Times New Roman" w:hAnsi="Times New Roman" w:eastAsia="宋体" w:cs="Times New Roman"/>
                <w:color w:val="FF0000"/>
                <w:sz w:val="24"/>
                <w:szCs w:val="24"/>
                <w:highlight w:val="none"/>
                <w:shd w:val="clear" w:color="auto" w:fill="auto"/>
              </w:rPr>
              <w:t>m/s。</w:t>
            </w:r>
            <w:r>
              <w:rPr>
                <w:rFonts w:hint="default" w:ascii="Times New Roman" w:hAnsi="Times New Roman" w:eastAsia="宋体" w:cs="Times New Roman"/>
                <w:color w:val="FF0000"/>
                <w:sz w:val="24"/>
                <w:szCs w:val="24"/>
                <w:highlight w:val="none"/>
                <w:shd w:val="clear" w:color="auto" w:fill="auto"/>
                <w:lang w:val="en-US" w:eastAsia="zh-CN"/>
              </w:rPr>
              <w:t>根据《大气有害物质无组织排放卫生防护距离推导技术导则GB/T39499-2020》的有关规定，确定项目车间的卫生防护距离的计算公式为：</w:t>
            </w:r>
          </w:p>
          <w:p w14:paraId="709F663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baseline"/>
              <w:rPr>
                <w:rFonts w:ascii="Times New Roman" w:hAnsi="Times New Roman" w:eastAsia="宋体" w:cs="Times New Roman"/>
                <w:color w:val="FF0000"/>
                <w:sz w:val="24"/>
                <w:szCs w:val="24"/>
                <w:highlight w:val="none"/>
                <w:shd w:val="clear" w:color="auto" w:fill="auto"/>
              </w:rPr>
            </w:pPr>
            <w:r>
              <w:rPr>
                <w:rFonts w:ascii="Times New Roman" w:hAnsi="Times New Roman" w:eastAsia="宋体" w:cs="Times New Roman"/>
                <w:color w:val="FF0000"/>
                <w:sz w:val="24"/>
                <w:szCs w:val="24"/>
                <w:highlight w:val="none"/>
                <w:shd w:val="clear" w:color="auto" w:fill="auto"/>
              </w:rPr>
              <w:object>
                <v:shape id="_x0000_i1052" o:spt="75" type="#_x0000_t75" style="height:33.75pt;width:135.8pt;" o:ole="t" filled="f" o:preferrelative="t" stroked="f" coordsize="21600,21600">
                  <v:path/>
                  <v:fill on="f" focussize="0,0"/>
                  <v:stroke on="f"/>
                  <v:imagedata r:id="rId71" o:title=""/>
                  <o:lock v:ext="edit" grouping="f" rotation="f" text="f" aspectratio="t"/>
                  <w10:wrap type="none"/>
                  <w10:anchorlock/>
                </v:shape>
                <o:OLEObject Type="Embed" ProgID="Equation.DSMT4" ShapeID="_x0000_i1052" DrawAspect="Content" ObjectID="_1468075752" r:id="rId70">
                  <o:LockedField>false</o:LockedField>
                </o:OLEObject>
              </w:object>
            </w:r>
          </w:p>
          <w:p w14:paraId="448A7919">
            <w:pPr>
              <w:keepNext w:val="0"/>
              <w:keepLines w:val="0"/>
              <w:pageBreakBefore w:val="0"/>
              <w:widowControl/>
              <w:kinsoku/>
              <w:wordWrap/>
              <w:overflowPunct w:val="0"/>
              <w:topLinePunct/>
              <w:autoSpaceDE w:val="0"/>
              <w:autoSpaceDN/>
              <w:bidi w:val="0"/>
              <w:adjustRightInd/>
              <w:snapToGrid/>
              <w:spacing w:line="360" w:lineRule="auto"/>
              <w:ind w:firstLine="480" w:firstLineChars="200"/>
              <w:textAlignment w:val="baseline"/>
              <w:rPr>
                <w:rFonts w:ascii="Times New Roman" w:hAnsi="Times New Roman" w:eastAsia="宋体" w:cs="Times New Roman"/>
                <w:bCs/>
                <w:snapToGrid w:val="0"/>
                <w:color w:val="FF0000"/>
                <w:sz w:val="24"/>
                <w:szCs w:val="24"/>
                <w:highlight w:val="none"/>
                <w:shd w:val="clear" w:color="auto" w:fill="auto"/>
              </w:rPr>
            </w:pPr>
            <w:r>
              <w:rPr>
                <w:rFonts w:ascii="Times New Roman" w:hAnsi="Times New Roman" w:eastAsia="宋体" w:cs="Times New Roman"/>
                <w:bCs/>
                <w:snapToGrid w:val="0"/>
                <w:color w:val="FF0000"/>
                <w:sz w:val="24"/>
                <w:szCs w:val="24"/>
                <w:highlight w:val="none"/>
                <w:shd w:val="clear" w:color="auto" w:fill="auto"/>
              </w:rPr>
              <w:t>式中：Q</w:t>
            </w:r>
            <w:r>
              <w:rPr>
                <w:rFonts w:ascii="Times New Roman" w:hAnsi="Times New Roman" w:eastAsia="宋体" w:cs="Times New Roman"/>
                <w:bCs/>
                <w:snapToGrid w:val="0"/>
                <w:color w:val="FF0000"/>
                <w:sz w:val="24"/>
                <w:szCs w:val="24"/>
                <w:highlight w:val="none"/>
                <w:shd w:val="clear" w:color="auto" w:fill="auto"/>
                <w:vertAlign w:val="subscript"/>
              </w:rPr>
              <w:t>c</w:t>
            </w:r>
            <w:r>
              <w:rPr>
                <w:rFonts w:hint="eastAsia" w:ascii="宋体" w:hAnsi="宋体" w:eastAsia="宋体" w:cs="宋体"/>
                <w:bCs/>
                <w:snapToGrid w:val="0"/>
                <w:color w:val="FF0000"/>
                <w:sz w:val="24"/>
                <w:szCs w:val="24"/>
                <w:highlight w:val="none"/>
                <w:shd w:val="clear" w:color="auto" w:fill="auto"/>
              </w:rPr>
              <w:t>——</w:t>
            </w:r>
            <w:r>
              <w:rPr>
                <w:rFonts w:ascii="Times New Roman" w:hAnsi="Times New Roman" w:eastAsia="宋体" w:cs="Times New Roman"/>
                <w:bCs/>
                <w:snapToGrid w:val="0"/>
                <w:color w:val="FF0000"/>
                <w:sz w:val="24"/>
                <w:szCs w:val="24"/>
                <w:highlight w:val="none"/>
                <w:shd w:val="clear" w:color="auto" w:fill="auto"/>
              </w:rPr>
              <w:t>污染物无组织排放量，kg/h；</w:t>
            </w:r>
          </w:p>
          <w:p w14:paraId="33A0851A">
            <w:pPr>
              <w:keepNext w:val="0"/>
              <w:keepLines w:val="0"/>
              <w:pageBreakBefore w:val="0"/>
              <w:widowControl/>
              <w:kinsoku/>
              <w:wordWrap/>
              <w:overflowPunct w:val="0"/>
              <w:topLinePunct/>
              <w:autoSpaceDE w:val="0"/>
              <w:autoSpaceDN/>
              <w:bidi w:val="0"/>
              <w:adjustRightInd/>
              <w:snapToGrid/>
              <w:spacing w:line="360" w:lineRule="auto"/>
              <w:ind w:firstLine="1200" w:firstLineChars="500"/>
              <w:textAlignment w:val="baseline"/>
              <w:rPr>
                <w:rFonts w:ascii="Times New Roman" w:hAnsi="Times New Roman" w:eastAsia="宋体" w:cs="Times New Roman"/>
                <w:bCs/>
                <w:snapToGrid w:val="0"/>
                <w:color w:val="FF0000"/>
                <w:sz w:val="24"/>
                <w:szCs w:val="24"/>
                <w:highlight w:val="none"/>
                <w:shd w:val="clear" w:color="auto" w:fill="auto"/>
              </w:rPr>
            </w:pPr>
            <w:r>
              <w:rPr>
                <w:rFonts w:ascii="Times New Roman" w:hAnsi="Times New Roman" w:eastAsia="宋体" w:cs="Times New Roman"/>
                <w:bCs/>
                <w:snapToGrid w:val="0"/>
                <w:color w:val="FF0000"/>
                <w:sz w:val="24"/>
                <w:szCs w:val="24"/>
                <w:highlight w:val="none"/>
                <w:shd w:val="clear" w:color="auto" w:fill="auto"/>
              </w:rPr>
              <w:t>C</w:t>
            </w:r>
            <w:r>
              <w:rPr>
                <w:rFonts w:ascii="Times New Roman" w:hAnsi="Times New Roman" w:eastAsia="宋体" w:cs="Times New Roman"/>
                <w:bCs/>
                <w:snapToGrid w:val="0"/>
                <w:color w:val="FF0000"/>
                <w:sz w:val="24"/>
                <w:szCs w:val="24"/>
                <w:highlight w:val="none"/>
                <w:shd w:val="clear" w:color="auto" w:fill="auto"/>
                <w:vertAlign w:val="subscript"/>
              </w:rPr>
              <w:t>m</w:t>
            </w:r>
            <w:r>
              <w:rPr>
                <w:rFonts w:hint="eastAsia" w:ascii="宋体" w:hAnsi="宋体" w:eastAsia="宋体" w:cs="宋体"/>
                <w:bCs/>
                <w:snapToGrid w:val="0"/>
                <w:color w:val="FF0000"/>
                <w:sz w:val="24"/>
                <w:szCs w:val="24"/>
                <w:highlight w:val="none"/>
                <w:shd w:val="clear" w:color="auto" w:fill="auto"/>
              </w:rPr>
              <w:t>——</w:t>
            </w:r>
            <w:r>
              <w:rPr>
                <w:rFonts w:ascii="Times New Roman" w:hAnsi="Times New Roman" w:eastAsia="宋体" w:cs="Times New Roman"/>
                <w:bCs/>
                <w:snapToGrid w:val="0"/>
                <w:color w:val="FF0000"/>
                <w:sz w:val="24"/>
                <w:szCs w:val="24"/>
                <w:highlight w:val="none"/>
                <w:shd w:val="clear" w:color="auto" w:fill="auto"/>
              </w:rPr>
              <w:t>标准浓度限值，mg/Nm</w:t>
            </w:r>
            <w:r>
              <w:rPr>
                <w:rFonts w:ascii="Times New Roman" w:hAnsi="Times New Roman" w:eastAsia="宋体" w:cs="Times New Roman"/>
                <w:bCs/>
                <w:snapToGrid w:val="0"/>
                <w:color w:val="FF0000"/>
                <w:sz w:val="24"/>
                <w:szCs w:val="24"/>
                <w:highlight w:val="none"/>
                <w:shd w:val="clear" w:color="auto" w:fill="auto"/>
                <w:vertAlign w:val="superscript"/>
              </w:rPr>
              <w:t>3</w:t>
            </w:r>
            <w:r>
              <w:rPr>
                <w:rFonts w:ascii="Times New Roman" w:hAnsi="Times New Roman" w:eastAsia="宋体" w:cs="Times New Roman"/>
                <w:bCs/>
                <w:snapToGrid w:val="0"/>
                <w:color w:val="FF0000"/>
                <w:sz w:val="24"/>
                <w:szCs w:val="24"/>
                <w:highlight w:val="none"/>
                <w:shd w:val="clear" w:color="auto" w:fill="auto"/>
              </w:rPr>
              <w:t>；</w:t>
            </w:r>
          </w:p>
          <w:p w14:paraId="3B7F7190">
            <w:pPr>
              <w:keepNext w:val="0"/>
              <w:keepLines w:val="0"/>
              <w:pageBreakBefore w:val="0"/>
              <w:widowControl/>
              <w:kinsoku/>
              <w:wordWrap/>
              <w:overflowPunct w:val="0"/>
              <w:topLinePunct/>
              <w:autoSpaceDE w:val="0"/>
              <w:autoSpaceDN/>
              <w:bidi w:val="0"/>
              <w:adjustRightInd/>
              <w:snapToGrid/>
              <w:spacing w:line="360" w:lineRule="auto"/>
              <w:ind w:firstLine="1200" w:firstLineChars="500"/>
              <w:textAlignment w:val="baseline"/>
              <w:rPr>
                <w:rFonts w:ascii="Times New Roman" w:hAnsi="Times New Roman" w:eastAsia="宋体" w:cs="Times New Roman"/>
                <w:bCs/>
                <w:snapToGrid w:val="0"/>
                <w:color w:val="FF0000"/>
                <w:sz w:val="24"/>
                <w:szCs w:val="24"/>
                <w:highlight w:val="none"/>
                <w:shd w:val="clear" w:color="auto" w:fill="auto"/>
              </w:rPr>
            </w:pPr>
            <w:r>
              <w:rPr>
                <w:rFonts w:ascii="Times New Roman" w:hAnsi="Times New Roman" w:eastAsia="宋体" w:cs="Times New Roman"/>
                <w:bCs/>
                <w:snapToGrid w:val="0"/>
                <w:color w:val="FF0000"/>
                <w:sz w:val="24"/>
                <w:szCs w:val="24"/>
                <w:highlight w:val="none"/>
                <w:shd w:val="clear" w:color="auto" w:fill="auto"/>
              </w:rPr>
              <w:t>L</w:t>
            </w:r>
            <w:r>
              <w:rPr>
                <w:rFonts w:hint="eastAsia" w:ascii="宋体" w:hAnsi="宋体" w:eastAsia="宋体" w:cs="宋体"/>
                <w:bCs/>
                <w:snapToGrid w:val="0"/>
                <w:color w:val="FF0000"/>
                <w:sz w:val="24"/>
                <w:szCs w:val="24"/>
                <w:highlight w:val="none"/>
                <w:shd w:val="clear" w:color="auto" w:fill="auto"/>
              </w:rPr>
              <w:t>——</w:t>
            </w:r>
            <w:r>
              <w:rPr>
                <w:rFonts w:ascii="Times New Roman" w:hAnsi="Times New Roman" w:eastAsia="宋体" w:cs="Times New Roman"/>
                <w:bCs/>
                <w:snapToGrid w:val="0"/>
                <w:color w:val="FF0000"/>
                <w:sz w:val="24"/>
                <w:szCs w:val="24"/>
                <w:highlight w:val="none"/>
                <w:shd w:val="clear" w:color="auto" w:fill="auto"/>
              </w:rPr>
              <w:t>卫生防护距离，m；</w:t>
            </w:r>
          </w:p>
          <w:p w14:paraId="4548C7CB">
            <w:pPr>
              <w:keepNext w:val="0"/>
              <w:keepLines w:val="0"/>
              <w:pageBreakBefore w:val="0"/>
              <w:widowControl/>
              <w:kinsoku/>
              <w:wordWrap/>
              <w:overflowPunct w:val="0"/>
              <w:topLinePunct/>
              <w:autoSpaceDE w:val="0"/>
              <w:autoSpaceDN/>
              <w:bidi w:val="0"/>
              <w:adjustRightInd/>
              <w:snapToGrid/>
              <w:spacing w:line="360" w:lineRule="auto"/>
              <w:ind w:firstLine="1200" w:firstLineChars="500"/>
              <w:textAlignment w:val="baseline"/>
              <w:rPr>
                <w:rFonts w:ascii="Times New Roman" w:hAnsi="Times New Roman" w:eastAsia="宋体" w:cs="Times New Roman"/>
                <w:bCs/>
                <w:snapToGrid w:val="0"/>
                <w:color w:val="FF0000"/>
                <w:sz w:val="24"/>
                <w:szCs w:val="24"/>
                <w:highlight w:val="none"/>
                <w:shd w:val="clear" w:color="auto" w:fill="auto"/>
              </w:rPr>
            </w:pPr>
            <w:r>
              <w:rPr>
                <w:rFonts w:ascii="Times New Roman" w:hAnsi="Times New Roman" w:eastAsia="宋体" w:cs="Times New Roman"/>
                <w:bCs/>
                <w:snapToGrid w:val="0"/>
                <w:color w:val="FF0000"/>
                <w:sz w:val="24"/>
                <w:szCs w:val="24"/>
                <w:highlight w:val="none"/>
                <w:shd w:val="clear" w:color="auto" w:fill="auto"/>
              </w:rPr>
              <w:t>r</w:t>
            </w:r>
            <w:r>
              <w:rPr>
                <w:rFonts w:hint="eastAsia" w:ascii="宋体" w:hAnsi="宋体" w:eastAsia="宋体" w:cs="宋体"/>
                <w:bCs/>
                <w:snapToGrid w:val="0"/>
                <w:color w:val="FF0000"/>
                <w:sz w:val="24"/>
                <w:szCs w:val="24"/>
                <w:highlight w:val="none"/>
                <w:shd w:val="clear" w:color="auto" w:fill="auto"/>
              </w:rPr>
              <w:t>——</w:t>
            </w:r>
            <w:r>
              <w:rPr>
                <w:rFonts w:ascii="Times New Roman" w:hAnsi="Times New Roman" w:eastAsia="宋体" w:cs="Times New Roman"/>
                <w:bCs/>
                <w:snapToGrid w:val="0"/>
                <w:color w:val="FF0000"/>
                <w:sz w:val="24"/>
                <w:szCs w:val="24"/>
                <w:highlight w:val="none"/>
                <w:shd w:val="clear" w:color="auto" w:fill="auto"/>
              </w:rPr>
              <w:t>污染物无组织排放源所在生产单元的等效半径，m；</w:t>
            </w:r>
          </w:p>
          <w:p w14:paraId="1CDF4039">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bCs/>
                <w:color w:val="FF0000"/>
                <w:spacing w:val="-10"/>
                <w:sz w:val="24"/>
                <w:szCs w:val="24"/>
                <w:highlight w:val="none"/>
                <w:vertAlign w:val="baseline"/>
              </w:rPr>
            </w:pPr>
            <w:r>
              <w:rPr>
                <w:rFonts w:hint="eastAsia" w:ascii="Times New Roman" w:hAnsi="Times New Roman" w:eastAsia="宋体" w:cs="Times New Roman"/>
                <w:bCs/>
                <w:snapToGrid w:val="0"/>
                <w:color w:val="FF0000"/>
                <w:sz w:val="24"/>
                <w:szCs w:val="24"/>
                <w:highlight w:val="none"/>
                <w:shd w:val="clear" w:color="auto" w:fill="auto"/>
                <w:lang w:val="en-US" w:eastAsia="zh-CN"/>
              </w:rPr>
              <w:t>A，B</w:t>
            </w:r>
            <w:r>
              <w:rPr>
                <w:rFonts w:ascii="Times New Roman" w:hAnsi="Times New Roman" w:eastAsia="宋体" w:cs="Times New Roman"/>
                <w:bCs/>
                <w:snapToGrid w:val="0"/>
                <w:color w:val="FF0000"/>
                <w:sz w:val="24"/>
                <w:szCs w:val="24"/>
                <w:highlight w:val="none"/>
                <w:shd w:val="clear" w:color="auto" w:fill="auto"/>
              </w:rPr>
              <w:t>，C，D：卫生防护距离计算系数，无因次</w:t>
            </w:r>
            <w:r>
              <w:rPr>
                <w:rFonts w:hint="eastAsia" w:ascii="Times New Roman" w:hAnsi="Times New Roman" w:eastAsia="宋体" w:cs="Times New Roman"/>
                <w:bCs/>
                <w:snapToGrid w:val="0"/>
                <w:color w:val="FF0000"/>
                <w:sz w:val="24"/>
                <w:szCs w:val="24"/>
                <w:highlight w:val="none"/>
                <w:shd w:val="clear" w:color="auto" w:fill="auto"/>
                <w:lang w:eastAsia="zh-CN"/>
              </w:rPr>
              <w:t>。</w:t>
            </w:r>
          </w:p>
          <w:tbl>
            <w:tblPr>
              <w:tblStyle w:val="2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50"/>
            </w:tblGrid>
            <w:tr w14:paraId="69F87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5" w:hRule="atLeast"/>
              </w:trPr>
              <w:tc>
                <w:tcPr>
                  <w:tcW w:w="5000" w:type="pct"/>
                  <w:tcBorders>
                    <w:tl2br w:val="nil"/>
                    <w:tr2bl w:val="nil"/>
                  </w:tcBorders>
                  <w:noWrap w:val="0"/>
                  <w:vAlign w:val="top"/>
                </w:tcPr>
                <w:p w14:paraId="68B2CB8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bCs/>
                      <w:color w:val="FF0000"/>
                      <w:spacing w:val="-10"/>
                      <w:sz w:val="24"/>
                      <w:szCs w:val="24"/>
                      <w:highlight w:val="none"/>
                      <w:vertAlign w:val="baseline"/>
                    </w:rPr>
                  </w:pPr>
                  <w:r>
                    <w:drawing>
                      <wp:inline distT="0" distB="0" distL="114300" distR="114300">
                        <wp:extent cx="5206365" cy="3220085"/>
                        <wp:effectExtent l="0" t="0" r="13335" b="18415"/>
                        <wp:docPr id="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pic:cNvPicPr>
                                  <a:picLocks noChangeAspect="1"/>
                                </pic:cNvPicPr>
                              </pic:nvPicPr>
                              <pic:blipFill>
                                <a:blip r:embed="rId72"/>
                                <a:stretch>
                                  <a:fillRect/>
                                </a:stretch>
                              </pic:blipFill>
                              <pic:spPr>
                                <a:xfrm>
                                  <a:off x="0" y="0"/>
                                  <a:ext cx="5206365" cy="3220085"/>
                                </a:xfrm>
                                <a:prstGeom prst="rect">
                                  <a:avLst/>
                                </a:prstGeom>
                                <a:noFill/>
                                <a:ln>
                                  <a:noFill/>
                                </a:ln>
                              </pic:spPr>
                            </pic:pic>
                          </a:graphicData>
                        </a:graphic>
                      </wp:inline>
                    </w:drawing>
                  </w:r>
                </w:p>
              </w:tc>
            </w:tr>
            <w:tr w14:paraId="349C5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 w:hRule="atLeast"/>
              </w:trPr>
              <w:tc>
                <w:tcPr>
                  <w:tcW w:w="5000" w:type="pct"/>
                  <w:tcBorders>
                    <w:tl2br w:val="nil"/>
                    <w:tr2bl w:val="nil"/>
                  </w:tcBorders>
                  <w:noWrap w:val="0"/>
                  <w:vAlign w:val="center"/>
                </w:tcPr>
                <w:p w14:paraId="78BFF498">
                  <w:pPr>
                    <w:adjustRightInd w:val="0"/>
                    <w:snapToGrid w:val="0"/>
                    <w:spacing w:line="240" w:lineRule="auto"/>
                    <w:ind w:firstLine="422" w:firstLineChars="200"/>
                    <w:jc w:val="center"/>
                    <w:rPr>
                      <w:bCs/>
                      <w:color w:val="FF0000"/>
                      <w:spacing w:val="-10"/>
                      <w:sz w:val="24"/>
                      <w:szCs w:val="24"/>
                      <w:highlight w:val="none"/>
                      <w:vertAlign w:val="baseline"/>
                    </w:rPr>
                  </w:pPr>
                  <w:r>
                    <w:rPr>
                      <w:rFonts w:hint="eastAsia" w:ascii="Times New Roman" w:hAnsi="Times New Roman" w:eastAsia="宋体" w:cs="Times New Roman"/>
                      <w:b/>
                      <w:color w:val="FF0000"/>
                      <w:kern w:val="0"/>
                      <w:sz w:val="21"/>
                      <w:szCs w:val="21"/>
                      <w:highlight w:val="none"/>
                      <w:lang w:val="zh-CN"/>
                    </w:rPr>
                    <w:t>图</w:t>
                  </w:r>
                  <w:r>
                    <w:rPr>
                      <w:rFonts w:hint="eastAsia" w:ascii="Times New Roman" w:hAnsi="Times New Roman" w:eastAsia="宋体" w:cs="Times New Roman"/>
                      <w:b/>
                      <w:color w:val="FF0000"/>
                      <w:kern w:val="0"/>
                      <w:sz w:val="21"/>
                      <w:szCs w:val="21"/>
                      <w:highlight w:val="none"/>
                      <w:lang w:val="en-US" w:eastAsia="zh-CN"/>
                    </w:rPr>
                    <w:t>4-</w:t>
                  </w:r>
                  <w:r>
                    <w:rPr>
                      <w:rFonts w:hint="eastAsia" w:cs="Times New Roman"/>
                      <w:b/>
                      <w:color w:val="FF0000"/>
                      <w:kern w:val="0"/>
                      <w:sz w:val="21"/>
                      <w:szCs w:val="21"/>
                      <w:highlight w:val="none"/>
                      <w:lang w:val="en-US" w:eastAsia="zh-CN"/>
                    </w:rPr>
                    <w:t xml:space="preserve">1 </w:t>
                  </w:r>
                  <w:r>
                    <w:rPr>
                      <w:rFonts w:ascii="Times New Roman" w:hAnsi="Times New Roman" w:eastAsia="宋体" w:cs="Times New Roman"/>
                      <w:b/>
                      <w:color w:val="FF0000"/>
                      <w:kern w:val="0"/>
                      <w:sz w:val="21"/>
                      <w:szCs w:val="21"/>
                      <w:highlight w:val="none"/>
                      <w:lang w:val="zh-CN"/>
                    </w:rPr>
                    <w:t xml:space="preserve"> </w:t>
                  </w:r>
                  <w:r>
                    <w:rPr>
                      <w:rFonts w:hint="eastAsia" w:ascii="Times New Roman" w:hAnsi="Times New Roman" w:eastAsia="宋体" w:cs="Times New Roman"/>
                      <w:b/>
                      <w:color w:val="FF0000"/>
                      <w:kern w:val="0"/>
                      <w:sz w:val="21"/>
                      <w:szCs w:val="21"/>
                      <w:highlight w:val="none"/>
                      <w:lang w:val="en-US" w:eastAsia="zh-CN"/>
                    </w:rPr>
                    <w:t>项目</w:t>
                  </w:r>
                  <w:r>
                    <w:rPr>
                      <w:rFonts w:hint="eastAsia" w:ascii="Times New Roman" w:hAnsi="Times New Roman" w:eastAsia="宋体" w:cs="Times New Roman"/>
                      <w:b/>
                      <w:color w:val="FF0000"/>
                      <w:kern w:val="0"/>
                      <w:sz w:val="21"/>
                      <w:szCs w:val="21"/>
                      <w:highlight w:val="none"/>
                      <w:lang w:val="zh-CN"/>
                    </w:rPr>
                    <w:t>卫生防护距离计算截图</w:t>
                  </w:r>
                </w:p>
              </w:tc>
            </w:tr>
          </w:tbl>
          <w:p w14:paraId="197131EE">
            <w:pPr>
              <w:spacing w:beforeLines="50"/>
              <w:jc w:val="center"/>
              <w:rPr>
                <w:rFonts w:hint="eastAsia"/>
                <w:b/>
                <w:bCs/>
                <w:color w:val="FF0000"/>
                <w:szCs w:val="21"/>
                <w:highlight w:val="none"/>
              </w:rPr>
            </w:pPr>
            <w:r>
              <w:rPr>
                <w:rFonts w:hint="eastAsia"/>
                <w:b/>
                <w:bCs/>
                <w:color w:val="FF0000"/>
                <w:szCs w:val="21"/>
                <w:highlight w:val="none"/>
              </w:rPr>
              <w:t>表4-</w:t>
            </w:r>
            <w:r>
              <w:rPr>
                <w:rFonts w:hint="eastAsia"/>
                <w:b/>
                <w:bCs/>
                <w:color w:val="FF0000"/>
                <w:szCs w:val="21"/>
                <w:highlight w:val="none"/>
                <w:lang w:val="en-US" w:eastAsia="zh-CN"/>
              </w:rPr>
              <w:t>5</w:t>
            </w:r>
            <w:r>
              <w:rPr>
                <w:rFonts w:hint="eastAsia"/>
                <w:b/>
                <w:bCs/>
                <w:color w:val="FF0000"/>
                <w:szCs w:val="21"/>
                <w:highlight w:val="none"/>
              </w:rPr>
              <w:t xml:space="preserve">  卫生防护距离计算参数及结果</w:t>
            </w:r>
          </w:p>
          <w:tbl>
            <w:tblPr>
              <w:tblStyle w:val="24"/>
              <w:tblW w:w="497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1267"/>
              <w:gridCol w:w="1433"/>
              <w:gridCol w:w="2013"/>
              <w:gridCol w:w="1031"/>
              <w:gridCol w:w="1441"/>
              <w:gridCol w:w="1327"/>
            </w:tblGrid>
            <w:tr w14:paraId="570FC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50" w:hRule="atLeast"/>
                <w:jc w:val="center"/>
              </w:trPr>
              <w:tc>
                <w:tcPr>
                  <w:tcW w:w="744" w:type="pct"/>
                  <w:tcBorders>
                    <w:bottom w:val="single" w:color="auto" w:sz="12" w:space="0"/>
                  </w:tcBorders>
                  <w:noWrap w:val="0"/>
                  <w:vAlign w:val="center"/>
                </w:tcPr>
                <w:p w14:paraId="74F92DFE">
                  <w:pPr>
                    <w:keepNext w:val="0"/>
                    <w:keepLines w:val="0"/>
                    <w:pageBreakBefore w:val="0"/>
                    <w:widowControl/>
                    <w:suppressLineNumbers w:val="0"/>
                    <w:kinsoku/>
                    <w:wordWrap/>
                    <w:overflowPunct/>
                    <w:topLinePunct w:val="0"/>
                    <w:autoSpaceDE/>
                    <w:autoSpaceDN/>
                    <w:bidi w:val="0"/>
                    <w:adjustRightInd/>
                    <w:snapToGrid/>
                    <w:spacing w:line="240" w:lineRule="auto"/>
                    <w:ind w:right="0" w:firstLine="0"/>
                    <w:jc w:val="center"/>
                    <w:textAlignment w:val="center"/>
                    <w:rPr>
                      <w:rFonts w:hint="default" w:ascii="Times New Roman" w:hAnsi="Times New Roman" w:eastAsia="宋体" w:cs="Times New Roman"/>
                      <w:b/>
                      <w:bCs/>
                      <w:i w:val="0"/>
                      <w:color w:val="FF0000"/>
                      <w:sz w:val="21"/>
                      <w:szCs w:val="21"/>
                      <w:highlight w:val="none"/>
                      <w:u w:val="none"/>
                      <w:shd w:val="clear" w:color="auto" w:fill="auto"/>
                    </w:rPr>
                  </w:pPr>
                  <w:r>
                    <w:rPr>
                      <w:rFonts w:hint="eastAsia" w:ascii="Times New Roman" w:hAnsi="Times New Roman" w:eastAsia="宋体" w:cs="Times New Roman"/>
                      <w:b/>
                      <w:bCs/>
                      <w:i w:val="0"/>
                      <w:color w:val="FF0000"/>
                      <w:kern w:val="0"/>
                      <w:sz w:val="21"/>
                      <w:szCs w:val="21"/>
                      <w:highlight w:val="none"/>
                      <w:u w:val="none"/>
                      <w:shd w:val="clear" w:color="auto" w:fill="auto"/>
                      <w:lang w:val="en-US" w:eastAsia="zh-CN" w:bidi="ar"/>
                    </w:rPr>
                    <w:t>污染源</w:t>
                  </w:r>
                </w:p>
              </w:tc>
              <w:tc>
                <w:tcPr>
                  <w:tcW w:w="841" w:type="pct"/>
                  <w:tcBorders>
                    <w:bottom w:val="single" w:color="auto" w:sz="12" w:space="0"/>
                  </w:tcBorders>
                  <w:noWrap w:val="0"/>
                  <w:vAlign w:val="center"/>
                </w:tcPr>
                <w:p w14:paraId="02F293E7">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eastAsia="宋体" w:cs="Times New Roman"/>
                      <w:b/>
                      <w:bCs/>
                      <w:i w:val="0"/>
                      <w:color w:val="FF0000"/>
                      <w:sz w:val="21"/>
                      <w:szCs w:val="21"/>
                      <w:highlight w:val="none"/>
                      <w:u w:val="none"/>
                      <w:shd w:val="clear" w:color="auto" w:fill="auto"/>
                    </w:rPr>
                  </w:pPr>
                  <w:r>
                    <w:rPr>
                      <w:rFonts w:hint="eastAsia" w:ascii="Times New Roman" w:hAnsi="Times New Roman" w:eastAsia="宋体" w:cs="Times New Roman"/>
                      <w:b/>
                      <w:bCs/>
                      <w:i w:val="0"/>
                      <w:color w:val="FF0000"/>
                      <w:kern w:val="0"/>
                      <w:sz w:val="21"/>
                      <w:szCs w:val="21"/>
                      <w:highlight w:val="none"/>
                      <w:u w:val="none"/>
                      <w:shd w:val="clear" w:color="auto" w:fill="auto"/>
                      <w:lang w:val="en-US" w:eastAsia="zh-CN" w:bidi="ar"/>
                    </w:rPr>
                    <w:t>污染物</w:t>
                  </w:r>
                </w:p>
              </w:tc>
              <w:tc>
                <w:tcPr>
                  <w:tcW w:w="1182" w:type="pct"/>
                  <w:tcBorders>
                    <w:bottom w:val="single" w:color="auto" w:sz="12" w:space="0"/>
                  </w:tcBorders>
                  <w:noWrap w:val="0"/>
                  <w:vAlign w:val="center"/>
                </w:tcPr>
                <w:p w14:paraId="19AF5EFF">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eastAsia" w:ascii="Times New Roman" w:hAnsi="Times New Roman" w:eastAsia="宋体" w:cs="Times New Roman"/>
                      <w:b/>
                      <w:bCs/>
                      <w:i w:val="0"/>
                      <w:color w:val="FF0000"/>
                      <w:sz w:val="21"/>
                      <w:szCs w:val="21"/>
                      <w:highlight w:val="none"/>
                      <w:u w:val="none"/>
                      <w:shd w:val="clear" w:color="auto" w:fill="auto"/>
                      <w:lang w:val="en-US" w:eastAsia="zh-CN"/>
                    </w:rPr>
                  </w:pPr>
                  <w:r>
                    <w:rPr>
                      <w:rFonts w:hint="eastAsia" w:ascii="Times New Roman" w:hAnsi="Times New Roman" w:eastAsia="宋体" w:cs="Times New Roman"/>
                      <w:b/>
                      <w:bCs/>
                      <w:i w:val="0"/>
                      <w:color w:val="FF0000"/>
                      <w:sz w:val="21"/>
                      <w:szCs w:val="21"/>
                      <w:highlight w:val="none"/>
                      <w:u w:val="none"/>
                      <w:shd w:val="clear" w:color="auto" w:fill="auto"/>
                      <w:lang w:val="en-US" w:eastAsia="zh-CN"/>
                    </w:rPr>
                    <w:t>无组织排放源面积</w:t>
                  </w:r>
                </w:p>
                <w:p w14:paraId="6A17210D">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eastAsia="宋体" w:cs="Times New Roman"/>
                      <w:b/>
                      <w:bCs/>
                      <w:i w:val="0"/>
                      <w:color w:val="FF0000"/>
                      <w:sz w:val="21"/>
                      <w:szCs w:val="21"/>
                      <w:highlight w:val="none"/>
                      <w:u w:val="none"/>
                      <w:shd w:val="clear" w:color="auto" w:fill="auto"/>
                      <w:lang w:val="en-US" w:eastAsia="zh-CN"/>
                    </w:rPr>
                  </w:pPr>
                  <w:r>
                    <w:rPr>
                      <w:rFonts w:hint="eastAsia" w:ascii="Times New Roman" w:hAnsi="Times New Roman" w:eastAsia="宋体" w:cs="Times New Roman"/>
                      <w:b/>
                      <w:bCs/>
                      <w:i w:val="0"/>
                      <w:color w:val="FF0000"/>
                      <w:sz w:val="21"/>
                      <w:szCs w:val="21"/>
                      <w:highlight w:val="none"/>
                      <w:u w:val="none"/>
                      <w:shd w:val="clear" w:color="auto" w:fill="auto"/>
                      <w:lang w:val="en-US" w:eastAsia="zh-CN"/>
                    </w:rPr>
                    <w:t>（m</w:t>
                  </w:r>
                  <w:r>
                    <w:rPr>
                      <w:rFonts w:hint="eastAsia" w:ascii="Times New Roman" w:hAnsi="Times New Roman" w:eastAsia="宋体" w:cs="Times New Roman"/>
                      <w:b/>
                      <w:bCs/>
                      <w:i w:val="0"/>
                      <w:color w:val="FF0000"/>
                      <w:sz w:val="21"/>
                      <w:szCs w:val="21"/>
                      <w:highlight w:val="none"/>
                      <w:u w:val="none"/>
                      <w:shd w:val="clear" w:color="auto" w:fill="auto"/>
                      <w:vertAlign w:val="superscript"/>
                      <w:lang w:val="en-US" w:eastAsia="zh-CN"/>
                    </w:rPr>
                    <w:t>2</w:t>
                  </w:r>
                  <w:r>
                    <w:rPr>
                      <w:rFonts w:hint="eastAsia" w:ascii="Times New Roman" w:hAnsi="Times New Roman" w:eastAsia="宋体" w:cs="Times New Roman"/>
                      <w:b/>
                      <w:bCs/>
                      <w:i w:val="0"/>
                      <w:color w:val="FF0000"/>
                      <w:sz w:val="21"/>
                      <w:szCs w:val="21"/>
                      <w:highlight w:val="none"/>
                      <w:u w:val="none"/>
                      <w:shd w:val="clear" w:color="auto" w:fill="auto"/>
                      <w:lang w:val="en-US" w:eastAsia="zh-CN"/>
                    </w:rPr>
                    <w:t>）</w:t>
                  </w:r>
                </w:p>
              </w:tc>
              <w:tc>
                <w:tcPr>
                  <w:tcW w:w="605" w:type="pct"/>
                  <w:tcBorders>
                    <w:bottom w:val="single" w:color="auto" w:sz="12" w:space="0"/>
                  </w:tcBorders>
                  <w:noWrap w:val="0"/>
                  <w:vAlign w:val="center"/>
                </w:tcPr>
                <w:p w14:paraId="03637F2E">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eastAsia="宋体" w:cs="Times New Roman"/>
                      <w:b/>
                      <w:bCs/>
                      <w:color w:val="FF0000"/>
                      <w:highlight w:val="none"/>
                      <w:lang w:val="en-US" w:eastAsia="zh-CN"/>
                    </w:rPr>
                  </w:pPr>
                  <w:r>
                    <w:rPr>
                      <w:rFonts w:hint="default" w:ascii="Times New Roman" w:hAnsi="Times New Roman" w:eastAsia="宋体" w:cs="Times New Roman"/>
                      <w:b/>
                      <w:bCs/>
                      <w:color w:val="FF0000"/>
                      <w:highlight w:val="none"/>
                      <w:lang w:val="en-US" w:eastAsia="zh-CN"/>
                    </w:rPr>
                    <w:t>排放速率</w:t>
                  </w:r>
                </w:p>
                <w:p w14:paraId="051CB943">
                  <w:pPr>
                    <w:keepNext w:val="0"/>
                    <w:keepLines w:val="0"/>
                    <w:pageBreakBefore w:val="0"/>
                    <w:widowControl w:val="0"/>
                    <w:kinsoku/>
                    <w:wordWrap/>
                    <w:overflowPunct/>
                    <w:topLinePunct w:val="0"/>
                    <w:autoSpaceDE/>
                    <w:autoSpaceDN/>
                    <w:bidi w:val="0"/>
                    <w:adjustRightInd/>
                    <w:snapToGrid/>
                    <w:spacing w:line="240" w:lineRule="auto"/>
                    <w:jc w:val="center"/>
                    <w:rPr>
                      <w:rFonts w:hint="default" w:ascii="Courier New" w:hAnsi="Courier New" w:eastAsia="宋体" w:cs="Times New Roman"/>
                      <w:color w:val="FF0000"/>
                      <w:kern w:val="2"/>
                      <w:sz w:val="21"/>
                      <w:szCs w:val="20"/>
                      <w:highlight w:val="none"/>
                      <w:lang w:val="en-US" w:eastAsia="zh-CN" w:bidi="ar-SA"/>
                    </w:rPr>
                  </w:pPr>
                  <w:r>
                    <w:rPr>
                      <w:rFonts w:hint="default" w:ascii="Times New Roman" w:hAnsi="Times New Roman" w:eastAsia="宋体" w:cs="Times New Roman"/>
                      <w:b/>
                      <w:bCs/>
                      <w:color w:val="FF0000"/>
                      <w:kern w:val="2"/>
                      <w:sz w:val="21"/>
                      <w:szCs w:val="20"/>
                      <w:highlight w:val="none"/>
                      <w:lang w:val="en-US" w:eastAsia="zh-CN" w:bidi="ar-SA"/>
                    </w:rPr>
                    <w:t>（kg/h）</w:t>
                  </w:r>
                </w:p>
              </w:tc>
              <w:tc>
                <w:tcPr>
                  <w:tcW w:w="846" w:type="pct"/>
                  <w:tcBorders>
                    <w:bottom w:val="single" w:color="auto" w:sz="12" w:space="0"/>
                  </w:tcBorders>
                  <w:noWrap w:val="0"/>
                  <w:vAlign w:val="center"/>
                </w:tcPr>
                <w:p w14:paraId="34C71A58">
                  <w:pPr>
                    <w:keepNext w:val="0"/>
                    <w:keepLines w:val="0"/>
                    <w:pageBreakBefore w:val="0"/>
                    <w:widowControl w:val="0"/>
                    <w:kinsoku/>
                    <w:wordWrap/>
                    <w:overflowPunct/>
                    <w:topLinePunct w:val="0"/>
                    <w:autoSpaceDE/>
                    <w:autoSpaceDN/>
                    <w:bidi w:val="0"/>
                    <w:adjustRightInd w:val="0"/>
                    <w:snapToGrid w:val="0"/>
                    <w:spacing w:before="0" w:beforeLines="0"/>
                    <w:ind w:left="0" w:leftChars="0" w:right="0" w:rightChars="0" w:firstLine="0" w:firstLineChars="0"/>
                    <w:jc w:val="center"/>
                    <w:rPr>
                      <w:rFonts w:hint="default" w:ascii="Times New Roman" w:hAnsi="Times New Roman" w:eastAsia="宋体" w:cs="Times New Roman"/>
                      <w:b/>
                      <w:bCs/>
                      <w:i w:val="0"/>
                      <w:color w:val="FF0000"/>
                      <w:kern w:val="21"/>
                      <w:sz w:val="21"/>
                      <w:szCs w:val="21"/>
                      <w:highlight w:val="none"/>
                      <w:u w:val="none"/>
                      <w:shd w:val="clear" w:color="auto" w:fill="auto"/>
                      <w:lang w:val="en-US" w:eastAsia="zh-CN" w:bidi="ar-SA"/>
                    </w:rPr>
                  </w:pPr>
                  <w:r>
                    <w:rPr>
                      <w:rFonts w:hint="default" w:ascii="Times New Roman" w:hAnsi="Times New Roman" w:eastAsia="宋体" w:cs="Times New Roman"/>
                      <w:b/>
                      <w:color w:val="FF0000"/>
                      <w:kern w:val="2"/>
                      <w:sz w:val="21"/>
                      <w:szCs w:val="21"/>
                      <w:highlight w:val="none"/>
                      <w:lang w:val="en-US" w:eastAsia="zh-CN" w:bidi="ar-SA"/>
                    </w:rPr>
                    <w:t>标准浓度限制（</w:t>
                  </w:r>
                  <w:r>
                    <w:rPr>
                      <w:rFonts w:hint="default" w:ascii="Times New Roman" w:hAnsi="Times New Roman" w:eastAsia="宋体" w:cs="Times New Roman"/>
                      <w:b/>
                      <w:color w:val="FF0000"/>
                      <w:kern w:val="21"/>
                      <w:sz w:val="21"/>
                      <w:szCs w:val="21"/>
                      <w:highlight w:val="none"/>
                      <w:lang w:val="en-US" w:eastAsia="zh-CN" w:bidi="ar-SA"/>
                    </w:rPr>
                    <w:t>mg/m</w:t>
                  </w:r>
                  <w:r>
                    <w:rPr>
                      <w:rFonts w:hint="default" w:ascii="Times New Roman" w:hAnsi="Times New Roman" w:eastAsia="宋体" w:cs="Times New Roman"/>
                      <w:b/>
                      <w:color w:val="FF0000"/>
                      <w:kern w:val="21"/>
                      <w:sz w:val="21"/>
                      <w:szCs w:val="21"/>
                      <w:highlight w:val="none"/>
                      <w:vertAlign w:val="superscript"/>
                      <w:lang w:val="en-US" w:eastAsia="zh-CN" w:bidi="ar-SA"/>
                    </w:rPr>
                    <w:t>3</w:t>
                  </w:r>
                  <w:r>
                    <w:rPr>
                      <w:rFonts w:hint="default" w:ascii="Times New Roman" w:hAnsi="Times New Roman" w:eastAsia="宋体" w:cs="Times New Roman"/>
                      <w:b/>
                      <w:color w:val="FF0000"/>
                      <w:kern w:val="2"/>
                      <w:sz w:val="21"/>
                      <w:szCs w:val="21"/>
                      <w:highlight w:val="none"/>
                      <w:lang w:val="en-US" w:eastAsia="zh-CN" w:bidi="ar-SA"/>
                    </w:rPr>
                    <w:t>）</w:t>
                  </w:r>
                </w:p>
              </w:tc>
              <w:tc>
                <w:tcPr>
                  <w:tcW w:w="779" w:type="pct"/>
                  <w:tcBorders>
                    <w:bottom w:val="single" w:color="auto" w:sz="12" w:space="0"/>
                  </w:tcBorders>
                  <w:noWrap w:val="0"/>
                  <w:vAlign w:val="center"/>
                </w:tcPr>
                <w:p w14:paraId="21D66FB6">
                  <w:pPr>
                    <w:keepNext w:val="0"/>
                    <w:keepLines w:val="0"/>
                    <w:pageBreakBefore w:val="0"/>
                    <w:widowControl w:val="0"/>
                    <w:kinsoku/>
                    <w:wordWrap/>
                    <w:overflowPunct/>
                    <w:topLinePunct w:val="0"/>
                    <w:autoSpaceDE/>
                    <w:autoSpaceDN/>
                    <w:bidi w:val="0"/>
                    <w:adjustRightInd w:val="0"/>
                    <w:snapToGrid w:val="0"/>
                    <w:spacing w:before="0" w:beforeLines="0"/>
                    <w:ind w:left="0" w:right="0" w:firstLine="0"/>
                    <w:jc w:val="center"/>
                    <w:rPr>
                      <w:rFonts w:hint="default" w:ascii="Times New Roman" w:hAnsi="Times New Roman" w:eastAsia="宋体" w:cs="Times New Roman"/>
                      <w:b/>
                      <w:bCs/>
                      <w:i w:val="0"/>
                      <w:color w:val="FF0000"/>
                      <w:kern w:val="21"/>
                      <w:sz w:val="21"/>
                      <w:szCs w:val="21"/>
                      <w:highlight w:val="none"/>
                      <w:u w:val="none"/>
                      <w:shd w:val="clear" w:color="auto" w:fill="auto"/>
                      <w:lang w:val="en-US" w:eastAsia="zh-CN" w:bidi="ar-SA"/>
                    </w:rPr>
                  </w:pPr>
                  <w:r>
                    <w:rPr>
                      <w:rFonts w:hint="default" w:ascii="Times New Roman" w:hAnsi="Times New Roman" w:eastAsia="宋体" w:cs="Times New Roman"/>
                      <w:b/>
                      <w:color w:val="FF0000"/>
                      <w:kern w:val="2"/>
                      <w:sz w:val="21"/>
                      <w:szCs w:val="21"/>
                      <w:highlight w:val="none"/>
                      <w:lang w:val="en-US" w:eastAsia="zh-CN" w:bidi="ar-SA"/>
                    </w:rPr>
                    <w:t>卫生防护距离（m）</w:t>
                  </w:r>
                </w:p>
              </w:tc>
            </w:tr>
            <w:tr w14:paraId="1EEAA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76" w:hRule="atLeast"/>
                <w:jc w:val="center"/>
              </w:trPr>
              <w:tc>
                <w:tcPr>
                  <w:tcW w:w="744" w:type="pct"/>
                  <w:tcBorders>
                    <w:top w:val="single" w:color="auto" w:sz="12" w:space="0"/>
                    <w:bottom w:val="single" w:color="auto" w:sz="12" w:space="0"/>
                    <w:tl2br w:val="nil"/>
                    <w:tr2bl w:val="nil"/>
                  </w:tcBorders>
                  <w:noWrap w:val="0"/>
                  <w:vAlign w:val="center"/>
                </w:tcPr>
                <w:p w14:paraId="4901B7E1">
                  <w:pPr>
                    <w:jc w:val="center"/>
                    <w:rPr>
                      <w:rFonts w:hint="default" w:ascii="Times New Roman" w:hAnsi="Times New Roman" w:eastAsia="宋体" w:cs="Times New Roman"/>
                      <w:i w:val="0"/>
                      <w:color w:val="FF0000"/>
                      <w:sz w:val="21"/>
                      <w:szCs w:val="21"/>
                      <w:highlight w:val="none"/>
                      <w:u w:val="none"/>
                      <w:shd w:val="clear" w:color="auto" w:fill="auto"/>
                      <w:lang w:val="en-US" w:eastAsia="zh-CN" w:bidi="ar-SA"/>
                    </w:rPr>
                  </w:pPr>
                  <w:r>
                    <w:rPr>
                      <w:rFonts w:hint="eastAsia" w:cs="Times New Roman"/>
                      <w:bCs/>
                      <w:color w:val="FF0000"/>
                      <w:kern w:val="0"/>
                      <w:szCs w:val="21"/>
                      <w:highlight w:val="none"/>
                      <w:lang w:val="en-US" w:eastAsia="zh-CN"/>
                    </w:rPr>
                    <w:t>一车间</w:t>
                  </w:r>
                </w:p>
              </w:tc>
              <w:tc>
                <w:tcPr>
                  <w:tcW w:w="841" w:type="pct"/>
                  <w:tcBorders>
                    <w:top w:val="single" w:color="auto" w:sz="12" w:space="0"/>
                    <w:bottom w:val="single" w:color="auto" w:sz="12" w:space="0"/>
                    <w:tl2br w:val="nil"/>
                    <w:tr2bl w:val="nil"/>
                  </w:tcBorders>
                  <w:noWrap w:val="0"/>
                  <w:vAlign w:val="center"/>
                </w:tcPr>
                <w:p w14:paraId="6A3728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color w:val="FF0000"/>
                      <w:kern w:val="0"/>
                      <w:sz w:val="21"/>
                      <w:szCs w:val="21"/>
                      <w:highlight w:val="none"/>
                      <w:u w:val="none"/>
                      <w:shd w:val="clear" w:color="auto" w:fill="auto"/>
                      <w:lang w:val="en-US" w:eastAsia="zh-CN" w:bidi="ar"/>
                    </w:rPr>
                  </w:pPr>
                  <w:r>
                    <w:rPr>
                      <w:rFonts w:hint="eastAsia" w:cs="Times New Roman"/>
                      <w:i w:val="0"/>
                      <w:color w:val="FF0000"/>
                      <w:kern w:val="0"/>
                      <w:sz w:val="21"/>
                      <w:szCs w:val="21"/>
                      <w:highlight w:val="none"/>
                      <w:u w:val="none"/>
                      <w:shd w:val="clear" w:color="auto" w:fill="auto"/>
                      <w:lang w:val="en-US" w:eastAsia="zh-CN" w:bidi="ar"/>
                    </w:rPr>
                    <w:t>非甲烷总烃</w:t>
                  </w:r>
                </w:p>
              </w:tc>
              <w:tc>
                <w:tcPr>
                  <w:tcW w:w="1182" w:type="pct"/>
                  <w:tcBorders>
                    <w:top w:val="single" w:color="auto" w:sz="12" w:space="0"/>
                    <w:bottom w:val="single" w:color="auto" w:sz="12" w:space="0"/>
                    <w:tl2br w:val="nil"/>
                    <w:tr2bl w:val="nil"/>
                  </w:tcBorders>
                  <w:noWrap w:val="0"/>
                  <w:vAlign w:val="center"/>
                </w:tcPr>
                <w:p w14:paraId="274B6DD1">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eastAsia="宋体" w:cs="Times New Roman"/>
                      <w:i w:val="0"/>
                      <w:color w:val="FF0000"/>
                      <w:sz w:val="21"/>
                      <w:szCs w:val="21"/>
                      <w:highlight w:val="none"/>
                      <w:u w:val="none"/>
                      <w:shd w:val="clear" w:color="auto" w:fill="auto"/>
                      <w:lang w:val="en-US" w:eastAsia="zh-CN"/>
                    </w:rPr>
                  </w:pPr>
                  <w:r>
                    <w:rPr>
                      <w:rFonts w:hint="eastAsia" w:cs="Times New Roman"/>
                      <w:i w:val="0"/>
                      <w:color w:val="FF0000"/>
                      <w:kern w:val="0"/>
                      <w:sz w:val="21"/>
                      <w:szCs w:val="21"/>
                      <w:highlight w:val="none"/>
                      <w:u w:val="none"/>
                      <w:shd w:val="clear" w:color="auto" w:fill="auto"/>
                      <w:lang w:val="en-US" w:eastAsia="zh-CN" w:bidi="ar"/>
                    </w:rPr>
                    <w:t>1800</w:t>
                  </w:r>
                </w:p>
              </w:tc>
              <w:tc>
                <w:tcPr>
                  <w:tcW w:w="605" w:type="pct"/>
                  <w:tcBorders>
                    <w:top w:val="single" w:color="auto" w:sz="12" w:space="0"/>
                    <w:bottom w:val="single" w:color="auto" w:sz="12" w:space="0"/>
                    <w:tl2br w:val="nil"/>
                    <w:tr2bl w:val="nil"/>
                  </w:tcBorders>
                  <w:noWrap w:val="0"/>
                  <w:vAlign w:val="center"/>
                </w:tcPr>
                <w:p w14:paraId="41033BAC">
                  <w:pPr>
                    <w:jc w:val="center"/>
                    <w:rPr>
                      <w:rFonts w:hint="default" w:ascii="Times New Roman" w:hAnsi="Times New Roman" w:eastAsia="宋体" w:cs="Times New Roman"/>
                      <w:i w:val="0"/>
                      <w:color w:val="FF0000"/>
                      <w:sz w:val="21"/>
                      <w:szCs w:val="21"/>
                      <w:highlight w:val="none"/>
                      <w:u w:val="none"/>
                      <w:shd w:val="clear" w:color="auto" w:fill="auto"/>
                      <w:lang w:val="en-US" w:eastAsia="zh-CN"/>
                    </w:rPr>
                  </w:pPr>
                  <w:r>
                    <w:rPr>
                      <w:rFonts w:hint="eastAsia" w:ascii="Times New Roman" w:hAnsi="Times New Roman" w:eastAsia="宋体" w:cs="Times New Roman"/>
                      <w:b w:val="0"/>
                      <w:bCs w:val="0"/>
                      <w:color w:val="FF0000"/>
                      <w:kern w:val="0"/>
                      <w:sz w:val="21"/>
                      <w:szCs w:val="21"/>
                      <w:highlight w:val="none"/>
                      <w:lang w:val="en-US" w:eastAsia="zh-CN" w:bidi="ar-SA"/>
                    </w:rPr>
                    <w:t>0.0</w:t>
                  </w:r>
                  <w:r>
                    <w:rPr>
                      <w:rFonts w:hint="eastAsia" w:cs="Times New Roman"/>
                      <w:b w:val="0"/>
                      <w:bCs w:val="0"/>
                      <w:color w:val="FF0000"/>
                      <w:kern w:val="0"/>
                      <w:sz w:val="21"/>
                      <w:szCs w:val="21"/>
                      <w:highlight w:val="none"/>
                      <w:lang w:val="en-US" w:eastAsia="zh-CN" w:bidi="ar-SA"/>
                    </w:rPr>
                    <w:t>65</w:t>
                  </w:r>
                </w:p>
              </w:tc>
              <w:tc>
                <w:tcPr>
                  <w:tcW w:w="846" w:type="pct"/>
                  <w:tcBorders>
                    <w:top w:val="single" w:color="auto" w:sz="12" w:space="0"/>
                    <w:bottom w:val="single" w:color="auto" w:sz="12" w:space="0"/>
                    <w:tl2br w:val="nil"/>
                    <w:tr2bl w:val="nil"/>
                  </w:tcBorders>
                  <w:noWrap w:val="0"/>
                  <w:vAlign w:val="center"/>
                </w:tcPr>
                <w:p w14:paraId="21339ECB">
                  <w:pPr>
                    <w:keepNext w:val="0"/>
                    <w:keepLines w:val="0"/>
                    <w:pageBreakBefore w:val="0"/>
                    <w:widowControl/>
                    <w:suppressLineNumbers w:val="0"/>
                    <w:kinsoku/>
                    <w:wordWrap/>
                    <w:overflowPunct/>
                    <w:topLinePunct w:val="0"/>
                    <w:autoSpaceDE/>
                    <w:autoSpaceDN/>
                    <w:bidi w:val="0"/>
                    <w:adjustRightInd/>
                    <w:snapToGrid/>
                    <w:spacing w:line="240" w:lineRule="auto"/>
                    <w:ind w:right="0" w:firstLine="0"/>
                    <w:jc w:val="center"/>
                    <w:textAlignment w:val="center"/>
                    <w:rPr>
                      <w:rFonts w:hint="default" w:ascii="Times New Roman" w:hAnsi="Times New Roman" w:eastAsia="宋体" w:cs="Times New Roman"/>
                      <w:i w:val="0"/>
                      <w:color w:val="FF0000"/>
                      <w:sz w:val="21"/>
                      <w:szCs w:val="21"/>
                      <w:highlight w:val="none"/>
                      <w:u w:val="none"/>
                      <w:shd w:val="clear" w:color="auto" w:fill="auto"/>
                      <w:lang w:val="en-US"/>
                    </w:rPr>
                  </w:pPr>
                  <w:r>
                    <w:rPr>
                      <w:rFonts w:hint="eastAsia" w:cs="Times New Roman"/>
                      <w:i w:val="0"/>
                      <w:color w:val="FF0000"/>
                      <w:kern w:val="0"/>
                      <w:sz w:val="21"/>
                      <w:szCs w:val="21"/>
                      <w:highlight w:val="none"/>
                      <w:u w:val="none"/>
                      <w:shd w:val="clear" w:color="auto" w:fill="auto"/>
                      <w:lang w:val="en-US" w:eastAsia="zh-CN" w:bidi="ar"/>
                    </w:rPr>
                    <w:t>2.0</w:t>
                  </w:r>
                </w:p>
              </w:tc>
              <w:tc>
                <w:tcPr>
                  <w:tcW w:w="779" w:type="pct"/>
                  <w:tcBorders>
                    <w:top w:val="single" w:color="auto" w:sz="12" w:space="0"/>
                    <w:bottom w:val="single" w:color="auto" w:sz="12" w:space="0"/>
                    <w:tl2br w:val="nil"/>
                    <w:tr2bl w:val="nil"/>
                  </w:tcBorders>
                  <w:noWrap w:val="0"/>
                  <w:vAlign w:val="center"/>
                </w:tcPr>
                <w:p w14:paraId="0597C199">
                  <w:pPr>
                    <w:keepNext w:val="0"/>
                    <w:keepLines w:val="0"/>
                    <w:pageBreakBefore w:val="0"/>
                    <w:widowControl/>
                    <w:suppressLineNumbers w:val="0"/>
                    <w:kinsoku/>
                    <w:wordWrap/>
                    <w:overflowPunct/>
                    <w:topLinePunct w:val="0"/>
                    <w:autoSpaceDE/>
                    <w:autoSpaceDN/>
                    <w:bidi w:val="0"/>
                    <w:adjustRightInd/>
                    <w:snapToGrid/>
                    <w:spacing w:line="240" w:lineRule="auto"/>
                    <w:ind w:right="0" w:firstLine="0"/>
                    <w:jc w:val="center"/>
                    <w:textAlignment w:val="center"/>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50</w:t>
                  </w:r>
                </w:p>
              </w:tc>
            </w:tr>
            <w:tr w14:paraId="736FC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76" w:hRule="atLeast"/>
                <w:jc w:val="center"/>
              </w:trPr>
              <w:tc>
                <w:tcPr>
                  <w:tcW w:w="744" w:type="pct"/>
                  <w:tcBorders>
                    <w:top w:val="single" w:color="auto" w:sz="12" w:space="0"/>
                    <w:tl2br w:val="nil"/>
                    <w:tr2bl w:val="nil"/>
                  </w:tcBorders>
                  <w:noWrap w:val="0"/>
                  <w:vAlign w:val="center"/>
                </w:tcPr>
                <w:p w14:paraId="0A8CA823">
                  <w:pPr>
                    <w:jc w:val="center"/>
                    <w:rPr>
                      <w:rFonts w:hint="default" w:cs="Times New Roman"/>
                      <w:bCs/>
                      <w:color w:val="FF0000"/>
                      <w:kern w:val="0"/>
                      <w:szCs w:val="21"/>
                      <w:highlight w:val="none"/>
                      <w:lang w:val="en-US" w:eastAsia="zh-CN"/>
                    </w:rPr>
                  </w:pPr>
                  <w:r>
                    <w:rPr>
                      <w:rFonts w:hint="eastAsia" w:cs="Times New Roman"/>
                      <w:bCs/>
                      <w:color w:val="FF0000"/>
                      <w:kern w:val="0"/>
                      <w:szCs w:val="21"/>
                      <w:highlight w:val="none"/>
                      <w:lang w:val="en-US" w:eastAsia="zh-CN"/>
                    </w:rPr>
                    <w:t>二车间</w:t>
                  </w:r>
                </w:p>
              </w:tc>
              <w:tc>
                <w:tcPr>
                  <w:tcW w:w="841" w:type="pct"/>
                  <w:tcBorders>
                    <w:top w:val="single" w:color="auto" w:sz="12" w:space="0"/>
                    <w:tl2br w:val="nil"/>
                    <w:tr2bl w:val="nil"/>
                  </w:tcBorders>
                  <w:noWrap w:val="0"/>
                  <w:vAlign w:val="center"/>
                </w:tcPr>
                <w:p w14:paraId="211766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color w:val="FF0000"/>
                      <w:kern w:val="0"/>
                      <w:sz w:val="21"/>
                      <w:szCs w:val="21"/>
                      <w:highlight w:val="none"/>
                      <w:u w:val="none"/>
                      <w:shd w:val="clear" w:color="auto" w:fill="auto"/>
                      <w:lang w:val="en-US" w:eastAsia="zh-CN" w:bidi="ar"/>
                    </w:rPr>
                  </w:pPr>
                  <w:r>
                    <w:rPr>
                      <w:rFonts w:hint="eastAsia" w:cs="Times New Roman"/>
                      <w:i w:val="0"/>
                      <w:color w:val="FF0000"/>
                      <w:kern w:val="0"/>
                      <w:sz w:val="21"/>
                      <w:szCs w:val="21"/>
                      <w:highlight w:val="none"/>
                      <w:u w:val="none"/>
                      <w:shd w:val="clear" w:color="auto" w:fill="auto"/>
                      <w:lang w:val="en-US" w:eastAsia="zh-CN" w:bidi="ar"/>
                    </w:rPr>
                    <w:t>非甲烷总烃</w:t>
                  </w:r>
                </w:p>
              </w:tc>
              <w:tc>
                <w:tcPr>
                  <w:tcW w:w="1182" w:type="pct"/>
                  <w:tcBorders>
                    <w:top w:val="single" w:color="auto" w:sz="12" w:space="0"/>
                    <w:tl2br w:val="nil"/>
                    <w:tr2bl w:val="nil"/>
                  </w:tcBorders>
                  <w:noWrap w:val="0"/>
                  <w:vAlign w:val="center"/>
                </w:tcPr>
                <w:p w14:paraId="4DFBCF9C">
                  <w:pPr>
                    <w:keepNext w:val="0"/>
                    <w:keepLines w:val="0"/>
                    <w:pageBreakBefore w:val="0"/>
                    <w:widowControl/>
                    <w:suppressLineNumbers w:val="0"/>
                    <w:kinsoku/>
                    <w:wordWrap/>
                    <w:overflowPunct/>
                    <w:topLinePunct w:val="0"/>
                    <w:autoSpaceDE/>
                    <w:autoSpaceDN/>
                    <w:bidi w:val="0"/>
                    <w:adjustRightInd/>
                    <w:snapToGrid/>
                    <w:spacing w:line="240" w:lineRule="auto"/>
                    <w:ind w:right="0" w:rightChars="0" w:firstLine="0" w:firstLineChars="0"/>
                    <w:jc w:val="center"/>
                    <w:textAlignment w:val="center"/>
                    <w:rPr>
                      <w:rFonts w:hint="default" w:ascii="Times New Roman" w:hAnsi="Times New Roman" w:eastAsia="宋体" w:cs="Times New Roman"/>
                      <w:i w:val="0"/>
                      <w:color w:val="FF0000"/>
                      <w:kern w:val="0"/>
                      <w:sz w:val="21"/>
                      <w:szCs w:val="21"/>
                      <w:highlight w:val="none"/>
                      <w:u w:val="none"/>
                      <w:shd w:val="clear" w:color="auto" w:fill="auto"/>
                      <w:lang w:val="en-US" w:eastAsia="zh-CN" w:bidi="ar"/>
                    </w:rPr>
                  </w:pPr>
                  <w:r>
                    <w:rPr>
                      <w:rFonts w:hint="eastAsia" w:cs="Times New Roman"/>
                      <w:i w:val="0"/>
                      <w:color w:val="FF0000"/>
                      <w:kern w:val="0"/>
                      <w:sz w:val="21"/>
                      <w:szCs w:val="21"/>
                      <w:highlight w:val="none"/>
                      <w:u w:val="none"/>
                      <w:shd w:val="clear" w:color="auto" w:fill="auto"/>
                      <w:lang w:val="en-US" w:eastAsia="zh-CN" w:bidi="ar"/>
                    </w:rPr>
                    <w:t>1800</w:t>
                  </w:r>
                </w:p>
              </w:tc>
              <w:tc>
                <w:tcPr>
                  <w:tcW w:w="605" w:type="pct"/>
                  <w:tcBorders>
                    <w:top w:val="single" w:color="auto" w:sz="12" w:space="0"/>
                    <w:tl2br w:val="nil"/>
                    <w:tr2bl w:val="nil"/>
                  </w:tcBorders>
                  <w:noWrap w:val="0"/>
                  <w:vAlign w:val="center"/>
                </w:tcPr>
                <w:p w14:paraId="467C3670">
                  <w:pPr>
                    <w:jc w:val="center"/>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cs="Times New Roman"/>
                      <w:b w:val="0"/>
                      <w:bCs w:val="0"/>
                      <w:color w:val="FF0000"/>
                      <w:kern w:val="0"/>
                      <w:sz w:val="21"/>
                      <w:szCs w:val="21"/>
                      <w:highlight w:val="none"/>
                      <w:lang w:val="en-US" w:eastAsia="zh-CN" w:bidi="ar-SA"/>
                    </w:rPr>
                    <w:t>0.002</w:t>
                  </w:r>
                </w:p>
              </w:tc>
              <w:tc>
                <w:tcPr>
                  <w:tcW w:w="846" w:type="pct"/>
                  <w:tcBorders>
                    <w:top w:val="single" w:color="auto" w:sz="12" w:space="0"/>
                    <w:tl2br w:val="nil"/>
                    <w:tr2bl w:val="nil"/>
                  </w:tcBorders>
                  <w:noWrap w:val="0"/>
                  <w:vAlign w:val="center"/>
                </w:tcPr>
                <w:p w14:paraId="6BA8485A">
                  <w:pPr>
                    <w:keepNext w:val="0"/>
                    <w:keepLines w:val="0"/>
                    <w:pageBreakBefore w:val="0"/>
                    <w:widowControl/>
                    <w:suppressLineNumbers w:val="0"/>
                    <w:kinsoku/>
                    <w:wordWrap/>
                    <w:overflowPunct/>
                    <w:topLinePunct w:val="0"/>
                    <w:autoSpaceDE/>
                    <w:autoSpaceDN/>
                    <w:bidi w:val="0"/>
                    <w:adjustRightInd/>
                    <w:snapToGrid/>
                    <w:spacing w:line="240" w:lineRule="auto"/>
                    <w:ind w:right="0" w:firstLine="0"/>
                    <w:jc w:val="center"/>
                    <w:textAlignment w:val="center"/>
                    <w:rPr>
                      <w:rFonts w:hint="default" w:ascii="Times New Roman" w:hAnsi="Times New Roman" w:eastAsia="宋体" w:cs="Times New Roman"/>
                      <w:i w:val="0"/>
                      <w:color w:val="FF0000"/>
                      <w:kern w:val="0"/>
                      <w:sz w:val="21"/>
                      <w:szCs w:val="21"/>
                      <w:highlight w:val="none"/>
                      <w:u w:val="none"/>
                      <w:shd w:val="clear" w:color="auto" w:fill="auto"/>
                      <w:lang w:val="en-US" w:eastAsia="zh-CN" w:bidi="ar"/>
                    </w:rPr>
                  </w:pPr>
                  <w:r>
                    <w:rPr>
                      <w:rFonts w:hint="eastAsia" w:cs="Times New Roman"/>
                      <w:i w:val="0"/>
                      <w:color w:val="FF0000"/>
                      <w:kern w:val="0"/>
                      <w:sz w:val="21"/>
                      <w:szCs w:val="21"/>
                      <w:highlight w:val="none"/>
                      <w:u w:val="none"/>
                      <w:shd w:val="clear" w:color="auto" w:fill="auto"/>
                      <w:lang w:val="en-US" w:eastAsia="zh-CN" w:bidi="ar"/>
                    </w:rPr>
                    <w:t>2.0</w:t>
                  </w:r>
                </w:p>
              </w:tc>
              <w:tc>
                <w:tcPr>
                  <w:tcW w:w="779" w:type="pct"/>
                  <w:tcBorders>
                    <w:top w:val="single" w:color="auto" w:sz="12" w:space="0"/>
                    <w:tl2br w:val="nil"/>
                    <w:tr2bl w:val="nil"/>
                  </w:tcBorders>
                  <w:noWrap w:val="0"/>
                  <w:vAlign w:val="center"/>
                </w:tcPr>
                <w:p w14:paraId="4291919A">
                  <w:pPr>
                    <w:keepNext w:val="0"/>
                    <w:keepLines w:val="0"/>
                    <w:pageBreakBefore w:val="0"/>
                    <w:widowControl/>
                    <w:suppressLineNumbers w:val="0"/>
                    <w:kinsoku/>
                    <w:wordWrap/>
                    <w:overflowPunct/>
                    <w:topLinePunct w:val="0"/>
                    <w:autoSpaceDE/>
                    <w:autoSpaceDN/>
                    <w:bidi w:val="0"/>
                    <w:adjustRightInd/>
                    <w:snapToGrid/>
                    <w:spacing w:line="240" w:lineRule="auto"/>
                    <w:ind w:right="0" w:firstLine="0"/>
                    <w:jc w:val="center"/>
                    <w:textAlignment w:val="center"/>
                    <w:rPr>
                      <w:rFonts w:hint="default" w:ascii="Times New Roman" w:hAnsi="Times New Roman" w:eastAsia="宋体" w:cs="Times New Roman"/>
                      <w:color w:val="FF0000"/>
                      <w:highlight w:val="none"/>
                      <w:lang w:val="en-US" w:eastAsia="zh-CN"/>
                    </w:rPr>
                  </w:pPr>
                  <w:r>
                    <w:rPr>
                      <w:rFonts w:hint="eastAsia" w:cs="Times New Roman"/>
                      <w:color w:val="FF0000"/>
                      <w:highlight w:val="none"/>
                      <w:lang w:val="en-US" w:eastAsia="zh-CN"/>
                    </w:rPr>
                    <w:t>50</w:t>
                  </w:r>
                </w:p>
              </w:tc>
            </w:tr>
          </w:tbl>
          <w:p w14:paraId="47E3FA2C">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cs="Times New Roman"/>
                <w:b w:val="0"/>
                <w:bCs/>
                <w:color w:val="FF0000"/>
                <w:spacing w:val="0"/>
                <w:sz w:val="24"/>
                <w:szCs w:val="24"/>
                <w:lang w:val="en-US" w:eastAsia="zh-CN"/>
              </w:rPr>
            </w:pPr>
            <w:r>
              <w:rPr>
                <w:rFonts w:cs="Times New Roman"/>
                <w:color w:val="FF0000"/>
                <w:sz w:val="24"/>
                <w:szCs w:val="24"/>
                <w:highlight w:val="none"/>
              </w:rPr>
              <w:t>根据《大气有害物质无组织排放卫生防护距离推导技术导则》（GB/T39499-2020），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同时选择这两种特征大气</w:t>
            </w:r>
            <w:r>
              <w:rPr>
                <w:rFonts w:hint="eastAsia" w:ascii="Times New Roman" w:hAnsi="Times New Roman" w:eastAsia="宋体" w:cs="Times New Roman"/>
                <w:snapToGrid w:val="0"/>
                <w:color w:val="FF0000"/>
                <w:sz w:val="24"/>
                <w:szCs w:val="24"/>
                <w:highlight w:val="none"/>
                <w:lang w:val="en-US" w:eastAsia="zh-CN"/>
              </w:rPr>
              <w:t>有害物质分别计算卫生防护距离。根据</w:t>
            </w:r>
            <w:r>
              <w:rPr>
                <w:rFonts w:hint="eastAsia" w:cs="Times New Roman"/>
                <w:snapToGrid w:val="0"/>
                <w:color w:val="FF0000"/>
                <w:sz w:val="24"/>
                <w:szCs w:val="24"/>
                <w:highlight w:val="none"/>
                <w:lang w:val="en-US" w:eastAsia="zh-CN"/>
              </w:rPr>
              <w:t>上</w:t>
            </w:r>
            <w:r>
              <w:rPr>
                <w:rFonts w:hint="eastAsia" w:ascii="Times New Roman" w:hAnsi="Times New Roman" w:eastAsia="宋体" w:cs="Times New Roman"/>
                <w:snapToGrid w:val="0"/>
                <w:color w:val="FF0000"/>
                <w:sz w:val="24"/>
                <w:szCs w:val="24"/>
                <w:highlight w:val="none"/>
                <w:lang w:val="en-US" w:eastAsia="zh-CN"/>
              </w:rPr>
              <w:t>表</w:t>
            </w:r>
            <w:r>
              <w:rPr>
                <w:rFonts w:hint="eastAsia" w:ascii="Times New Roman" w:hAnsi="Times New Roman" w:eastAsia="宋体" w:cs="Times New Roman"/>
                <w:snapToGrid w:val="0"/>
                <w:color w:val="FF0000"/>
                <w:sz w:val="24"/>
                <w:szCs w:val="24"/>
                <w:highlight w:val="none"/>
                <w:lang w:val="en-GB" w:eastAsia="zh-CN"/>
              </w:rPr>
              <w:t>确定本项目卫生防护距离为：</w:t>
            </w:r>
            <w:r>
              <w:rPr>
                <w:rFonts w:hint="eastAsia" w:cs="Times New Roman"/>
                <w:snapToGrid w:val="0"/>
                <w:color w:val="FF0000"/>
                <w:sz w:val="24"/>
                <w:szCs w:val="24"/>
                <w:highlight w:val="none"/>
                <w:lang w:val="en-US" w:eastAsia="zh-CN"/>
              </w:rPr>
              <w:t>一</w:t>
            </w:r>
            <w:r>
              <w:rPr>
                <w:rFonts w:hint="eastAsia" w:ascii="Times New Roman" w:hAnsi="Times New Roman" w:eastAsia="宋体" w:cs="Times New Roman"/>
                <w:snapToGrid w:val="0"/>
                <w:color w:val="FF0000"/>
                <w:sz w:val="24"/>
                <w:szCs w:val="24"/>
                <w:highlight w:val="none"/>
                <w:lang w:val="en-US" w:eastAsia="zh-CN"/>
              </w:rPr>
              <w:t>车间设</w:t>
            </w:r>
            <w:r>
              <w:rPr>
                <w:rFonts w:hint="eastAsia" w:cs="Times New Roman"/>
                <w:snapToGrid w:val="0"/>
                <w:color w:val="FF0000"/>
                <w:sz w:val="24"/>
                <w:szCs w:val="24"/>
                <w:highlight w:val="none"/>
                <w:lang w:val="en-US" w:eastAsia="zh-CN"/>
              </w:rPr>
              <w:t>置50m卫生防护距离，二车间</w:t>
            </w:r>
            <w:r>
              <w:rPr>
                <w:rFonts w:hint="eastAsia" w:ascii="Times New Roman" w:hAnsi="Times New Roman" w:eastAsia="宋体" w:cs="Times New Roman"/>
                <w:snapToGrid w:val="0"/>
                <w:color w:val="FF0000"/>
                <w:sz w:val="24"/>
                <w:szCs w:val="24"/>
                <w:highlight w:val="none"/>
                <w:lang w:val="en-US" w:eastAsia="zh-CN"/>
              </w:rPr>
              <w:t>设</w:t>
            </w:r>
            <w:r>
              <w:rPr>
                <w:rFonts w:hint="eastAsia" w:cs="Times New Roman"/>
                <w:snapToGrid w:val="0"/>
                <w:color w:val="FF0000"/>
                <w:sz w:val="24"/>
                <w:szCs w:val="24"/>
                <w:highlight w:val="none"/>
                <w:lang w:val="en-US" w:eastAsia="zh-CN"/>
              </w:rPr>
              <w:t>置50m卫生防护距离。</w:t>
            </w:r>
            <w:r>
              <w:rPr>
                <w:rFonts w:hint="eastAsia" w:cs="Times New Roman"/>
                <w:snapToGrid w:val="0"/>
                <w:color w:val="FF0000"/>
                <w:sz w:val="24"/>
                <w:szCs w:val="24"/>
                <w:highlight w:val="none"/>
              </w:rPr>
              <w:t>通过</w:t>
            </w:r>
            <w:r>
              <w:rPr>
                <w:rFonts w:cs="Times New Roman"/>
                <w:snapToGrid w:val="0"/>
                <w:color w:val="FF0000"/>
                <w:sz w:val="24"/>
                <w:szCs w:val="24"/>
                <w:highlight w:val="none"/>
              </w:rPr>
              <w:t>现场调查</w:t>
            </w:r>
            <w:r>
              <w:rPr>
                <w:rFonts w:hint="eastAsia" w:cs="Times New Roman"/>
                <w:snapToGrid w:val="0"/>
                <w:color w:val="FF0000"/>
                <w:sz w:val="24"/>
                <w:szCs w:val="24"/>
                <w:highlight w:val="none"/>
                <w:lang w:eastAsia="zh-CN"/>
              </w:rPr>
              <w:t>，</w:t>
            </w:r>
            <w:r>
              <w:rPr>
                <w:rFonts w:hint="eastAsia" w:ascii="Times New Roman" w:hAnsi="Times New Roman" w:eastAsia="宋体" w:cs="Times New Roman"/>
                <w:color w:val="FF0000"/>
                <w:sz w:val="24"/>
                <w:lang w:val="en-US" w:eastAsia="zh-CN"/>
              </w:rPr>
              <w:t>距项目最近的两个敏感点分别为生产车间东南侧260m的清泉庵、生产车间北侧231m的徐家村，即卫生防护范围内无集中居民、学校、医院等特殊敏感点，可以满足卫生防护距离要求，同时本环评要求企业在车间加强通风以进一步减轻项目产生的废气对区域环境的影响，且卫生防护距离内禁止新建食品等需要特殊保护企业</w:t>
            </w:r>
            <w:r>
              <w:rPr>
                <w:rFonts w:hint="default" w:ascii="Times New Roman" w:hAnsi="Times New Roman" w:eastAsia="宋体" w:cs="Times New Roman"/>
                <w:bCs/>
                <w:snapToGrid w:val="0"/>
                <w:color w:val="FF0000"/>
                <w:sz w:val="24"/>
                <w:szCs w:val="24"/>
                <w:highlight w:val="none"/>
                <w:shd w:val="clear" w:color="auto" w:fill="auto"/>
              </w:rPr>
              <w:t>。</w:t>
            </w:r>
          </w:p>
          <w:p w14:paraId="542379F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ascii="Times New Roman" w:hAnsi="Times New Roman" w:eastAsia="宋体" w:cs="Times New Roman"/>
                <w:b w:val="0"/>
                <w:bCs/>
                <w:color w:val="FF0000"/>
                <w:spacing w:val="0"/>
                <w:kern w:val="0"/>
                <w:sz w:val="24"/>
                <w:szCs w:val="24"/>
                <w:lang w:val="en-US" w:eastAsia="zh-CN"/>
              </w:rPr>
            </w:pPr>
            <w:commentRangeStart w:id="35"/>
            <w:r>
              <w:rPr>
                <w:rFonts w:hint="eastAsia" w:cs="Times New Roman"/>
                <w:b w:val="0"/>
                <w:bCs/>
                <w:color w:val="FF0000"/>
                <w:spacing w:val="0"/>
                <w:sz w:val="24"/>
                <w:szCs w:val="24"/>
                <w:lang w:val="en-US" w:eastAsia="zh-CN"/>
              </w:rPr>
              <w:t>5、</w:t>
            </w:r>
            <w:commentRangeEnd w:id="35"/>
            <w:r>
              <w:commentReference w:id="35"/>
            </w:r>
            <w:r>
              <w:rPr>
                <w:rFonts w:hint="eastAsia" w:ascii="Times New Roman" w:hAnsi="Times New Roman" w:eastAsia="宋体" w:cs="Times New Roman"/>
                <w:b w:val="0"/>
                <w:bCs/>
                <w:color w:val="FF0000"/>
                <w:spacing w:val="0"/>
                <w:kern w:val="0"/>
                <w:sz w:val="24"/>
                <w:szCs w:val="24"/>
                <w:lang w:val="en-US" w:eastAsia="zh-CN"/>
              </w:rPr>
              <w:t>自行监测方案</w:t>
            </w:r>
          </w:p>
          <w:p w14:paraId="28BC2E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FF0000"/>
                <w:sz w:val="24"/>
              </w:rPr>
            </w:pPr>
            <w:r>
              <w:rPr>
                <w:rFonts w:hint="eastAsia" w:ascii="Times New Roman" w:hAnsi="Times New Roman" w:eastAsia="宋体" w:cs="Times New Roman"/>
                <w:color w:val="FF0000"/>
                <w:sz w:val="24"/>
                <w:lang w:val="en-US" w:eastAsia="zh-CN"/>
              </w:rPr>
              <w:t>本次评价结合《排污单位自行监测技术指南总则》（HJ 819-2017）</w:t>
            </w:r>
            <w:r>
              <w:rPr>
                <w:rFonts w:hint="eastAsia" w:cs="Times New Roman"/>
                <w:color w:val="FF0000"/>
                <w:sz w:val="24"/>
                <w:lang w:val="en-US" w:eastAsia="zh-CN"/>
              </w:rPr>
              <w:t>、</w:t>
            </w:r>
            <w:r>
              <w:rPr>
                <w:rFonts w:hint="eastAsia" w:ascii="Times New Roman" w:hAnsi="Times New Roman" w:eastAsia="宋体" w:cs="Times New Roman"/>
                <w:color w:val="FF0000"/>
                <w:sz w:val="24"/>
                <w:lang w:val="en-US" w:eastAsia="zh-CN"/>
              </w:rPr>
              <w:t>《排污单位自行监测技术指南</w:t>
            </w:r>
            <w:r>
              <w:rPr>
                <w:rFonts w:hint="eastAsia" w:cs="Times New Roman"/>
                <w:color w:val="FF0000"/>
                <w:sz w:val="24"/>
                <w:lang w:val="en-US" w:eastAsia="zh-CN"/>
              </w:rPr>
              <w:t xml:space="preserve"> 中药、生物药品制品、化学药品制剂制造业</w:t>
            </w:r>
            <w:r>
              <w:rPr>
                <w:rFonts w:hint="eastAsia" w:ascii="Times New Roman" w:hAnsi="Times New Roman" w:eastAsia="宋体" w:cs="Times New Roman"/>
                <w:color w:val="FF0000"/>
                <w:sz w:val="24"/>
                <w:lang w:val="en-US" w:eastAsia="zh-CN"/>
              </w:rPr>
              <w:t xml:space="preserve">》（HJ </w:t>
            </w:r>
            <w:r>
              <w:rPr>
                <w:rFonts w:hint="eastAsia" w:cs="Times New Roman"/>
                <w:color w:val="FF0000"/>
                <w:sz w:val="24"/>
                <w:lang w:val="en-US" w:eastAsia="zh-CN"/>
              </w:rPr>
              <w:t>1256</w:t>
            </w:r>
            <w:r>
              <w:rPr>
                <w:rFonts w:hint="eastAsia" w:ascii="Times New Roman" w:hAnsi="Times New Roman" w:eastAsia="宋体" w:cs="Times New Roman"/>
                <w:color w:val="FF0000"/>
                <w:sz w:val="24"/>
                <w:lang w:val="en-US" w:eastAsia="zh-CN"/>
              </w:rPr>
              <w:t>-20</w:t>
            </w:r>
            <w:r>
              <w:rPr>
                <w:rFonts w:hint="eastAsia" w:cs="Times New Roman"/>
                <w:color w:val="FF0000"/>
                <w:sz w:val="24"/>
                <w:lang w:val="en-US" w:eastAsia="zh-CN"/>
              </w:rPr>
              <w:t>22</w:t>
            </w:r>
            <w:r>
              <w:rPr>
                <w:rFonts w:hint="eastAsia" w:ascii="Times New Roman" w:hAnsi="Times New Roman" w:eastAsia="宋体" w:cs="Times New Roman"/>
                <w:color w:val="FF0000"/>
                <w:sz w:val="24"/>
                <w:lang w:val="en-US" w:eastAsia="zh-CN"/>
              </w:rPr>
              <w:t>）、《排污许可证申请与核发技术规范 总则》（</w:t>
            </w:r>
            <w:r>
              <w:rPr>
                <w:rFonts w:hint="default" w:ascii="Times New Roman" w:hAnsi="Times New Roman" w:eastAsia="宋体" w:cs="Times New Roman"/>
                <w:color w:val="FF0000"/>
                <w:sz w:val="24"/>
                <w:lang w:val="en-US" w:eastAsia="zh-CN"/>
              </w:rPr>
              <w:t>HJ942</w:t>
            </w:r>
            <w:r>
              <w:rPr>
                <w:rFonts w:hint="eastAsia" w:ascii="Times New Roman" w:hAnsi="Times New Roman" w:eastAsia="宋体" w:cs="Times New Roman"/>
                <w:color w:val="FF0000"/>
                <w:sz w:val="24"/>
                <w:lang w:val="en-US" w:eastAsia="zh-CN"/>
              </w:rPr>
              <w:t>—</w:t>
            </w:r>
            <w:r>
              <w:rPr>
                <w:rFonts w:hint="default" w:ascii="Times New Roman" w:hAnsi="Times New Roman" w:eastAsia="宋体" w:cs="Times New Roman"/>
                <w:color w:val="FF0000"/>
                <w:sz w:val="24"/>
                <w:lang w:val="en-US" w:eastAsia="zh-CN"/>
              </w:rPr>
              <w:t>2018</w:t>
            </w:r>
            <w:r>
              <w:rPr>
                <w:rFonts w:hint="eastAsia" w:ascii="Times New Roman" w:hAnsi="Times New Roman" w:eastAsia="宋体" w:cs="Times New Roman"/>
                <w:color w:val="FF0000"/>
                <w:sz w:val="24"/>
                <w:lang w:val="en-US" w:eastAsia="zh-CN"/>
              </w:rPr>
              <w:t>）要求，本报告对项目在生产运行阶段提出大气污染源监测计划，具体见下表。</w:t>
            </w:r>
          </w:p>
          <w:p w14:paraId="31CB319F">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240" w:lineRule="auto"/>
              <w:jc w:val="center"/>
              <w:textAlignment w:val="auto"/>
              <w:rPr>
                <w:rFonts w:hint="eastAsia" w:ascii="Times New Roman" w:hAnsi="Times New Roman" w:eastAsia="宋体" w:cs="Times New Roman"/>
                <w:b/>
                <w:color w:val="FF0000"/>
                <w:kern w:val="0"/>
                <w:sz w:val="24"/>
                <w:lang w:eastAsia="zh-CN"/>
              </w:rPr>
            </w:pPr>
            <w:r>
              <w:rPr>
                <w:rFonts w:ascii="Times New Roman" w:hAnsi="Times New Roman" w:eastAsia="宋体" w:cs="Times New Roman"/>
                <w:b/>
                <w:bCs/>
                <w:color w:val="FF0000"/>
                <w:kern w:val="0"/>
                <w:sz w:val="21"/>
                <w:szCs w:val="21"/>
              </w:rPr>
              <w:t>表4-</w:t>
            </w:r>
            <w:r>
              <w:rPr>
                <w:rFonts w:hint="eastAsia" w:cs="Times New Roman"/>
                <w:b/>
                <w:bCs/>
                <w:color w:val="FF0000"/>
                <w:kern w:val="0"/>
                <w:sz w:val="21"/>
                <w:szCs w:val="21"/>
                <w:lang w:val="en-US" w:eastAsia="zh-CN"/>
              </w:rPr>
              <w:t>6</w:t>
            </w:r>
            <w:r>
              <w:rPr>
                <w:rFonts w:ascii="Times New Roman" w:hAnsi="Times New Roman" w:eastAsia="宋体" w:cs="Times New Roman"/>
                <w:b/>
                <w:bCs/>
                <w:color w:val="FF0000"/>
                <w:kern w:val="0"/>
                <w:sz w:val="21"/>
                <w:szCs w:val="21"/>
              </w:rPr>
              <w:t xml:space="preserve">   项目废气污染源自行监测计划一览表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479"/>
              <w:gridCol w:w="2096"/>
              <w:gridCol w:w="1183"/>
              <w:gridCol w:w="3033"/>
            </w:tblGrid>
            <w:tr w14:paraId="189CF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5" w:hRule="atLeast"/>
                <w:jc w:val="center"/>
              </w:trPr>
              <w:tc>
                <w:tcPr>
                  <w:tcW w:w="442" w:type="pct"/>
                  <w:tcBorders>
                    <w:tl2br w:val="nil"/>
                    <w:tr2bl w:val="nil"/>
                  </w:tcBorders>
                  <w:noWrap w:val="0"/>
                  <w:vAlign w:val="center"/>
                </w:tcPr>
                <w:p w14:paraId="73BBAAE3">
                  <w:pPr>
                    <w:spacing w:line="240" w:lineRule="auto"/>
                    <w:jc w:val="center"/>
                    <w:rPr>
                      <w:rFonts w:hint="default" w:ascii="Times New Roman" w:hAnsi="Times New Roman" w:eastAsia="宋体" w:cs="Times New Roman"/>
                      <w:b/>
                      <w:bCs/>
                      <w:color w:val="FF0000"/>
                      <w:sz w:val="21"/>
                      <w:szCs w:val="21"/>
                      <w:u w:val="none"/>
                    </w:rPr>
                  </w:pPr>
                  <w:r>
                    <w:rPr>
                      <w:rFonts w:hint="default" w:ascii="Times New Roman" w:hAnsi="Times New Roman" w:eastAsia="宋体" w:cs="Times New Roman"/>
                      <w:b/>
                      <w:bCs/>
                      <w:color w:val="FF0000"/>
                      <w:sz w:val="21"/>
                      <w:szCs w:val="21"/>
                      <w:u w:val="none"/>
                    </w:rPr>
                    <w:t>监测时期</w:t>
                  </w:r>
                </w:p>
              </w:tc>
              <w:tc>
                <w:tcPr>
                  <w:tcW w:w="865" w:type="pct"/>
                  <w:tcBorders>
                    <w:tl2br w:val="nil"/>
                    <w:tr2bl w:val="nil"/>
                  </w:tcBorders>
                  <w:noWrap w:val="0"/>
                  <w:vAlign w:val="center"/>
                </w:tcPr>
                <w:p w14:paraId="6CFAEF19">
                  <w:pPr>
                    <w:spacing w:line="240" w:lineRule="auto"/>
                    <w:jc w:val="center"/>
                    <w:rPr>
                      <w:rFonts w:hint="eastAsia" w:ascii="Times New Roman" w:hAnsi="Times New Roman" w:eastAsia="宋体" w:cs="Times New Roman"/>
                      <w:b/>
                      <w:bCs/>
                      <w:color w:val="FF0000"/>
                      <w:sz w:val="21"/>
                      <w:szCs w:val="21"/>
                      <w:u w:val="none"/>
                      <w:lang w:eastAsia="zh-CN"/>
                    </w:rPr>
                  </w:pPr>
                  <w:r>
                    <w:rPr>
                      <w:rFonts w:hint="eastAsia" w:ascii="Times New Roman" w:hAnsi="Times New Roman" w:eastAsia="宋体" w:cs="Times New Roman"/>
                      <w:b/>
                      <w:bCs/>
                      <w:color w:val="FF0000"/>
                      <w:sz w:val="21"/>
                      <w:szCs w:val="21"/>
                      <w:u w:val="none"/>
                      <w:lang w:eastAsia="zh-CN"/>
                    </w:rPr>
                    <w:t>污染物名称</w:t>
                  </w:r>
                </w:p>
                <w:p w14:paraId="7AE2A9AA">
                  <w:pPr>
                    <w:spacing w:line="240" w:lineRule="auto"/>
                    <w:jc w:val="center"/>
                    <w:rPr>
                      <w:rFonts w:hint="default" w:ascii="Times New Roman" w:hAnsi="Times New Roman" w:eastAsia="宋体" w:cs="Times New Roman"/>
                      <w:b/>
                      <w:bCs/>
                      <w:color w:val="FF0000"/>
                      <w:sz w:val="21"/>
                      <w:szCs w:val="21"/>
                      <w:u w:val="none"/>
                    </w:rPr>
                  </w:pPr>
                  <w:r>
                    <w:rPr>
                      <w:rFonts w:hint="eastAsia" w:ascii="Times New Roman" w:hAnsi="Times New Roman" w:eastAsia="宋体" w:cs="Times New Roman"/>
                      <w:b/>
                      <w:bCs/>
                      <w:color w:val="FF0000"/>
                      <w:sz w:val="21"/>
                      <w:szCs w:val="21"/>
                      <w:u w:val="none"/>
                      <w:lang w:eastAsia="zh-CN"/>
                    </w:rPr>
                    <w:t>（监测因子）</w:t>
                  </w:r>
                </w:p>
              </w:tc>
              <w:tc>
                <w:tcPr>
                  <w:tcW w:w="1226" w:type="pct"/>
                  <w:tcBorders>
                    <w:tl2br w:val="nil"/>
                    <w:tr2bl w:val="nil"/>
                  </w:tcBorders>
                  <w:noWrap w:val="0"/>
                  <w:vAlign w:val="center"/>
                </w:tcPr>
                <w:p w14:paraId="3630EE20">
                  <w:pPr>
                    <w:spacing w:line="240" w:lineRule="auto"/>
                    <w:jc w:val="center"/>
                    <w:rPr>
                      <w:rFonts w:hint="eastAsia" w:ascii="Times New Roman" w:hAnsi="Times New Roman" w:eastAsia="宋体" w:cs="Times New Roman"/>
                      <w:b/>
                      <w:bCs/>
                      <w:color w:val="FF0000"/>
                      <w:sz w:val="21"/>
                      <w:szCs w:val="21"/>
                      <w:u w:val="none"/>
                      <w:lang w:eastAsia="zh-CN"/>
                    </w:rPr>
                  </w:pPr>
                  <w:r>
                    <w:rPr>
                      <w:rFonts w:hint="eastAsia" w:ascii="Times New Roman" w:hAnsi="Times New Roman" w:eastAsia="宋体" w:cs="Times New Roman"/>
                      <w:b/>
                      <w:bCs/>
                      <w:color w:val="FF0000"/>
                      <w:sz w:val="21"/>
                      <w:szCs w:val="21"/>
                      <w:u w:val="none"/>
                      <w:lang w:eastAsia="zh-CN"/>
                    </w:rPr>
                    <w:t>监测点位</w:t>
                  </w:r>
                </w:p>
              </w:tc>
              <w:tc>
                <w:tcPr>
                  <w:tcW w:w="692" w:type="pct"/>
                  <w:tcBorders>
                    <w:tl2br w:val="nil"/>
                    <w:tr2bl w:val="nil"/>
                  </w:tcBorders>
                  <w:noWrap w:val="0"/>
                  <w:vAlign w:val="center"/>
                </w:tcPr>
                <w:p w14:paraId="57A6D161">
                  <w:pPr>
                    <w:spacing w:line="240" w:lineRule="auto"/>
                    <w:jc w:val="center"/>
                    <w:rPr>
                      <w:rFonts w:hint="eastAsia" w:ascii="Times New Roman" w:hAnsi="Times New Roman" w:eastAsia="宋体" w:cs="Times New Roman"/>
                      <w:b/>
                      <w:bCs/>
                      <w:color w:val="FF0000"/>
                      <w:sz w:val="21"/>
                      <w:szCs w:val="21"/>
                      <w:u w:val="none"/>
                      <w:lang w:eastAsia="zh-CN"/>
                    </w:rPr>
                  </w:pPr>
                  <w:r>
                    <w:rPr>
                      <w:rFonts w:hint="eastAsia" w:ascii="Times New Roman" w:hAnsi="Times New Roman" w:eastAsia="宋体" w:cs="Times New Roman"/>
                      <w:b/>
                      <w:bCs/>
                      <w:color w:val="FF0000"/>
                      <w:sz w:val="21"/>
                      <w:szCs w:val="21"/>
                      <w:u w:val="none"/>
                      <w:lang w:eastAsia="zh-CN"/>
                    </w:rPr>
                    <w:t>监测频次</w:t>
                  </w:r>
                </w:p>
              </w:tc>
              <w:tc>
                <w:tcPr>
                  <w:tcW w:w="1774" w:type="pct"/>
                  <w:tcBorders>
                    <w:tl2br w:val="nil"/>
                    <w:tr2bl w:val="nil"/>
                  </w:tcBorders>
                  <w:noWrap w:val="0"/>
                  <w:vAlign w:val="center"/>
                </w:tcPr>
                <w:p w14:paraId="6E0C4ABD">
                  <w:pPr>
                    <w:spacing w:line="240" w:lineRule="auto"/>
                    <w:jc w:val="center"/>
                    <w:rPr>
                      <w:rFonts w:hint="default" w:ascii="Times New Roman" w:hAnsi="Times New Roman" w:eastAsia="宋体" w:cs="Times New Roman"/>
                      <w:b/>
                      <w:bCs/>
                      <w:color w:val="FF0000"/>
                      <w:sz w:val="21"/>
                      <w:szCs w:val="21"/>
                      <w:u w:val="none"/>
                    </w:rPr>
                  </w:pPr>
                  <w:r>
                    <w:rPr>
                      <w:rFonts w:hint="default" w:ascii="Times New Roman" w:hAnsi="Times New Roman" w:eastAsia="宋体" w:cs="Times New Roman"/>
                      <w:b/>
                      <w:bCs/>
                      <w:color w:val="FF0000"/>
                      <w:sz w:val="21"/>
                      <w:szCs w:val="21"/>
                      <w:u w:val="none"/>
                    </w:rPr>
                    <w:t>执行标准</w:t>
                  </w:r>
                </w:p>
              </w:tc>
            </w:tr>
            <w:tr w14:paraId="28567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restart"/>
                  <w:tcBorders>
                    <w:tl2br w:val="nil"/>
                    <w:tr2bl w:val="nil"/>
                  </w:tcBorders>
                  <w:noWrap w:val="0"/>
                  <w:vAlign w:val="center"/>
                </w:tcPr>
                <w:p w14:paraId="407D92E8">
                  <w:pPr>
                    <w:spacing w:line="240" w:lineRule="auto"/>
                    <w:jc w:val="center"/>
                    <w:rPr>
                      <w:rFonts w:hint="default" w:ascii="Times New Roman" w:hAnsi="Times New Roman" w:eastAsia="宋体" w:cs="Times New Roman"/>
                      <w:color w:val="FF0000"/>
                      <w:sz w:val="21"/>
                      <w:szCs w:val="21"/>
                      <w:u w:val="none"/>
                    </w:rPr>
                  </w:pPr>
                  <w:r>
                    <w:rPr>
                      <w:rFonts w:hint="default" w:ascii="Times New Roman" w:hAnsi="Times New Roman" w:eastAsia="宋体" w:cs="Times New Roman"/>
                      <w:color w:val="FF0000"/>
                      <w:sz w:val="21"/>
                      <w:szCs w:val="21"/>
                      <w:u w:val="none"/>
                    </w:rPr>
                    <w:t>营运期</w:t>
                  </w:r>
                </w:p>
              </w:tc>
              <w:tc>
                <w:tcPr>
                  <w:tcW w:w="865" w:type="pct"/>
                  <w:tcBorders>
                    <w:tl2br w:val="nil"/>
                    <w:tr2bl w:val="nil"/>
                  </w:tcBorders>
                  <w:noWrap w:val="0"/>
                  <w:vAlign w:val="center"/>
                </w:tcPr>
                <w:p w14:paraId="35B34193">
                  <w:pPr>
                    <w:spacing w:line="240" w:lineRule="auto"/>
                    <w:jc w:val="center"/>
                    <w:rPr>
                      <w:rFonts w:hint="eastAsia" w:ascii="Times New Roman" w:hAnsi="Times New Roman" w:eastAsia="宋体" w:cs="Times New Roman"/>
                      <w:color w:val="FF0000"/>
                      <w:sz w:val="21"/>
                      <w:szCs w:val="21"/>
                      <w:u w:val="none"/>
                      <w:lang w:eastAsia="zh-CN"/>
                    </w:rPr>
                  </w:pPr>
                  <w:r>
                    <w:rPr>
                      <w:rFonts w:hint="eastAsia" w:ascii="Times New Roman" w:hAnsi="Times New Roman" w:eastAsia="宋体" w:cs="Times New Roman"/>
                      <w:color w:val="FF0000"/>
                      <w:sz w:val="21"/>
                      <w:szCs w:val="21"/>
                      <w:u w:val="none"/>
                      <w:lang w:eastAsia="zh-CN"/>
                    </w:rPr>
                    <w:t>非甲烷总烃</w:t>
                  </w:r>
                </w:p>
              </w:tc>
              <w:tc>
                <w:tcPr>
                  <w:tcW w:w="1226" w:type="pct"/>
                  <w:vMerge w:val="restart"/>
                  <w:tcBorders>
                    <w:tl2br w:val="nil"/>
                    <w:tr2bl w:val="nil"/>
                  </w:tcBorders>
                  <w:noWrap w:val="0"/>
                  <w:vAlign w:val="center"/>
                </w:tcPr>
                <w:p w14:paraId="7F8E220F">
                  <w:pPr>
                    <w:spacing w:line="240" w:lineRule="auto"/>
                    <w:jc w:val="center"/>
                    <w:rPr>
                      <w:rFonts w:hint="default" w:ascii="Times New Roman" w:hAnsi="Times New Roman" w:eastAsia="宋体" w:cs="Times New Roman"/>
                      <w:color w:val="FF0000"/>
                      <w:sz w:val="21"/>
                      <w:szCs w:val="21"/>
                      <w:u w:val="none"/>
                      <w:lang w:val="en-US" w:eastAsia="zh-CN"/>
                    </w:rPr>
                  </w:pPr>
                  <w:r>
                    <w:rPr>
                      <w:rFonts w:hint="eastAsia" w:ascii="Times New Roman" w:hAnsi="Times New Roman" w:eastAsia="宋体" w:cs="Times New Roman"/>
                      <w:color w:val="FF0000"/>
                      <w:sz w:val="21"/>
                      <w:szCs w:val="21"/>
                      <w:u w:val="none"/>
                      <w:lang w:val="en-US" w:eastAsia="zh-CN"/>
                    </w:rPr>
                    <w:t>周界外浓度最高点</w:t>
                  </w:r>
                </w:p>
              </w:tc>
              <w:tc>
                <w:tcPr>
                  <w:tcW w:w="692" w:type="pct"/>
                  <w:tcBorders>
                    <w:tl2br w:val="nil"/>
                    <w:tr2bl w:val="nil"/>
                  </w:tcBorders>
                  <w:noWrap w:val="0"/>
                  <w:vAlign w:val="center"/>
                </w:tcPr>
                <w:p w14:paraId="714737E4">
                  <w:pPr>
                    <w:spacing w:line="240" w:lineRule="auto"/>
                    <w:jc w:val="center"/>
                    <w:rPr>
                      <w:rFonts w:hint="eastAsia" w:ascii="Times New Roman" w:hAnsi="Times New Roman" w:eastAsia="宋体" w:cs="Times New Roman"/>
                      <w:color w:val="FF0000"/>
                      <w:sz w:val="21"/>
                      <w:szCs w:val="21"/>
                      <w:u w:val="none"/>
                      <w:lang w:val="en-US" w:eastAsia="zh-CN"/>
                    </w:rPr>
                  </w:pPr>
                  <w:r>
                    <w:rPr>
                      <w:rFonts w:hint="eastAsia" w:ascii="Times New Roman" w:hAnsi="Times New Roman" w:eastAsia="宋体" w:cs="Times New Roman"/>
                      <w:color w:val="FF0000"/>
                      <w:sz w:val="21"/>
                      <w:szCs w:val="21"/>
                      <w:u w:val="none"/>
                      <w:lang w:val="en-US" w:eastAsia="zh-CN"/>
                    </w:rPr>
                    <w:t>1次/</w:t>
                  </w:r>
                  <w:r>
                    <w:rPr>
                      <w:rFonts w:hint="eastAsia" w:cs="Times New Roman"/>
                      <w:color w:val="FF0000"/>
                      <w:sz w:val="21"/>
                      <w:szCs w:val="21"/>
                      <w:u w:val="none"/>
                      <w:lang w:val="en-US" w:eastAsia="zh-CN"/>
                    </w:rPr>
                    <w:t>半</w:t>
                  </w:r>
                  <w:r>
                    <w:rPr>
                      <w:rFonts w:hint="eastAsia" w:ascii="Times New Roman" w:hAnsi="Times New Roman" w:eastAsia="宋体" w:cs="Times New Roman"/>
                      <w:color w:val="FF0000"/>
                      <w:sz w:val="21"/>
                      <w:szCs w:val="21"/>
                      <w:u w:val="none"/>
                      <w:lang w:val="en-US" w:eastAsia="zh-CN"/>
                    </w:rPr>
                    <w:t>年</w:t>
                  </w:r>
                </w:p>
              </w:tc>
              <w:tc>
                <w:tcPr>
                  <w:tcW w:w="1774" w:type="pct"/>
                  <w:tcBorders>
                    <w:tl2br w:val="nil"/>
                    <w:tr2bl w:val="nil"/>
                  </w:tcBorders>
                  <w:noWrap w:val="0"/>
                  <w:vAlign w:val="center"/>
                </w:tcPr>
                <w:p w14:paraId="5D6C2E75">
                  <w:pPr>
                    <w:spacing w:line="240" w:lineRule="auto"/>
                    <w:jc w:val="center"/>
                    <w:rPr>
                      <w:rFonts w:hint="default" w:ascii="Times New Roman" w:hAnsi="Times New Roman" w:eastAsia="宋体" w:cs="Times New Roman"/>
                      <w:color w:val="FF0000"/>
                      <w:sz w:val="21"/>
                      <w:szCs w:val="21"/>
                      <w:u w:val="none"/>
                      <w:lang w:val="en-US" w:eastAsia="zh-CN"/>
                    </w:rPr>
                  </w:pPr>
                  <w:r>
                    <w:rPr>
                      <w:rFonts w:hint="eastAsia" w:ascii="Times New Roman" w:hAnsi="Times New Roman" w:eastAsia="宋体" w:cs="Times New Roman"/>
                      <w:color w:val="FF0000"/>
                      <w:kern w:val="0"/>
                      <w:sz w:val="21"/>
                      <w:szCs w:val="21"/>
                      <w:lang w:val="en-US" w:eastAsia="zh-CN"/>
                    </w:rPr>
                    <w:t>《挥发性有机物排放标准第3部分：医药制造业(DB36/1101.3-2019)</w:t>
                  </w:r>
                </w:p>
              </w:tc>
            </w:tr>
            <w:tr w14:paraId="04F1B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tcBorders>
                    <w:tl2br w:val="nil"/>
                    <w:tr2bl w:val="nil"/>
                  </w:tcBorders>
                  <w:noWrap w:val="0"/>
                  <w:vAlign w:val="center"/>
                </w:tcPr>
                <w:p w14:paraId="4A3012F2">
                  <w:pPr>
                    <w:spacing w:line="240" w:lineRule="auto"/>
                    <w:jc w:val="center"/>
                    <w:rPr>
                      <w:rFonts w:hint="default" w:ascii="Times New Roman" w:hAnsi="Times New Roman" w:eastAsia="宋体" w:cs="Times New Roman"/>
                      <w:color w:val="FF0000"/>
                      <w:sz w:val="21"/>
                      <w:szCs w:val="21"/>
                      <w:u w:val="none"/>
                    </w:rPr>
                  </w:pPr>
                </w:p>
              </w:tc>
              <w:tc>
                <w:tcPr>
                  <w:tcW w:w="865" w:type="pct"/>
                  <w:tcBorders>
                    <w:tl2br w:val="nil"/>
                    <w:tr2bl w:val="nil"/>
                  </w:tcBorders>
                  <w:noWrap w:val="0"/>
                  <w:vAlign w:val="center"/>
                </w:tcPr>
                <w:p w14:paraId="3C30272B">
                  <w:pPr>
                    <w:spacing w:line="240" w:lineRule="auto"/>
                    <w:jc w:val="center"/>
                    <w:rPr>
                      <w:rFonts w:hint="eastAsia" w:ascii="Times New Roman" w:hAnsi="Times New Roman" w:eastAsia="宋体" w:cs="Times New Roman"/>
                      <w:color w:val="FF0000"/>
                      <w:sz w:val="21"/>
                      <w:szCs w:val="21"/>
                      <w:u w:val="none"/>
                      <w:lang w:eastAsia="zh-CN"/>
                    </w:rPr>
                  </w:pPr>
                  <w:r>
                    <w:rPr>
                      <w:rFonts w:hint="eastAsia" w:ascii="Times New Roman" w:hAnsi="Times New Roman" w:eastAsia="宋体" w:cs="Times New Roman"/>
                      <w:color w:val="FF0000"/>
                      <w:sz w:val="21"/>
                      <w:szCs w:val="21"/>
                      <w:u w:val="none"/>
                      <w:lang w:val="en-US" w:eastAsia="zh-CN"/>
                    </w:rPr>
                    <w:t>颗粒物</w:t>
                  </w:r>
                </w:p>
              </w:tc>
              <w:tc>
                <w:tcPr>
                  <w:tcW w:w="1226" w:type="pct"/>
                  <w:vMerge w:val="continue"/>
                  <w:tcBorders>
                    <w:tl2br w:val="nil"/>
                    <w:tr2bl w:val="nil"/>
                  </w:tcBorders>
                  <w:noWrap w:val="0"/>
                  <w:vAlign w:val="center"/>
                </w:tcPr>
                <w:p w14:paraId="7E578036">
                  <w:pPr>
                    <w:spacing w:line="240" w:lineRule="auto"/>
                    <w:jc w:val="center"/>
                    <w:rPr>
                      <w:rFonts w:hint="eastAsia" w:ascii="Times New Roman" w:hAnsi="Times New Roman" w:eastAsia="宋体" w:cs="Times New Roman"/>
                      <w:color w:val="FF0000"/>
                      <w:sz w:val="21"/>
                      <w:szCs w:val="21"/>
                      <w:u w:val="none"/>
                      <w:lang w:val="en-US" w:eastAsia="zh-CN"/>
                    </w:rPr>
                  </w:pPr>
                </w:p>
              </w:tc>
              <w:tc>
                <w:tcPr>
                  <w:tcW w:w="692" w:type="pct"/>
                  <w:tcBorders>
                    <w:tl2br w:val="nil"/>
                    <w:tr2bl w:val="nil"/>
                  </w:tcBorders>
                  <w:noWrap w:val="0"/>
                  <w:vAlign w:val="center"/>
                </w:tcPr>
                <w:p w14:paraId="5024D6E4">
                  <w:pPr>
                    <w:spacing w:line="240" w:lineRule="auto"/>
                    <w:jc w:val="center"/>
                    <w:rPr>
                      <w:rFonts w:hint="eastAsia" w:ascii="Times New Roman" w:hAnsi="Times New Roman" w:eastAsia="宋体" w:cs="Times New Roman"/>
                      <w:color w:val="FF0000"/>
                      <w:sz w:val="21"/>
                      <w:szCs w:val="21"/>
                      <w:u w:val="none"/>
                      <w:lang w:val="en-US" w:eastAsia="zh-CN"/>
                    </w:rPr>
                  </w:pPr>
                  <w:r>
                    <w:rPr>
                      <w:rFonts w:hint="eastAsia" w:ascii="Times New Roman" w:hAnsi="Times New Roman" w:eastAsia="宋体" w:cs="Times New Roman"/>
                      <w:color w:val="FF0000"/>
                      <w:sz w:val="21"/>
                      <w:szCs w:val="21"/>
                      <w:u w:val="none"/>
                      <w:lang w:val="en-US" w:eastAsia="zh-CN"/>
                    </w:rPr>
                    <w:t>1次/年</w:t>
                  </w:r>
                </w:p>
              </w:tc>
              <w:tc>
                <w:tcPr>
                  <w:tcW w:w="1774" w:type="pct"/>
                  <w:tcBorders>
                    <w:tl2br w:val="nil"/>
                    <w:tr2bl w:val="nil"/>
                  </w:tcBorders>
                  <w:noWrap w:val="0"/>
                  <w:vAlign w:val="center"/>
                </w:tcPr>
                <w:p w14:paraId="246269E9">
                  <w:pPr>
                    <w:spacing w:line="240" w:lineRule="auto"/>
                    <w:jc w:val="center"/>
                    <w:rPr>
                      <w:rFonts w:hint="default" w:ascii="Times New Roman" w:hAnsi="Times New Roman" w:eastAsia="宋体" w:cs="Times New Roman"/>
                      <w:color w:val="FF0000"/>
                      <w:sz w:val="21"/>
                      <w:szCs w:val="21"/>
                      <w:u w:val="none"/>
                      <w:lang w:val="en-US" w:eastAsia="zh-CN"/>
                    </w:rPr>
                  </w:pPr>
                  <w:r>
                    <w:rPr>
                      <w:rFonts w:hint="default" w:ascii="Times New Roman" w:hAnsi="Times New Roman" w:eastAsia="宋体" w:cs="Times New Roman"/>
                      <w:color w:val="FF0000"/>
                      <w:sz w:val="21"/>
                      <w:szCs w:val="21"/>
                      <w:u w:val="none"/>
                      <w:lang w:val="en-US" w:eastAsia="zh-CN"/>
                    </w:rPr>
                    <w:t>《大气污染物综合排放标准》（DB31/933-2015）</w:t>
                  </w:r>
                </w:p>
              </w:tc>
            </w:tr>
            <w:tr w14:paraId="4CD53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tcBorders>
                    <w:tl2br w:val="nil"/>
                    <w:tr2bl w:val="nil"/>
                  </w:tcBorders>
                  <w:noWrap w:val="0"/>
                  <w:vAlign w:val="center"/>
                </w:tcPr>
                <w:p w14:paraId="1AF6F81C">
                  <w:pPr>
                    <w:spacing w:line="240" w:lineRule="auto"/>
                    <w:jc w:val="center"/>
                    <w:rPr>
                      <w:rFonts w:hint="default" w:ascii="Times New Roman" w:hAnsi="Times New Roman" w:eastAsia="宋体" w:cs="Times New Roman"/>
                      <w:color w:val="FF0000"/>
                      <w:sz w:val="21"/>
                      <w:szCs w:val="21"/>
                      <w:u w:val="none"/>
                    </w:rPr>
                  </w:pPr>
                </w:p>
              </w:tc>
              <w:tc>
                <w:tcPr>
                  <w:tcW w:w="865" w:type="pct"/>
                  <w:tcBorders>
                    <w:tl2br w:val="nil"/>
                    <w:tr2bl w:val="nil"/>
                  </w:tcBorders>
                  <w:noWrap w:val="0"/>
                  <w:vAlign w:val="center"/>
                </w:tcPr>
                <w:p w14:paraId="29F8FB47">
                  <w:pPr>
                    <w:spacing w:line="240" w:lineRule="auto"/>
                    <w:jc w:val="center"/>
                    <w:rPr>
                      <w:rFonts w:hint="default" w:ascii="Times New Roman" w:hAnsi="Times New Roman" w:eastAsia="宋体" w:cs="Times New Roman"/>
                      <w:color w:val="FF0000"/>
                      <w:sz w:val="21"/>
                      <w:szCs w:val="21"/>
                      <w:u w:val="none"/>
                      <w:lang w:val="en-US" w:eastAsia="zh-CN"/>
                    </w:rPr>
                  </w:pPr>
                  <w:r>
                    <w:rPr>
                      <w:rFonts w:hint="eastAsia" w:cs="Times New Roman"/>
                      <w:color w:val="FF0000"/>
                      <w:sz w:val="21"/>
                      <w:szCs w:val="21"/>
                      <w:u w:val="none"/>
                      <w:lang w:val="en-US" w:eastAsia="zh-CN"/>
                    </w:rPr>
                    <w:t>氨</w:t>
                  </w:r>
                </w:p>
              </w:tc>
              <w:tc>
                <w:tcPr>
                  <w:tcW w:w="1226" w:type="pct"/>
                  <w:vMerge w:val="continue"/>
                  <w:tcBorders>
                    <w:tl2br w:val="nil"/>
                    <w:tr2bl w:val="nil"/>
                  </w:tcBorders>
                  <w:noWrap w:val="0"/>
                  <w:vAlign w:val="center"/>
                </w:tcPr>
                <w:p w14:paraId="37F1C504">
                  <w:pPr>
                    <w:spacing w:line="240" w:lineRule="auto"/>
                    <w:jc w:val="center"/>
                    <w:rPr>
                      <w:rFonts w:hint="eastAsia" w:ascii="Times New Roman" w:hAnsi="Times New Roman" w:eastAsia="宋体" w:cs="Times New Roman"/>
                      <w:color w:val="FF0000"/>
                      <w:sz w:val="21"/>
                      <w:szCs w:val="21"/>
                      <w:u w:val="none"/>
                      <w:lang w:val="en-US" w:eastAsia="zh-CN"/>
                    </w:rPr>
                  </w:pPr>
                </w:p>
              </w:tc>
              <w:tc>
                <w:tcPr>
                  <w:tcW w:w="692" w:type="pct"/>
                  <w:tcBorders>
                    <w:tl2br w:val="nil"/>
                    <w:tr2bl w:val="nil"/>
                  </w:tcBorders>
                  <w:noWrap w:val="0"/>
                  <w:vAlign w:val="center"/>
                </w:tcPr>
                <w:p w14:paraId="3A9D6479">
                  <w:pPr>
                    <w:spacing w:line="240" w:lineRule="auto"/>
                    <w:jc w:val="center"/>
                    <w:rPr>
                      <w:rFonts w:hint="eastAsia" w:ascii="Times New Roman" w:hAnsi="Times New Roman" w:eastAsia="宋体" w:cs="Times New Roman"/>
                      <w:color w:val="FF0000"/>
                      <w:sz w:val="21"/>
                      <w:szCs w:val="21"/>
                      <w:u w:val="none"/>
                      <w:lang w:val="en-US" w:eastAsia="zh-CN"/>
                    </w:rPr>
                  </w:pPr>
                  <w:r>
                    <w:rPr>
                      <w:rFonts w:hint="eastAsia" w:ascii="Times New Roman" w:hAnsi="Times New Roman" w:eastAsia="宋体" w:cs="Times New Roman"/>
                      <w:color w:val="FF0000"/>
                      <w:sz w:val="21"/>
                      <w:szCs w:val="21"/>
                      <w:u w:val="none"/>
                      <w:lang w:val="en-US" w:eastAsia="zh-CN"/>
                    </w:rPr>
                    <w:t>1次/</w:t>
                  </w:r>
                  <w:r>
                    <w:rPr>
                      <w:rFonts w:hint="eastAsia" w:cs="Times New Roman"/>
                      <w:color w:val="FF0000"/>
                      <w:sz w:val="21"/>
                      <w:szCs w:val="21"/>
                      <w:u w:val="none"/>
                      <w:lang w:val="en-US" w:eastAsia="zh-CN"/>
                    </w:rPr>
                    <w:t>半</w:t>
                  </w:r>
                  <w:r>
                    <w:rPr>
                      <w:rFonts w:hint="eastAsia" w:ascii="Times New Roman" w:hAnsi="Times New Roman" w:eastAsia="宋体" w:cs="Times New Roman"/>
                      <w:color w:val="FF0000"/>
                      <w:sz w:val="21"/>
                      <w:szCs w:val="21"/>
                      <w:u w:val="none"/>
                      <w:lang w:val="en-US" w:eastAsia="zh-CN"/>
                    </w:rPr>
                    <w:t>年</w:t>
                  </w:r>
                </w:p>
              </w:tc>
              <w:tc>
                <w:tcPr>
                  <w:tcW w:w="1774" w:type="pct"/>
                  <w:tcBorders>
                    <w:tl2br w:val="nil"/>
                    <w:tr2bl w:val="nil"/>
                  </w:tcBorders>
                  <w:noWrap w:val="0"/>
                  <w:vAlign w:val="center"/>
                </w:tcPr>
                <w:p w14:paraId="7E26A3B8">
                  <w:pPr>
                    <w:spacing w:line="240" w:lineRule="auto"/>
                    <w:jc w:val="center"/>
                    <w:rPr>
                      <w:rFonts w:hint="default" w:ascii="Times New Roman" w:hAnsi="Times New Roman" w:eastAsia="宋体" w:cs="Times New Roman"/>
                      <w:color w:val="FF0000"/>
                      <w:sz w:val="21"/>
                      <w:szCs w:val="21"/>
                      <w:u w:val="none"/>
                      <w:lang w:val="en-US" w:eastAsia="zh-CN"/>
                    </w:rPr>
                  </w:pPr>
                  <w:r>
                    <w:rPr>
                      <w:rFonts w:hint="eastAsia" w:ascii="Times New Roman" w:hAnsi="Times New Roman" w:eastAsia="宋体" w:cs="Times New Roman"/>
                      <w:color w:val="FF0000"/>
                      <w:szCs w:val="21"/>
                      <w:highlight w:val="none"/>
                      <w:lang w:val="en-US" w:eastAsia="zh-CN"/>
                    </w:rPr>
                    <w:t>《恶臭污染物排放标准》（GB14554-93）</w:t>
                  </w:r>
                </w:p>
              </w:tc>
            </w:tr>
            <w:tr w14:paraId="5EE8E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42" w:type="pct"/>
                  <w:vMerge w:val="continue"/>
                  <w:tcBorders>
                    <w:tl2br w:val="nil"/>
                    <w:tr2bl w:val="nil"/>
                  </w:tcBorders>
                  <w:noWrap w:val="0"/>
                  <w:vAlign w:val="center"/>
                </w:tcPr>
                <w:p w14:paraId="697CCE2E">
                  <w:pPr>
                    <w:spacing w:line="240" w:lineRule="auto"/>
                    <w:jc w:val="center"/>
                    <w:rPr>
                      <w:rFonts w:hint="default" w:ascii="Times New Roman" w:hAnsi="Times New Roman" w:eastAsia="宋体" w:cs="Times New Roman"/>
                      <w:color w:val="FF0000"/>
                      <w:sz w:val="21"/>
                      <w:szCs w:val="21"/>
                      <w:u w:val="none"/>
                    </w:rPr>
                  </w:pPr>
                </w:p>
              </w:tc>
              <w:tc>
                <w:tcPr>
                  <w:tcW w:w="865" w:type="pct"/>
                  <w:tcBorders>
                    <w:tl2br w:val="nil"/>
                    <w:tr2bl w:val="nil"/>
                  </w:tcBorders>
                  <w:noWrap w:val="0"/>
                  <w:vAlign w:val="center"/>
                </w:tcPr>
                <w:p w14:paraId="3E001ABC">
                  <w:pPr>
                    <w:spacing w:line="240" w:lineRule="auto"/>
                    <w:jc w:val="center"/>
                    <w:rPr>
                      <w:rFonts w:hint="eastAsia" w:ascii="Times New Roman" w:hAnsi="Times New Roman" w:eastAsia="宋体" w:cs="Times New Roman"/>
                      <w:color w:val="FF0000"/>
                      <w:sz w:val="21"/>
                      <w:szCs w:val="21"/>
                      <w:u w:val="none"/>
                      <w:lang w:eastAsia="zh-CN"/>
                    </w:rPr>
                  </w:pPr>
                  <w:r>
                    <w:rPr>
                      <w:rFonts w:hint="eastAsia" w:ascii="Times New Roman" w:hAnsi="Times New Roman" w:eastAsia="宋体" w:cs="Times New Roman"/>
                      <w:color w:val="FF0000"/>
                      <w:sz w:val="21"/>
                      <w:szCs w:val="21"/>
                      <w:u w:val="none"/>
                      <w:lang w:val="en-US" w:eastAsia="zh-CN"/>
                    </w:rPr>
                    <w:t>NMHC</w:t>
                  </w:r>
                </w:p>
              </w:tc>
              <w:tc>
                <w:tcPr>
                  <w:tcW w:w="1226" w:type="pct"/>
                  <w:tcBorders>
                    <w:tl2br w:val="nil"/>
                    <w:tr2bl w:val="nil"/>
                  </w:tcBorders>
                  <w:noWrap w:val="0"/>
                  <w:vAlign w:val="center"/>
                </w:tcPr>
                <w:p w14:paraId="2329F79E">
                  <w:pPr>
                    <w:spacing w:line="240" w:lineRule="auto"/>
                    <w:jc w:val="center"/>
                    <w:rPr>
                      <w:rFonts w:hint="default" w:ascii="Times New Roman" w:hAnsi="Times New Roman" w:eastAsia="宋体" w:cs="Times New Roman"/>
                      <w:color w:val="FF0000"/>
                      <w:sz w:val="21"/>
                      <w:szCs w:val="21"/>
                      <w:u w:val="none"/>
                      <w:lang w:val="en-US" w:eastAsia="zh-CN"/>
                    </w:rPr>
                  </w:pPr>
                  <w:r>
                    <w:rPr>
                      <w:rFonts w:hint="eastAsia" w:ascii="Times New Roman" w:hAnsi="Times New Roman" w:eastAsia="宋体" w:cs="Times New Roman"/>
                      <w:color w:val="FF0000"/>
                      <w:sz w:val="21"/>
                      <w:szCs w:val="21"/>
                      <w:u w:val="none"/>
                      <w:lang w:val="en-US" w:eastAsia="zh-CN"/>
                    </w:rPr>
                    <w:t>厂区内</w:t>
                  </w:r>
                </w:p>
              </w:tc>
              <w:tc>
                <w:tcPr>
                  <w:tcW w:w="692" w:type="pct"/>
                  <w:tcBorders>
                    <w:tl2br w:val="nil"/>
                    <w:tr2bl w:val="nil"/>
                  </w:tcBorders>
                  <w:noWrap w:val="0"/>
                  <w:vAlign w:val="center"/>
                </w:tcPr>
                <w:p w14:paraId="6CCC48B1">
                  <w:pPr>
                    <w:spacing w:line="240" w:lineRule="auto"/>
                    <w:jc w:val="center"/>
                    <w:rPr>
                      <w:rFonts w:hint="default" w:ascii="Times New Roman" w:hAnsi="Times New Roman" w:eastAsia="宋体" w:cs="Times New Roman"/>
                      <w:color w:val="FF0000"/>
                      <w:sz w:val="21"/>
                      <w:szCs w:val="21"/>
                      <w:u w:val="none"/>
                      <w:lang w:val="en-US" w:eastAsia="zh-CN"/>
                    </w:rPr>
                  </w:pPr>
                  <w:r>
                    <w:rPr>
                      <w:rFonts w:hint="eastAsia" w:ascii="Times New Roman" w:hAnsi="Times New Roman" w:eastAsia="宋体" w:cs="Times New Roman"/>
                      <w:color w:val="FF0000"/>
                      <w:sz w:val="21"/>
                      <w:szCs w:val="21"/>
                      <w:u w:val="none"/>
                      <w:lang w:val="en-US" w:eastAsia="zh-CN"/>
                    </w:rPr>
                    <w:t>1次/</w:t>
                  </w:r>
                  <w:r>
                    <w:rPr>
                      <w:rFonts w:hint="eastAsia" w:cs="Times New Roman"/>
                      <w:color w:val="FF0000"/>
                      <w:sz w:val="21"/>
                      <w:szCs w:val="21"/>
                      <w:u w:val="none"/>
                      <w:lang w:val="en-US" w:eastAsia="zh-CN"/>
                    </w:rPr>
                    <w:t>半</w:t>
                  </w:r>
                  <w:r>
                    <w:rPr>
                      <w:rFonts w:hint="eastAsia" w:ascii="Times New Roman" w:hAnsi="Times New Roman" w:eastAsia="宋体" w:cs="Times New Roman"/>
                      <w:color w:val="FF0000"/>
                      <w:sz w:val="21"/>
                      <w:szCs w:val="21"/>
                      <w:u w:val="none"/>
                      <w:lang w:val="en-US" w:eastAsia="zh-CN"/>
                    </w:rPr>
                    <w:t>年</w:t>
                  </w:r>
                </w:p>
              </w:tc>
              <w:tc>
                <w:tcPr>
                  <w:tcW w:w="1774" w:type="pct"/>
                  <w:tcBorders>
                    <w:tl2br w:val="nil"/>
                    <w:tr2bl w:val="nil"/>
                  </w:tcBorders>
                  <w:noWrap w:val="0"/>
                  <w:vAlign w:val="center"/>
                </w:tcPr>
                <w:p w14:paraId="60B06E45">
                  <w:pPr>
                    <w:spacing w:line="240" w:lineRule="auto"/>
                    <w:jc w:val="cente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sz w:val="21"/>
                      <w:szCs w:val="21"/>
                      <w:highlight w:val="none"/>
                      <w:shd w:val="clear" w:color="auto" w:fill="auto"/>
                      <w:lang w:val="en-US" w:eastAsia="zh-CN" w:bidi="ar"/>
                    </w:rPr>
                    <w:t>《挥发性有机物无组织排放控制标准》（GB37822-2019）</w:t>
                  </w:r>
                </w:p>
              </w:tc>
            </w:tr>
          </w:tbl>
          <w:p w14:paraId="486E5DB6">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b/>
                <w:bCs/>
                <w:color w:val="auto"/>
                <w:sz w:val="24"/>
                <w:szCs w:val="24"/>
                <w:highlight w:val="none"/>
                <w:shd w:val="clear" w:color="auto" w:fill="auto"/>
                <w:lang w:val="en-US"/>
              </w:rPr>
            </w:pPr>
            <w:r>
              <w:rPr>
                <w:rFonts w:hint="eastAsia"/>
                <w:b/>
                <w:bCs/>
                <w:color w:val="auto"/>
                <w:sz w:val="24"/>
                <w:szCs w:val="24"/>
                <w:highlight w:val="none"/>
                <w:shd w:val="clear" w:color="auto" w:fill="auto"/>
                <w:lang w:val="en-US" w:eastAsia="zh-CN"/>
              </w:rPr>
              <w:t>二</w:t>
            </w:r>
            <w:r>
              <w:rPr>
                <w:rFonts w:hint="eastAsia"/>
                <w:b/>
                <w:bCs/>
                <w:color w:val="auto"/>
                <w:sz w:val="24"/>
                <w:szCs w:val="24"/>
                <w:highlight w:val="none"/>
                <w:shd w:val="clear" w:color="auto" w:fill="auto"/>
                <w:lang w:eastAsia="zh-CN"/>
              </w:rPr>
              <w:t>、水环境影响和保护措施</w:t>
            </w:r>
          </w:p>
          <w:p w14:paraId="6D39C441">
            <w:pPr>
              <w:pageBreakBefore w:val="0"/>
              <w:kinsoku/>
              <w:wordWrap/>
              <w:autoSpaceDN/>
              <w:bidi w:val="0"/>
              <w:adjustRightInd/>
              <w:snapToGrid/>
              <w:spacing w:line="360" w:lineRule="auto"/>
              <w:ind w:firstLine="482" w:firstLineChars="200"/>
              <w:textAlignment w:val="auto"/>
              <w:rPr>
                <w:rFonts w:hint="eastAsia" w:ascii="Times New Roman" w:hAnsi="Times New Roman" w:eastAsia="宋体" w:cs="Times New Roman"/>
                <w:b/>
                <w:bCs/>
                <w:color w:val="FF0000"/>
                <w:sz w:val="24"/>
                <w:szCs w:val="24"/>
                <w:highlight w:val="none"/>
                <w:shd w:val="clear" w:color="auto" w:fill="auto"/>
                <w:lang w:val="en-US" w:eastAsia="zh-CN"/>
              </w:rPr>
            </w:pPr>
            <w:r>
              <w:rPr>
                <w:rFonts w:hint="eastAsia" w:ascii="Times New Roman" w:hAnsi="Times New Roman" w:eastAsia="宋体" w:cs="Times New Roman"/>
                <w:b/>
                <w:bCs/>
                <w:color w:val="FF0000"/>
                <w:sz w:val="24"/>
                <w:szCs w:val="24"/>
                <w:lang w:val="en-US" w:eastAsia="zh-CN"/>
              </w:rPr>
              <w:t>1、</w:t>
            </w:r>
            <w:commentRangeStart w:id="36"/>
            <w:r>
              <w:rPr>
                <w:rFonts w:hint="default" w:ascii="Times New Roman" w:hAnsi="Times New Roman" w:eastAsia="宋体" w:cs="Times New Roman"/>
                <w:b/>
                <w:bCs/>
                <w:color w:val="FF0000"/>
                <w:sz w:val="24"/>
                <w:szCs w:val="24"/>
                <w:lang w:val="en-US" w:eastAsia="zh-CN"/>
              </w:rPr>
              <w:t>废水</w:t>
            </w:r>
            <w:commentRangeEnd w:id="36"/>
            <w:r>
              <w:commentReference w:id="36"/>
            </w:r>
            <w:r>
              <w:rPr>
                <w:rFonts w:hint="default" w:ascii="Times New Roman" w:hAnsi="Times New Roman" w:eastAsia="宋体" w:cs="Times New Roman"/>
                <w:b/>
                <w:bCs/>
                <w:color w:val="FF0000"/>
                <w:sz w:val="24"/>
                <w:szCs w:val="24"/>
                <w:lang w:val="en-US" w:eastAsia="zh-CN"/>
              </w:rPr>
              <w:t>产排污情况</w:t>
            </w:r>
          </w:p>
          <w:p w14:paraId="7E81C3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color w:val="FF0000"/>
                <w:spacing w:val="0"/>
                <w:sz w:val="24"/>
                <w:szCs w:val="24"/>
                <w:lang w:val="en-US" w:eastAsia="zh-CN"/>
              </w:rPr>
            </w:pPr>
            <w:r>
              <w:rPr>
                <w:rFonts w:hint="eastAsia" w:ascii="Times New Roman" w:hAnsi="Times New Roman" w:eastAsia="宋体" w:cs="Times New Roman"/>
                <w:b w:val="0"/>
                <w:bCs/>
                <w:color w:val="FF0000"/>
                <w:spacing w:val="0"/>
                <w:sz w:val="24"/>
                <w:szCs w:val="24"/>
                <w:lang w:val="en-US" w:eastAsia="zh-CN"/>
              </w:rPr>
              <w:t>（1）生活污水</w:t>
            </w:r>
          </w:p>
          <w:p w14:paraId="5B25EEDE">
            <w:pPr>
              <w:pStyle w:val="31"/>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80" w:firstLineChars="200"/>
              <w:jc w:val="both"/>
              <w:textAlignment w:val="auto"/>
              <w:outlineLvl w:val="9"/>
              <w:rPr>
                <w:rFonts w:hint="default" w:ascii="Times New Roman" w:hAnsi="Times New Roman" w:cs="Times New Roman"/>
                <w:color w:val="FF0000"/>
                <w:sz w:val="24"/>
                <w:szCs w:val="24"/>
                <w:highlight w:val="none"/>
                <w:shd w:val="clear" w:color="auto" w:fill="auto"/>
                <w:lang w:val="en-US" w:eastAsia="zh-CN"/>
              </w:rPr>
            </w:pPr>
            <w:r>
              <w:rPr>
                <w:rFonts w:hint="default" w:ascii="Times New Roman" w:hAnsi="Times New Roman" w:eastAsia="宋体" w:cs="Times New Roman"/>
                <w:color w:val="FF0000"/>
                <w:sz w:val="24"/>
              </w:rPr>
              <w:t>根据建设单位提供资料，</w:t>
            </w:r>
            <w:r>
              <w:rPr>
                <w:rFonts w:hint="eastAsia" w:ascii="Times New Roman" w:hAnsi="Times New Roman" w:eastAsia="宋体" w:cs="Times New Roman"/>
                <w:color w:val="FF0000"/>
                <w:sz w:val="24"/>
                <w:lang w:val="en-US" w:eastAsia="zh-CN"/>
              </w:rPr>
              <w:t>原定</w:t>
            </w:r>
            <w:r>
              <w:rPr>
                <w:rFonts w:hint="eastAsia" w:ascii="Times New Roman" w:hAnsi="Times New Roman" w:eastAsia="宋体" w:cs="Times New Roman"/>
                <w:color w:val="FF0000"/>
                <w:sz w:val="24"/>
                <w:szCs w:val="24"/>
              </w:rPr>
              <w:t>劳动定员</w:t>
            </w:r>
            <w:r>
              <w:rPr>
                <w:rFonts w:hint="eastAsia" w:ascii="Times New Roman" w:hAnsi="Times New Roman" w:eastAsia="宋体" w:cs="Times New Roman"/>
                <w:color w:val="FF0000"/>
                <w:sz w:val="24"/>
                <w:szCs w:val="24"/>
                <w:lang w:val="en-US" w:eastAsia="zh-CN"/>
              </w:rPr>
              <w:t>20</w:t>
            </w:r>
            <w:r>
              <w:rPr>
                <w:rFonts w:ascii="Times New Roman" w:hAnsi="Times New Roman" w:eastAsia="宋体" w:cs="Times New Roman"/>
                <w:color w:val="FF0000"/>
                <w:sz w:val="24"/>
                <w:szCs w:val="24"/>
              </w:rPr>
              <w:t>人</w:t>
            </w:r>
            <w:r>
              <w:rPr>
                <w:rFonts w:hint="eastAsia" w:ascii="Times New Roman" w:hAnsi="Times New Roman" w:eastAsia="宋体" w:cs="Times New Roman"/>
                <w:color w:val="FF0000"/>
                <w:sz w:val="24"/>
                <w:szCs w:val="24"/>
                <w:lang w:eastAsia="zh-CN"/>
              </w:rPr>
              <w:t>，</w:t>
            </w:r>
            <w:r>
              <w:rPr>
                <w:rFonts w:hint="eastAsia" w:cs="Times New Roman"/>
                <w:color w:val="FF0000"/>
                <w:sz w:val="24"/>
                <w:lang w:eastAsia="zh-CN"/>
              </w:rPr>
              <w:t>项目</w:t>
            </w:r>
            <w:r>
              <w:rPr>
                <w:rFonts w:hint="default" w:ascii="Times New Roman" w:hAnsi="Times New Roman" w:eastAsia="宋体" w:cs="Times New Roman"/>
                <w:color w:val="FF0000"/>
                <w:sz w:val="24"/>
              </w:rPr>
              <w:t>重大变</w:t>
            </w:r>
            <w:r>
              <w:rPr>
                <w:rFonts w:hint="eastAsia" w:cs="Times New Roman"/>
                <w:color w:val="FF0000"/>
                <w:sz w:val="24"/>
                <w:lang w:eastAsia="zh-CN"/>
              </w:rPr>
              <w:t>动</w:t>
            </w:r>
            <w:r>
              <w:rPr>
                <w:rFonts w:hint="default" w:ascii="Times New Roman" w:hAnsi="Times New Roman" w:eastAsia="宋体" w:cs="Times New Roman"/>
                <w:color w:val="FF0000"/>
                <w:sz w:val="24"/>
              </w:rPr>
              <w:t>后新增劳动定员</w:t>
            </w:r>
            <w:r>
              <w:rPr>
                <w:rFonts w:hint="eastAsia" w:ascii="Times New Roman" w:hAnsi="Times New Roman" w:eastAsia="宋体" w:cs="Times New Roman"/>
                <w:color w:val="FF0000"/>
                <w:sz w:val="24"/>
                <w:lang w:val="en-US" w:eastAsia="zh-CN"/>
              </w:rPr>
              <w:t>15</w:t>
            </w:r>
            <w:r>
              <w:rPr>
                <w:rFonts w:ascii="Times New Roman" w:hAnsi="Times New Roman" w:eastAsia="宋体" w:cs="Times New Roman"/>
                <w:color w:val="FF0000"/>
                <w:sz w:val="24"/>
                <w:szCs w:val="24"/>
              </w:rPr>
              <w:t>人</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共35人</w:t>
            </w:r>
            <w:r>
              <w:rPr>
                <w:rFonts w:hint="eastAsia" w:ascii="Times New Roman" w:hAnsi="Times New Roman" w:eastAsia="宋体" w:cs="Times New Roman"/>
                <w:color w:val="FF0000"/>
                <w:spacing w:val="0"/>
                <w:position w:val="0"/>
                <w:sz w:val="24"/>
                <w:szCs w:val="24"/>
                <w:lang w:eastAsia="zh-CN"/>
              </w:rPr>
              <w:t>，</w:t>
            </w:r>
            <w:r>
              <w:rPr>
                <w:rFonts w:hint="eastAsia" w:ascii="Times New Roman" w:hAnsi="Times New Roman" w:eastAsia="宋体" w:cs="Times New Roman"/>
                <w:color w:val="FF0000"/>
                <w:spacing w:val="0"/>
                <w:position w:val="0"/>
                <w:sz w:val="24"/>
                <w:szCs w:val="24"/>
              </w:rPr>
              <w:t>厂区不提供住宿，</w:t>
            </w:r>
            <w:r>
              <w:rPr>
                <w:rFonts w:hint="default" w:ascii="Times New Roman" w:hAnsi="Times New Roman" w:eastAsia="宋体" w:cs="Times New Roman"/>
                <w:color w:val="FF0000"/>
                <w:sz w:val="24"/>
              </w:rPr>
              <w:t>根据《江西省城市生活用水定额》（DB36/T419-201</w:t>
            </w:r>
            <w:r>
              <w:rPr>
                <w:rFonts w:hint="eastAsia" w:ascii="Times New Roman" w:hAnsi="Times New Roman" w:eastAsia="宋体" w:cs="Times New Roman"/>
                <w:color w:val="FF0000"/>
                <w:sz w:val="24"/>
                <w:lang w:val="en-US" w:eastAsia="zh-CN"/>
              </w:rPr>
              <w:t>7</w:t>
            </w:r>
            <w:r>
              <w:rPr>
                <w:rFonts w:hint="default" w:ascii="Times New Roman" w:hAnsi="Times New Roman" w:eastAsia="宋体" w:cs="Times New Roman"/>
                <w:color w:val="FF0000"/>
                <w:sz w:val="24"/>
              </w:rPr>
              <w:t>），</w:t>
            </w:r>
            <w:r>
              <w:rPr>
                <w:rFonts w:hint="eastAsia" w:ascii="Times New Roman" w:hAnsi="Times New Roman" w:eastAsia="宋体" w:cs="Times New Roman"/>
                <w:color w:val="FF0000"/>
                <w:spacing w:val="0"/>
                <w:position w:val="0"/>
                <w:sz w:val="24"/>
                <w:szCs w:val="24"/>
              </w:rPr>
              <w:t>每个员工的用水定额为</w:t>
            </w:r>
            <w:r>
              <w:rPr>
                <w:rFonts w:ascii="Times New Roman" w:hAnsi="Times New Roman" w:eastAsia="宋体" w:cs="Times New Roman"/>
                <w:color w:val="FF0000"/>
                <w:spacing w:val="0"/>
                <w:position w:val="0"/>
                <w:sz w:val="24"/>
                <w:szCs w:val="24"/>
              </w:rPr>
              <w:t>1</w:t>
            </w:r>
            <w:r>
              <w:rPr>
                <w:rFonts w:hint="eastAsia" w:ascii="Times New Roman" w:hAnsi="Times New Roman" w:cs="Times New Roman"/>
                <w:color w:val="FF0000"/>
                <w:spacing w:val="0"/>
                <w:position w:val="0"/>
                <w:sz w:val="24"/>
                <w:szCs w:val="24"/>
                <w:lang w:val="en-US" w:eastAsia="zh-CN"/>
              </w:rPr>
              <w:t>0</w:t>
            </w:r>
            <w:r>
              <w:rPr>
                <w:rFonts w:hint="eastAsia" w:ascii="Times New Roman" w:hAnsi="Times New Roman" w:eastAsia="宋体" w:cs="Times New Roman"/>
                <w:color w:val="FF0000"/>
                <w:spacing w:val="0"/>
                <w:position w:val="0"/>
                <w:sz w:val="24"/>
                <w:szCs w:val="24"/>
              </w:rPr>
              <w:t>0L/人•天，则本项目生活用水总量为</w:t>
            </w:r>
            <w:r>
              <w:rPr>
                <w:rFonts w:hint="eastAsia" w:ascii="Times New Roman" w:hAnsi="Times New Roman" w:eastAsia="宋体" w:cs="Times New Roman"/>
                <w:color w:val="FF0000"/>
                <w:spacing w:val="0"/>
                <w:position w:val="0"/>
                <w:sz w:val="24"/>
                <w:szCs w:val="24"/>
                <w:lang w:val="en-US" w:eastAsia="zh-CN"/>
              </w:rPr>
              <w:t>1050</w:t>
            </w:r>
            <w:r>
              <w:rPr>
                <w:rFonts w:hint="eastAsia" w:ascii="Times New Roman" w:hAnsi="Times New Roman" w:eastAsia="宋体" w:cs="Times New Roman"/>
                <w:color w:val="FF0000"/>
                <w:spacing w:val="0"/>
                <w:position w:val="0"/>
                <w:sz w:val="24"/>
                <w:szCs w:val="24"/>
              </w:rPr>
              <w:t>t/a（</w:t>
            </w:r>
            <w:r>
              <w:rPr>
                <w:rFonts w:hint="eastAsia" w:ascii="Times New Roman" w:hAnsi="Times New Roman" w:eastAsia="宋体" w:cs="Times New Roman"/>
                <w:color w:val="FF0000"/>
                <w:spacing w:val="0"/>
                <w:position w:val="0"/>
                <w:sz w:val="24"/>
                <w:szCs w:val="24"/>
                <w:lang w:val="en-US" w:eastAsia="zh-CN"/>
              </w:rPr>
              <w:t>3.5</w:t>
            </w:r>
            <w:r>
              <w:rPr>
                <w:rFonts w:hint="eastAsia" w:ascii="Times New Roman" w:hAnsi="Times New Roman" w:eastAsia="宋体" w:cs="Times New Roman"/>
                <w:color w:val="FF0000"/>
                <w:spacing w:val="0"/>
                <w:position w:val="0"/>
                <w:sz w:val="24"/>
                <w:szCs w:val="24"/>
              </w:rPr>
              <w:t>m</w:t>
            </w:r>
            <w:r>
              <w:rPr>
                <w:rFonts w:hint="eastAsia" w:ascii="Times New Roman" w:hAnsi="Times New Roman" w:eastAsia="宋体" w:cs="Times New Roman"/>
                <w:color w:val="FF0000"/>
                <w:spacing w:val="0"/>
                <w:position w:val="0"/>
                <w:sz w:val="24"/>
                <w:szCs w:val="24"/>
                <w:vertAlign w:val="superscript"/>
              </w:rPr>
              <w:t>3</w:t>
            </w:r>
            <w:r>
              <w:rPr>
                <w:rFonts w:hint="eastAsia" w:ascii="Times New Roman" w:hAnsi="Times New Roman" w:eastAsia="宋体" w:cs="Times New Roman"/>
                <w:color w:val="FF0000"/>
                <w:spacing w:val="0"/>
                <w:position w:val="0"/>
                <w:sz w:val="24"/>
                <w:szCs w:val="24"/>
              </w:rPr>
              <w:t>/d），排水系数</w:t>
            </w:r>
            <w:r>
              <w:rPr>
                <w:rFonts w:hint="eastAsia" w:ascii="Times New Roman" w:hAnsi="Times New Roman" w:eastAsia="宋体" w:cs="Times New Roman"/>
                <w:color w:val="FF0000"/>
                <w:spacing w:val="0"/>
                <w:position w:val="0"/>
                <w:sz w:val="24"/>
                <w:szCs w:val="24"/>
                <w:lang w:eastAsia="zh-CN"/>
              </w:rPr>
              <w:t>取用</w:t>
            </w:r>
            <w:r>
              <w:rPr>
                <w:rFonts w:hint="eastAsia" w:ascii="Times New Roman" w:hAnsi="Times New Roman" w:eastAsia="宋体" w:cs="Times New Roman"/>
                <w:color w:val="FF0000"/>
                <w:spacing w:val="0"/>
                <w:position w:val="0"/>
                <w:sz w:val="24"/>
                <w:szCs w:val="24"/>
              </w:rPr>
              <w:t>0.8，则排水量</w:t>
            </w:r>
            <w:r>
              <w:rPr>
                <w:rFonts w:hint="eastAsia" w:ascii="Times New Roman" w:hAnsi="Times New Roman" w:eastAsia="宋体" w:cs="Times New Roman"/>
                <w:color w:val="FF0000"/>
                <w:spacing w:val="0"/>
                <w:position w:val="0"/>
                <w:sz w:val="24"/>
                <w:szCs w:val="24"/>
                <w:lang w:val="en-US" w:eastAsia="zh-CN"/>
              </w:rPr>
              <w:t>840</w:t>
            </w:r>
            <w:r>
              <w:rPr>
                <w:rFonts w:hint="eastAsia" w:ascii="Times New Roman" w:hAnsi="Times New Roman" w:eastAsia="宋体" w:cs="Times New Roman"/>
                <w:color w:val="FF0000"/>
                <w:spacing w:val="0"/>
                <w:position w:val="0"/>
                <w:sz w:val="24"/>
                <w:szCs w:val="24"/>
              </w:rPr>
              <w:t>t/a（</w:t>
            </w:r>
            <w:r>
              <w:rPr>
                <w:rFonts w:hint="eastAsia" w:ascii="Times New Roman" w:hAnsi="Times New Roman" w:eastAsia="宋体" w:cs="Times New Roman"/>
                <w:color w:val="FF0000"/>
                <w:spacing w:val="0"/>
                <w:position w:val="0"/>
                <w:sz w:val="24"/>
                <w:szCs w:val="24"/>
                <w:lang w:val="en-US" w:eastAsia="zh-CN"/>
              </w:rPr>
              <w:t>2.8</w:t>
            </w:r>
            <w:r>
              <w:rPr>
                <w:rFonts w:hint="eastAsia" w:ascii="Times New Roman" w:hAnsi="Times New Roman" w:eastAsia="宋体" w:cs="Times New Roman"/>
                <w:color w:val="FF0000"/>
                <w:spacing w:val="0"/>
                <w:position w:val="0"/>
                <w:sz w:val="24"/>
                <w:szCs w:val="24"/>
              </w:rPr>
              <w:t>m</w:t>
            </w:r>
            <w:r>
              <w:rPr>
                <w:rFonts w:hint="eastAsia" w:ascii="Times New Roman" w:hAnsi="Times New Roman" w:cs="Times New Roman"/>
                <w:color w:val="FF0000"/>
                <w:spacing w:val="0"/>
                <w:position w:val="0"/>
                <w:sz w:val="24"/>
                <w:szCs w:val="24"/>
                <w:vertAlign w:val="superscript"/>
                <w:lang w:val="en-US" w:eastAsia="zh-CN"/>
              </w:rPr>
              <w:t>3</w:t>
            </w:r>
            <w:r>
              <w:rPr>
                <w:rFonts w:hint="eastAsia" w:ascii="Times New Roman" w:hAnsi="Times New Roman" w:eastAsia="宋体" w:cs="Times New Roman"/>
                <w:color w:val="FF0000"/>
                <w:spacing w:val="0"/>
                <w:position w:val="0"/>
                <w:sz w:val="24"/>
                <w:szCs w:val="24"/>
              </w:rPr>
              <w:t>/d）</w:t>
            </w:r>
            <w:r>
              <w:rPr>
                <w:rFonts w:hint="eastAsia" w:cs="Times New Roman"/>
                <w:color w:val="FF0000"/>
                <w:spacing w:val="0"/>
                <w:position w:val="0"/>
                <w:sz w:val="24"/>
                <w:szCs w:val="24"/>
                <w:lang w:eastAsia="zh-CN"/>
              </w:rPr>
              <w:t>。</w:t>
            </w:r>
            <w:r>
              <w:rPr>
                <w:rFonts w:hint="default" w:ascii="Times New Roman" w:hAnsi="Times New Roman" w:cs="Times New Roman"/>
                <w:color w:val="FF0000"/>
                <w:kern w:val="0"/>
                <w:sz w:val="24"/>
                <w:szCs w:val="24"/>
                <w:lang w:val="en-US" w:eastAsia="zh-CN"/>
              </w:rPr>
              <w:t>参考典型城市生活污水水质情况，得出本项目生活污水中主要污染物浓度为</w:t>
            </w:r>
            <w:r>
              <w:rPr>
                <w:rFonts w:hint="default" w:ascii="Times New Roman" w:hAnsi="Times New Roman" w:cs="Times New Roman"/>
                <w:color w:val="FF0000"/>
                <w:sz w:val="24"/>
                <w:szCs w:val="24"/>
              </w:rPr>
              <w:t>COD</w:t>
            </w:r>
            <w:r>
              <w:rPr>
                <w:rFonts w:hint="eastAsia" w:ascii="Times New Roman" w:hAnsi="Times New Roman" w:cs="Times New Roman"/>
                <w:color w:val="FF0000"/>
                <w:sz w:val="24"/>
                <w:szCs w:val="24"/>
                <w:vertAlign w:val="subscript"/>
                <w:lang w:val="en-US" w:eastAsia="zh-CN"/>
              </w:rPr>
              <w:t>cr</w:t>
            </w:r>
            <w:r>
              <w:rPr>
                <w:rFonts w:hint="default" w:ascii="Times New Roman" w:hAnsi="Times New Roman" w:cs="Times New Roman"/>
                <w:color w:val="FF0000"/>
                <w:sz w:val="24"/>
                <w:szCs w:val="24"/>
              </w:rPr>
              <w:t>250mg/L、BOD</w:t>
            </w:r>
            <w:r>
              <w:rPr>
                <w:rFonts w:hint="default" w:ascii="Times New Roman" w:hAnsi="Times New Roman" w:cs="Times New Roman"/>
                <w:color w:val="FF0000"/>
                <w:sz w:val="24"/>
                <w:szCs w:val="24"/>
                <w:vertAlign w:val="subscript"/>
              </w:rPr>
              <w:t>5</w:t>
            </w:r>
            <w:r>
              <w:rPr>
                <w:rFonts w:hint="default" w:ascii="Times New Roman" w:hAnsi="Times New Roman" w:cs="Times New Roman"/>
                <w:color w:val="FF0000"/>
                <w:sz w:val="24"/>
                <w:szCs w:val="24"/>
              </w:rPr>
              <w:t>150mg/L、SS150mg/L、NH</w:t>
            </w:r>
            <w:r>
              <w:rPr>
                <w:rFonts w:hint="default" w:ascii="Times New Roman" w:hAnsi="Times New Roman" w:cs="Times New Roman"/>
                <w:color w:val="FF0000"/>
                <w:sz w:val="24"/>
                <w:szCs w:val="24"/>
                <w:vertAlign w:val="subscript"/>
              </w:rPr>
              <w:t>3</w:t>
            </w:r>
            <w:r>
              <w:rPr>
                <w:rFonts w:hint="default" w:ascii="Times New Roman" w:hAnsi="Times New Roman" w:cs="Times New Roman"/>
                <w:color w:val="FF0000"/>
                <w:sz w:val="24"/>
                <w:szCs w:val="24"/>
              </w:rPr>
              <w:t>-N25mg/L</w:t>
            </w:r>
            <w:r>
              <w:rPr>
                <w:rFonts w:hint="eastAsia" w:ascii="Times New Roman" w:hAnsi="Times New Roman" w:cs="Times New Roman"/>
                <w:color w:val="FF0000"/>
                <w:sz w:val="24"/>
                <w:szCs w:val="24"/>
                <w:lang w:eastAsia="zh-CN"/>
              </w:rPr>
              <w:t>、</w:t>
            </w:r>
            <w:r>
              <w:rPr>
                <w:rFonts w:hint="default" w:ascii="Times New Roman" w:hAnsi="Times New Roman" w:cs="Times New Roman"/>
                <w:color w:val="FF0000"/>
                <w:sz w:val="24"/>
              </w:rPr>
              <w:t>TP4mg/L、TN40mg/L</w:t>
            </w:r>
            <w:r>
              <w:rPr>
                <w:rFonts w:hint="eastAsia" w:ascii="Times New Roman" w:cs="Times New Roman"/>
                <w:color w:val="FF0000"/>
                <w:sz w:val="24"/>
                <w:szCs w:val="24"/>
                <w:highlight w:val="none"/>
                <w:shd w:val="clear" w:color="auto" w:fill="auto"/>
                <w:lang w:eastAsia="zh-CN"/>
              </w:rPr>
              <w:t>，</w:t>
            </w:r>
            <w:r>
              <w:rPr>
                <w:rFonts w:hint="eastAsia" w:ascii="Times New Roman" w:cs="Times New Roman"/>
                <w:color w:val="FF0000"/>
                <w:sz w:val="24"/>
                <w:szCs w:val="24"/>
                <w:highlight w:val="none"/>
                <w:shd w:val="clear" w:color="auto" w:fill="auto"/>
                <w:lang w:val="en-US" w:eastAsia="zh-CN"/>
              </w:rPr>
              <w:t>经化粪池预处理达到庐山</w:t>
            </w:r>
            <w:r>
              <w:rPr>
                <w:rFonts w:hint="eastAsia" w:ascii="Times New Roman" w:cs="Times New Roman"/>
                <w:color w:val="FF0000"/>
                <w:sz w:val="24"/>
                <w:szCs w:val="24"/>
                <w:highlight w:val="none"/>
                <w:shd w:val="clear" w:color="auto" w:fill="auto"/>
                <w:lang w:eastAsia="zh-CN"/>
              </w:rPr>
              <w:t>工业污水处理厂接管标准后排入</w:t>
            </w:r>
            <w:r>
              <w:rPr>
                <w:rFonts w:hint="eastAsia" w:ascii="Times New Roman" w:cs="Times New Roman"/>
                <w:color w:val="FF0000"/>
                <w:sz w:val="24"/>
                <w:szCs w:val="24"/>
                <w:highlight w:val="none"/>
                <w:shd w:val="clear" w:color="auto" w:fill="auto"/>
                <w:lang w:val="en-US" w:eastAsia="zh-CN"/>
              </w:rPr>
              <w:t>庐山</w:t>
            </w:r>
            <w:r>
              <w:rPr>
                <w:rFonts w:hint="eastAsia" w:ascii="Times New Roman" w:cs="Times New Roman"/>
                <w:color w:val="FF0000"/>
                <w:sz w:val="24"/>
                <w:szCs w:val="24"/>
                <w:highlight w:val="none"/>
                <w:shd w:val="clear" w:color="auto" w:fill="auto"/>
                <w:lang w:eastAsia="zh-CN"/>
              </w:rPr>
              <w:t>工业污水处理厂进</w:t>
            </w:r>
            <w:r>
              <w:rPr>
                <w:rFonts w:hint="eastAsia" w:ascii="Times New Roman" w:cs="Times New Roman"/>
                <w:color w:val="FF0000"/>
                <w:sz w:val="24"/>
                <w:szCs w:val="24"/>
                <w:highlight w:val="none"/>
                <w:shd w:val="clear" w:color="auto" w:fill="auto"/>
                <w:lang w:val="en-US" w:eastAsia="zh-CN"/>
              </w:rPr>
              <w:t>行深度</w:t>
            </w:r>
            <w:r>
              <w:rPr>
                <w:rFonts w:hint="eastAsia" w:ascii="Times New Roman" w:cs="Times New Roman"/>
                <w:color w:val="FF0000"/>
                <w:sz w:val="24"/>
                <w:szCs w:val="24"/>
                <w:highlight w:val="none"/>
                <w:shd w:val="clear" w:color="auto" w:fill="auto"/>
                <w:lang w:eastAsia="zh-CN"/>
              </w:rPr>
              <w:t>处理。</w:t>
            </w:r>
          </w:p>
          <w:p w14:paraId="1775513F">
            <w:pPr>
              <w:pStyle w:val="55"/>
              <w:keepNext w:val="0"/>
              <w:keepLines w:val="0"/>
              <w:pageBreakBefore w:val="0"/>
              <w:widowControl w:val="0"/>
              <w:kinsoku/>
              <w:wordWrap/>
              <w:overflowPunct/>
              <w:topLinePunct w:val="0"/>
              <w:autoSpaceDE w:val="0"/>
              <w:autoSpaceDN w:val="0"/>
              <w:bidi w:val="0"/>
              <w:adjustRightInd/>
              <w:snapToGrid/>
              <w:spacing w:before="156" w:beforeLines="50" w:line="240" w:lineRule="auto"/>
              <w:ind w:left="0" w:firstLine="0"/>
              <w:textAlignment w:val="baseline"/>
              <w:rPr>
                <w:rFonts w:hint="eastAsia" w:ascii="Times New Roman" w:hAnsi="Times New Roman" w:eastAsia="宋体" w:cs="Times New Roman"/>
                <w:b/>
                <w:bCs/>
                <w:snapToGrid/>
                <w:color w:val="FF0000"/>
                <w:spacing w:val="0"/>
                <w:kern w:val="2"/>
                <w:sz w:val="21"/>
                <w:szCs w:val="21"/>
                <w:highlight w:val="none"/>
                <w:shd w:val="clear" w:color="auto" w:fill="auto"/>
                <w:lang w:val="en-US" w:eastAsia="zh-CN"/>
              </w:rPr>
            </w:pPr>
            <w:r>
              <w:rPr>
                <w:rFonts w:hint="default" w:ascii="Times New Roman" w:hAnsi="Times New Roman" w:eastAsia="宋体" w:cs="Times New Roman"/>
                <w:b/>
                <w:bCs/>
                <w:snapToGrid/>
                <w:color w:val="FF0000"/>
                <w:spacing w:val="0"/>
                <w:kern w:val="2"/>
                <w:sz w:val="21"/>
                <w:szCs w:val="21"/>
                <w:highlight w:val="none"/>
                <w:shd w:val="clear" w:color="auto" w:fill="auto"/>
              </w:rPr>
              <w:t>表</w:t>
            </w:r>
            <w:r>
              <w:rPr>
                <w:rFonts w:hint="eastAsia" w:ascii="Times New Roman" w:hAnsi="Times New Roman" w:cs="Times New Roman"/>
                <w:b/>
                <w:bCs/>
                <w:snapToGrid/>
                <w:color w:val="FF0000"/>
                <w:spacing w:val="0"/>
                <w:kern w:val="2"/>
                <w:sz w:val="21"/>
                <w:szCs w:val="21"/>
                <w:highlight w:val="none"/>
                <w:shd w:val="clear" w:color="auto" w:fill="auto"/>
                <w:lang w:val="en-US" w:eastAsia="zh-CN"/>
              </w:rPr>
              <w:t>4-</w:t>
            </w:r>
            <w:r>
              <w:rPr>
                <w:rFonts w:hint="eastAsia" w:ascii="Times New Roman" w:cs="Times New Roman"/>
                <w:b/>
                <w:bCs/>
                <w:snapToGrid/>
                <w:color w:val="FF0000"/>
                <w:spacing w:val="0"/>
                <w:kern w:val="2"/>
                <w:sz w:val="21"/>
                <w:szCs w:val="21"/>
                <w:highlight w:val="none"/>
                <w:shd w:val="clear" w:color="auto" w:fill="auto"/>
                <w:lang w:val="en-US" w:eastAsia="zh-CN"/>
              </w:rPr>
              <w:t xml:space="preserve">7 </w:t>
            </w:r>
            <w:r>
              <w:rPr>
                <w:rFonts w:hint="default" w:ascii="Times New Roman" w:hAnsi="Times New Roman" w:eastAsia="宋体" w:cs="Times New Roman"/>
                <w:b/>
                <w:bCs/>
                <w:snapToGrid/>
                <w:color w:val="FF0000"/>
                <w:spacing w:val="0"/>
                <w:kern w:val="2"/>
                <w:sz w:val="21"/>
                <w:szCs w:val="21"/>
                <w:highlight w:val="none"/>
                <w:shd w:val="clear" w:color="auto" w:fill="auto"/>
              </w:rPr>
              <w:t xml:space="preserve"> 项目运营期生活污水</w:t>
            </w:r>
            <w:r>
              <w:rPr>
                <w:rFonts w:hint="default" w:ascii="Times New Roman" w:hAnsi="Times New Roman" w:eastAsia="宋体" w:cs="Times New Roman"/>
                <w:b/>
                <w:bCs/>
                <w:snapToGrid/>
                <w:color w:val="FF0000"/>
                <w:spacing w:val="0"/>
                <w:kern w:val="2"/>
                <w:sz w:val="21"/>
                <w:szCs w:val="21"/>
                <w:highlight w:val="none"/>
                <w:shd w:val="clear" w:color="auto" w:fill="auto"/>
                <w:lang w:eastAsia="zh-CN"/>
              </w:rPr>
              <w:t>产排</w:t>
            </w:r>
            <w:r>
              <w:rPr>
                <w:rFonts w:hint="default" w:ascii="Times New Roman" w:hAnsi="Times New Roman" w:eastAsia="宋体" w:cs="Times New Roman"/>
                <w:b/>
                <w:bCs/>
                <w:snapToGrid/>
                <w:color w:val="FF0000"/>
                <w:spacing w:val="0"/>
                <w:kern w:val="2"/>
                <w:sz w:val="21"/>
                <w:szCs w:val="21"/>
                <w:highlight w:val="none"/>
                <w:shd w:val="clear" w:color="auto" w:fill="auto"/>
              </w:rPr>
              <w:t>情况一览表</w:t>
            </w:r>
          </w:p>
          <w:tbl>
            <w:tblPr>
              <w:tblStyle w:val="24"/>
              <w:tblW w:w="496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2016"/>
              <w:gridCol w:w="586"/>
              <w:gridCol w:w="759"/>
              <w:gridCol w:w="864"/>
              <w:gridCol w:w="864"/>
              <w:gridCol w:w="908"/>
              <w:gridCol w:w="759"/>
              <w:gridCol w:w="796"/>
            </w:tblGrid>
            <w:tr w14:paraId="2C70B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738" w:type="pct"/>
                  <w:gridSpan w:val="2"/>
                  <w:tcBorders>
                    <w:bottom w:val="single" w:color="auto" w:sz="12" w:space="0"/>
                  </w:tcBorders>
                  <w:noWrap w:val="0"/>
                  <w:vAlign w:val="center"/>
                </w:tcPr>
                <w:p w14:paraId="564A7113">
                  <w:pPr>
                    <w:widowControl w:val="0"/>
                    <w:jc w:val="center"/>
                    <w:rPr>
                      <w:rFonts w:hint="default" w:ascii="Times New Roman" w:hAnsi="Times New Roman" w:eastAsia="宋体" w:cs="Times New Roman"/>
                      <w:b/>
                      <w:bCs/>
                      <w:color w:val="FF0000"/>
                      <w:kern w:val="2"/>
                      <w:sz w:val="21"/>
                      <w:szCs w:val="21"/>
                      <w:highlight w:val="none"/>
                      <w:shd w:val="clear" w:color="auto" w:fill="auto"/>
                      <w:lang w:val="en-US" w:eastAsia="zh-CN" w:bidi="ar-SA"/>
                    </w:rPr>
                  </w:pPr>
                  <w:r>
                    <w:rPr>
                      <w:rFonts w:hint="default" w:ascii="Times New Roman" w:hAnsi="Times New Roman" w:eastAsia="宋体" w:cs="Times New Roman"/>
                      <w:b/>
                      <w:bCs/>
                      <w:color w:val="FF0000"/>
                      <w:kern w:val="2"/>
                      <w:sz w:val="21"/>
                      <w:szCs w:val="21"/>
                      <w:highlight w:val="none"/>
                      <w:shd w:val="clear" w:color="auto" w:fill="auto"/>
                      <w:lang w:val="en-US" w:eastAsia="zh-CN" w:bidi="ar-SA"/>
                    </w:rPr>
                    <w:t>污染物</w:t>
                  </w:r>
                </w:p>
              </w:tc>
              <w:tc>
                <w:tcPr>
                  <w:tcW w:w="345" w:type="pct"/>
                  <w:tcBorders>
                    <w:bottom w:val="single" w:color="auto" w:sz="12" w:space="0"/>
                  </w:tcBorders>
                  <w:noWrap w:val="0"/>
                  <w:vAlign w:val="center"/>
                </w:tcPr>
                <w:p w14:paraId="3BA555CA">
                  <w:pPr>
                    <w:widowControl w:val="0"/>
                    <w:jc w:val="center"/>
                    <w:rPr>
                      <w:rFonts w:hint="default" w:ascii="Times New Roman" w:hAnsi="Times New Roman" w:eastAsia="宋体" w:cs="Times New Roman"/>
                      <w:b/>
                      <w:bCs/>
                      <w:color w:val="FF0000"/>
                      <w:kern w:val="2"/>
                      <w:sz w:val="21"/>
                      <w:szCs w:val="21"/>
                      <w:highlight w:val="none"/>
                      <w:shd w:val="clear" w:color="auto" w:fill="auto"/>
                      <w:lang w:val="en-US" w:eastAsia="zh-CN" w:bidi="ar-SA"/>
                    </w:rPr>
                  </w:pPr>
                  <w:r>
                    <w:rPr>
                      <w:rFonts w:hint="eastAsia" w:ascii="Times New Roman" w:hAnsi="Times New Roman" w:eastAsia="宋体" w:cs="Times New Roman"/>
                      <w:b/>
                      <w:bCs/>
                      <w:color w:val="FF0000"/>
                      <w:kern w:val="2"/>
                      <w:sz w:val="21"/>
                      <w:szCs w:val="21"/>
                      <w:highlight w:val="none"/>
                      <w:shd w:val="clear" w:color="auto" w:fill="auto"/>
                      <w:lang w:val="en-US" w:eastAsia="zh-CN" w:bidi="ar-SA"/>
                    </w:rPr>
                    <w:t>pH</w:t>
                  </w:r>
                </w:p>
              </w:tc>
              <w:tc>
                <w:tcPr>
                  <w:tcW w:w="447" w:type="pct"/>
                  <w:tcBorders>
                    <w:bottom w:val="single" w:color="auto" w:sz="12" w:space="0"/>
                  </w:tcBorders>
                  <w:noWrap w:val="0"/>
                  <w:vAlign w:val="center"/>
                </w:tcPr>
                <w:p w14:paraId="57D2240E">
                  <w:pPr>
                    <w:widowControl w:val="0"/>
                    <w:jc w:val="center"/>
                    <w:rPr>
                      <w:rFonts w:hint="eastAsia" w:ascii="Times New Roman" w:hAnsi="Times New Roman" w:eastAsia="宋体" w:cs="Times New Roman"/>
                      <w:b/>
                      <w:bCs/>
                      <w:color w:val="FF0000"/>
                      <w:kern w:val="2"/>
                      <w:sz w:val="21"/>
                      <w:szCs w:val="21"/>
                      <w:highlight w:val="none"/>
                      <w:shd w:val="clear" w:color="auto" w:fill="auto"/>
                      <w:lang w:val="en-US" w:eastAsia="zh-CN" w:bidi="ar-SA"/>
                    </w:rPr>
                  </w:pPr>
                  <w:r>
                    <w:rPr>
                      <w:rFonts w:hint="default" w:ascii="Times New Roman" w:hAnsi="Times New Roman" w:eastAsia="宋体" w:cs="Times New Roman"/>
                      <w:b/>
                      <w:bCs/>
                      <w:color w:val="FF0000"/>
                      <w:kern w:val="2"/>
                      <w:sz w:val="21"/>
                      <w:szCs w:val="21"/>
                      <w:highlight w:val="none"/>
                      <w:shd w:val="clear" w:color="auto" w:fill="auto"/>
                      <w:lang w:val="en-US" w:eastAsia="zh-CN" w:bidi="ar-SA"/>
                    </w:rPr>
                    <w:t>COD</w:t>
                  </w:r>
                </w:p>
              </w:tc>
              <w:tc>
                <w:tcPr>
                  <w:tcW w:w="509" w:type="pct"/>
                  <w:tcBorders>
                    <w:bottom w:val="single" w:color="auto" w:sz="12" w:space="0"/>
                  </w:tcBorders>
                  <w:noWrap w:val="0"/>
                  <w:vAlign w:val="center"/>
                </w:tcPr>
                <w:p w14:paraId="696E7B0A">
                  <w:pPr>
                    <w:widowControl w:val="0"/>
                    <w:jc w:val="center"/>
                    <w:rPr>
                      <w:rFonts w:hint="eastAsia" w:ascii="Times New Roman" w:hAnsi="Times New Roman" w:eastAsia="宋体" w:cs="Times New Roman"/>
                      <w:b/>
                      <w:bCs/>
                      <w:color w:val="FF0000"/>
                      <w:kern w:val="2"/>
                      <w:sz w:val="21"/>
                      <w:szCs w:val="21"/>
                      <w:highlight w:val="none"/>
                      <w:shd w:val="clear" w:color="auto" w:fill="auto"/>
                      <w:lang w:val="en-US" w:eastAsia="zh-CN" w:bidi="ar-SA"/>
                    </w:rPr>
                  </w:pPr>
                  <w:r>
                    <w:rPr>
                      <w:rFonts w:hint="default" w:ascii="Times New Roman" w:hAnsi="Times New Roman" w:eastAsia="宋体" w:cs="Times New Roman"/>
                      <w:b/>
                      <w:bCs/>
                      <w:color w:val="FF0000"/>
                      <w:kern w:val="2"/>
                      <w:sz w:val="21"/>
                      <w:szCs w:val="21"/>
                      <w:highlight w:val="none"/>
                      <w:shd w:val="clear" w:color="auto" w:fill="auto"/>
                      <w:lang w:val="en-US" w:eastAsia="zh-CN" w:bidi="ar-SA"/>
                    </w:rPr>
                    <w:t>BOD</w:t>
                  </w:r>
                  <w:r>
                    <w:rPr>
                      <w:rFonts w:hint="default" w:ascii="Times New Roman" w:hAnsi="Times New Roman" w:eastAsia="宋体" w:cs="Times New Roman"/>
                      <w:b/>
                      <w:bCs/>
                      <w:color w:val="FF0000"/>
                      <w:kern w:val="2"/>
                      <w:sz w:val="21"/>
                      <w:szCs w:val="21"/>
                      <w:highlight w:val="none"/>
                      <w:shd w:val="clear" w:color="auto" w:fill="auto"/>
                      <w:vertAlign w:val="subscript"/>
                      <w:lang w:val="en-US" w:eastAsia="zh-CN" w:bidi="ar-SA"/>
                    </w:rPr>
                    <w:t>5</w:t>
                  </w:r>
                </w:p>
              </w:tc>
              <w:tc>
                <w:tcPr>
                  <w:tcW w:w="509" w:type="pct"/>
                  <w:tcBorders>
                    <w:bottom w:val="single" w:color="auto" w:sz="12" w:space="0"/>
                  </w:tcBorders>
                  <w:noWrap w:val="0"/>
                  <w:vAlign w:val="center"/>
                </w:tcPr>
                <w:p w14:paraId="4C7F4D3C">
                  <w:pPr>
                    <w:widowControl w:val="0"/>
                    <w:jc w:val="center"/>
                    <w:rPr>
                      <w:rFonts w:hint="default" w:ascii="Times New Roman" w:hAnsi="Times New Roman" w:eastAsia="宋体" w:cs="Times New Roman"/>
                      <w:b/>
                      <w:bCs/>
                      <w:color w:val="FF0000"/>
                      <w:kern w:val="2"/>
                      <w:sz w:val="21"/>
                      <w:szCs w:val="21"/>
                      <w:highlight w:val="none"/>
                      <w:shd w:val="clear" w:color="auto" w:fill="auto"/>
                      <w:lang w:val="en-US" w:eastAsia="zh-CN" w:bidi="ar-SA"/>
                    </w:rPr>
                  </w:pPr>
                  <w:r>
                    <w:rPr>
                      <w:rFonts w:hint="default" w:ascii="Times New Roman" w:hAnsi="Times New Roman" w:eastAsia="宋体" w:cs="Times New Roman"/>
                      <w:b/>
                      <w:bCs/>
                      <w:color w:val="FF0000"/>
                      <w:kern w:val="2"/>
                      <w:sz w:val="21"/>
                      <w:szCs w:val="21"/>
                      <w:highlight w:val="none"/>
                      <w:shd w:val="clear" w:color="auto" w:fill="auto"/>
                      <w:lang w:val="en-US" w:eastAsia="zh-CN" w:bidi="ar-SA"/>
                    </w:rPr>
                    <w:t>SS</w:t>
                  </w:r>
                </w:p>
              </w:tc>
              <w:tc>
                <w:tcPr>
                  <w:tcW w:w="535" w:type="pct"/>
                  <w:tcBorders>
                    <w:bottom w:val="single" w:color="auto" w:sz="12" w:space="0"/>
                  </w:tcBorders>
                  <w:noWrap w:val="0"/>
                  <w:vAlign w:val="center"/>
                </w:tcPr>
                <w:p w14:paraId="7727526F">
                  <w:pPr>
                    <w:widowControl w:val="0"/>
                    <w:jc w:val="center"/>
                    <w:rPr>
                      <w:rFonts w:hint="default" w:ascii="Times New Roman" w:hAnsi="Times New Roman" w:eastAsia="宋体" w:cs="Times New Roman"/>
                      <w:b/>
                      <w:bCs/>
                      <w:color w:val="FF0000"/>
                      <w:kern w:val="2"/>
                      <w:sz w:val="21"/>
                      <w:szCs w:val="21"/>
                      <w:highlight w:val="none"/>
                      <w:shd w:val="clear" w:color="auto" w:fill="auto"/>
                      <w:lang w:val="en-US" w:eastAsia="zh-CN" w:bidi="ar-SA"/>
                    </w:rPr>
                  </w:pPr>
                  <w:r>
                    <w:rPr>
                      <w:rFonts w:hint="default" w:ascii="Times New Roman" w:hAnsi="Times New Roman" w:eastAsia="宋体" w:cs="Times New Roman"/>
                      <w:b/>
                      <w:bCs/>
                      <w:color w:val="FF0000"/>
                      <w:kern w:val="2"/>
                      <w:sz w:val="21"/>
                      <w:szCs w:val="21"/>
                      <w:highlight w:val="none"/>
                      <w:shd w:val="clear" w:color="auto" w:fill="auto"/>
                      <w:lang w:val="en-US" w:eastAsia="zh-CN" w:bidi="ar-SA"/>
                    </w:rPr>
                    <w:t>NH</w:t>
                  </w:r>
                  <w:r>
                    <w:rPr>
                      <w:rFonts w:hint="default" w:ascii="Times New Roman" w:hAnsi="Times New Roman" w:eastAsia="宋体" w:cs="Times New Roman"/>
                      <w:b/>
                      <w:bCs/>
                      <w:color w:val="FF0000"/>
                      <w:kern w:val="2"/>
                      <w:sz w:val="21"/>
                      <w:szCs w:val="21"/>
                      <w:highlight w:val="none"/>
                      <w:shd w:val="clear" w:color="auto" w:fill="auto"/>
                      <w:vertAlign w:val="subscript"/>
                      <w:lang w:val="en-US" w:eastAsia="zh-CN" w:bidi="ar-SA"/>
                    </w:rPr>
                    <w:t>3</w:t>
                  </w:r>
                  <w:r>
                    <w:rPr>
                      <w:rFonts w:hint="default" w:ascii="Times New Roman" w:hAnsi="Times New Roman" w:eastAsia="宋体" w:cs="Times New Roman"/>
                      <w:b/>
                      <w:bCs/>
                      <w:color w:val="FF0000"/>
                      <w:kern w:val="2"/>
                      <w:sz w:val="21"/>
                      <w:szCs w:val="21"/>
                      <w:highlight w:val="none"/>
                      <w:shd w:val="clear" w:color="auto" w:fill="auto"/>
                      <w:lang w:val="en-US" w:eastAsia="zh-CN" w:bidi="ar-SA"/>
                    </w:rPr>
                    <w:t>-N</w:t>
                  </w:r>
                </w:p>
              </w:tc>
              <w:tc>
                <w:tcPr>
                  <w:tcW w:w="447" w:type="pct"/>
                  <w:tcBorders>
                    <w:bottom w:val="single" w:color="auto" w:sz="12" w:space="0"/>
                  </w:tcBorders>
                  <w:noWrap w:val="0"/>
                  <w:vAlign w:val="center"/>
                </w:tcPr>
                <w:p w14:paraId="6A32D727">
                  <w:pPr>
                    <w:widowControl w:val="0"/>
                    <w:jc w:val="center"/>
                    <w:rPr>
                      <w:rFonts w:hint="default" w:ascii="Times New Roman" w:hAnsi="Times New Roman" w:eastAsia="宋体" w:cs="Times New Roman"/>
                      <w:b/>
                      <w:bCs/>
                      <w:color w:val="FF0000"/>
                      <w:kern w:val="2"/>
                      <w:sz w:val="21"/>
                      <w:szCs w:val="21"/>
                      <w:highlight w:val="none"/>
                      <w:shd w:val="clear" w:color="auto" w:fill="auto"/>
                      <w:lang w:val="en-US" w:eastAsia="zh-CN" w:bidi="ar-SA"/>
                    </w:rPr>
                  </w:pPr>
                  <w:r>
                    <w:rPr>
                      <w:rFonts w:hint="eastAsia" w:ascii="Times New Roman" w:hAnsi="Times New Roman" w:eastAsia="宋体" w:cs="Times New Roman"/>
                      <w:b/>
                      <w:bCs/>
                      <w:color w:val="FF0000"/>
                      <w:kern w:val="2"/>
                      <w:sz w:val="21"/>
                      <w:szCs w:val="21"/>
                      <w:highlight w:val="none"/>
                      <w:shd w:val="clear" w:color="auto" w:fill="auto"/>
                      <w:lang w:val="en-US" w:eastAsia="zh-CN" w:bidi="ar-SA"/>
                    </w:rPr>
                    <w:t>TP</w:t>
                  </w:r>
                </w:p>
              </w:tc>
              <w:tc>
                <w:tcPr>
                  <w:tcW w:w="465" w:type="pct"/>
                  <w:tcBorders>
                    <w:bottom w:val="single" w:color="auto" w:sz="12" w:space="0"/>
                  </w:tcBorders>
                  <w:noWrap w:val="0"/>
                  <w:vAlign w:val="center"/>
                </w:tcPr>
                <w:p w14:paraId="3D5A9909">
                  <w:pPr>
                    <w:widowControl w:val="0"/>
                    <w:jc w:val="center"/>
                    <w:rPr>
                      <w:rFonts w:hint="default" w:ascii="Times New Roman" w:hAnsi="Times New Roman" w:eastAsia="宋体" w:cs="Times New Roman"/>
                      <w:b/>
                      <w:bCs/>
                      <w:color w:val="FF0000"/>
                      <w:kern w:val="2"/>
                      <w:sz w:val="21"/>
                      <w:szCs w:val="21"/>
                      <w:highlight w:val="none"/>
                      <w:shd w:val="clear" w:color="auto" w:fill="auto"/>
                      <w:lang w:val="en-US" w:eastAsia="zh-CN" w:bidi="ar-SA"/>
                    </w:rPr>
                  </w:pPr>
                  <w:r>
                    <w:rPr>
                      <w:rFonts w:hint="eastAsia" w:ascii="Times New Roman" w:hAnsi="Times New Roman" w:eastAsia="宋体" w:cs="Times New Roman"/>
                      <w:b/>
                      <w:bCs/>
                      <w:color w:val="FF0000"/>
                      <w:kern w:val="2"/>
                      <w:sz w:val="21"/>
                      <w:szCs w:val="21"/>
                      <w:highlight w:val="none"/>
                      <w:shd w:val="clear" w:color="auto" w:fill="auto"/>
                      <w:lang w:val="en-US" w:eastAsia="zh-CN" w:bidi="ar-SA"/>
                    </w:rPr>
                    <w:t>TN</w:t>
                  </w:r>
                </w:p>
              </w:tc>
            </w:tr>
            <w:tr w14:paraId="2222C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550" w:type="pct"/>
                  <w:vMerge w:val="restart"/>
                  <w:tcBorders>
                    <w:top w:val="single" w:color="auto" w:sz="12" w:space="0"/>
                  </w:tcBorders>
                  <w:noWrap w:val="0"/>
                  <w:vAlign w:val="center"/>
                </w:tcPr>
                <w:p w14:paraId="7DDF3A7F">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kern w:val="2"/>
                      <w:sz w:val="21"/>
                      <w:szCs w:val="21"/>
                      <w:highlight w:val="none"/>
                      <w:shd w:val="clear" w:color="auto" w:fill="auto"/>
                      <w:lang w:val="en-US" w:eastAsia="zh-CN" w:bidi="ar-SA"/>
                    </w:rPr>
                    <w:t>生活</w:t>
                  </w:r>
                </w:p>
                <w:p w14:paraId="1B149A0A">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kern w:val="2"/>
                      <w:sz w:val="21"/>
                      <w:szCs w:val="21"/>
                      <w:highlight w:val="none"/>
                      <w:shd w:val="clear" w:color="auto" w:fill="auto"/>
                      <w:lang w:val="en-US" w:eastAsia="zh-CN" w:bidi="ar-SA"/>
                    </w:rPr>
                    <w:t>污水</w:t>
                  </w:r>
                </w:p>
                <w:p w14:paraId="20D108BD">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840</w:t>
                  </w:r>
                  <w:r>
                    <w:rPr>
                      <w:rFonts w:hint="default" w:ascii="Times New Roman" w:hAnsi="Times New Roman" w:eastAsia="宋体" w:cs="Times New Roman"/>
                      <w:color w:val="FF0000"/>
                      <w:kern w:val="2"/>
                      <w:sz w:val="21"/>
                      <w:szCs w:val="21"/>
                      <w:highlight w:val="none"/>
                      <w:shd w:val="clear" w:color="auto" w:fill="auto"/>
                      <w:lang w:val="en-US" w:eastAsia="zh-CN" w:bidi="ar-SA"/>
                    </w:rPr>
                    <w:t>t/a</w:t>
                  </w:r>
                </w:p>
              </w:tc>
              <w:tc>
                <w:tcPr>
                  <w:tcW w:w="1188" w:type="pct"/>
                  <w:tcBorders>
                    <w:top w:val="single" w:color="auto" w:sz="12" w:space="0"/>
                  </w:tcBorders>
                  <w:noWrap w:val="0"/>
                  <w:vAlign w:val="center"/>
                </w:tcPr>
                <w:p w14:paraId="3ECF45F2">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kern w:val="2"/>
                      <w:sz w:val="21"/>
                      <w:szCs w:val="21"/>
                      <w:highlight w:val="none"/>
                      <w:shd w:val="clear" w:color="auto" w:fill="auto"/>
                      <w:lang w:val="en-US" w:eastAsia="zh-CN" w:bidi="ar-SA"/>
                    </w:rPr>
                    <w:t>产生浓度（mg/L）</w:t>
                  </w:r>
                </w:p>
              </w:tc>
              <w:tc>
                <w:tcPr>
                  <w:tcW w:w="345" w:type="pct"/>
                  <w:tcBorders>
                    <w:top w:val="single" w:color="auto" w:sz="12" w:space="0"/>
                  </w:tcBorders>
                  <w:noWrap w:val="0"/>
                  <w:vAlign w:val="center"/>
                </w:tcPr>
                <w:p w14:paraId="7808AB1E">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6~9</w:t>
                  </w:r>
                </w:p>
              </w:tc>
              <w:tc>
                <w:tcPr>
                  <w:tcW w:w="447" w:type="pct"/>
                  <w:tcBorders>
                    <w:top w:val="single" w:color="auto" w:sz="12" w:space="0"/>
                  </w:tcBorders>
                  <w:noWrap w:val="0"/>
                  <w:vAlign w:val="center"/>
                </w:tcPr>
                <w:p w14:paraId="42240C8C">
                  <w:pPr>
                    <w:widowControl w:val="0"/>
                    <w:jc w:val="center"/>
                    <w:rPr>
                      <w:rFonts w:hint="eastAsia"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kern w:val="2"/>
                      <w:sz w:val="21"/>
                      <w:szCs w:val="21"/>
                      <w:highlight w:val="none"/>
                      <w:shd w:val="clear" w:color="auto" w:fill="auto"/>
                      <w:lang w:val="en-US" w:eastAsia="zh-CN" w:bidi="ar-SA"/>
                    </w:rPr>
                    <w:t>250</w:t>
                  </w:r>
                </w:p>
              </w:tc>
              <w:tc>
                <w:tcPr>
                  <w:tcW w:w="509" w:type="pct"/>
                  <w:tcBorders>
                    <w:top w:val="single" w:color="auto" w:sz="12" w:space="0"/>
                  </w:tcBorders>
                  <w:noWrap w:val="0"/>
                  <w:vAlign w:val="center"/>
                </w:tcPr>
                <w:p w14:paraId="6F044228">
                  <w:pPr>
                    <w:widowControl w:val="0"/>
                    <w:jc w:val="center"/>
                    <w:rPr>
                      <w:rFonts w:hint="eastAsia"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kern w:val="2"/>
                      <w:sz w:val="21"/>
                      <w:szCs w:val="21"/>
                      <w:highlight w:val="none"/>
                      <w:shd w:val="clear" w:color="auto" w:fill="auto"/>
                      <w:lang w:val="en-US" w:eastAsia="zh-CN" w:bidi="ar-SA"/>
                    </w:rPr>
                    <w:t>150</w:t>
                  </w:r>
                </w:p>
              </w:tc>
              <w:tc>
                <w:tcPr>
                  <w:tcW w:w="509" w:type="pct"/>
                  <w:tcBorders>
                    <w:top w:val="single" w:color="auto" w:sz="12" w:space="0"/>
                  </w:tcBorders>
                  <w:noWrap w:val="0"/>
                  <w:vAlign w:val="center"/>
                </w:tcPr>
                <w:p w14:paraId="00DF080D">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150</w:t>
                  </w:r>
                </w:p>
              </w:tc>
              <w:tc>
                <w:tcPr>
                  <w:tcW w:w="535" w:type="pct"/>
                  <w:tcBorders>
                    <w:top w:val="single" w:color="auto" w:sz="12" w:space="0"/>
                  </w:tcBorders>
                  <w:noWrap w:val="0"/>
                  <w:vAlign w:val="center"/>
                </w:tcPr>
                <w:p w14:paraId="6ED78CCE">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25</w:t>
                  </w:r>
                </w:p>
              </w:tc>
              <w:tc>
                <w:tcPr>
                  <w:tcW w:w="447" w:type="pct"/>
                  <w:tcBorders>
                    <w:top w:val="single" w:color="auto" w:sz="12" w:space="0"/>
                  </w:tcBorders>
                  <w:noWrap w:val="0"/>
                  <w:vAlign w:val="center"/>
                </w:tcPr>
                <w:p w14:paraId="48EC94EC">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4</w:t>
                  </w:r>
                </w:p>
              </w:tc>
              <w:tc>
                <w:tcPr>
                  <w:tcW w:w="465" w:type="pct"/>
                  <w:tcBorders>
                    <w:top w:val="single" w:color="auto" w:sz="12" w:space="0"/>
                  </w:tcBorders>
                  <w:noWrap w:val="0"/>
                  <w:vAlign w:val="center"/>
                </w:tcPr>
                <w:p w14:paraId="7ED638F3">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40</w:t>
                  </w:r>
                </w:p>
              </w:tc>
            </w:tr>
            <w:tr w14:paraId="68C4B0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50" w:type="pct"/>
                  <w:vMerge w:val="continue"/>
                  <w:noWrap w:val="0"/>
                  <w:vAlign w:val="center"/>
                </w:tcPr>
                <w:p w14:paraId="3039DB1A">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p>
              </w:tc>
              <w:tc>
                <w:tcPr>
                  <w:tcW w:w="1188" w:type="pct"/>
                  <w:noWrap w:val="0"/>
                  <w:vAlign w:val="center"/>
                </w:tcPr>
                <w:p w14:paraId="642B4205">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kern w:val="2"/>
                      <w:sz w:val="21"/>
                      <w:szCs w:val="21"/>
                      <w:highlight w:val="none"/>
                      <w:shd w:val="clear" w:color="auto" w:fill="auto"/>
                      <w:lang w:val="en-US" w:eastAsia="zh-CN" w:bidi="ar-SA"/>
                    </w:rPr>
                    <w:t>产生量（t/a）</w:t>
                  </w:r>
                </w:p>
              </w:tc>
              <w:tc>
                <w:tcPr>
                  <w:tcW w:w="345" w:type="pct"/>
                  <w:noWrap w:val="0"/>
                  <w:vAlign w:val="center"/>
                </w:tcPr>
                <w:p w14:paraId="7E8822B3">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w:t>
                  </w:r>
                </w:p>
              </w:tc>
              <w:tc>
                <w:tcPr>
                  <w:tcW w:w="447" w:type="pct"/>
                  <w:noWrap w:val="0"/>
                  <w:vAlign w:val="center"/>
                </w:tcPr>
                <w:p w14:paraId="224745D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sz w:val="21"/>
                      <w:szCs w:val="21"/>
                      <w:lang w:val="en-US" w:eastAsia="zh-CN" w:bidi="ar-SA"/>
                    </w:rPr>
                    <w:t>0.21</w:t>
                  </w:r>
                </w:p>
              </w:tc>
              <w:tc>
                <w:tcPr>
                  <w:tcW w:w="509" w:type="pct"/>
                  <w:noWrap w:val="0"/>
                  <w:vAlign w:val="center"/>
                </w:tcPr>
                <w:p w14:paraId="10CEF8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sz w:val="21"/>
                      <w:szCs w:val="21"/>
                      <w:lang w:val="en-US" w:eastAsia="zh-CN" w:bidi="ar-SA"/>
                    </w:rPr>
                    <w:t>0.126</w:t>
                  </w:r>
                </w:p>
              </w:tc>
              <w:tc>
                <w:tcPr>
                  <w:tcW w:w="509" w:type="pct"/>
                  <w:noWrap w:val="0"/>
                  <w:vAlign w:val="center"/>
                </w:tcPr>
                <w:p w14:paraId="0FCCA3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sz w:val="21"/>
                      <w:szCs w:val="21"/>
                      <w:lang w:val="en-US" w:eastAsia="zh-CN" w:bidi="ar-SA"/>
                    </w:rPr>
                    <w:t>0.126</w:t>
                  </w:r>
                </w:p>
              </w:tc>
              <w:tc>
                <w:tcPr>
                  <w:tcW w:w="535" w:type="pct"/>
                  <w:noWrap w:val="0"/>
                  <w:vAlign w:val="center"/>
                </w:tcPr>
                <w:p w14:paraId="78D5D1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color w:val="FF0000"/>
                      <w:sz w:val="21"/>
                      <w:szCs w:val="21"/>
                      <w:lang w:val="en-US" w:eastAsia="zh-CN" w:bidi="ar-SA"/>
                    </w:rPr>
                    <w:t>0.021</w:t>
                  </w:r>
                </w:p>
              </w:tc>
              <w:tc>
                <w:tcPr>
                  <w:tcW w:w="447" w:type="pct"/>
                  <w:noWrap w:val="0"/>
                  <w:vAlign w:val="center"/>
                </w:tcPr>
                <w:p w14:paraId="1B99B2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21"/>
                      <w:szCs w:val="21"/>
                      <w:lang w:val="en-US" w:eastAsia="zh-CN" w:bidi="ar-SA"/>
                    </w:rPr>
                  </w:pPr>
                  <w:r>
                    <w:rPr>
                      <w:rFonts w:hint="eastAsia" w:ascii="Times New Roman" w:hAnsi="Times New Roman" w:eastAsia="宋体" w:cs="Times New Roman"/>
                      <w:color w:val="FF0000"/>
                      <w:sz w:val="21"/>
                      <w:szCs w:val="21"/>
                      <w:lang w:val="en-US" w:eastAsia="zh-CN" w:bidi="ar-SA"/>
                    </w:rPr>
                    <w:t>0.003</w:t>
                  </w:r>
                </w:p>
              </w:tc>
              <w:tc>
                <w:tcPr>
                  <w:tcW w:w="465" w:type="pct"/>
                  <w:noWrap w:val="0"/>
                  <w:vAlign w:val="center"/>
                </w:tcPr>
                <w:p w14:paraId="692BFB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z w:val="21"/>
                      <w:szCs w:val="21"/>
                      <w:lang w:val="en-US" w:eastAsia="zh-CN" w:bidi="ar-SA"/>
                    </w:rPr>
                  </w:pPr>
                  <w:r>
                    <w:rPr>
                      <w:rFonts w:hint="eastAsia" w:ascii="Times New Roman" w:hAnsi="Times New Roman" w:eastAsia="宋体" w:cs="Times New Roman"/>
                      <w:color w:val="FF0000"/>
                      <w:sz w:val="21"/>
                      <w:szCs w:val="21"/>
                      <w:lang w:val="en-US" w:eastAsia="zh-CN" w:bidi="ar-SA"/>
                    </w:rPr>
                    <w:t>0.034</w:t>
                  </w:r>
                </w:p>
              </w:tc>
            </w:tr>
            <w:tr w14:paraId="1CED21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50" w:type="pct"/>
                  <w:vMerge w:val="continue"/>
                  <w:noWrap w:val="0"/>
                  <w:vAlign w:val="center"/>
                </w:tcPr>
                <w:p w14:paraId="245AB609">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p>
              </w:tc>
              <w:tc>
                <w:tcPr>
                  <w:tcW w:w="1188" w:type="pct"/>
                  <w:noWrap w:val="0"/>
                  <w:vAlign w:val="center"/>
                </w:tcPr>
                <w:p w14:paraId="7EBF45CA">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处理措施</w:t>
                  </w:r>
                </w:p>
              </w:tc>
              <w:tc>
                <w:tcPr>
                  <w:tcW w:w="3261" w:type="pct"/>
                  <w:gridSpan w:val="7"/>
                  <w:noWrap w:val="0"/>
                  <w:vAlign w:val="center"/>
                </w:tcPr>
                <w:p w14:paraId="5EB0DE7A">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FF0000"/>
                      <w:sz w:val="21"/>
                      <w:szCs w:val="21"/>
                      <w:lang w:val="en-US" w:eastAsia="zh-CN" w:bidi="ar-SA"/>
                    </w:rPr>
                  </w:pPr>
                  <w:r>
                    <w:rPr>
                      <w:rFonts w:hint="eastAsia" w:ascii="Times New Roman" w:hAnsi="Times New Roman" w:eastAsia="宋体" w:cs="Times New Roman"/>
                      <w:color w:val="FF0000"/>
                      <w:sz w:val="21"/>
                      <w:szCs w:val="21"/>
                      <w:lang w:val="en-US" w:eastAsia="zh-CN" w:bidi="ar-SA"/>
                    </w:rPr>
                    <w:t>化粪池</w:t>
                  </w:r>
                </w:p>
              </w:tc>
            </w:tr>
            <w:tr w14:paraId="1DBC0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50" w:type="pct"/>
                  <w:vMerge w:val="continue"/>
                  <w:noWrap w:val="0"/>
                  <w:vAlign w:val="center"/>
                </w:tcPr>
                <w:p w14:paraId="68D9BDEF">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p>
              </w:tc>
              <w:tc>
                <w:tcPr>
                  <w:tcW w:w="1188" w:type="pct"/>
                  <w:noWrap w:val="0"/>
                  <w:vAlign w:val="center"/>
                </w:tcPr>
                <w:p w14:paraId="759648D0">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kern w:val="2"/>
                      <w:sz w:val="21"/>
                      <w:szCs w:val="21"/>
                      <w:highlight w:val="none"/>
                      <w:shd w:val="clear" w:color="auto" w:fill="auto"/>
                      <w:lang w:val="en-US" w:eastAsia="zh-CN" w:bidi="ar-SA"/>
                    </w:rPr>
                    <w:t>处理率（%）</w:t>
                  </w:r>
                </w:p>
              </w:tc>
              <w:tc>
                <w:tcPr>
                  <w:tcW w:w="345" w:type="pct"/>
                  <w:noWrap w:val="0"/>
                  <w:vAlign w:val="center"/>
                </w:tcPr>
                <w:p w14:paraId="43508BCE">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w:t>
                  </w:r>
                </w:p>
              </w:tc>
              <w:tc>
                <w:tcPr>
                  <w:tcW w:w="447" w:type="pct"/>
                  <w:noWrap w:val="0"/>
                  <w:vAlign w:val="center"/>
                </w:tcPr>
                <w:p w14:paraId="36D88EE1">
                  <w:pPr>
                    <w:widowControl w:val="0"/>
                    <w:jc w:val="center"/>
                    <w:rPr>
                      <w:rFonts w:hint="eastAsia"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kern w:val="2"/>
                      <w:sz w:val="21"/>
                      <w:szCs w:val="21"/>
                      <w:highlight w:val="none"/>
                      <w:shd w:val="clear" w:color="auto" w:fill="auto"/>
                      <w:lang w:val="en-US" w:eastAsia="zh-CN" w:bidi="ar-SA"/>
                    </w:rPr>
                    <w:t>20</w:t>
                  </w:r>
                </w:p>
              </w:tc>
              <w:tc>
                <w:tcPr>
                  <w:tcW w:w="509" w:type="pct"/>
                  <w:noWrap w:val="0"/>
                  <w:vAlign w:val="center"/>
                </w:tcPr>
                <w:p w14:paraId="5C1B2E0B">
                  <w:pPr>
                    <w:widowControl w:val="0"/>
                    <w:jc w:val="center"/>
                    <w:rPr>
                      <w:rFonts w:hint="eastAsia"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10</w:t>
                  </w:r>
                </w:p>
              </w:tc>
              <w:tc>
                <w:tcPr>
                  <w:tcW w:w="509" w:type="pct"/>
                  <w:noWrap w:val="0"/>
                  <w:vAlign w:val="center"/>
                </w:tcPr>
                <w:p w14:paraId="53464411">
                  <w:pPr>
                    <w:widowControl w:val="0"/>
                    <w:jc w:val="center"/>
                    <w:rPr>
                      <w:rFonts w:hint="eastAsia"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kern w:val="2"/>
                      <w:sz w:val="21"/>
                      <w:szCs w:val="21"/>
                      <w:highlight w:val="none"/>
                      <w:shd w:val="clear" w:color="auto" w:fill="auto"/>
                      <w:lang w:val="en-US" w:eastAsia="zh-CN" w:bidi="ar-SA"/>
                    </w:rPr>
                    <w:t>30</w:t>
                  </w:r>
                </w:p>
              </w:tc>
              <w:tc>
                <w:tcPr>
                  <w:tcW w:w="535" w:type="pct"/>
                  <w:noWrap w:val="0"/>
                  <w:vAlign w:val="center"/>
                </w:tcPr>
                <w:p w14:paraId="3926EA74">
                  <w:pPr>
                    <w:widowControl w:val="0"/>
                    <w:jc w:val="center"/>
                    <w:rPr>
                      <w:rFonts w:hint="eastAsia"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0</w:t>
                  </w:r>
                </w:p>
              </w:tc>
              <w:tc>
                <w:tcPr>
                  <w:tcW w:w="447" w:type="pct"/>
                  <w:noWrap w:val="0"/>
                  <w:vAlign w:val="center"/>
                </w:tcPr>
                <w:p w14:paraId="5816D7A4">
                  <w:pPr>
                    <w:widowControl w:val="0"/>
                    <w:jc w:val="center"/>
                    <w:rPr>
                      <w:rFonts w:hint="eastAsia"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0</w:t>
                  </w:r>
                </w:p>
              </w:tc>
              <w:tc>
                <w:tcPr>
                  <w:tcW w:w="465" w:type="pct"/>
                  <w:noWrap w:val="0"/>
                  <w:vAlign w:val="center"/>
                </w:tcPr>
                <w:p w14:paraId="36BFE8E0">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0</w:t>
                  </w:r>
                </w:p>
              </w:tc>
            </w:tr>
            <w:tr w14:paraId="4C512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50" w:type="pct"/>
                  <w:vMerge w:val="continue"/>
                  <w:noWrap w:val="0"/>
                  <w:vAlign w:val="center"/>
                </w:tcPr>
                <w:p w14:paraId="13211D97">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p>
              </w:tc>
              <w:tc>
                <w:tcPr>
                  <w:tcW w:w="1188" w:type="pct"/>
                  <w:noWrap w:val="0"/>
                  <w:vAlign w:val="center"/>
                </w:tcPr>
                <w:p w14:paraId="09D9F830">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kern w:val="2"/>
                      <w:sz w:val="21"/>
                      <w:szCs w:val="21"/>
                      <w:highlight w:val="none"/>
                      <w:shd w:val="clear" w:color="auto" w:fill="auto"/>
                      <w:lang w:val="en-US" w:eastAsia="zh-CN" w:bidi="ar-SA"/>
                    </w:rPr>
                    <w:t>处理后浓度</w:t>
                  </w:r>
                </w:p>
                <w:p w14:paraId="041782DE">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kern w:val="2"/>
                      <w:sz w:val="21"/>
                      <w:szCs w:val="21"/>
                      <w:highlight w:val="none"/>
                      <w:shd w:val="clear" w:color="auto" w:fill="auto"/>
                      <w:lang w:val="en-US" w:eastAsia="zh-CN" w:bidi="ar-SA"/>
                    </w:rPr>
                    <w:t>（mg/L）</w:t>
                  </w:r>
                </w:p>
              </w:tc>
              <w:tc>
                <w:tcPr>
                  <w:tcW w:w="345" w:type="pct"/>
                  <w:noWrap w:val="0"/>
                  <w:vAlign w:val="center"/>
                </w:tcPr>
                <w:p w14:paraId="077B8A41">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6~9</w:t>
                  </w:r>
                </w:p>
              </w:tc>
              <w:tc>
                <w:tcPr>
                  <w:tcW w:w="447" w:type="pct"/>
                  <w:noWrap w:val="0"/>
                  <w:vAlign w:val="center"/>
                </w:tcPr>
                <w:p w14:paraId="4249827E">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200</w:t>
                  </w:r>
                </w:p>
              </w:tc>
              <w:tc>
                <w:tcPr>
                  <w:tcW w:w="509" w:type="pct"/>
                  <w:noWrap w:val="0"/>
                  <w:vAlign w:val="center"/>
                </w:tcPr>
                <w:p w14:paraId="248724C9">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134.52</w:t>
                  </w:r>
                </w:p>
              </w:tc>
              <w:tc>
                <w:tcPr>
                  <w:tcW w:w="509" w:type="pct"/>
                  <w:noWrap w:val="0"/>
                  <w:vAlign w:val="center"/>
                </w:tcPr>
                <w:p w14:paraId="64491EF1">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104.76</w:t>
                  </w:r>
                </w:p>
              </w:tc>
              <w:tc>
                <w:tcPr>
                  <w:tcW w:w="535" w:type="pct"/>
                  <w:noWrap w:val="0"/>
                  <w:vAlign w:val="center"/>
                </w:tcPr>
                <w:p w14:paraId="1E9E150F">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25</w:t>
                  </w:r>
                </w:p>
              </w:tc>
              <w:tc>
                <w:tcPr>
                  <w:tcW w:w="447" w:type="pct"/>
                  <w:noWrap w:val="0"/>
                  <w:vAlign w:val="center"/>
                </w:tcPr>
                <w:p w14:paraId="0A2D3CC0">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4</w:t>
                  </w:r>
                </w:p>
              </w:tc>
              <w:tc>
                <w:tcPr>
                  <w:tcW w:w="465" w:type="pct"/>
                  <w:noWrap w:val="0"/>
                  <w:vAlign w:val="center"/>
                </w:tcPr>
                <w:p w14:paraId="35680C2C">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40</w:t>
                  </w:r>
                </w:p>
              </w:tc>
            </w:tr>
            <w:tr w14:paraId="58D5CD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50" w:type="pct"/>
                  <w:vMerge w:val="continue"/>
                  <w:noWrap w:val="0"/>
                  <w:vAlign w:val="center"/>
                </w:tcPr>
                <w:p w14:paraId="1E2FE65E">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p>
              </w:tc>
              <w:tc>
                <w:tcPr>
                  <w:tcW w:w="1188" w:type="pct"/>
                  <w:noWrap w:val="0"/>
                  <w:vAlign w:val="center"/>
                </w:tcPr>
                <w:p w14:paraId="2B913245">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kern w:val="2"/>
                      <w:sz w:val="21"/>
                      <w:szCs w:val="21"/>
                      <w:highlight w:val="none"/>
                      <w:shd w:val="clear" w:color="auto" w:fill="auto"/>
                      <w:lang w:val="en-US" w:eastAsia="zh-CN" w:bidi="ar-SA"/>
                    </w:rPr>
                    <w:t>处理后排放量（t/a）</w:t>
                  </w:r>
                </w:p>
              </w:tc>
              <w:tc>
                <w:tcPr>
                  <w:tcW w:w="345" w:type="pct"/>
                  <w:noWrap w:val="0"/>
                  <w:vAlign w:val="center"/>
                </w:tcPr>
                <w:p w14:paraId="49A8A212">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w:t>
                  </w:r>
                </w:p>
              </w:tc>
              <w:tc>
                <w:tcPr>
                  <w:tcW w:w="447" w:type="pct"/>
                  <w:noWrap w:val="0"/>
                  <w:vAlign w:val="center"/>
                </w:tcPr>
                <w:p w14:paraId="40C901D4">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0.168</w:t>
                  </w:r>
                </w:p>
              </w:tc>
              <w:tc>
                <w:tcPr>
                  <w:tcW w:w="509" w:type="pct"/>
                  <w:noWrap w:val="0"/>
                  <w:vAlign w:val="center"/>
                </w:tcPr>
                <w:p w14:paraId="658A7301">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0.113</w:t>
                  </w:r>
                </w:p>
              </w:tc>
              <w:tc>
                <w:tcPr>
                  <w:tcW w:w="509" w:type="pct"/>
                  <w:noWrap w:val="0"/>
                  <w:vAlign w:val="center"/>
                </w:tcPr>
                <w:p w14:paraId="29B18926">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0.088</w:t>
                  </w:r>
                </w:p>
              </w:tc>
              <w:tc>
                <w:tcPr>
                  <w:tcW w:w="535" w:type="pct"/>
                  <w:noWrap w:val="0"/>
                  <w:vAlign w:val="center"/>
                </w:tcPr>
                <w:p w14:paraId="051BE399">
                  <w:pPr>
                    <w:widowControl w:val="0"/>
                    <w:jc w:val="center"/>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kern w:val="2"/>
                      <w:sz w:val="21"/>
                      <w:szCs w:val="21"/>
                      <w:highlight w:val="none"/>
                      <w:shd w:val="clear" w:color="auto" w:fill="auto"/>
                      <w:lang w:val="en-US" w:eastAsia="zh-CN" w:bidi="ar-SA"/>
                    </w:rPr>
                    <w:t>0.021</w:t>
                  </w:r>
                </w:p>
              </w:tc>
              <w:tc>
                <w:tcPr>
                  <w:tcW w:w="447" w:type="pct"/>
                  <w:noWrap w:val="0"/>
                  <w:vAlign w:val="center"/>
                </w:tcPr>
                <w:p w14:paraId="1A92B1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sz w:val="21"/>
                      <w:szCs w:val="21"/>
                      <w:lang w:val="en-US" w:eastAsia="zh-CN" w:bidi="ar-SA"/>
                    </w:rPr>
                    <w:t>0.003</w:t>
                  </w:r>
                </w:p>
              </w:tc>
              <w:tc>
                <w:tcPr>
                  <w:tcW w:w="465" w:type="pct"/>
                  <w:noWrap w:val="0"/>
                  <w:vAlign w:val="center"/>
                </w:tcPr>
                <w:p w14:paraId="0D35DA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eastAsia" w:ascii="Times New Roman" w:hAnsi="Times New Roman" w:eastAsia="宋体" w:cs="Times New Roman"/>
                      <w:color w:val="FF0000"/>
                      <w:sz w:val="21"/>
                      <w:szCs w:val="21"/>
                      <w:lang w:val="en-US" w:eastAsia="zh-CN" w:bidi="ar-SA"/>
                    </w:rPr>
                    <w:t>0.034</w:t>
                  </w:r>
                </w:p>
              </w:tc>
            </w:tr>
            <w:tr w14:paraId="4BC88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738" w:type="pct"/>
                  <w:gridSpan w:val="2"/>
                  <w:noWrap w:val="0"/>
                  <w:vAlign w:val="center"/>
                </w:tcPr>
                <w:p w14:paraId="7455016F">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shd w:val="clear" w:color="auto" w:fill="auto"/>
                      <w:lang w:val="en-US" w:eastAsia="zh-CN"/>
                    </w:rPr>
                  </w:pPr>
                  <w:r>
                    <w:rPr>
                      <w:rFonts w:hint="default" w:ascii="Times New Roman" w:hAnsi="Times New Roman" w:eastAsia="宋体" w:cs="Times New Roman"/>
                      <w:color w:val="FF0000"/>
                      <w:sz w:val="21"/>
                      <w:szCs w:val="21"/>
                      <w:highlight w:val="none"/>
                      <w:shd w:val="clear" w:color="auto" w:fill="auto"/>
                      <w:lang w:val="en-US" w:eastAsia="zh-CN"/>
                    </w:rPr>
                    <w:t>庐山工业污水处理厂</w:t>
                  </w:r>
                </w:p>
                <w:p w14:paraId="7D7EBE0B">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eastAsia="宋体" w:cs="Times New Roman"/>
                      <w:color w:val="FF0000"/>
                      <w:sz w:val="21"/>
                      <w:szCs w:val="21"/>
                      <w:highlight w:val="none"/>
                      <w:shd w:val="clear" w:color="auto" w:fill="auto"/>
                      <w:lang w:val="en-US" w:eastAsia="zh-CN"/>
                    </w:rPr>
                    <w:t>接管标准</w:t>
                  </w:r>
                  <w:r>
                    <w:rPr>
                      <w:rFonts w:hint="eastAsia" w:ascii="Times New Roman" w:hAnsi="Times New Roman" w:eastAsia="宋体" w:cs="Times New Roman"/>
                      <w:color w:val="FF0000"/>
                      <w:sz w:val="21"/>
                      <w:szCs w:val="21"/>
                      <w:highlight w:val="none"/>
                      <w:shd w:val="clear" w:color="auto" w:fill="auto"/>
                      <w:lang w:val="en-US" w:eastAsia="zh-CN"/>
                    </w:rPr>
                    <w:t>（mg/L）</w:t>
                  </w:r>
                </w:p>
              </w:tc>
              <w:tc>
                <w:tcPr>
                  <w:tcW w:w="345" w:type="pct"/>
                  <w:noWrap w:val="0"/>
                  <w:vAlign w:val="center"/>
                </w:tcPr>
                <w:p w14:paraId="6BE74133">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FF0000"/>
                      <w:sz w:val="21"/>
                      <w:szCs w:val="21"/>
                      <w:highlight w:val="none"/>
                      <w:shd w:val="clear" w:color="auto" w:fill="auto"/>
                      <w:lang w:val="en-US" w:eastAsia="zh-CN"/>
                    </w:rPr>
                  </w:pPr>
                  <w:r>
                    <w:rPr>
                      <w:rFonts w:hint="eastAsia" w:ascii="Times New Roman" w:hAnsi="Times New Roman" w:eastAsia="宋体" w:cs="Times New Roman"/>
                      <w:color w:val="FF0000"/>
                      <w:sz w:val="21"/>
                      <w:szCs w:val="21"/>
                      <w:highlight w:val="none"/>
                      <w:shd w:val="clear" w:color="auto" w:fill="auto"/>
                      <w:lang w:val="en-US" w:eastAsia="zh-CN"/>
                    </w:rPr>
                    <w:t>6~9</w:t>
                  </w:r>
                </w:p>
              </w:tc>
              <w:tc>
                <w:tcPr>
                  <w:tcW w:w="447" w:type="pct"/>
                  <w:noWrap w:val="0"/>
                  <w:vAlign w:val="center"/>
                </w:tcPr>
                <w:p w14:paraId="0BC4A0EB">
                  <w:pPr>
                    <w:jc w:val="center"/>
                    <w:rPr>
                      <w:rFonts w:hint="eastAsia" w:ascii="Times New Roman" w:hAnsi="Times New Roman" w:eastAsia="宋体" w:cs="Times New Roman"/>
                      <w:color w:val="FF0000"/>
                      <w:sz w:val="21"/>
                      <w:szCs w:val="21"/>
                      <w:highlight w:val="none"/>
                      <w:shd w:val="clear" w:color="auto" w:fill="auto"/>
                      <w:lang w:val="en-US" w:eastAsia="zh-CN"/>
                    </w:rPr>
                  </w:pPr>
                  <w:r>
                    <w:rPr>
                      <w:rFonts w:hint="default" w:ascii="Times New Roman" w:hAnsi="Times New Roman" w:cs="Times New Roman"/>
                      <w:color w:val="FF0000"/>
                      <w:sz w:val="21"/>
                      <w:szCs w:val="21"/>
                    </w:rPr>
                    <w:t>500</w:t>
                  </w:r>
                </w:p>
              </w:tc>
              <w:tc>
                <w:tcPr>
                  <w:tcW w:w="509" w:type="pct"/>
                  <w:noWrap w:val="0"/>
                  <w:vAlign w:val="center"/>
                </w:tcPr>
                <w:p w14:paraId="2D6EAC21">
                  <w:pPr>
                    <w:jc w:val="center"/>
                    <w:rPr>
                      <w:rFonts w:hint="eastAsia" w:ascii="Times New Roman" w:hAnsi="Times New Roman" w:eastAsia="宋体" w:cs="Times New Roman"/>
                      <w:color w:val="FF0000"/>
                      <w:sz w:val="21"/>
                      <w:szCs w:val="21"/>
                      <w:highlight w:val="none"/>
                      <w:shd w:val="clear" w:color="auto" w:fill="auto"/>
                      <w:lang w:val="en-US" w:eastAsia="zh-CN"/>
                    </w:rPr>
                  </w:pPr>
                  <w:r>
                    <w:rPr>
                      <w:rFonts w:hint="default" w:ascii="Times New Roman" w:hAnsi="Times New Roman" w:cs="Times New Roman"/>
                      <w:color w:val="FF0000"/>
                      <w:sz w:val="21"/>
                      <w:szCs w:val="21"/>
                    </w:rPr>
                    <w:t>300</w:t>
                  </w:r>
                </w:p>
              </w:tc>
              <w:tc>
                <w:tcPr>
                  <w:tcW w:w="509" w:type="pct"/>
                  <w:noWrap w:val="0"/>
                  <w:vAlign w:val="center"/>
                </w:tcPr>
                <w:p w14:paraId="43ABA1BA">
                  <w:pPr>
                    <w:jc w:val="center"/>
                    <w:rPr>
                      <w:rFonts w:hint="eastAsia"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cs="Times New Roman"/>
                      <w:color w:val="FF0000"/>
                      <w:sz w:val="21"/>
                      <w:szCs w:val="21"/>
                    </w:rPr>
                    <w:t>400</w:t>
                  </w:r>
                </w:p>
              </w:tc>
              <w:tc>
                <w:tcPr>
                  <w:tcW w:w="535" w:type="pct"/>
                  <w:noWrap w:val="0"/>
                  <w:vAlign w:val="center"/>
                </w:tcPr>
                <w:p w14:paraId="70AC937E">
                  <w:pPr>
                    <w:jc w:val="center"/>
                    <w:rPr>
                      <w:rFonts w:hint="eastAsia" w:ascii="Times New Roman" w:hAnsi="Times New Roman" w:eastAsia="宋体" w:cs="Times New Roman"/>
                      <w:color w:val="FF0000"/>
                      <w:kern w:val="2"/>
                      <w:sz w:val="21"/>
                      <w:szCs w:val="21"/>
                      <w:highlight w:val="none"/>
                      <w:shd w:val="clear" w:color="auto" w:fill="auto"/>
                      <w:lang w:val="en-US" w:eastAsia="zh-CN" w:bidi="ar-SA"/>
                    </w:rPr>
                  </w:pPr>
                  <w:r>
                    <w:rPr>
                      <w:rFonts w:hint="default" w:ascii="Times New Roman" w:hAnsi="Times New Roman" w:cs="Times New Roman"/>
                      <w:color w:val="FF0000"/>
                      <w:sz w:val="21"/>
                      <w:szCs w:val="21"/>
                    </w:rPr>
                    <w:t>50</w:t>
                  </w:r>
                </w:p>
              </w:tc>
              <w:tc>
                <w:tcPr>
                  <w:tcW w:w="447" w:type="pct"/>
                  <w:noWrap w:val="0"/>
                  <w:vAlign w:val="center"/>
                </w:tcPr>
                <w:p w14:paraId="03F7CD0E">
                  <w:pPr>
                    <w:jc w:val="center"/>
                    <w:rPr>
                      <w:rFonts w:hint="eastAsia" w:ascii="Times New Roman" w:hAnsi="Times New Roman" w:eastAsia="宋体" w:cs="Times New Roman"/>
                      <w:color w:val="FF0000"/>
                      <w:kern w:val="2"/>
                      <w:sz w:val="21"/>
                      <w:szCs w:val="21"/>
                      <w:highlight w:val="none"/>
                      <w:shd w:val="clear" w:color="auto" w:fill="auto"/>
                      <w:lang w:val="en-US" w:eastAsia="zh-CN" w:bidi="ar-SA"/>
                    </w:rPr>
                  </w:pPr>
                  <w:r>
                    <w:rPr>
                      <w:rFonts w:hint="eastAsia" w:cs="Times New Roman"/>
                      <w:color w:val="FF0000"/>
                      <w:sz w:val="21"/>
                      <w:szCs w:val="21"/>
                      <w:lang w:val="en-US" w:eastAsia="zh-CN"/>
                    </w:rPr>
                    <w:t>8</w:t>
                  </w:r>
                </w:p>
              </w:tc>
              <w:tc>
                <w:tcPr>
                  <w:tcW w:w="465" w:type="pct"/>
                  <w:noWrap w:val="0"/>
                  <w:vAlign w:val="center"/>
                </w:tcPr>
                <w:p w14:paraId="3C0E085A">
                  <w:pPr>
                    <w:jc w:val="center"/>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70</w:t>
                  </w:r>
                </w:p>
              </w:tc>
            </w:tr>
          </w:tbl>
          <w:p w14:paraId="4C9DF3EC">
            <w:pPr>
              <w:keepNext w:val="0"/>
              <w:keepLines w:val="0"/>
              <w:widowControl/>
              <w:suppressLineNumbers w:val="0"/>
              <w:spacing w:line="360" w:lineRule="auto"/>
              <w:ind w:firstLine="480" w:firstLineChars="200"/>
              <w:jc w:val="left"/>
              <w:rPr>
                <w:color w:val="FF0000"/>
              </w:rPr>
            </w:pPr>
            <w:r>
              <w:rPr>
                <w:rFonts w:hint="eastAsia" w:ascii="Times New Roman" w:hAnsi="Times New Roman" w:eastAsia="宋体" w:cs="Times New Roman"/>
                <w:b w:val="0"/>
                <w:bCs/>
                <w:color w:val="FF0000"/>
                <w:spacing w:val="0"/>
                <w:sz w:val="24"/>
                <w:szCs w:val="24"/>
                <w:lang w:val="en-US" w:eastAsia="zh-CN"/>
              </w:rPr>
              <w:t>（</w:t>
            </w:r>
            <w:r>
              <w:rPr>
                <w:rFonts w:hint="eastAsia" w:cs="Times New Roman"/>
                <w:b w:val="0"/>
                <w:bCs/>
                <w:color w:val="FF0000"/>
                <w:spacing w:val="0"/>
                <w:sz w:val="24"/>
                <w:szCs w:val="24"/>
                <w:lang w:val="en-US" w:eastAsia="zh-CN"/>
              </w:rPr>
              <w:t>2</w:t>
            </w:r>
            <w:r>
              <w:rPr>
                <w:rFonts w:hint="eastAsia" w:ascii="Times New Roman" w:hAnsi="Times New Roman" w:eastAsia="宋体" w:cs="Times New Roman"/>
                <w:b w:val="0"/>
                <w:bCs/>
                <w:color w:val="FF0000"/>
                <w:spacing w:val="0"/>
                <w:sz w:val="24"/>
                <w:szCs w:val="24"/>
                <w:lang w:val="en-US" w:eastAsia="zh-CN"/>
              </w:rPr>
              <w:t>）</w:t>
            </w:r>
            <w:commentRangeStart w:id="37"/>
            <w:r>
              <w:rPr>
                <w:rFonts w:hint="eastAsia" w:ascii="宋体" w:hAnsi="宋体" w:eastAsia="宋体" w:cs="宋体"/>
                <w:color w:val="FF0000"/>
                <w:kern w:val="0"/>
                <w:sz w:val="24"/>
                <w:szCs w:val="24"/>
                <w:lang w:val="en-US" w:eastAsia="zh-CN" w:bidi="ar"/>
              </w:rPr>
              <w:t>设备</w:t>
            </w:r>
            <w:commentRangeEnd w:id="37"/>
            <w:r>
              <w:commentReference w:id="37"/>
            </w:r>
            <w:r>
              <w:rPr>
                <w:rFonts w:hint="eastAsia" w:ascii="宋体" w:hAnsi="宋体" w:eastAsia="宋体" w:cs="宋体"/>
                <w:color w:val="FF0000"/>
                <w:kern w:val="0"/>
                <w:sz w:val="24"/>
                <w:szCs w:val="24"/>
                <w:lang w:val="en-US" w:eastAsia="zh-CN" w:bidi="ar"/>
              </w:rPr>
              <w:t>清洗废水</w:t>
            </w:r>
          </w:p>
          <w:p w14:paraId="02D6A91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FF0000"/>
                <w:kern w:val="0"/>
                <w:sz w:val="24"/>
                <w:szCs w:val="24"/>
                <w:lang w:val="en-US" w:eastAsia="zh-CN" w:bidi="ar"/>
              </w:rPr>
            </w:pPr>
            <w:r>
              <w:rPr>
                <w:rFonts w:hint="eastAsia" w:ascii="宋体" w:hAnsi="宋体" w:eastAsia="宋体" w:cs="宋体"/>
                <w:color w:val="FF0000"/>
                <w:kern w:val="0"/>
                <w:sz w:val="24"/>
                <w:szCs w:val="24"/>
                <w:lang w:val="en-US" w:eastAsia="zh-CN" w:bidi="ar"/>
              </w:rPr>
              <w:t>每天工作结束后需对设备进行清洗，清洗方式为纯化水清洗，清洗用水量约为</w:t>
            </w:r>
            <w:r>
              <w:rPr>
                <w:rFonts w:hint="default" w:ascii="Times New Roman" w:hAnsi="Times New Roman" w:eastAsia="宋体" w:cs="Times New Roman"/>
                <w:color w:val="FF0000"/>
                <w:kern w:val="0"/>
                <w:sz w:val="24"/>
                <w:szCs w:val="24"/>
                <w:lang w:val="en-US" w:eastAsia="zh-CN" w:bidi="ar"/>
              </w:rPr>
              <w:t>0.05</w:t>
            </w:r>
            <w:r>
              <w:rPr>
                <w:rFonts w:hint="eastAsia" w:cs="Times New Roman"/>
                <w:b w:val="0"/>
                <w:bCs/>
                <w:color w:val="FF0000"/>
                <w:spacing w:val="0"/>
                <w:sz w:val="24"/>
                <w:szCs w:val="24"/>
                <w:lang w:val="en-US" w:eastAsia="zh-CN"/>
              </w:rPr>
              <w:t>t</w:t>
            </w:r>
            <w:r>
              <w:rPr>
                <w:rFonts w:hint="default" w:ascii="Times New Roman" w:hAnsi="Times New Roman" w:eastAsia="宋体" w:cs="Times New Roman"/>
                <w:color w:val="FF0000"/>
                <w:kern w:val="0"/>
                <w:sz w:val="24"/>
                <w:szCs w:val="24"/>
                <w:lang w:val="en-US" w:eastAsia="zh-CN" w:bidi="ar"/>
              </w:rPr>
              <w:t>/</w:t>
            </w:r>
            <w:r>
              <w:rPr>
                <w:rFonts w:hint="eastAsia" w:ascii="宋体" w:hAnsi="宋体" w:eastAsia="宋体" w:cs="宋体"/>
                <w:color w:val="FF0000"/>
                <w:kern w:val="0"/>
                <w:sz w:val="24"/>
                <w:szCs w:val="24"/>
                <w:lang w:val="en-US" w:eastAsia="zh-CN" w:bidi="ar"/>
              </w:rPr>
              <w:t>次，每天清洗一次，则用水量为</w:t>
            </w:r>
            <w:r>
              <w:rPr>
                <w:rFonts w:hint="default" w:ascii="Times New Roman" w:hAnsi="Times New Roman" w:eastAsia="宋体" w:cs="Times New Roman"/>
                <w:color w:val="FF0000"/>
                <w:kern w:val="0"/>
                <w:sz w:val="24"/>
                <w:szCs w:val="24"/>
                <w:lang w:val="en-US" w:eastAsia="zh-CN" w:bidi="ar"/>
              </w:rPr>
              <w:t>0.05</w:t>
            </w:r>
            <w:r>
              <w:rPr>
                <w:rFonts w:hint="eastAsia" w:cs="Times New Roman"/>
                <w:b w:val="0"/>
                <w:bCs/>
                <w:color w:val="FF0000"/>
                <w:spacing w:val="0"/>
                <w:sz w:val="24"/>
                <w:szCs w:val="24"/>
                <w:lang w:val="en-US" w:eastAsia="zh-CN"/>
              </w:rPr>
              <w:t>t</w:t>
            </w:r>
            <w:r>
              <w:rPr>
                <w:rFonts w:hint="default" w:ascii="Times New Roman" w:hAnsi="Times New Roman" w:eastAsia="宋体" w:cs="Times New Roman"/>
                <w:b w:val="0"/>
                <w:bCs/>
                <w:color w:val="FF0000"/>
                <w:spacing w:val="0"/>
                <w:sz w:val="24"/>
                <w:szCs w:val="24"/>
                <w:lang w:val="en-US" w:eastAsia="zh-CN"/>
              </w:rPr>
              <w:t>/a</w:t>
            </w:r>
            <w:r>
              <w:rPr>
                <w:rFonts w:hint="eastAsia" w:ascii="宋体" w:hAnsi="宋体" w:eastAsia="宋体" w:cs="宋体"/>
                <w:color w:val="FF0000"/>
                <w:kern w:val="0"/>
                <w:sz w:val="24"/>
                <w:szCs w:val="24"/>
                <w:lang w:val="en-US" w:eastAsia="zh-CN" w:bidi="ar"/>
              </w:rPr>
              <w:t>（</w:t>
            </w:r>
            <w:r>
              <w:rPr>
                <w:rFonts w:hint="default" w:ascii="Times New Roman" w:hAnsi="Times New Roman" w:eastAsia="宋体" w:cs="Times New Roman"/>
                <w:color w:val="FF0000"/>
                <w:kern w:val="0"/>
                <w:sz w:val="24"/>
                <w:szCs w:val="24"/>
                <w:lang w:val="en-US" w:eastAsia="zh-CN" w:bidi="ar"/>
              </w:rPr>
              <w:t>15m³/a</w:t>
            </w:r>
            <w:r>
              <w:rPr>
                <w:rFonts w:hint="eastAsia" w:ascii="宋体" w:hAnsi="宋体" w:eastAsia="宋体" w:cs="宋体"/>
                <w:color w:val="FF0000"/>
                <w:kern w:val="0"/>
                <w:sz w:val="24"/>
                <w:szCs w:val="24"/>
                <w:lang w:val="en-US" w:eastAsia="zh-CN" w:bidi="ar"/>
              </w:rPr>
              <w:t>）。设备清洗废水产生量按用水量的</w:t>
            </w:r>
            <w:r>
              <w:rPr>
                <w:rFonts w:hint="default" w:ascii="Times New Roman" w:hAnsi="Times New Roman" w:eastAsia="宋体" w:cs="Times New Roman"/>
                <w:color w:val="FF0000"/>
                <w:kern w:val="0"/>
                <w:sz w:val="24"/>
                <w:szCs w:val="24"/>
                <w:lang w:val="en-US" w:eastAsia="zh-CN" w:bidi="ar"/>
              </w:rPr>
              <w:t>90%</w:t>
            </w:r>
            <w:r>
              <w:rPr>
                <w:rFonts w:hint="eastAsia" w:ascii="宋体" w:hAnsi="宋体" w:eastAsia="宋体" w:cs="宋体"/>
                <w:color w:val="FF0000"/>
                <w:kern w:val="0"/>
                <w:sz w:val="24"/>
                <w:szCs w:val="24"/>
                <w:lang w:val="en-US" w:eastAsia="zh-CN" w:bidi="ar"/>
              </w:rPr>
              <w:t>计，则设备清洗废水产生量为</w:t>
            </w:r>
            <w:r>
              <w:rPr>
                <w:rFonts w:hint="default" w:ascii="Times New Roman" w:hAnsi="Times New Roman" w:eastAsia="宋体" w:cs="Times New Roman"/>
                <w:color w:val="FF0000"/>
                <w:kern w:val="0"/>
                <w:sz w:val="24"/>
                <w:szCs w:val="24"/>
                <w:lang w:val="en-US" w:eastAsia="zh-CN" w:bidi="ar"/>
              </w:rPr>
              <w:t>0.045m</w:t>
            </w:r>
            <w:r>
              <w:rPr>
                <w:rFonts w:hint="eastAsia" w:ascii="Times New Roman" w:hAnsi="Times New Roman" w:eastAsia="宋体" w:cs="Times New Roman"/>
                <w:color w:val="FF0000"/>
                <w:kern w:val="0"/>
                <w:sz w:val="24"/>
                <w:szCs w:val="24"/>
                <w:vertAlign w:val="superscript"/>
                <w:lang w:val="en-US" w:eastAsia="zh-CN" w:bidi="ar"/>
              </w:rPr>
              <w:t>3</w:t>
            </w:r>
            <w:r>
              <w:rPr>
                <w:rFonts w:hint="default" w:ascii="Times New Roman" w:hAnsi="Times New Roman" w:eastAsia="宋体" w:cs="Times New Roman"/>
                <w:color w:val="FF0000"/>
                <w:kern w:val="0"/>
                <w:sz w:val="24"/>
                <w:szCs w:val="24"/>
                <w:lang w:val="en-US" w:eastAsia="zh-CN" w:bidi="ar"/>
              </w:rPr>
              <w:t>/d</w:t>
            </w:r>
            <w:r>
              <w:rPr>
                <w:rFonts w:hint="eastAsia" w:ascii="宋体" w:hAnsi="宋体" w:eastAsia="宋体" w:cs="宋体"/>
                <w:color w:val="FF0000"/>
                <w:kern w:val="0"/>
                <w:sz w:val="24"/>
                <w:szCs w:val="24"/>
                <w:lang w:val="en-US" w:eastAsia="zh-CN" w:bidi="ar"/>
              </w:rPr>
              <w:t>（</w:t>
            </w:r>
            <w:r>
              <w:rPr>
                <w:rFonts w:hint="default" w:ascii="Times New Roman" w:hAnsi="Times New Roman" w:eastAsia="宋体" w:cs="Times New Roman"/>
                <w:color w:val="FF0000"/>
                <w:kern w:val="0"/>
                <w:sz w:val="24"/>
                <w:szCs w:val="24"/>
                <w:lang w:val="en-US" w:eastAsia="zh-CN" w:bidi="ar"/>
              </w:rPr>
              <w:t>13.5m</w:t>
            </w:r>
            <w:r>
              <w:rPr>
                <w:rFonts w:hint="eastAsia" w:ascii="Times New Roman" w:hAnsi="Times New Roman" w:eastAsia="宋体" w:cs="Times New Roman"/>
                <w:color w:val="FF0000"/>
                <w:kern w:val="0"/>
                <w:sz w:val="24"/>
                <w:szCs w:val="24"/>
                <w:vertAlign w:val="superscript"/>
                <w:lang w:val="en-US" w:eastAsia="zh-CN" w:bidi="ar"/>
              </w:rPr>
              <w:t>3</w:t>
            </w:r>
            <w:r>
              <w:rPr>
                <w:rFonts w:hint="default" w:ascii="Times New Roman" w:hAnsi="Times New Roman" w:eastAsia="宋体" w:cs="Times New Roman"/>
                <w:color w:val="FF0000"/>
                <w:kern w:val="0"/>
                <w:sz w:val="24"/>
                <w:szCs w:val="24"/>
                <w:lang w:val="en-US" w:eastAsia="zh-CN" w:bidi="ar"/>
              </w:rPr>
              <w:t>/a</w:t>
            </w:r>
            <w:r>
              <w:rPr>
                <w:rFonts w:hint="eastAsia" w:ascii="宋体" w:hAnsi="宋体" w:eastAsia="宋体" w:cs="宋体"/>
                <w:color w:val="FF0000"/>
                <w:kern w:val="0"/>
                <w:sz w:val="24"/>
                <w:szCs w:val="24"/>
                <w:lang w:val="en-US" w:eastAsia="zh-CN" w:bidi="ar"/>
              </w:rPr>
              <w:t>）。</w:t>
            </w:r>
          </w:p>
          <w:p w14:paraId="694C3C2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FF0000"/>
                <w:kern w:val="0"/>
                <w:sz w:val="24"/>
                <w:szCs w:val="24"/>
                <w:lang w:val="en-US" w:eastAsia="zh-CN" w:bidi="ar"/>
              </w:rPr>
            </w:pPr>
            <w:r>
              <w:rPr>
                <w:rFonts w:hint="default" w:ascii="Times New Roman" w:hAnsi="Times New Roman" w:eastAsia="宋体" w:cs="Times New Roman"/>
                <w:color w:val="FF0000"/>
                <w:kern w:val="0"/>
                <w:sz w:val="24"/>
                <w:szCs w:val="24"/>
                <w:lang w:val="en-US" w:eastAsia="zh-CN" w:bidi="ar"/>
              </w:rPr>
              <w:t>类比同类型项目</w:t>
            </w:r>
            <w:r>
              <w:rPr>
                <w:rFonts w:hint="eastAsia" w:ascii="Times New Roman" w:hAnsi="Times New Roman" w:eastAsia="宋体" w:cs="Times New Roman"/>
                <w:color w:val="FF0000"/>
                <w:kern w:val="0"/>
                <w:sz w:val="24"/>
                <w:szCs w:val="24"/>
                <w:lang w:val="en-US" w:eastAsia="zh-CN" w:bidi="ar"/>
              </w:rPr>
              <w:t>《年产</w:t>
            </w:r>
            <w:r>
              <w:rPr>
                <w:rFonts w:hint="default" w:ascii="Times New Roman" w:hAnsi="Times New Roman" w:eastAsia="宋体" w:cs="Times New Roman"/>
                <w:color w:val="FF0000"/>
                <w:kern w:val="0"/>
                <w:sz w:val="24"/>
                <w:szCs w:val="24"/>
                <w:lang w:val="en-US" w:eastAsia="zh-CN" w:bidi="ar"/>
              </w:rPr>
              <w:t>60</w:t>
            </w:r>
            <w:r>
              <w:rPr>
                <w:rFonts w:hint="eastAsia" w:ascii="Times New Roman" w:hAnsi="Times New Roman" w:eastAsia="宋体" w:cs="Times New Roman"/>
                <w:color w:val="FF0000"/>
                <w:kern w:val="0"/>
                <w:sz w:val="24"/>
                <w:szCs w:val="24"/>
                <w:lang w:val="en-US" w:eastAsia="zh-CN" w:bidi="ar"/>
              </w:rPr>
              <w:t>万片重组</w:t>
            </w:r>
            <w:r>
              <w:rPr>
                <w:rFonts w:hint="default" w:ascii="Times New Roman" w:hAnsi="Times New Roman" w:eastAsia="宋体" w:cs="Times New Roman"/>
                <w:color w:val="FF0000"/>
                <w:kern w:val="0"/>
                <w:sz w:val="24"/>
                <w:szCs w:val="24"/>
                <w:lang w:val="en-US" w:eastAsia="zh-CN" w:bidi="ar"/>
              </w:rPr>
              <w:t>III</w:t>
            </w:r>
            <w:r>
              <w:rPr>
                <w:rFonts w:hint="eastAsia" w:ascii="Times New Roman" w:hAnsi="Times New Roman" w:eastAsia="宋体" w:cs="Times New Roman"/>
                <w:color w:val="FF0000"/>
                <w:kern w:val="0"/>
                <w:sz w:val="24"/>
                <w:szCs w:val="24"/>
                <w:lang w:val="en-US" w:eastAsia="zh-CN" w:bidi="ar"/>
              </w:rPr>
              <w:t>型人源化胶原蛋白敷料建设</w:t>
            </w:r>
            <w:r>
              <w:rPr>
                <w:rFonts w:hint="default" w:ascii="Times New Roman" w:hAnsi="Times New Roman" w:eastAsia="宋体" w:cs="Times New Roman"/>
                <w:color w:val="FF0000"/>
                <w:kern w:val="0"/>
                <w:sz w:val="24"/>
                <w:szCs w:val="24"/>
                <w:lang w:val="en-US" w:eastAsia="zh-CN" w:bidi="ar"/>
              </w:rPr>
              <w:t>项目环境影响报告</w:t>
            </w:r>
            <w:r>
              <w:rPr>
                <w:rFonts w:hint="eastAsia" w:ascii="Times New Roman" w:hAnsi="Times New Roman" w:eastAsia="宋体" w:cs="Times New Roman"/>
                <w:color w:val="FF0000"/>
                <w:kern w:val="0"/>
                <w:sz w:val="24"/>
                <w:szCs w:val="24"/>
                <w:lang w:val="en-US" w:eastAsia="zh-CN" w:bidi="ar"/>
              </w:rPr>
              <w:t>表</w:t>
            </w:r>
            <w:r>
              <w:rPr>
                <w:rFonts w:hint="default" w:ascii="Times New Roman" w:hAnsi="Times New Roman" w:eastAsia="宋体" w:cs="Times New Roman"/>
                <w:color w:val="FF0000"/>
                <w:kern w:val="0"/>
                <w:sz w:val="24"/>
                <w:szCs w:val="24"/>
                <w:lang w:val="en-US" w:eastAsia="zh-CN" w:bidi="ar"/>
              </w:rPr>
              <w:t>》</w:t>
            </w:r>
            <w:r>
              <w:rPr>
                <w:rFonts w:hint="eastAsia" w:ascii="Times New Roman" w:hAnsi="Times New Roman" w:eastAsia="宋体" w:cs="Times New Roman"/>
                <w:color w:val="FF0000"/>
                <w:kern w:val="0"/>
                <w:sz w:val="24"/>
                <w:szCs w:val="24"/>
                <w:lang w:val="en-US" w:eastAsia="zh-CN" w:bidi="ar"/>
              </w:rPr>
              <w:t>，该项目与本项目的主要原料均为Ⅲ型重组胶原蛋白、卡波姆等原料，具有可比性</w:t>
            </w:r>
            <w:r>
              <w:rPr>
                <w:rFonts w:hint="default" w:ascii="Times New Roman" w:hAnsi="Times New Roman" w:eastAsia="宋体" w:cs="Times New Roman"/>
                <w:color w:val="FF0000"/>
                <w:kern w:val="0"/>
                <w:sz w:val="24"/>
                <w:szCs w:val="24"/>
                <w:lang w:val="en-US" w:eastAsia="zh-CN" w:bidi="ar"/>
              </w:rPr>
              <w:t>，该股废水主要污染因子为COD</w:t>
            </w:r>
            <w:r>
              <w:rPr>
                <w:rFonts w:hint="default" w:ascii="Times New Roman" w:hAnsi="Times New Roman" w:eastAsia="宋体" w:cs="Times New Roman"/>
                <w:color w:val="FF0000"/>
                <w:kern w:val="0"/>
                <w:sz w:val="24"/>
                <w:szCs w:val="24"/>
                <w:vertAlign w:val="subscript"/>
                <w:lang w:val="en-US" w:eastAsia="zh-CN" w:bidi="ar"/>
              </w:rPr>
              <w:t>Cr</w:t>
            </w:r>
            <w:r>
              <w:rPr>
                <w:rFonts w:hint="default" w:ascii="Times New Roman" w:hAnsi="Times New Roman" w:eastAsia="宋体" w:cs="Times New Roman"/>
                <w:color w:val="FF0000"/>
                <w:kern w:val="0"/>
                <w:sz w:val="24"/>
                <w:szCs w:val="24"/>
                <w:lang w:val="en-US" w:eastAsia="zh-CN" w:bidi="ar"/>
              </w:rPr>
              <w:t>、</w:t>
            </w:r>
            <w:r>
              <w:rPr>
                <w:rFonts w:hint="eastAsia" w:ascii="Times New Roman" w:hAnsi="Times New Roman" w:eastAsia="宋体" w:cs="Times New Roman"/>
                <w:color w:val="FF0000"/>
                <w:kern w:val="0"/>
                <w:sz w:val="24"/>
                <w:szCs w:val="24"/>
                <w:lang w:val="en-US" w:eastAsia="zh-CN" w:bidi="ar"/>
              </w:rPr>
              <w:t>氨氮</w:t>
            </w:r>
            <w:r>
              <w:rPr>
                <w:rFonts w:hint="default" w:ascii="Times New Roman" w:hAnsi="Times New Roman" w:eastAsia="宋体" w:cs="Times New Roman"/>
                <w:color w:val="FF0000"/>
                <w:kern w:val="0"/>
                <w:sz w:val="24"/>
                <w:szCs w:val="24"/>
                <w:lang w:val="en-US" w:eastAsia="zh-CN" w:bidi="ar"/>
              </w:rPr>
              <w:t>、</w:t>
            </w:r>
            <w:r>
              <w:rPr>
                <w:rFonts w:hint="eastAsia" w:ascii="Times New Roman" w:hAnsi="Times New Roman" w:eastAsia="宋体" w:cs="Times New Roman"/>
                <w:color w:val="FF0000"/>
                <w:kern w:val="0"/>
                <w:sz w:val="24"/>
                <w:szCs w:val="24"/>
                <w:lang w:val="en-US" w:eastAsia="zh-CN" w:bidi="ar"/>
              </w:rPr>
              <w:t>BOD</w:t>
            </w:r>
            <w:r>
              <w:rPr>
                <w:rFonts w:hint="eastAsia" w:ascii="Times New Roman" w:hAnsi="Times New Roman" w:eastAsia="宋体" w:cs="Times New Roman"/>
                <w:color w:val="FF0000"/>
                <w:kern w:val="0"/>
                <w:sz w:val="24"/>
                <w:szCs w:val="24"/>
                <w:vertAlign w:val="subscript"/>
                <w:lang w:val="en-US" w:eastAsia="zh-CN" w:bidi="ar"/>
              </w:rPr>
              <w:t>5</w:t>
            </w:r>
            <w:r>
              <w:rPr>
                <w:rFonts w:hint="eastAsia" w:ascii="Times New Roman" w:hAnsi="Times New Roman" w:eastAsia="宋体" w:cs="Times New Roman"/>
                <w:color w:val="FF0000"/>
                <w:kern w:val="0"/>
                <w:sz w:val="24"/>
                <w:szCs w:val="24"/>
                <w:lang w:val="en-US" w:eastAsia="zh-CN" w:bidi="ar"/>
              </w:rPr>
              <w:t>和SS</w:t>
            </w:r>
            <w:r>
              <w:rPr>
                <w:rFonts w:hint="default" w:ascii="Times New Roman" w:hAnsi="Times New Roman" w:eastAsia="宋体" w:cs="Times New Roman"/>
                <w:color w:val="FF0000"/>
                <w:kern w:val="0"/>
                <w:sz w:val="24"/>
                <w:szCs w:val="24"/>
                <w:lang w:val="en-US" w:eastAsia="zh-CN" w:bidi="ar"/>
              </w:rPr>
              <w:t>，其中COD</w:t>
            </w:r>
            <w:r>
              <w:rPr>
                <w:rFonts w:hint="default" w:ascii="Times New Roman" w:hAnsi="Times New Roman" w:eastAsia="宋体" w:cs="Times New Roman"/>
                <w:color w:val="FF0000"/>
                <w:kern w:val="0"/>
                <w:sz w:val="24"/>
                <w:szCs w:val="24"/>
                <w:vertAlign w:val="subscript"/>
                <w:lang w:val="en-US" w:eastAsia="zh-CN" w:bidi="ar"/>
              </w:rPr>
              <w:t>Cr</w:t>
            </w:r>
            <w:r>
              <w:rPr>
                <w:rFonts w:hint="eastAsia" w:ascii="Times New Roman" w:hAnsi="Times New Roman" w:eastAsia="宋体" w:cs="Times New Roman"/>
                <w:color w:val="FF0000"/>
                <w:kern w:val="0"/>
                <w:sz w:val="24"/>
                <w:szCs w:val="24"/>
                <w:lang w:val="en-US" w:eastAsia="zh-CN" w:bidi="ar"/>
              </w:rPr>
              <w:t>350</w:t>
            </w:r>
            <w:r>
              <w:rPr>
                <w:rFonts w:hint="default" w:ascii="Times New Roman" w:hAnsi="Times New Roman" w:eastAsia="宋体" w:cs="Times New Roman"/>
                <w:color w:val="FF0000"/>
                <w:kern w:val="0"/>
                <w:sz w:val="24"/>
                <w:szCs w:val="24"/>
                <w:lang w:val="en-US" w:eastAsia="zh-CN" w:bidi="ar"/>
              </w:rPr>
              <w:t>mg/L、</w:t>
            </w:r>
            <w:r>
              <w:rPr>
                <w:rFonts w:hint="eastAsia" w:ascii="Times New Roman" w:hAnsi="Times New Roman" w:eastAsia="宋体" w:cs="Times New Roman"/>
                <w:color w:val="FF0000"/>
                <w:kern w:val="0"/>
                <w:sz w:val="24"/>
                <w:szCs w:val="24"/>
                <w:lang w:val="en-US" w:eastAsia="zh-CN" w:bidi="ar"/>
              </w:rPr>
              <w:t>氨氮40</w:t>
            </w:r>
            <w:r>
              <w:rPr>
                <w:rFonts w:hint="default" w:ascii="Times New Roman" w:hAnsi="Times New Roman" w:eastAsia="宋体" w:cs="Times New Roman"/>
                <w:color w:val="FF0000"/>
                <w:kern w:val="0"/>
                <w:sz w:val="24"/>
                <w:szCs w:val="24"/>
                <w:lang w:val="en-US" w:eastAsia="zh-CN" w:bidi="ar"/>
              </w:rPr>
              <w:t>mg/L</w:t>
            </w:r>
            <w:r>
              <w:rPr>
                <w:rFonts w:hint="eastAsia" w:ascii="Times New Roman" w:hAnsi="Times New Roman" w:eastAsia="宋体" w:cs="Times New Roman"/>
                <w:color w:val="FF0000"/>
                <w:kern w:val="0"/>
                <w:sz w:val="24"/>
                <w:szCs w:val="24"/>
                <w:lang w:val="en-US" w:eastAsia="zh-CN" w:bidi="ar"/>
              </w:rPr>
              <w:t>、BOD</w:t>
            </w:r>
            <w:r>
              <w:rPr>
                <w:rFonts w:hint="eastAsia" w:ascii="Times New Roman" w:hAnsi="Times New Roman" w:eastAsia="宋体" w:cs="Times New Roman"/>
                <w:color w:val="FF0000"/>
                <w:kern w:val="0"/>
                <w:sz w:val="24"/>
                <w:szCs w:val="24"/>
                <w:vertAlign w:val="subscript"/>
                <w:lang w:val="en-US" w:eastAsia="zh-CN" w:bidi="ar"/>
              </w:rPr>
              <w:t>5</w:t>
            </w:r>
            <w:r>
              <w:rPr>
                <w:rFonts w:hint="eastAsia" w:ascii="Times New Roman" w:hAnsi="Times New Roman" w:eastAsia="宋体" w:cs="Times New Roman"/>
                <w:color w:val="FF0000"/>
                <w:kern w:val="0"/>
                <w:sz w:val="24"/>
                <w:szCs w:val="24"/>
                <w:lang w:val="en-US" w:eastAsia="zh-CN" w:bidi="ar"/>
              </w:rPr>
              <w:t>200</w:t>
            </w:r>
            <w:r>
              <w:rPr>
                <w:rFonts w:hint="default" w:ascii="Times New Roman" w:hAnsi="Times New Roman" w:eastAsia="宋体" w:cs="Times New Roman"/>
                <w:color w:val="FF0000"/>
                <w:kern w:val="0"/>
                <w:sz w:val="24"/>
                <w:szCs w:val="24"/>
                <w:lang w:val="en-US" w:eastAsia="zh-CN" w:bidi="ar"/>
              </w:rPr>
              <w:t>mg/L</w:t>
            </w:r>
            <w:r>
              <w:rPr>
                <w:rFonts w:hint="eastAsia" w:ascii="Times New Roman" w:hAnsi="Times New Roman" w:eastAsia="宋体" w:cs="Times New Roman"/>
                <w:color w:val="FF0000"/>
                <w:kern w:val="0"/>
                <w:sz w:val="24"/>
                <w:szCs w:val="24"/>
                <w:lang w:val="en-US" w:eastAsia="zh-CN" w:bidi="ar"/>
              </w:rPr>
              <w:t>、</w:t>
            </w:r>
            <w:r>
              <w:rPr>
                <w:rFonts w:hint="default" w:ascii="Times New Roman" w:hAnsi="Times New Roman" w:eastAsia="宋体" w:cs="Times New Roman"/>
                <w:color w:val="FF0000"/>
                <w:kern w:val="0"/>
                <w:sz w:val="24"/>
                <w:szCs w:val="24"/>
                <w:lang w:val="en-US" w:eastAsia="zh-CN" w:bidi="ar"/>
              </w:rPr>
              <w:t>SS</w:t>
            </w:r>
            <w:r>
              <w:rPr>
                <w:rFonts w:hint="eastAsia" w:ascii="Times New Roman" w:hAnsi="Times New Roman" w:eastAsia="宋体" w:cs="Times New Roman"/>
                <w:color w:val="FF0000"/>
                <w:kern w:val="0"/>
                <w:sz w:val="24"/>
                <w:szCs w:val="24"/>
                <w:lang w:val="en-US" w:eastAsia="zh-CN" w:bidi="ar"/>
              </w:rPr>
              <w:t>150</w:t>
            </w:r>
            <w:r>
              <w:rPr>
                <w:rFonts w:hint="default" w:ascii="Times New Roman" w:hAnsi="Times New Roman" w:eastAsia="宋体" w:cs="Times New Roman"/>
                <w:color w:val="FF0000"/>
                <w:kern w:val="0"/>
                <w:sz w:val="24"/>
                <w:szCs w:val="24"/>
                <w:lang w:val="en-US" w:eastAsia="zh-CN" w:bidi="ar"/>
              </w:rPr>
              <w:t>mg/L</w:t>
            </w:r>
            <w:r>
              <w:rPr>
                <w:rFonts w:hint="eastAsia" w:cs="Times New Roman"/>
                <w:color w:val="FF0000"/>
                <w:kern w:val="0"/>
                <w:sz w:val="24"/>
                <w:szCs w:val="24"/>
                <w:lang w:val="en-US" w:eastAsia="zh-CN" w:bidi="ar"/>
              </w:rPr>
              <w:t>、总有机碳15</w:t>
            </w:r>
            <w:r>
              <w:rPr>
                <w:rFonts w:hint="default" w:ascii="Times New Roman" w:hAnsi="Times New Roman" w:eastAsia="宋体" w:cs="Times New Roman"/>
                <w:color w:val="FF0000"/>
                <w:kern w:val="0"/>
                <w:sz w:val="24"/>
                <w:szCs w:val="24"/>
                <w:lang w:val="en-US" w:eastAsia="zh-CN" w:bidi="ar"/>
              </w:rPr>
              <w:t>mg/L。</w:t>
            </w:r>
          </w:p>
          <w:p w14:paraId="37E82B07">
            <w:pPr>
              <w:keepNext w:val="0"/>
              <w:keepLines w:val="0"/>
              <w:widowControl/>
              <w:suppressLineNumbers w:val="0"/>
              <w:spacing w:line="360" w:lineRule="auto"/>
              <w:ind w:firstLine="480" w:firstLineChars="200"/>
              <w:jc w:val="both"/>
              <w:rPr>
                <w:rFonts w:hint="default" w:ascii="Times New Roman" w:hAnsi="Times New Roman" w:eastAsia="宋体" w:cs="Times New Roman"/>
                <w:color w:val="FF0000"/>
                <w:kern w:val="0"/>
                <w:sz w:val="24"/>
                <w:szCs w:val="24"/>
                <w:lang w:val="en-US" w:eastAsia="zh-CN" w:bidi="ar"/>
              </w:rPr>
            </w:pPr>
            <w:r>
              <w:rPr>
                <w:rFonts w:hint="eastAsia" w:ascii="宋体" w:hAnsi="宋体" w:eastAsia="宋体" w:cs="宋体"/>
                <w:color w:val="FF0000"/>
                <w:kern w:val="0"/>
                <w:sz w:val="24"/>
                <w:szCs w:val="24"/>
                <w:lang w:val="en-US" w:eastAsia="zh-CN" w:bidi="ar"/>
              </w:rPr>
              <w:t>设备清洗废水经沉淀池</w:t>
            </w:r>
            <w:r>
              <w:rPr>
                <w:rFonts w:hint="default" w:ascii="Times New Roman" w:hAnsi="Times New Roman" w:eastAsia="宋体" w:cs="Times New Roman"/>
                <w:color w:val="FF0000"/>
                <w:kern w:val="0"/>
                <w:sz w:val="24"/>
                <w:szCs w:val="24"/>
                <w:lang w:val="en-US" w:eastAsia="zh-CN" w:bidi="ar"/>
              </w:rPr>
              <w:t>+化粪池预处理</w:t>
            </w:r>
            <w:r>
              <w:rPr>
                <w:rFonts w:hint="eastAsia" w:cs="Times New Roman"/>
                <w:color w:val="FF0000"/>
                <w:kern w:val="0"/>
                <w:sz w:val="24"/>
                <w:szCs w:val="24"/>
                <w:lang w:val="en-US" w:eastAsia="zh-CN" w:bidi="ar"/>
              </w:rPr>
              <w:t>，</w:t>
            </w:r>
            <w:r>
              <w:rPr>
                <w:rFonts w:hint="default" w:ascii="Times New Roman" w:hAnsi="Times New Roman" w:eastAsia="宋体" w:cs="Times New Roman"/>
                <w:color w:val="FF0000"/>
                <w:sz w:val="24"/>
                <w:szCs w:val="24"/>
                <w:lang w:eastAsia="zh-CN"/>
              </w:rPr>
              <w:t>特征因子总有机碳满足混装制剂类制药工业水污染物排放标准，其他因子满足达庐山工业污水处理厂接管标准后排入</w:t>
            </w:r>
            <w:r>
              <w:rPr>
                <w:rFonts w:hint="eastAsia" w:ascii="Times New Roman" w:cs="Times New Roman"/>
                <w:color w:val="FF0000"/>
                <w:sz w:val="24"/>
                <w:szCs w:val="24"/>
                <w:highlight w:val="none"/>
                <w:shd w:val="clear" w:color="auto" w:fill="auto"/>
                <w:lang w:val="en-US" w:eastAsia="zh-CN"/>
              </w:rPr>
              <w:t>庐山</w:t>
            </w:r>
            <w:r>
              <w:rPr>
                <w:rFonts w:hint="eastAsia" w:ascii="Times New Roman" w:cs="Times New Roman"/>
                <w:color w:val="FF0000"/>
                <w:sz w:val="24"/>
                <w:szCs w:val="24"/>
                <w:highlight w:val="none"/>
                <w:shd w:val="clear" w:color="auto" w:fill="auto"/>
                <w:lang w:eastAsia="zh-CN"/>
              </w:rPr>
              <w:t>工业污水处理厂进</w:t>
            </w:r>
            <w:r>
              <w:rPr>
                <w:rFonts w:hint="eastAsia" w:ascii="Times New Roman" w:cs="Times New Roman"/>
                <w:color w:val="FF0000"/>
                <w:sz w:val="24"/>
                <w:szCs w:val="24"/>
                <w:highlight w:val="none"/>
                <w:shd w:val="clear" w:color="auto" w:fill="auto"/>
                <w:lang w:val="en-US" w:eastAsia="zh-CN"/>
              </w:rPr>
              <w:t>行深度</w:t>
            </w:r>
            <w:r>
              <w:rPr>
                <w:rFonts w:hint="eastAsia" w:ascii="Times New Roman" w:cs="Times New Roman"/>
                <w:color w:val="FF0000"/>
                <w:sz w:val="24"/>
                <w:szCs w:val="24"/>
                <w:highlight w:val="none"/>
                <w:shd w:val="clear" w:color="auto" w:fill="auto"/>
                <w:lang w:eastAsia="zh-CN"/>
              </w:rPr>
              <w:t>处理</w:t>
            </w:r>
            <w:r>
              <w:rPr>
                <w:rFonts w:hint="default" w:ascii="Times New Roman" w:hAnsi="Times New Roman" w:cs="Times New Roman"/>
                <w:color w:val="FF0000"/>
                <w:sz w:val="24"/>
                <w:szCs w:val="24"/>
                <w:highlight w:val="none"/>
                <w:shd w:val="clear" w:color="auto" w:fill="auto"/>
                <w:lang w:eastAsia="zh-CN"/>
              </w:rPr>
              <w:t>，项目</w:t>
            </w:r>
            <w:r>
              <w:rPr>
                <w:rFonts w:hint="eastAsia" w:ascii="宋体" w:hAnsi="宋体" w:eastAsia="宋体" w:cs="宋体"/>
                <w:color w:val="FF0000"/>
                <w:kern w:val="0"/>
                <w:sz w:val="24"/>
                <w:szCs w:val="24"/>
                <w:lang w:val="en-US" w:eastAsia="zh-CN" w:bidi="ar"/>
              </w:rPr>
              <w:t>设备清洗废水</w:t>
            </w:r>
            <w:r>
              <w:rPr>
                <w:rFonts w:hint="default" w:ascii="Times New Roman" w:hAnsi="Times New Roman" w:eastAsia="宋体" w:cs="Times New Roman"/>
                <w:color w:val="FF0000"/>
                <w:sz w:val="24"/>
                <w:szCs w:val="24"/>
                <w:highlight w:val="none"/>
                <w:shd w:val="clear" w:color="auto" w:fill="auto"/>
              </w:rPr>
              <w:t>中各污染物</w:t>
            </w:r>
            <w:r>
              <w:rPr>
                <w:rFonts w:hint="default" w:ascii="Times New Roman" w:hAnsi="Times New Roman" w:cs="Times New Roman"/>
                <w:color w:val="FF0000"/>
                <w:sz w:val="24"/>
                <w:szCs w:val="24"/>
                <w:highlight w:val="none"/>
                <w:shd w:val="clear" w:color="auto" w:fill="auto"/>
                <w:lang w:eastAsia="zh-CN"/>
              </w:rPr>
              <w:t>的产排</w:t>
            </w:r>
            <w:r>
              <w:rPr>
                <w:rFonts w:hint="default" w:ascii="Times New Roman" w:hAnsi="Times New Roman" w:eastAsia="宋体" w:cs="Times New Roman"/>
                <w:color w:val="FF0000"/>
                <w:sz w:val="24"/>
                <w:szCs w:val="24"/>
                <w:highlight w:val="none"/>
                <w:shd w:val="clear" w:color="auto" w:fill="auto"/>
              </w:rPr>
              <w:t>情况见</w:t>
            </w:r>
            <w:r>
              <w:rPr>
                <w:rFonts w:hint="eastAsia" w:ascii="Times New Roman" w:hAnsi="Times New Roman" w:eastAsia="宋体" w:cs="Times New Roman"/>
                <w:color w:val="FF0000"/>
                <w:sz w:val="24"/>
                <w:szCs w:val="24"/>
                <w:highlight w:val="none"/>
                <w:shd w:val="clear" w:color="auto" w:fill="auto"/>
                <w:lang w:val="en-US" w:eastAsia="zh-CN"/>
              </w:rPr>
              <w:t>下</w:t>
            </w:r>
            <w:r>
              <w:rPr>
                <w:rFonts w:hint="default" w:ascii="Times New Roman" w:hAnsi="Times New Roman" w:eastAsia="宋体" w:cs="Times New Roman"/>
                <w:color w:val="FF0000"/>
                <w:sz w:val="24"/>
                <w:szCs w:val="24"/>
                <w:highlight w:val="none"/>
                <w:shd w:val="clear" w:color="auto" w:fill="auto"/>
              </w:rPr>
              <w:t>表</w:t>
            </w:r>
            <w:r>
              <w:rPr>
                <w:rFonts w:hint="default" w:ascii="Times New Roman" w:hAnsi="Times New Roman" w:cs="Times New Roman"/>
                <w:color w:val="FF0000"/>
                <w:szCs w:val="24"/>
                <w:highlight w:val="none"/>
                <w:shd w:val="clear" w:color="auto" w:fill="auto"/>
                <w:lang w:val="en-US" w:eastAsia="zh-CN"/>
              </w:rPr>
              <w:t>。</w:t>
            </w:r>
          </w:p>
          <w:p w14:paraId="093C6036">
            <w:pPr>
              <w:keepNext w:val="0"/>
              <w:keepLines w:val="0"/>
              <w:widowControl/>
              <w:suppressLineNumbers w:val="0"/>
              <w:spacing w:line="240" w:lineRule="auto"/>
              <w:ind w:firstLine="422" w:firstLineChars="200"/>
              <w:jc w:val="center"/>
              <w:rPr>
                <w:rFonts w:hint="default" w:ascii="Times New Roman" w:hAnsi="Times New Roman" w:eastAsia="宋体" w:cs="Times New Roman"/>
                <w:color w:val="FF0000"/>
                <w:kern w:val="0"/>
                <w:sz w:val="24"/>
                <w:szCs w:val="24"/>
                <w:lang w:val="en-US" w:eastAsia="zh-CN" w:bidi="ar"/>
              </w:rPr>
            </w:pPr>
            <w:r>
              <w:rPr>
                <w:rFonts w:hint="default" w:ascii="Times New Roman" w:hAnsi="Times New Roman" w:cs="Times New Roman"/>
                <w:b/>
                <w:bCs/>
                <w:snapToGrid/>
                <w:color w:val="FF0000"/>
                <w:spacing w:val="0"/>
                <w:kern w:val="2"/>
                <w:sz w:val="21"/>
                <w:szCs w:val="21"/>
                <w:highlight w:val="none"/>
                <w:shd w:val="clear" w:color="auto" w:fill="auto"/>
              </w:rPr>
              <w:t>表</w:t>
            </w:r>
            <w:r>
              <w:rPr>
                <w:rFonts w:hint="eastAsia" w:cs="Times New Roman"/>
                <w:b/>
                <w:bCs/>
                <w:snapToGrid/>
                <w:color w:val="FF0000"/>
                <w:spacing w:val="0"/>
                <w:kern w:val="2"/>
                <w:sz w:val="21"/>
                <w:szCs w:val="21"/>
                <w:highlight w:val="none"/>
                <w:shd w:val="clear" w:color="auto" w:fill="auto"/>
                <w:lang w:val="en-US" w:eastAsia="zh-CN"/>
              </w:rPr>
              <w:t xml:space="preserve">4-8 </w:t>
            </w:r>
            <w:r>
              <w:rPr>
                <w:rFonts w:hint="default" w:ascii="Times New Roman" w:hAnsi="Times New Roman" w:cs="Times New Roman"/>
                <w:b/>
                <w:bCs/>
                <w:snapToGrid/>
                <w:color w:val="FF0000"/>
                <w:spacing w:val="0"/>
                <w:kern w:val="2"/>
                <w:sz w:val="21"/>
                <w:szCs w:val="21"/>
                <w:highlight w:val="none"/>
                <w:shd w:val="clear" w:color="auto" w:fill="auto"/>
              </w:rPr>
              <w:t xml:space="preserve"> 项目运营期生活污水</w:t>
            </w:r>
            <w:r>
              <w:rPr>
                <w:rFonts w:hint="default" w:ascii="Times New Roman" w:hAnsi="Times New Roman" w:cs="Times New Roman"/>
                <w:b/>
                <w:bCs/>
                <w:snapToGrid/>
                <w:color w:val="FF0000"/>
                <w:spacing w:val="0"/>
                <w:kern w:val="2"/>
                <w:sz w:val="21"/>
                <w:szCs w:val="21"/>
                <w:highlight w:val="none"/>
                <w:shd w:val="clear" w:color="auto" w:fill="auto"/>
                <w:lang w:eastAsia="zh-CN"/>
              </w:rPr>
              <w:t>产排</w:t>
            </w:r>
            <w:r>
              <w:rPr>
                <w:rFonts w:hint="default" w:ascii="Times New Roman" w:hAnsi="Times New Roman" w:cs="Times New Roman"/>
                <w:b/>
                <w:bCs/>
                <w:snapToGrid/>
                <w:color w:val="FF0000"/>
                <w:spacing w:val="0"/>
                <w:kern w:val="2"/>
                <w:sz w:val="21"/>
                <w:szCs w:val="21"/>
                <w:highlight w:val="none"/>
                <w:shd w:val="clear" w:color="auto" w:fill="auto"/>
              </w:rPr>
              <w:t>情况一览表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2043"/>
              <w:gridCol w:w="853"/>
              <w:gridCol w:w="1127"/>
              <w:gridCol w:w="853"/>
              <w:gridCol w:w="1034"/>
              <w:gridCol w:w="1172"/>
            </w:tblGrid>
            <w:tr w14:paraId="47BE1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tblHeader/>
                <w:jc w:val="center"/>
              </w:trPr>
              <w:tc>
                <w:tcPr>
                  <w:tcW w:w="2052" w:type="pct"/>
                  <w:gridSpan w:val="2"/>
                  <w:tcBorders>
                    <w:bottom w:val="single" w:color="auto" w:sz="12" w:space="0"/>
                  </w:tcBorders>
                  <w:noWrap w:val="0"/>
                  <w:vAlign w:val="center"/>
                </w:tcPr>
                <w:p w14:paraId="76622DB1">
                  <w:pPr>
                    <w:pStyle w:val="52"/>
                    <w:widowControl w:val="0"/>
                    <w:rPr>
                      <w:rFonts w:hint="default" w:ascii="Times New Roman" w:hAnsi="Times New Roman" w:cs="Times New Roman"/>
                      <w:b/>
                      <w:bCs/>
                      <w:color w:val="FF0000"/>
                      <w:kern w:val="2"/>
                      <w:sz w:val="21"/>
                      <w:szCs w:val="21"/>
                      <w:highlight w:val="none"/>
                      <w:shd w:val="clear" w:color="auto" w:fill="auto"/>
                    </w:rPr>
                  </w:pPr>
                  <w:r>
                    <w:rPr>
                      <w:rFonts w:hint="default" w:ascii="Times New Roman" w:hAnsi="Times New Roman" w:cs="Times New Roman"/>
                      <w:b/>
                      <w:bCs/>
                      <w:color w:val="FF0000"/>
                      <w:kern w:val="2"/>
                      <w:sz w:val="21"/>
                      <w:szCs w:val="21"/>
                      <w:highlight w:val="none"/>
                      <w:shd w:val="clear" w:color="auto" w:fill="auto"/>
                    </w:rPr>
                    <w:t>污染物</w:t>
                  </w:r>
                </w:p>
              </w:tc>
              <w:tc>
                <w:tcPr>
                  <w:tcW w:w="499" w:type="pct"/>
                  <w:tcBorders>
                    <w:bottom w:val="single" w:color="auto" w:sz="12" w:space="0"/>
                  </w:tcBorders>
                  <w:noWrap w:val="0"/>
                  <w:vAlign w:val="center"/>
                </w:tcPr>
                <w:p w14:paraId="1923EA88">
                  <w:pPr>
                    <w:pStyle w:val="52"/>
                    <w:widowControl w:val="0"/>
                    <w:rPr>
                      <w:rFonts w:hint="default" w:ascii="Times New Roman" w:hAnsi="Times New Roman" w:cs="Times New Roman"/>
                      <w:b/>
                      <w:bCs/>
                      <w:color w:val="FF0000"/>
                      <w:kern w:val="2"/>
                      <w:sz w:val="21"/>
                      <w:szCs w:val="21"/>
                      <w:highlight w:val="none"/>
                      <w:shd w:val="clear" w:color="auto" w:fill="auto"/>
                    </w:rPr>
                  </w:pPr>
                  <w:r>
                    <w:rPr>
                      <w:rFonts w:hint="default" w:ascii="Times New Roman" w:hAnsi="Times New Roman" w:cs="Times New Roman"/>
                      <w:b/>
                      <w:bCs/>
                      <w:color w:val="FF0000"/>
                      <w:kern w:val="2"/>
                      <w:sz w:val="21"/>
                      <w:szCs w:val="21"/>
                      <w:highlight w:val="none"/>
                      <w:shd w:val="clear" w:color="auto" w:fill="auto"/>
                      <w:lang w:val="en-US" w:eastAsia="zh-CN"/>
                    </w:rPr>
                    <w:t>COD</w:t>
                  </w:r>
                </w:p>
              </w:tc>
              <w:tc>
                <w:tcPr>
                  <w:tcW w:w="659" w:type="pct"/>
                  <w:tcBorders>
                    <w:bottom w:val="single" w:color="auto" w:sz="12" w:space="0"/>
                  </w:tcBorders>
                  <w:noWrap w:val="0"/>
                  <w:vAlign w:val="center"/>
                </w:tcPr>
                <w:p w14:paraId="72644B02">
                  <w:pPr>
                    <w:pStyle w:val="52"/>
                    <w:widowControl w:val="0"/>
                    <w:rPr>
                      <w:rFonts w:hint="default" w:ascii="Times New Roman" w:hAnsi="Times New Roman" w:cs="Times New Roman"/>
                      <w:b/>
                      <w:bCs/>
                      <w:color w:val="FF0000"/>
                      <w:kern w:val="2"/>
                      <w:sz w:val="21"/>
                      <w:szCs w:val="21"/>
                      <w:highlight w:val="none"/>
                      <w:shd w:val="clear" w:color="auto" w:fill="auto"/>
                    </w:rPr>
                  </w:pPr>
                  <w:r>
                    <w:rPr>
                      <w:rFonts w:hint="default" w:ascii="Times New Roman" w:hAnsi="Times New Roman" w:cs="Times New Roman"/>
                      <w:b/>
                      <w:bCs/>
                      <w:color w:val="FF0000"/>
                      <w:kern w:val="2"/>
                      <w:sz w:val="21"/>
                      <w:szCs w:val="21"/>
                      <w:highlight w:val="none"/>
                      <w:shd w:val="clear" w:color="auto" w:fill="auto"/>
                    </w:rPr>
                    <w:t>BOD</w:t>
                  </w:r>
                  <w:r>
                    <w:rPr>
                      <w:rFonts w:hint="default" w:ascii="Times New Roman" w:hAnsi="Times New Roman" w:cs="Times New Roman"/>
                      <w:b/>
                      <w:bCs/>
                      <w:color w:val="FF0000"/>
                      <w:kern w:val="2"/>
                      <w:sz w:val="21"/>
                      <w:szCs w:val="21"/>
                      <w:highlight w:val="none"/>
                      <w:shd w:val="clear" w:color="auto" w:fill="auto"/>
                      <w:vertAlign w:val="subscript"/>
                    </w:rPr>
                    <w:t>5</w:t>
                  </w:r>
                </w:p>
              </w:tc>
              <w:tc>
                <w:tcPr>
                  <w:tcW w:w="499" w:type="pct"/>
                  <w:tcBorders>
                    <w:bottom w:val="single" w:color="auto" w:sz="12" w:space="0"/>
                  </w:tcBorders>
                  <w:noWrap w:val="0"/>
                  <w:vAlign w:val="center"/>
                </w:tcPr>
                <w:p w14:paraId="38EA8391">
                  <w:pPr>
                    <w:pStyle w:val="52"/>
                    <w:widowControl w:val="0"/>
                    <w:rPr>
                      <w:rFonts w:hint="default" w:ascii="Times New Roman" w:hAnsi="Times New Roman" w:cs="Times New Roman"/>
                      <w:b/>
                      <w:bCs/>
                      <w:color w:val="FF0000"/>
                      <w:kern w:val="2"/>
                      <w:sz w:val="21"/>
                      <w:szCs w:val="21"/>
                      <w:highlight w:val="none"/>
                      <w:shd w:val="clear" w:color="auto" w:fill="auto"/>
                    </w:rPr>
                  </w:pPr>
                  <w:r>
                    <w:rPr>
                      <w:rFonts w:hint="default" w:ascii="Times New Roman" w:hAnsi="Times New Roman" w:cs="Times New Roman"/>
                      <w:b/>
                      <w:bCs/>
                      <w:color w:val="FF0000"/>
                      <w:kern w:val="2"/>
                      <w:sz w:val="21"/>
                      <w:szCs w:val="21"/>
                      <w:highlight w:val="none"/>
                      <w:shd w:val="clear" w:color="auto" w:fill="auto"/>
                    </w:rPr>
                    <w:t>SS</w:t>
                  </w:r>
                </w:p>
              </w:tc>
              <w:tc>
                <w:tcPr>
                  <w:tcW w:w="605" w:type="pct"/>
                  <w:tcBorders>
                    <w:bottom w:val="single" w:color="auto" w:sz="12" w:space="0"/>
                  </w:tcBorders>
                  <w:noWrap w:val="0"/>
                  <w:vAlign w:val="center"/>
                </w:tcPr>
                <w:p w14:paraId="3615ECDF">
                  <w:pPr>
                    <w:pStyle w:val="52"/>
                    <w:widowControl w:val="0"/>
                    <w:rPr>
                      <w:rFonts w:hint="default" w:ascii="Times New Roman" w:hAnsi="Times New Roman" w:cs="Times New Roman"/>
                      <w:b/>
                      <w:bCs/>
                      <w:color w:val="FF0000"/>
                      <w:kern w:val="2"/>
                      <w:sz w:val="21"/>
                      <w:szCs w:val="21"/>
                      <w:highlight w:val="none"/>
                      <w:shd w:val="clear" w:color="auto" w:fill="auto"/>
                    </w:rPr>
                  </w:pPr>
                  <w:r>
                    <w:rPr>
                      <w:rFonts w:hint="default" w:ascii="Times New Roman" w:hAnsi="Times New Roman" w:cs="Times New Roman"/>
                      <w:b/>
                      <w:bCs/>
                      <w:color w:val="FF0000"/>
                      <w:kern w:val="2"/>
                      <w:sz w:val="21"/>
                      <w:szCs w:val="21"/>
                      <w:highlight w:val="none"/>
                      <w:shd w:val="clear" w:color="auto" w:fill="auto"/>
                    </w:rPr>
                    <w:t>NH</w:t>
                  </w:r>
                  <w:r>
                    <w:rPr>
                      <w:rFonts w:hint="default" w:ascii="Times New Roman" w:hAnsi="Times New Roman" w:cs="Times New Roman"/>
                      <w:b/>
                      <w:bCs/>
                      <w:color w:val="FF0000"/>
                      <w:kern w:val="2"/>
                      <w:sz w:val="21"/>
                      <w:szCs w:val="21"/>
                      <w:highlight w:val="none"/>
                      <w:shd w:val="clear" w:color="auto" w:fill="auto"/>
                      <w:vertAlign w:val="subscript"/>
                    </w:rPr>
                    <w:t>3</w:t>
                  </w:r>
                  <w:r>
                    <w:rPr>
                      <w:rFonts w:hint="default" w:ascii="Times New Roman" w:hAnsi="Times New Roman" w:cs="Times New Roman"/>
                      <w:b/>
                      <w:bCs/>
                      <w:color w:val="FF0000"/>
                      <w:kern w:val="2"/>
                      <w:sz w:val="21"/>
                      <w:szCs w:val="21"/>
                      <w:highlight w:val="none"/>
                      <w:shd w:val="clear" w:color="auto" w:fill="auto"/>
                    </w:rPr>
                    <w:t>-N</w:t>
                  </w:r>
                </w:p>
              </w:tc>
              <w:tc>
                <w:tcPr>
                  <w:tcW w:w="685" w:type="pct"/>
                  <w:tcBorders>
                    <w:bottom w:val="single" w:color="auto" w:sz="12" w:space="0"/>
                  </w:tcBorders>
                  <w:noWrap w:val="0"/>
                  <w:vAlign w:val="center"/>
                </w:tcPr>
                <w:p w14:paraId="6FD927AF">
                  <w:pPr>
                    <w:pStyle w:val="52"/>
                    <w:widowControl w:val="0"/>
                    <w:rPr>
                      <w:rFonts w:hint="eastAsia" w:ascii="Times New Roman" w:hAnsi="Times New Roman" w:eastAsia="宋体" w:cs="Times New Roman"/>
                      <w:b/>
                      <w:bCs/>
                      <w:color w:val="FF0000"/>
                      <w:kern w:val="2"/>
                      <w:sz w:val="21"/>
                      <w:szCs w:val="21"/>
                      <w:highlight w:val="none"/>
                      <w:shd w:val="clear" w:color="auto" w:fill="auto"/>
                      <w:lang w:val="en-US" w:eastAsia="zh-CN"/>
                    </w:rPr>
                  </w:pPr>
                  <w:r>
                    <w:rPr>
                      <w:rFonts w:hint="eastAsia" w:ascii="Times New Roman" w:hAnsi="Times New Roman" w:cs="Times New Roman"/>
                      <w:b/>
                      <w:bCs/>
                      <w:color w:val="FF0000"/>
                      <w:kern w:val="2"/>
                      <w:sz w:val="21"/>
                      <w:szCs w:val="21"/>
                      <w:highlight w:val="none"/>
                      <w:shd w:val="clear" w:color="auto" w:fill="auto"/>
                      <w:lang w:val="en-US" w:eastAsia="zh-CN"/>
                    </w:rPr>
                    <w:t>总有机碳</w:t>
                  </w:r>
                </w:p>
              </w:tc>
            </w:tr>
            <w:tr w14:paraId="7E32F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57" w:type="pct"/>
                  <w:vMerge w:val="restart"/>
                  <w:tcBorders>
                    <w:top w:val="single" w:color="auto" w:sz="12" w:space="0"/>
                  </w:tcBorders>
                  <w:noWrap w:val="0"/>
                  <w:vAlign w:val="center"/>
                </w:tcPr>
                <w:p w14:paraId="0A677E19">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cs="Times New Roman"/>
                      <w:color w:val="FF0000"/>
                      <w:kern w:val="0"/>
                      <w:sz w:val="21"/>
                      <w:szCs w:val="21"/>
                      <w:lang w:val="en-US" w:eastAsia="zh-CN" w:bidi="ar-SA"/>
                    </w:rPr>
                    <w:t>设备清洗废水13.5</w:t>
                  </w:r>
                  <w:r>
                    <w:rPr>
                      <w:rFonts w:hint="default" w:ascii="Times New Roman" w:hAnsi="Times New Roman" w:eastAsia="宋体" w:cs="Times New Roman"/>
                      <w:color w:val="FF0000"/>
                      <w:kern w:val="0"/>
                      <w:sz w:val="21"/>
                      <w:szCs w:val="21"/>
                      <w:lang w:val="en-US" w:eastAsia="zh-CN" w:bidi="ar-SA"/>
                    </w:rPr>
                    <w:t>t/a</w:t>
                  </w:r>
                </w:p>
              </w:tc>
              <w:tc>
                <w:tcPr>
                  <w:tcW w:w="1195" w:type="pct"/>
                  <w:tcBorders>
                    <w:top w:val="single" w:color="auto" w:sz="12" w:space="0"/>
                  </w:tcBorders>
                  <w:noWrap w:val="0"/>
                  <w:vAlign w:val="center"/>
                </w:tcPr>
                <w:p w14:paraId="370DF4B1">
                  <w:pPr>
                    <w:pStyle w:val="52"/>
                    <w:widowControl w:val="0"/>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lang w:val="en-US" w:eastAsia="zh-CN" w:bidi="ar-SA"/>
                    </w:rPr>
                    <w:t>产生浓度（mg/L）</w:t>
                  </w:r>
                </w:p>
              </w:tc>
              <w:tc>
                <w:tcPr>
                  <w:tcW w:w="499" w:type="pct"/>
                  <w:tcBorders>
                    <w:top w:val="single" w:color="auto" w:sz="12" w:space="0"/>
                  </w:tcBorders>
                  <w:noWrap w:val="0"/>
                  <w:vAlign w:val="center"/>
                </w:tcPr>
                <w:p w14:paraId="48D8946D">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350</w:t>
                  </w:r>
                </w:p>
              </w:tc>
              <w:tc>
                <w:tcPr>
                  <w:tcW w:w="659" w:type="pct"/>
                  <w:tcBorders>
                    <w:top w:val="single" w:color="auto" w:sz="12" w:space="0"/>
                  </w:tcBorders>
                  <w:noWrap w:val="0"/>
                  <w:vAlign w:val="center"/>
                </w:tcPr>
                <w:p w14:paraId="2FD64D7F">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200</w:t>
                  </w:r>
                </w:p>
              </w:tc>
              <w:tc>
                <w:tcPr>
                  <w:tcW w:w="499" w:type="pct"/>
                  <w:tcBorders>
                    <w:top w:val="single" w:color="auto" w:sz="12" w:space="0"/>
                  </w:tcBorders>
                  <w:noWrap w:val="0"/>
                  <w:vAlign w:val="center"/>
                </w:tcPr>
                <w:p w14:paraId="2CCF3264">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150</w:t>
                  </w:r>
                </w:p>
              </w:tc>
              <w:tc>
                <w:tcPr>
                  <w:tcW w:w="605" w:type="pct"/>
                  <w:tcBorders>
                    <w:top w:val="single" w:color="auto" w:sz="12" w:space="0"/>
                  </w:tcBorders>
                  <w:noWrap w:val="0"/>
                  <w:vAlign w:val="center"/>
                </w:tcPr>
                <w:p w14:paraId="778D3FA9">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40</w:t>
                  </w:r>
                </w:p>
              </w:tc>
              <w:tc>
                <w:tcPr>
                  <w:tcW w:w="685" w:type="pct"/>
                  <w:tcBorders>
                    <w:top w:val="single" w:color="auto" w:sz="12" w:space="0"/>
                  </w:tcBorders>
                  <w:noWrap w:val="0"/>
                  <w:vAlign w:val="center"/>
                </w:tcPr>
                <w:p w14:paraId="30D58E7F">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cs="Times New Roman"/>
                      <w:color w:val="FF0000"/>
                      <w:kern w:val="0"/>
                      <w:sz w:val="21"/>
                      <w:szCs w:val="21"/>
                      <w:lang w:val="en-US" w:eastAsia="zh-CN" w:bidi="ar-SA"/>
                    </w:rPr>
                    <w:t>15</w:t>
                  </w:r>
                </w:p>
              </w:tc>
            </w:tr>
            <w:tr w14:paraId="218B2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7" w:type="pct"/>
                  <w:vMerge w:val="continue"/>
                  <w:noWrap w:val="0"/>
                  <w:vAlign w:val="center"/>
                </w:tcPr>
                <w:p w14:paraId="0C16FCF7">
                  <w:pPr>
                    <w:pStyle w:val="52"/>
                    <w:widowControl w:val="0"/>
                    <w:rPr>
                      <w:rFonts w:hint="default" w:ascii="Times New Roman" w:hAnsi="Times New Roman" w:eastAsia="宋体" w:cs="Times New Roman"/>
                      <w:color w:val="FF0000"/>
                      <w:kern w:val="0"/>
                      <w:sz w:val="21"/>
                      <w:szCs w:val="21"/>
                      <w:lang w:val="en-US" w:eastAsia="zh-CN" w:bidi="ar-SA"/>
                    </w:rPr>
                  </w:pPr>
                </w:p>
              </w:tc>
              <w:tc>
                <w:tcPr>
                  <w:tcW w:w="1195" w:type="pct"/>
                  <w:noWrap w:val="0"/>
                  <w:vAlign w:val="center"/>
                </w:tcPr>
                <w:p w14:paraId="765F220E">
                  <w:pPr>
                    <w:pStyle w:val="52"/>
                    <w:widowControl w:val="0"/>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lang w:val="en-US" w:eastAsia="zh-CN" w:bidi="ar-SA"/>
                    </w:rPr>
                    <w:t>产生量（t/a）</w:t>
                  </w:r>
                </w:p>
              </w:tc>
              <w:tc>
                <w:tcPr>
                  <w:tcW w:w="499" w:type="pct"/>
                  <w:noWrap w:val="0"/>
                  <w:vAlign w:val="center"/>
                </w:tcPr>
                <w:p w14:paraId="52B30DB2">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0.0047</w:t>
                  </w:r>
                </w:p>
              </w:tc>
              <w:tc>
                <w:tcPr>
                  <w:tcW w:w="659" w:type="pct"/>
                  <w:noWrap w:val="0"/>
                  <w:vAlign w:val="center"/>
                </w:tcPr>
                <w:p w14:paraId="2C62CD7C">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0.0027</w:t>
                  </w:r>
                </w:p>
              </w:tc>
              <w:tc>
                <w:tcPr>
                  <w:tcW w:w="499" w:type="pct"/>
                  <w:noWrap w:val="0"/>
                  <w:vAlign w:val="center"/>
                </w:tcPr>
                <w:p w14:paraId="7AC2ADD0">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0.002</w:t>
                  </w:r>
                </w:p>
              </w:tc>
              <w:tc>
                <w:tcPr>
                  <w:tcW w:w="605" w:type="pct"/>
                  <w:noWrap w:val="0"/>
                  <w:vAlign w:val="center"/>
                </w:tcPr>
                <w:p w14:paraId="0D7D04AD">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0.0005</w:t>
                  </w:r>
                </w:p>
              </w:tc>
              <w:tc>
                <w:tcPr>
                  <w:tcW w:w="685" w:type="pct"/>
                  <w:noWrap w:val="0"/>
                  <w:vAlign w:val="center"/>
                </w:tcPr>
                <w:p w14:paraId="641CA53A">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cs="Times New Roman"/>
                      <w:color w:val="FF0000"/>
                      <w:kern w:val="0"/>
                      <w:sz w:val="21"/>
                      <w:szCs w:val="21"/>
                      <w:lang w:val="en-US" w:eastAsia="zh-CN" w:bidi="ar-SA"/>
                    </w:rPr>
                    <w:t>0.0002</w:t>
                  </w:r>
                </w:p>
              </w:tc>
            </w:tr>
            <w:tr w14:paraId="36D45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7" w:type="pct"/>
                  <w:vMerge w:val="continue"/>
                  <w:noWrap w:val="0"/>
                  <w:vAlign w:val="center"/>
                </w:tcPr>
                <w:p w14:paraId="1499FEC1">
                  <w:pPr>
                    <w:pStyle w:val="52"/>
                    <w:widowControl w:val="0"/>
                    <w:rPr>
                      <w:rFonts w:hint="default" w:ascii="Times New Roman" w:hAnsi="Times New Roman" w:eastAsia="宋体" w:cs="Times New Roman"/>
                      <w:color w:val="FF0000"/>
                      <w:kern w:val="0"/>
                      <w:sz w:val="21"/>
                      <w:szCs w:val="21"/>
                      <w:lang w:val="en-US" w:eastAsia="zh-CN" w:bidi="ar-SA"/>
                    </w:rPr>
                  </w:pPr>
                </w:p>
              </w:tc>
              <w:tc>
                <w:tcPr>
                  <w:tcW w:w="1195" w:type="pct"/>
                  <w:noWrap w:val="0"/>
                  <w:vAlign w:val="center"/>
                </w:tcPr>
                <w:p w14:paraId="5642993E">
                  <w:pPr>
                    <w:pStyle w:val="52"/>
                    <w:widowControl w:val="0"/>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lang w:val="en-US" w:eastAsia="zh-CN" w:bidi="ar-SA"/>
                    </w:rPr>
                    <w:t>处理措施</w:t>
                  </w:r>
                </w:p>
              </w:tc>
              <w:tc>
                <w:tcPr>
                  <w:tcW w:w="2947" w:type="pct"/>
                  <w:gridSpan w:val="5"/>
                  <w:noWrap w:val="0"/>
                  <w:vAlign w:val="center"/>
                </w:tcPr>
                <w:p w14:paraId="50F82AEA">
                  <w:pPr>
                    <w:pStyle w:val="52"/>
                    <w:widowControl w:val="0"/>
                    <w:rPr>
                      <w:rFonts w:hint="eastAsia" w:ascii="Times New Roman" w:hAnsi="Times New Roman" w:cs="Times New Roman"/>
                      <w:color w:val="FF0000"/>
                      <w:kern w:val="0"/>
                      <w:sz w:val="21"/>
                      <w:szCs w:val="21"/>
                      <w:lang w:val="en-US" w:eastAsia="zh-CN" w:bidi="ar-SA"/>
                    </w:rPr>
                  </w:pPr>
                  <w:r>
                    <w:rPr>
                      <w:rFonts w:hint="eastAsia" w:ascii="Times New Roman" w:hAnsi="Times New Roman" w:cs="Times New Roman"/>
                      <w:color w:val="FF0000"/>
                      <w:kern w:val="0"/>
                      <w:sz w:val="21"/>
                      <w:szCs w:val="21"/>
                      <w:lang w:val="en-US" w:eastAsia="zh-CN" w:bidi="ar-SA"/>
                    </w:rPr>
                    <w:t>沉淀</w:t>
                  </w:r>
                  <w:r>
                    <w:rPr>
                      <w:rFonts w:hint="eastAsia" w:ascii="Times New Roman" w:hAnsi="Times New Roman" w:eastAsia="宋体" w:cs="Times New Roman"/>
                      <w:color w:val="FF0000"/>
                      <w:kern w:val="0"/>
                      <w:sz w:val="21"/>
                      <w:szCs w:val="21"/>
                      <w:lang w:val="en-US" w:eastAsia="zh-CN" w:bidi="ar-SA"/>
                    </w:rPr>
                    <w:t>池/</w:t>
                  </w:r>
                  <w:r>
                    <w:rPr>
                      <w:rFonts w:hint="default" w:ascii="Times New Roman" w:hAnsi="Times New Roman" w:eastAsia="宋体" w:cs="Times New Roman"/>
                      <w:color w:val="FF0000"/>
                      <w:kern w:val="0"/>
                      <w:sz w:val="21"/>
                      <w:szCs w:val="21"/>
                      <w:lang w:val="en-US" w:eastAsia="zh-CN" w:bidi="ar-SA"/>
                    </w:rPr>
                    <w:t>化粪池</w:t>
                  </w:r>
                </w:p>
              </w:tc>
            </w:tr>
            <w:tr w14:paraId="63E35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7" w:type="pct"/>
                  <w:vMerge w:val="continue"/>
                  <w:noWrap w:val="0"/>
                  <w:vAlign w:val="center"/>
                </w:tcPr>
                <w:p w14:paraId="6297BE8B">
                  <w:pPr>
                    <w:pStyle w:val="52"/>
                    <w:widowControl w:val="0"/>
                    <w:rPr>
                      <w:rFonts w:hint="default" w:ascii="Times New Roman" w:hAnsi="Times New Roman" w:eastAsia="宋体" w:cs="Times New Roman"/>
                      <w:color w:val="FF0000"/>
                      <w:kern w:val="0"/>
                      <w:sz w:val="21"/>
                      <w:szCs w:val="21"/>
                      <w:lang w:val="en-US" w:eastAsia="zh-CN" w:bidi="ar-SA"/>
                    </w:rPr>
                  </w:pPr>
                </w:p>
              </w:tc>
              <w:tc>
                <w:tcPr>
                  <w:tcW w:w="1195" w:type="pct"/>
                  <w:noWrap w:val="0"/>
                  <w:vAlign w:val="center"/>
                </w:tcPr>
                <w:p w14:paraId="3ED76DF0">
                  <w:pPr>
                    <w:pStyle w:val="52"/>
                    <w:widowControl w:val="0"/>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lang w:val="en-US" w:eastAsia="zh-CN" w:bidi="ar-SA"/>
                    </w:rPr>
                    <w:t>处理率（%）</w:t>
                  </w:r>
                </w:p>
              </w:tc>
              <w:tc>
                <w:tcPr>
                  <w:tcW w:w="499" w:type="pct"/>
                  <w:noWrap w:val="0"/>
                  <w:vAlign w:val="center"/>
                </w:tcPr>
                <w:p w14:paraId="3FD2EA38">
                  <w:pPr>
                    <w:pStyle w:val="52"/>
                    <w:widowControl w:val="0"/>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lang w:val="en-US" w:eastAsia="zh-CN" w:bidi="ar-SA"/>
                    </w:rPr>
                    <w:t>20</w:t>
                  </w:r>
                </w:p>
              </w:tc>
              <w:tc>
                <w:tcPr>
                  <w:tcW w:w="659" w:type="pct"/>
                  <w:noWrap w:val="0"/>
                  <w:vAlign w:val="center"/>
                </w:tcPr>
                <w:p w14:paraId="4259AD8C">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25</w:t>
                  </w:r>
                </w:p>
              </w:tc>
              <w:tc>
                <w:tcPr>
                  <w:tcW w:w="499" w:type="pct"/>
                  <w:noWrap w:val="0"/>
                  <w:vAlign w:val="center"/>
                </w:tcPr>
                <w:p w14:paraId="1B0E6694">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40</w:t>
                  </w:r>
                </w:p>
              </w:tc>
              <w:tc>
                <w:tcPr>
                  <w:tcW w:w="605" w:type="pct"/>
                  <w:noWrap w:val="0"/>
                  <w:vAlign w:val="center"/>
                </w:tcPr>
                <w:p w14:paraId="24FC40F5">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w:t>
                  </w:r>
                </w:p>
              </w:tc>
              <w:tc>
                <w:tcPr>
                  <w:tcW w:w="685" w:type="pct"/>
                  <w:noWrap w:val="0"/>
                  <w:vAlign w:val="center"/>
                </w:tcPr>
                <w:p w14:paraId="186A01E5">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cs="Times New Roman"/>
                      <w:color w:val="FF0000"/>
                      <w:kern w:val="0"/>
                      <w:sz w:val="21"/>
                      <w:szCs w:val="21"/>
                      <w:lang w:val="en-US" w:eastAsia="zh-CN" w:bidi="ar-SA"/>
                    </w:rPr>
                    <w:t>0</w:t>
                  </w:r>
                </w:p>
              </w:tc>
            </w:tr>
            <w:tr w14:paraId="6BCF9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57" w:type="pct"/>
                  <w:vMerge w:val="continue"/>
                  <w:noWrap w:val="0"/>
                  <w:vAlign w:val="center"/>
                </w:tcPr>
                <w:p w14:paraId="02444654">
                  <w:pPr>
                    <w:pStyle w:val="52"/>
                    <w:widowControl w:val="0"/>
                    <w:rPr>
                      <w:rFonts w:hint="default" w:ascii="Times New Roman" w:hAnsi="Times New Roman" w:eastAsia="宋体" w:cs="Times New Roman"/>
                      <w:color w:val="FF0000"/>
                      <w:kern w:val="0"/>
                      <w:sz w:val="21"/>
                      <w:szCs w:val="21"/>
                      <w:lang w:val="en-US" w:eastAsia="zh-CN" w:bidi="ar-SA"/>
                    </w:rPr>
                  </w:pPr>
                </w:p>
              </w:tc>
              <w:tc>
                <w:tcPr>
                  <w:tcW w:w="1195" w:type="pct"/>
                  <w:noWrap w:val="0"/>
                  <w:vAlign w:val="center"/>
                </w:tcPr>
                <w:p w14:paraId="2EBB6217">
                  <w:pPr>
                    <w:pStyle w:val="52"/>
                    <w:widowControl w:val="0"/>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lang w:val="en-US" w:eastAsia="zh-CN" w:bidi="ar-SA"/>
                    </w:rPr>
                    <w:t>处理后浓度（mg/L）</w:t>
                  </w:r>
                </w:p>
              </w:tc>
              <w:tc>
                <w:tcPr>
                  <w:tcW w:w="499" w:type="pct"/>
                  <w:noWrap w:val="0"/>
                  <w:vAlign w:val="center"/>
                </w:tcPr>
                <w:p w14:paraId="60694086">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cs="Times New Roman"/>
                      <w:color w:val="FF0000"/>
                      <w:kern w:val="0"/>
                      <w:sz w:val="21"/>
                      <w:szCs w:val="21"/>
                      <w:lang w:val="en-US" w:eastAsia="zh-CN" w:bidi="ar-SA"/>
                    </w:rPr>
                    <w:t>281</w:t>
                  </w:r>
                </w:p>
              </w:tc>
              <w:tc>
                <w:tcPr>
                  <w:tcW w:w="659" w:type="pct"/>
                  <w:noWrap w:val="0"/>
                  <w:vAlign w:val="center"/>
                </w:tcPr>
                <w:p w14:paraId="2B10FE92">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cs="Times New Roman"/>
                      <w:color w:val="FF0000"/>
                      <w:kern w:val="0"/>
                      <w:sz w:val="21"/>
                      <w:szCs w:val="21"/>
                      <w:lang w:val="en-US" w:eastAsia="zh-CN" w:bidi="ar-SA"/>
                    </w:rPr>
                    <w:t>148</w:t>
                  </w:r>
                </w:p>
              </w:tc>
              <w:tc>
                <w:tcPr>
                  <w:tcW w:w="499" w:type="pct"/>
                  <w:noWrap w:val="0"/>
                  <w:vAlign w:val="center"/>
                </w:tcPr>
                <w:p w14:paraId="0E00D34A">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cs="Times New Roman"/>
                      <w:color w:val="FF0000"/>
                      <w:kern w:val="0"/>
                      <w:sz w:val="21"/>
                      <w:szCs w:val="21"/>
                      <w:lang w:val="en-US" w:eastAsia="zh-CN" w:bidi="ar-SA"/>
                    </w:rPr>
                    <w:t>88</w:t>
                  </w:r>
                </w:p>
              </w:tc>
              <w:tc>
                <w:tcPr>
                  <w:tcW w:w="605" w:type="pct"/>
                  <w:noWrap w:val="0"/>
                  <w:vAlign w:val="center"/>
                </w:tcPr>
                <w:p w14:paraId="1595AE52">
                  <w:pPr>
                    <w:pStyle w:val="52"/>
                    <w:widowControl w:val="0"/>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cs="Times New Roman"/>
                      <w:color w:val="FF0000"/>
                      <w:kern w:val="0"/>
                      <w:sz w:val="21"/>
                      <w:szCs w:val="21"/>
                      <w:lang w:val="en-US" w:eastAsia="zh-CN" w:bidi="ar-SA"/>
                    </w:rPr>
                    <w:t>40</w:t>
                  </w:r>
                </w:p>
              </w:tc>
              <w:tc>
                <w:tcPr>
                  <w:tcW w:w="1172" w:type="dxa"/>
                  <w:noWrap w:val="0"/>
                  <w:vAlign w:val="center"/>
                </w:tcPr>
                <w:p w14:paraId="0DD6B494">
                  <w:pPr>
                    <w:pStyle w:val="52"/>
                    <w:widowControl w:val="0"/>
                    <w:rPr>
                      <w:rFonts w:hint="eastAsia" w:ascii="Times New Roman" w:hAnsi="Times New Roman" w:cs="Times New Roman"/>
                      <w:color w:val="FF0000"/>
                      <w:kern w:val="0"/>
                      <w:sz w:val="21"/>
                      <w:szCs w:val="21"/>
                      <w:lang w:val="en-US" w:eastAsia="zh-CN" w:bidi="ar-SA"/>
                    </w:rPr>
                  </w:pPr>
                  <w:r>
                    <w:rPr>
                      <w:rFonts w:hint="eastAsia" w:ascii="Times New Roman" w:hAnsi="Times New Roman" w:cs="Times New Roman"/>
                      <w:color w:val="FF0000"/>
                      <w:kern w:val="0"/>
                      <w:sz w:val="21"/>
                      <w:szCs w:val="21"/>
                      <w:lang w:val="en-US" w:eastAsia="zh-CN" w:bidi="ar-SA"/>
                    </w:rPr>
                    <w:t>15</w:t>
                  </w:r>
                </w:p>
              </w:tc>
            </w:tr>
            <w:tr w14:paraId="77D88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57" w:type="pct"/>
                  <w:vMerge w:val="continue"/>
                  <w:noWrap w:val="0"/>
                  <w:vAlign w:val="center"/>
                </w:tcPr>
                <w:p w14:paraId="47E12725">
                  <w:pPr>
                    <w:pStyle w:val="52"/>
                    <w:widowControl w:val="0"/>
                    <w:rPr>
                      <w:rFonts w:hint="default" w:ascii="Times New Roman" w:hAnsi="Times New Roman" w:eastAsia="宋体" w:cs="Times New Roman"/>
                      <w:color w:val="FF0000"/>
                      <w:kern w:val="0"/>
                      <w:sz w:val="21"/>
                      <w:szCs w:val="21"/>
                      <w:lang w:val="en-US" w:eastAsia="zh-CN" w:bidi="ar-SA"/>
                    </w:rPr>
                  </w:pPr>
                </w:p>
              </w:tc>
              <w:tc>
                <w:tcPr>
                  <w:tcW w:w="1195" w:type="pct"/>
                  <w:noWrap w:val="0"/>
                  <w:vAlign w:val="center"/>
                </w:tcPr>
                <w:p w14:paraId="4EC5200A">
                  <w:pPr>
                    <w:pStyle w:val="52"/>
                    <w:widowControl w:val="0"/>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kern w:val="0"/>
                      <w:sz w:val="21"/>
                      <w:szCs w:val="21"/>
                      <w:lang w:val="en-US" w:eastAsia="zh-CN" w:bidi="ar-SA"/>
                    </w:rPr>
                    <w:t>处理后排放量（t/a）</w:t>
                  </w:r>
                </w:p>
              </w:tc>
              <w:tc>
                <w:tcPr>
                  <w:tcW w:w="499" w:type="pct"/>
                  <w:noWrap w:val="0"/>
                  <w:vAlign w:val="center"/>
                </w:tcPr>
                <w:p w14:paraId="57CF1A1A">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0.0038</w:t>
                  </w:r>
                </w:p>
              </w:tc>
              <w:tc>
                <w:tcPr>
                  <w:tcW w:w="659" w:type="pct"/>
                  <w:noWrap w:val="0"/>
                  <w:vAlign w:val="center"/>
                </w:tcPr>
                <w:p w14:paraId="1F6C59E1">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0.0020</w:t>
                  </w:r>
                </w:p>
              </w:tc>
              <w:tc>
                <w:tcPr>
                  <w:tcW w:w="499" w:type="pct"/>
                  <w:noWrap w:val="0"/>
                  <w:vAlign w:val="center"/>
                </w:tcPr>
                <w:p w14:paraId="385C3183">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0.0012</w:t>
                  </w:r>
                </w:p>
              </w:tc>
              <w:tc>
                <w:tcPr>
                  <w:tcW w:w="605" w:type="pct"/>
                  <w:noWrap w:val="0"/>
                  <w:vAlign w:val="center"/>
                </w:tcPr>
                <w:p w14:paraId="3C17F2DA">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0.0005</w:t>
                  </w:r>
                </w:p>
              </w:tc>
              <w:tc>
                <w:tcPr>
                  <w:tcW w:w="1172" w:type="dxa"/>
                  <w:noWrap w:val="0"/>
                  <w:vAlign w:val="center"/>
                </w:tcPr>
                <w:p w14:paraId="0A8B132E">
                  <w:pPr>
                    <w:keepNext w:val="0"/>
                    <w:keepLines w:val="0"/>
                    <w:widowControl/>
                    <w:suppressLineNumbers w:val="0"/>
                    <w:jc w:val="center"/>
                    <w:textAlignment w:val="center"/>
                    <w:rPr>
                      <w:rFonts w:hint="eastAsia" w:ascii="Times New Roman" w:hAnsi="Times New Roman" w:eastAsia="宋体" w:cs="Times New Roman"/>
                      <w:color w:val="FF0000"/>
                      <w:kern w:val="0"/>
                      <w:sz w:val="21"/>
                      <w:szCs w:val="21"/>
                      <w:lang w:val="en-US" w:eastAsia="zh-CN" w:bidi="ar-SA"/>
                    </w:rPr>
                  </w:pPr>
                  <w:r>
                    <w:rPr>
                      <w:rFonts w:hint="eastAsia" w:cs="Times New Roman"/>
                      <w:color w:val="FF0000"/>
                      <w:kern w:val="0"/>
                      <w:sz w:val="21"/>
                      <w:szCs w:val="21"/>
                      <w:lang w:val="en-US" w:eastAsia="zh-CN" w:bidi="ar-SA"/>
                    </w:rPr>
                    <w:t>0.0002</w:t>
                  </w:r>
                </w:p>
              </w:tc>
            </w:tr>
            <w:tr w14:paraId="4F6EE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052" w:type="pct"/>
                  <w:gridSpan w:val="2"/>
                  <w:noWrap w:val="0"/>
                  <w:vAlign w:val="center"/>
                </w:tcPr>
                <w:p w14:paraId="7B0D0E7C">
                  <w:pPr>
                    <w:keepNext w:val="0"/>
                    <w:keepLines w:val="0"/>
                    <w:widowControl/>
                    <w:suppressLineNumbers w:val="0"/>
                    <w:jc w:val="center"/>
                    <w:rPr>
                      <w:rFonts w:hint="default" w:ascii="Times New Roman" w:hAnsi="Times New Roman" w:eastAsia="宋体" w:cs="Times New Roman"/>
                      <w:color w:val="FF0000"/>
                      <w:kern w:val="0"/>
                      <w:sz w:val="21"/>
                      <w:szCs w:val="21"/>
                      <w:lang w:val="en-US" w:eastAsia="zh-CN" w:bidi="ar-SA"/>
                    </w:rPr>
                  </w:pPr>
                  <w:r>
                    <w:rPr>
                      <w:rFonts w:hint="default" w:cs="Times New Roman"/>
                      <w:color w:val="FF0000"/>
                      <w:sz w:val="21"/>
                      <w:szCs w:val="21"/>
                      <w:lang w:val="en-US" w:eastAsia="zh-CN"/>
                    </w:rPr>
                    <w:t>《混装制剂类制药工业水污染物排放标准》</w:t>
                  </w:r>
                  <w:r>
                    <w:rPr>
                      <w:rFonts w:hint="default" w:ascii="Times New Roman" w:hAnsi="Times New Roman" w:eastAsia="宋体" w:cs="Times New Roman"/>
                      <w:color w:val="FF0000"/>
                      <w:sz w:val="21"/>
                      <w:szCs w:val="21"/>
                      <w:lang w:val="en-US" w:eastAsia="zh-CN"/>
                    </w:rPr>
                    <w:t>（GB</w:t>
                  </w:r>
                  <w:r>
                    <w:rPr>
                      <w:rFonts w:hint="eastAsia" w:cs="Times New Roman"/>
                      <w:color w:val="FF0000"/>
                      <w:sz w:val="21"/>
                      <w:szCs w:val="21"/>
                      <w:lang w:val="en-US" w:eastAsia="zh-CN"/>
                    </w:rPr>
                    <w:t>21908</w:t>
                  </w:r>
                  <w:r>
                    <w:rPr>
                      <w:rFonts w:hint="default" w:ascii="Times New Roman" w:hAnsi="Times New Roman" w:eastAsia="宋体" w:cs="Times New Roman"/>
                      <w:color w:val="FF0000"/>
                      <w:sz w:val="21"/>
                      <w:szCs w:val="21"/>
                      <w:lang w:val="en-US" w:eastAsia="zh-CN"/>
                    </w:rPr>
                    <w:t>-</w:t>
                  </w:r>
                  <w:r>
                    <w:rPr>
                      <w:rFonts w:hint="eastAsia" w:cs="Times New Roman"/>
                      <w:color w:val="FF0000"/>
                      <w:sz w:val="21"/>
                      <w:szCs w:val="21"/>
                      <w:lang w:val="en-US" w:eastAsia="zh-CN"/>
                    </w:rPr>
                    <w:t>2008</w:t>
                  </w:r>
                  <w:r>
                    <w:rPr>
                      <w:rFonts w:hint="default" w:ascii="Times New Roman" w:hAnsi="Times New Roman" w:eastAsia="宋体" w:cs="Times New Roman"/>
                      <w:color w:val="FF0000"/>
                      <w:sz w:val="21"/>
                      <w:szCs w:val="21"/>
                      <w:lang w:val="en-US" w:eastAsia="zh-CN"/>
                    </w:rPr>
                    <w:t>）</w:t>
                  </w:r>
                </w:p>
              </w:tc>
              <w:tc>
                <w:tcPr>
                  <w:tcW w:w="499" w:type="pct"/>
                  <w:noWrap w:val="0"/>
                  <w:vAlign w:val="center"/>
                </w:tcPr>
                <w:p w14:paraId="37F05E32">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w:t>
                  </w:r>
                </w:p>
              </w:tc>
              <w:tc>
                <w:tcPr>
                  <w:tcW w:w="659" w:type="pct"/>
                  <w:noWrap w:val="0"/>
                  <w:vAlign w:val="center"/>
                </w:tcPr>
                <w:p w14:paraId="5A4C0403">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w:t>
                  </w:r>
                </w:p>
              </w:tc>
              <w:tc>
                <w:tcPr>
                  <w:tcW w:w="499" w:type="pct"/>
                  <w:noWrap w:val="0"/>
                  <w:vAlign w:val="center"/>
                </w:tcPr>
                <w:p w14:paraId="775B003B">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w:t>
                  </w:r>
                </w:p>
              </w:tc>
              <w:tc>
                <w:tcPr>
                  <w:tcW w:w="605" w:type="pct"/>
                  <w:noWrap w:val="0"/>
                  <w:vAlign w:val="center"/>
                </w:tcPr>
                <w:p w14:paraId="4840463B">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w:t>
                  </w:r>
                </w:p>
              </w:tc>
              <w:tc>
                <w:tcPr>
                  <w:tcW w:w="685" w:type="pct"/>
                  <w:noWrap w:val="0"/>
                  <w:vAlign w:val="center"/>
                </w:tcPr>
                <w:p w14:paraId="5D6A72E3">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cs="Times New Roman"/>
                      <w:color w:val="FF0000"/>
                      <w:kern w:val="0"/>
                      <w:sz w:val="21"/>
                      <w:szCs w:val="21"/>
                      <w:lang w:val="en-US" w:eastAsia="zh-CN" w:bidi="ar-SA"/>
                    </w:rPr>
                    <w:t>20</w:t>
                  </w:r>
                </w:p>
              </w:tc>
            </w:tr>
            <w:tr w14:paraId="63805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052" w:type="pct"/>
                  <w:gridSpan w:val="2"/>
                  <w:noWrap w:val="0"/>
                  <w:vAlign w:val="center"/>
                </w:tcPr>
                <w:p w14:paraId="6C3F7349">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sz w:val="21"/>
                      <w:szCs w:val="21"/>
                      <w:highlight w:val="none"/>
                      <w:shd w:val="clear" w:color="auto" w:fill="auto"/>
                      <w:lang w:val="en-US" w:eastAsia="zh-CN"/>
                    </w:rPr>
                    <w:t>庐山工业污水处理厂接管标准</w:t>
                  </w:r>
                  <w:r>
                    <w:rPr>
                      <w:rFonts w:hint="eastAsia" w:ascii="Times New Roman" w:hAnsi="Times New Roman" w:eastAsia="宋体" w:cs="Times New Roman"/>
                      <w:color w:val="FF0000"/>
                      <w:sz w:val="21"/>
                      <w:szCs w:val="21"/>
                      <w:highlight w:val="none"/>
                      <w:shd w:val="clear" w:color="auto" w:fill="auto"/>
                      <w:lang w:val="en-US" w:eastAsia="zh-CN"/>
                    </w:rPr>
                    <w:t>（mg/L）</w:t>
                  </w:r>
                </w:p>
              </w:tc>
              <w:tc>
                <w:tcPr>
                  <w:tcW w:w="499" w:type="pct"/>
                  <w:noWrap w:val="0"/>
                  <w:vAlign w:val="center"/>
                </w:tcPr>
                <w:p w14:paraId="08F105AC">
                  <w:pPr>
                    <w:keepNext w:val="0"/>
                    <w:keepLines w:val="0"/>
                    <w:widowControl/>
                    <w:suppressLineNumbers w:val="0"/>
                    <w:jc w:val="center"/>
                    <w:textAlignment w:val="center"/>
                    <w:rPr>
                      <w:rFonts w:hint="eastAsia"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500</w:t>
                  </w:r>
                </w:p>
              </w:tc>
              <w:tc>
                <w:tcPr>
                  <w:tcW w:w="659" w:type="pct"/>
                  <w:noWrap w:val="0"/>
                  <w:vAlign w:val="center"/>
                </w:tcPr>
                <w:p w14:paraId="3B43E373">
                  <w:pPr>
                    <w:keepNext w:val="0"/>
                    <w:keepLines w:val="0"/>
                    <w:widowControl/>
                    <w:suppressLineNumbers w:val="0"/>
                    <w:jc w:val="center"/>
                    <w:textAlignment w:val="center"/>
                    <w:rPr>
                      <w:rFonts w:hint="eastAsia"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300</w:t>
                  </w:r>
                </w:p>
              </w:tc>
              <w:tc>
                <w:tcPr>
                  <w:tcW w:w="499" w:type="pct"/>
                  <w:noWrap w:val="0"/>
                  <w:vAlign w:val="center"/>
                </w:tcPr>
                <w:p w14:paraId="22A0A6C4">
                  <w:pPr>
                    <w:keepNext w:val="0"/>
                    <w:keepLines w:val="0"/>
                    <w:widowControl/>
                    <w:suppressLineNumbers w:val="0"/>
                    <w:jc w:val="center"/>
                    <w:textAlignment w:val="center"/>
                    <w:rPr>
                      <w:rFonts w:hint="eastAsia"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400</w:t>
                  </w:r>
                </w:p>
              </w:tc>
              <w:tc>
                <w:tcPr>
                  <w:tcW w:w="605" w:type="pct"/>
                  <w:noWrap w:val="0"/>
                  <w:vAlign w:val="center"/>
                </w:tcPr>
                <w:p w14:paraId="589CFE50">
                  <w:pPr>
                    <w:keepNext w:val="0"/>
                    <w:keepLines w:val="0"/>
                    <w:widowControl/>
                    <w:suppressLineNumbers w:val="0"/>
                    <w:jc w:val="center"/>
                    <w:textAlignment w:val="center"/>
                    <w:rPr>
                      <w:rFonts w:hint="default"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50</w:t>
                  </w:r>
                </w:p>
              </w:tc>
              <w:tc>
                <w:tcPr>
                  <w:tcW w:w="685" w:type="pct"/>
                  <w:noWrap w:val="0"/>
                  <w:vAlign w:val="center"/>
                </w:tcPr>
                <w:p w14:paraId="4F1EEF75">
                  <w:pPr>
                    <w:keepNext w:val="0"/>
                    <w:keepLines w:val="0"/>
                    <w:widowControl/>
                    <w:suppressLineNumbers w:val="0"/>
                    <w:jc w:val="center"/>
                    <w:textAlignment w:val="center"/>
                    <w:rPr>
                      <w:rFonts w:hint="eastAsia" w:ascii="Times New Roman" w:hAnsi="Times New Roman" w:eastAsia="宋体" w:cs="Times New Roman"/>
                      <w:color w:val="FF0000"/>
                      <w:kern w:val="0"/>
                      <w:sz w:val="21"/>
                      <w:szCs w:val="21"/>
                      <w:lang w:val="en-US" w:eastAsia="zh-CN" w:bidi="ar-SA"/>
                    </w:rPr>
                  </w:pPr>
                  <w:r>
                    <w:rPr>
                      <w:rFonts w:hint="eastAsia" w:ascii="Times New Roman" w:hAnsi="Times New Roman" w:eastAsia="宋体" w:cs="Times New Roman"/>
                      <w:color w:val="FF0000"/>
                      <w:kern w:val="0"/>
                      <w:sz w:val="21"/>
                      <w:szCs w:val="21"/>
                      <w:lang w:val="en-US" w:eastAsia="zh-CN" w:bidi="ar-SA"/>
                    </w:rPr>
                    <w:t>/</w:t>
                  </w:r>
                </w:p>
              </w:tc>
            </w:tr>
          </w:tbl>
          <w:p w14:paraId="63E2FE8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pacing w:val="0"/>
                <w:sz w:val="24"/>
                <w:szCs w:val="24"/>
                <w:lang w:val="en-US" w:eastAsia="zh-CN"/>
              </w:rPr>
            </w:pPr>
            <w:r>
              <w:rPr>
                <w:rFonts w:hint="eastAsia" w:ascii="Times New Roman" w:hAnsi="Times New Roman" w:eastAsia="宋体" w:cs="Times New Roman"/>
                <w:b w:val="0"/>
                <w:bCs/>
                <w:color w:val="auto"/>
                <w:spacing w:val="0"/>
                <w:sz w:val="24"/>
                <w:szCs w:val="24"/>
                <w:lang w:val="en-US" w:eastAsia="zh-CN"/>
              </w:rPr>
              <w:t>（</w:t>
            </w:r>
            <w:r>
              <w:rPr>
                <w:rFonts w:hint="eastAsia" w:cs="Times New Roman"/>
                <w:b w:val="0"/>
                <w:bCs/>
                <w:color w:val="auto"/>
                <w:spacing w:val="0"/>
                <w:sz w:val="24"/>
                <w:szCs w:val="24"/>
                <w:lang w:val="en-US" w:eastAsia="zh-CN"/>
              </w:rPr>
              <w:t>3</w:t>
            </w:r>
            <w:r>
              <w:rPr>
                <w:rFonts w:hint="eastAsia" w:ascii="Times New Roman" w:hAnsi="Times New Roman" w:eastAsia="宋体" w:cs="Times New Roman"/>
                <w:b w:val="0"/>
                <w:bCs/>
                <w:color w:val="auto"/>
                <w:spacing w:val="0"/>
                <w:sz w:val="24"/>
                <w:szCs w:val="24"/>
                <w:lang w:val="en-US" w:eastAsia="zh-CN"/>
              </w:rPr>
              <w:t>）</w:t>
            </w:r>
            <w:r>
              <w:rPr>
                <w:rFonts w:hint="default" w:ascii="Times New Roman" w:hAnsi="Times New Roman" w:eastAsia="宋体" w:cs="Times New Roman"/>
                <w:b w:val="0"/>
                <w:bCs/>
                <w:color w:val="auto"/>
                <w:spacing w:val="0"/>
                <w:sz w:val="24"/>
                <w:szCs w:val="24"/>
                <w:lang w:val="en-US" w:eastAsia="zh-CN"/>
              </w:rPr>
              <w:t>纯水机产生的浓水</w:t>
            </w:r>
          </w:p>
          <w:p w14:paraId="7A7C5040">
            <w:pPr>
              <w:pStyle w:val="17"/>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纯水制备采用RO反渗透设备，提取原理是一种以压力差为推动力，对膜一侧的料液施加压力，当压力超过它的渗透压时，溶剂会逆着自然渗透的方向作反向渗透。从而在膜的低压侧得到透过的溶剂，即渗透液；高压侧得到浓缩的溶液，即浓缩液。工艺图见图4-1。</w:t>
            </w:r>
          </w:p>
          <w:p w14:paraId="3EA21584">
            <w:pPr>
              <w:pStyle w:val="17"/>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INCLUDEPICTURE \d "http://www.volchy.com/d/file/chanpin/daxinggongchengchunshuishebei/2017-04-08/8e9b952694681c56875ed6af8aa3e520.jpg" \* MERGEFORMATINET </w:instrText>
            </w:r>
            <w:r>
              <w:rPr>
                <w:rFonts w:hint="eastAsia"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drawing>
                <wp:inline distT="0" distB="0" distL="114300" distR="114300">
                  <wp:extent cx="4544060" cy="2205355"/>
                  <wp:effectExtent l="0" t="0" r="8890" b="4445"/>
                  <wp:docPr id="6" name="图片 24" descr="http://www.volchy.com/d/file/chanpin/daxinggongchengchunshuishebei/2017-04-08/8e9b952694681c56875ed6af8aa3e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http://www.volchy.com/d/file/chanpin/daxinggongchengchunshuishebei/2017-04-08/8e9b952694681c56875ed6af8aa3e520.jpg"/>
                          <pic:cNvPicPr>
                            <a:picLocks noChangeAspect="1"/>
                          </pic:cNvPicPr>
                        </pic:nvPicPr>
                        <pic:blipFill>
                          <a:blip r:embed="rId39" r:link="rId40"/>
                          <a:stretch>
                            <a:fillRect/>
                          </a:stretch>
                        </pic:blipFill>
                        <pic:spPr>
                          <a:xfrm>
                            <a:off x="0" y="0"/>
                            <a:ext cx="4544060" cy="2205355"/>
                          </a:xfrm>
                          <a:prstGeom prst="rect">
                            <a:avLst/>
                          </a:prstGeom>
                          <a:noFill/>
                          <a:ln>
                            <a:noFill/>
                          </a:ln>
                        </pic:spPr>
                      </pic:pic>
                    </a:graphicData>
                  </a:graphic>
                </wp:inline>
              </w:drawing>
            </w:r>
            <w:r>
              <w:rPr>
                <w:rFonts w:hint="eastAsia" w:ascii="Times New Roman" w:hAnsi="Times New Roman" w:eastAsia="宋体" w:cs="Times New Roman"/>
                <w:color w:val="auto"/>
                <w:sz w:val="24"/>
                <w:szCs w:val="24"/>
                <w:lang w:val="en-US" w:eastAsia="zh-CN"/>
              </w:rPr>
              <w:fldChar w:fldCharType="end"/>
            </w:r>
          </w:p>
          <w:p w14:paraId="4E4B710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val="0"/>
                <w:bCs/>
                <w:color w:val="auto"/>
                <w:spacing w:val="0"/>
                <w:sz w:val="24"/>
                <w:szCs w:val="24"/>
                <w:lang w:val="en-US" w:eastAsia="zh-CN"/>
              </w:rPr>
            </w:pPr>
            <w:r>
              <w:rPr>
                <w:rFonts w:hint="eastAsia" w:ascii="Times New Roman" w:hAnsi="Times New Roman" w:eastAsia="宋体" w:cs="Times New Roman"/>
                <w:b/>
                <w:bCs/>
                <w:color w:val="auto"/>
                <w:sz w:val="21"/>
                <w:szCs w:val="21"/>
                <w:lang w:val="en-US" w:eastAsia="zh-CN"/>
              </w:rPr>
              <w:t>图4-</w:t>
            </w:r>
            <w:r>
              <w:rPr>
                <w:rFonts w:hint="eastAsia" w:cs="Times New Roman"/>
                <w:b/>
                <w:bCs/>
                <w:color w:val="auto"/>
                <w:sz w:val="21"/>
                <w:szCs w:val="21"/>
                <w:lang w:val="en-US" w:eastAsia="zh-CN"/>
              </w:rPr>
              <w:t xml:space="preserve">2 </w:t>
            </w:r>
            <w:r>
              <w:rPr>
                <w:rFonts w:hint="eastAsia" w:ascii="Times New Roman" w:hAnsi="Times New Roman" w:eastAsia="宋体" w:cs="Times New Roman"/>
                <w:b/>
                <w:bCs/>
                <w:color w:val="auto"/>
                <w:sz w:val="21"/>
                <w:szCs w:val="21"/>
                <w:lang w:val="en-US" w:eastAsia="zh-CN"/>
              </w:rPr>
              <w:t xml:space="preserve"> 纯水制备工艺图</w:t>
            </w:r>
          </w:p>
          <w:p w14:paraId="759448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pacing w:val="0"/>
                <w:kern w:val="0"/>
                <w:sz w:val="24"/>
                <w:szCs w:val="24"/>
                <w:lang w:val="en-US" w:eastAsia="zh-CN" w:bidi="ar"/>
              </w:rPr>
            </w:pPr>
            <w:r>
              <w:rPr>
                <w:rFonts w:hint="default" w:ascii="Times New Roman" w:hAnsi="Times New Roman" w:eastAsia="宋体" w:cs="Times New Roman"/>
                <w:b w:val="0"/>
                <w:bCs/>
                <w:color w:val="FF0000"/>
                <w:spacing w:val="0"/>
                <w:sz w:val="24"/>
                <w:szCs w:val="24"/>
                <w:lang w:val="en-US" w:eastAsia="zh-CN"/>
              </w:rPr>
              <w:t>根据上文可知，</w:t>
            </w:r>
            <w:commentRangeStart w:id="38"/>
            <w:r>
              <w:rPr>
                <w:rFonts w:hint="default" w:ascii="Times New Roman" w:hAnsi="Times New Roman" w:eastAsia="宋体" w:cs="Times New Roman"/>
                <w:b w:val="0"/>
                <w:bCs/>
                <w:color w:val="FF0000"/>
                <w:spacing w:val="0"/>
                <w:sz w:val="24"/>
                <w:szCs w:val="24"/>
                <w:lang w:val="en-US" w:eastAsia="zh-CN"/>
              </w:rPr>
              <w:t>项目</w:t>
            </w:r>
            <w:r>
              <w:rPr>
                <w:rFonts w:hint="eastAsia" w:ascii="Times New Roman" w:hAnsi="Times New Roman" w:eastAsia="宋体" w:cs="Times New Roman"/>
                <w:b w:val="0"/>
                <w:bCs/>
                <w:color w:val="FF0000"/>
                <w:spacing w:val="0"/>
                <w:sz w:val="24"/>
                <w:szCs w:val="24"/>
                <w:lang w:val="en-US" w:eastAsia="zh-CN"/>
              </w:rPr>
              <w:t>生产</w:t>
            </w:r>
            <w:commentRangeEnd w:id="38"/>
            <w:r>
              <w:commentReference w:id="38"/>
            </w:r>
            <w:r>
              <w:rPr>
                <w:rFonts w:hint="eastAsia" w:ascii="Times New Roman" w:hAnsi="Times New Roman" w:eastAsia="宋体" w:cs="Times New Roman"/>
                <w:b w:val="0"/>
                <w:bCs/>
                <w:color w:val="FF0000"/>
                <w:spacing w:val="0"/>
                <w:sz w:val="24"/>
                <w:szCs w:val="24"/>
                <w:lang w:val="en-US" w:eastAsia="zh-CN"/>
              </w:rPr>
              <w:t>生理性海水鼻腔喷雾剂</w:t>
            </w:r>
            <w:r>
              <w:rPr>
                <w:rFonts w:hint="default" w:ascii="Times New Roman" w:hAnsi="Times New Roman" w:eastAsia="宋体" w:cs="Times New Roman"/>
                <w:b w:val="0"/>
                <w:bCs/>
                <w:color w:val="FF0000"/>
                <w:spacing w:val="0"/>
                <w:sz w:val="24"/>
                <w:szCs w:val="24"/>
                <w:lang w:val="en-US" w:eastAsia="zh-CN"/>
              </w:rPr>
              <w:t>需纯化水</w:t>
            </w:r>
            <w:r>
              <w:rPr>
                <w:rFonts w:hint="eastAsia" w:ascii="Times New Roman" w:hAnsi="Times New Roman" w:eastAsia="宋体" w:cs="Times New Roman"/>
                <w:b w:val="0"/>
                <w:bCs/>
                <w:color w:val="FF0000"/>
                <w:spacing w:val="0"/>
                <w:sz w:val="24"/>
                <w:szCs w:val="24"/>
                <w:lang w:val="en-US" w:eastAsia="zh-CN"/>
              </w:rPr>
              <w:t>300t</w:t>
            </w:r>
            <w:r>
              <w:rPr>
                <w:rFonts w:hint="default" w:ascii="Times New Roman" w:hAnsi="Times New Roman" w:eastAsia="宋体" w:cs="Times New Roman"/>
                <w:b w:val="0"/>
                <w:bCs/>
                <w:color w:val="FF0000"/>
                <w:spacing w:val="0"/>
                <w:sz w:val="24"/>
                <w:szCs w:val="24"/>
                <w:lang w:val="en-US" w:eastAsia="zh-CN"/>
              </w:rPr>
              <w:t>/a</w:t>
            </w:r>
            <w:r>
              <w:rPr>
                <w:rFonts w:hint="eastAsia" w:ascii="Times New Roman" w:hAnsi="Times New Roman" w:eastAsia="宋体" w:cs="Times New Roman"/>
                <w:b w:val="0"/>
                <w:bCs/>
                <w:color w:val="FF0000"/>
                <w:spacing w:val="0"/>
                <w:sz w:val="24"/>
                <w:szCs w:val="24"/>
                <w:lang w:val="en-US" w:eastAsia="zh-CN"/>
              </w:rPr>
              <w:t>、医用退热贴</w:t>
            </w:r>
            <w:r>
              <w:rPr>
                <w:rFonts w:hint="default" w:ascii="Times New Roman" w:hAnsi="Times New Roman" w:eastAsia="宋体" w:cs="Times New Roman"/>
                <w:b w:val="0"/>
                <w:bCs/>
                <w:color w:val="FF0000"/>
                <w:spacing w:val="0"/>
                <w:sz w:val="24"/>
                <w:szCs w:val="24"/>
                <w:lang w:val="en-US" w:eastAsia="zh-CN"/>
              </w:rPr>
              <w:t>需纯化水</w:t>
            </w:r>
            <w:r>
              <w:rPr>
                <w:rFonts w:hint="eastAsia" w:ascii="Times New Roman" w:hAnsi="Times New Roman" w:eastAsia="宋体" w:cs="Times New Roman"/>
                <w:b w:val="0"/>
                <w:bCs/>
                <w:color w:val="FF0000"/>
                <w:spacing w:val="0"/>
                <w:sz w:val="24"/>
                <w:szCs w:val="24"/>
                <w:lang w:val="en-US" w:eastAsia="zh-CN"/>
              </w:rPr>
              <w:t>250t</w:t>
            </w:r>
            <w:r>
              <w:rPr>
                <w:rFonts w:hint="default" w:ascii="Times New Roman" w:hAnsi="Times New Roman" w:eastAsia="宋体" w:cs="Times New Roman"/>
                <w:b w:val="0"/>
                <w:bCs/>
                <w:color w:val="FF0000"/>
                <w:spacing w:val="0"/>
                <w:sz w:val="24"/>
                <w:szCs w:val="24"/>
                <w:lang w:val="en-US" w:eastAsia="zh-CN"/>
              </w:rPr>
              <w:t>/a</w:t>
            </w:r>
            <w:r>
              <w:rPr>
                <w:rFonts w:hint="eastAsia" w:ascii="Times New Roman" w:hAnsi="Times New Roman" w:eastAsia="宋体" w:cs="Times New Roman"/>
                <w:b w:val="0"/>
                <w:bCs/>
                <w:color w:val="FF0000"/>
                <w:spacing w:val="0"/>
                <w:sz w:val="24"/>
                <w:szCs w:val="24"/>
                <w:lang w:val="en-US" w:eastAsia="zh-CN"/>
              </w:rPr>
              <w:t>、重组胶原蛋白贴</w:t>
            </w:r>
            <w:r>
              <w:rPr>
                <w:rFonts w:hint="default" w:ascii="Times New Roman" w:hAnsi="Times New Roman" w:eastAsia="宋体" w:cs="Times New Roman"/>
                <w:b w:val="0"/>
                <w:bCs/>
                <w:color w:val="FF0000"/>
                <w:spacing w:val="0"/>
                <w:sz w:val="24"/>
                <w:szCs w:val="24"/>
                <w:lang w:val="en-US" w:eastAsia="zh-CN"/>
              </w:rPr>
              <w:t>需纯化水</w:t>
            </w:r>
            <w:r>
              <w:rPr>
                <w:rFonts w:hint="eastAsia" w:ascii="Times New Roman" w:hAnsi="Times New Roman" w:eastAsia="宋体" w:cs="Times New Roman"/>
                <w:b w:val="0"/>
                <w:bCs/>
                <w:color w:val="FF0000"/>
                <w:spacing w:val="0"/>
                <w:sz w:val="24"/>
                <w:szCs w:val="24"/>
                <w:lang w:val="en-US" w:eastAsia="zh-CN"/>
              </w:rPr>
              <w:t>120t</w:t>
            </w:r>
            <w:r>
              <w:rPr>
                <w:rFonts w:hint="default" w:ascii="Times New Roman" w:hAnsi="Times New Roman" w:eastAsia="宋体" w:cs="Times New Roman"/>
                <w:b w:val="0"/>
                <w:bCs/>
                <w:color w:val="FF0000"/>
                <w:spacing w:val="0"/>
                <w:sz w:val="24"/>
                <w:szCs w:val="24"/>
                <w:lang w:val="en-US" w:eastAsia="zh-CN"/>
              </w:rPr>
              <w:t>/a</w:t>
            </w:r>
            <w:r>
              <w:rPr>
                <w:rFonts w:hint="eastAsia" w:ascii="Times New Roman" w:hAnsi="Times New Roman" w:eastAsia="宋体" w:cs="Times New Roman"/>
                <w:b w:val="0"/>
                <w:bCs/>
                <w:color w:val="FF0000"/>
                <w:spacing w:val="0"/>
                <w:sz w:val="24"/>
                <w:szCs w:val="24"/>
                <w:lang w:val="en-US" w:eastAsia="zh-CN"/>
              </w:rPr>
              <w:t>、医用透明质酸钠敷贴</w:t>
            </w:r>
            <w:r>
              <w:rPr>
                <w:rFonts w:hint="default" w:ascii="Times New Roman" w:hAnsi="Times New Roman" w:eastAsia="宋体" w:cs="Times New Roman"/>
                <w:b w:val="0"/>
                <w:bCs/>
                <w:color w:val="FF0000"/>
                <w:spacing w:val="0"/>
                <w:sz w:val="24"/>
                <w:szCs w:val="24"/>
                <w:lang w:val="en-US" w:eastAsia="zh-CN"/>
              </w:rPr>
              <w:t>需纯化水</w:t>
            </w:r>
            <w:r>
              <w:rPr>
                <w:rFonts w:hint="eastAsia" w:ascii="Times New Roman" w:hAnsi="Times New Roman" w:eastAsia="宋体" w:cs="Times New Roman"/>
                <w:b w:val="0"/>
                <w:bCs/>
                <w:color w:val="FF0000"/>
                <w:spacing w:val="0"/>
                <w:sz w:val="24"/>
                <w:szCs w:val="24"/>
                <w:lang w:val="en-US" w:eastAsia="zh-CN"/>
              </w:rPr>
              <w:t>122t</w:t>
            </w:r>
            <w:r>
              <w:rPr>
                <w:rFonts w:hint="default" w:ascii="Times New Roman" w:hAnsi="Times New Roman" w:eastAsia="宋体" w:cs="Times New Roman"/>
                <w:b w:val="0"/>
                <w:bCs/>
                <w:color w:val="FF0000"/>
                <w:spacing w:val="0"/>
                <w:sz w:val="24"/>
                <w:szCs w:val="24"/>
                <w:lang w:val="en-US" w:eastAsia="zh-CN"/>
              </w:rPr>
              <w:t>/a</w:t>
            </w:r>
            <w:r>
              <w:rPr>
                <w:rFonts w:hint="eastAsia" w:ascii="Times New Roman" w:hAnsi="Times New Roman" w:eastAsia="宋体" w:cs="Times New Roman"/>
                <w:b w:val="0"/>
                <w:bCs/>
                <w:color w:val="FF0000"/>
                <w:spacing w:val="0"/>
                <w:sz w:val="24"/>
                <w:szCs w:val="24"/>
                <w:lang w:val="en-US" w:eastAsia="zh-CN"/>
              </w:rPr>
              <w:t>、冰凉贴</w:t>
            </w:r>
            <w:r>
              <w:rPr>
                <w:rFonts w:hint="default" w:ascii="Times New Roman" w:hAnsi="Times New Roman" w:eastAsia="宋体" w:cs="Times New Roman"/>
                <w:b w:val="0"/>
                <w:bCs/>
                <w:color w:val="FF0000"/>
                <w:spacing w:val="0"/>
                <w:sz w:val="24"/>
                <w:szCs w:val="24"/>
                <w:lang w:val="en-US" w:eastAsia="zh-CN"/>
              </w:rPr>
              <w:t>需纯化水</w:t>
            </w:r>
            <w:r>
              <w:rPr>
                <w:rFonts w:hint="eastAsia" w:ascii="Times New Roman" w:hAnsi="Times New Roman" w:eastAsia="宋体" w:cs="Times New Roman"/>
                <w:b w:val="0"/>
                <w:bCs/>
                <w:color w:val="FF0000"/>
                <w:spacing w:val="0"/>
                <w:sz w:val="24"/>
                <w:szCs w:val="24"/>
                <w:lang w:val="en-US" w:eastAsia="zh-CN"/>
              </w:rPr>
              <w:t>84t</w:t>
            </w:r>
            <w:r>
              <w:rPr>
                <w:rFonts w:hint="default" w:ascii="Times New Roman" w:hAnsi="Times New Roman" w:eastAsia="宋体" w:cs="Times New Roman"/>
                <w:b w:val="0"/>
                <w:bCs/>
                <w:color w:val="FF0000"/>
                <w:spacing w:val="0"/>
                <w:sz w:val="24"/>
                <w:szCs w:val="24"/>
                <w:lang w:val="en-US" w:eastAsia="zh-CN"/>
              </w:rPr>
              <w:t>/a</w:t>
            </w:r>
            <w:r>
              <w:rPr>
                <w:rFonts w:hint="eastAsia" w:cs="Times New Roman"/>
                <w:b w:val="0"/>
                <w:bCs/>
                <w:color w:val="FF0000"/>
                <w:spacing w:val="0"/>
                <w:sz w:val="24"/>
                <w:szCs w:val="24"/>
                <w:lang w:val="en-US" w:eastAsia="zh-CN"/>
              </w:rPr>
              <w:t>、设备清洗用水15</w:t>
            </w:r>
            <w:r>
              <w:rPr>
                <w:rFonts w:hint="eastAsia" w:ascii="Times New Roman" w:hAnsi="Times New Roman" w:eastAsia="宋体" w:cs="Times New Roman"/>
                <w:b w:val="0"/>
                <w:bCs/>
                <w:color w:val="FF0000"/>
                <w:spacing w:val="0"/>
                <w:sz w:val="24"/>
                <w:szCs w:val="24"/>
                <w:lang w:val="en-US" w:eastAsia="zh-CN"/>
              </w:rPr>
              <w:t>t</w:t>
            </w:r>
            <w:r>
              <w:rPr>
                <w:rFonts w:hint="default" w:ascii="Times New Roman" w:hAnsi="Times New Roman" w:eastAsia="宋体" w:cs="Times New Roman"/>
                <w:b w:val="0"/>
                <w:bCs/>
                <w:color w:val="FF0000"/>
                <w:spacing w:val="0"/>
                <w:sz w:val="24"/>
                <w:szCs w:val="24"/>
                <w:lang w:val="en-US" w:eastAsia="zh-CN"/>
              </w:rPr>
              <w:t>/a</w:t>
            </w:r>
            <w:r>
              <w:rPr>
                <w:rFonts w:hint="eastAsia" w:ascii="Times New Roman" w:hAnsi="Times New Roman" w:eastAsia="宋体" w:cs="Times New Roman"/>
                <w:b w:val="0"/>
                <w:bCs/>
                <w:color w:val="FF0000"/>
                <w:spacing w:val="0"/>
                <w:sz w:val="24"/>
                <w:szCs w:val="24"/>
                <w:lang w:val="en-US" w:eastAsia="zh-CN"/>
              </w:rPr>
              <w:t>，合计</w:t>
            </w:r>
            <w:r>
              <w:rPr>
                <w:rFonts w:hint="default" w:ascii="Times New Roman" w:hAnsi="Times New Roman" w:eastAsia="宋体" w:cs="Times New Roman"/>
                <w:b w:val="0"/>
                <w:bCs/>
                <w:color w:val="FF0000"/>
                <w:spacing w:val="0"/>
                <w:sz w:val="24"/>
                <w:szCs w:val="24"/>
                <w:lang w:val="en-US" w:eastAsia="zh-CN"/>
              </w:rPr>
              <w:t>需纯化水</w:t>
            </w:r>
            <w:r>
              <w:rPr>
                <w:rFonts w:hint="eastAsia" w:cs="Times New Roman"/>
                <w:b w:val="0"/>
                <w:bCs/>
                <w:color w:val="FF0000"/>
                <w:spacing w:val="0"/>
                <w:sz w:val="24"/>
                <w:szCs w:val="24"/>
                <w:lang w:val="en-US" w:eastAsia="zh-CN"/>
              </w:rPr>
              <w:t>891t</w:t>
            </w:r>
            <w:r>
              <w:rPr>
                <w:rFonts w:hint="default" w:ascii="Times New Roman" w:hAnsi="Times New Roman" w:eastAsia="宋体" w:cs="Times New Roman"/>
                <w:b w:val="0"/>
                <w:bCs/>
                <w:color w:val="FF0000"/>
                <w:spacing w:val="0"/>
                <w:sz w:val="24"/>
                <w:szCs w:val="24"/>
                <w:lang w:val="en-US" w:eastAsia="zh-CN"/>
              </w:rPr>
              <w:t>/a</w:t>
            </w:r>
            <w:r>
              <w:rPr>
                <w:rFonts w:hint="eastAsia" w:cs="Times New Roman"/>
                <w:b w:val="0"/>
                <w:bCs/>
                <w:color w:val="FF0000"/>
                <w:spacing w:val="0"/>
                <w:sz w:val="24"/>
                <w:szCs w:val="24"/>
                <w:lang w:val="en-US" w:eastAsia="zh-CN"/>
              </w:rPr>
              <w:t>（2.97t/d）</w:t>
            </w:r>
            <w:r>
              <w:rPr>
                <w:rFonts w:hint="default" w:ascii="Times New Roman" w:hAnsi="Times New Roman" w:eastAsia="宋体" w:cs="Times New Roman"/>
                <w:b w:val="0"/>
                <w:bCs/>
                <w:color w:val="FF0000"/>
                <w:spacing w:val="0"/>
                <w:sz w:val="24"/>
                <w:szCs w:val="24"/>
                <w:lang w:val="en-US" w:eastAsia="zh-CN"/>
              </w:rPr>
              <w:t>，</w:t>
            </w:r>
            <w:r>
              <w:rPr>
                <w:rFonts w:hint="default" w:ascii="Times New Roman" w:hAnsi="Times New Roman" w:eastAsia="宋体" w:cs="Times New Roman"/>
                <w:b w:val="0"/>
                <w:bCs/>
                <w:color w:val="auto"/>
                <w:spacing w:val="0"/>
                <w:sz w:val="24"/>
                <w:szCs w:val="24"/>
                <w:lang w:val="en-US" w:eastAsia="zh-CN"/>
              </w:rPr>
              <w:t>纯水制备设备制水效率</w:t>
            </w:r>
            <w:r>
              <w:rPr>
                <w:rFonts w:hint="eastAsia" w:ascii="Times New Roman" w:hAnsi="Times New Roman" w:eastAsia="宋体" w:cs="Times New Roman"/>
                <w:b w:val="0"/>
                <w:bCs/>
                <w:color w:val="auto"/>
                <w:spacing w:val="0"/>
                <w:sz w:val="24"/>
                <w:szCs w:val="24"/>
                <w:lang w:val="en-US" w:eastAsia="zh-CN"/>
              </w:rPr>
              <w:t>约为80</w:t>
            </w:r>
            <w:r>
              <w:rPr>
                <w:rFonts w:hint="default" w:ascii="Times New Roman" w:hAnsi="Times New Roman" w:eastAsia="宋体" w:cs="Times New Roman"/>
                <w:b w:val="0"/>
                <w:bCs/>
                <w:color w:val="auto"/>
                <w:spacing w:val="0"/>
                <w:sz w:val="24"/>
                <w:szCs w:val="24"/>
                <w:lang w:val="en-US" w:eastAsia="zh-CN"/>
              </w:rPr>
              <w:t>%，则需自来水</w:t>
            </w:r>
            <w:r>
              <w:rPr>
                <w:rFonts w:hint="eastAsia" w:cs="Times New Roman"/>
                <w:b w:val="0"/>
                <w:bCs/>
                <w:color w:val="auto"/>
                <w:spacing w:val="0"/>
                <w:sz w:val="24"/>
                <w:szCs w:val="24"/>
                <w:lang w:val="en-US" w:eastAsia="zh-CN"/>
              </w:rPr>
              <w:t>1113.75t</w:t>
            </w:r>
            <w:r>
              <w:rPr>
                <w:rFonts w:hint="default" w:ascii="Times New Roman" w:hAnsi="Times New Roman" w:eastAsia="宋体" w:cs="Times New Roman"/>
                <w:b w:val="0"/>
                <w:bCs/>
                <w:color w:val="auto"/>
                <w:spacing w:val="0"/>
                <w:sz w:val="24"/>
                <w:szCs w:val="24"/>
                <w:lang w:val="en-US" w:eastAsia="zh-CN"/>
              </w:rPr>
              <w:t>/a</w:t>
            </w:r>
            <w:r>
              <w:rPr>
                <w:rFonts w:hint="eastAsia" w:cs="Times New Roman"/>
                <w:b w:val="0"/>
                <w:bCs/>
                <w:color w:val="auto"/>
                <w:spacing w:val="0"/>
                <w:sz w:val="24"/>
                <w:szCs w:val="24"/>
                <w:lang w:val="en-US" w:eastAsia="zh-CN"/>
              </w:rPr>
              <w:t>（3.7125t/d）</w:t>
            </w:r>
            <w:r>
              <w:rPr>
                <w:rFonts w:hint="default" w:ascii="Times New Roman" w:hAnsi="Times New Roman" w:eastAsia="宋体" w:cs="Times New Roman"/>
                <w:b w:val="0"/>
                <w:bCs/>
                <w:color w:val="auto"/>
                <w:spacing w:val="0"/>
                <w:sz w:val="24"/>
                <w:szCs w:val="24"/>
                <w:lang w:val="en-US" w:eastAsia="zh-CN"/>
              </w:rPr>
              <w:t>，浓水产生量为</w:t>
            </w:r>
            <w:r>
              <w:rPr>
                <w:rFonts w:hint="eastAsia" w:cs="Times New Roman"/>
                <w:b w:val="0"/>
                <w:bCs/>
                <w:color w:val="auto"/>
                <w:spacing w:val="0"/>
                <w:sz w:val="24"/>
                <w:szCs w:val="24"/>
                <w:lang w:val="en-US" w:eastAsia="zh-CN"/>
              </w:rPr>
              <w:t>222.75t</w:t>
            </w:r>
            <w:r>
              <w:rPr>
                <w:rFonts w:hint="default" w:ascii="Times New Roman" w:hAnsi="Times New Roman" w:eastAsia="宋体" w:cs="Times New Roman"/>
                <w:b w:val="0"/>
                <w:bCs/>
                <w:color w:val="auto"/>
                <w:spacing w:val="0"/>
                <w:sz w:val="24"/>
                <w:szCs w:val="24"/>
                <w:lang w:val="en-US" w:eastAsia="zh-CN"/>
              </w:rPr>
              <w:t>/a</w:t>
            </w:r>
            <w:r>
              <w:rPr>
                <w:rFonts w:hint="eastAsia" w:cs="Times New Roman"/>
                <w:b w:val="0"/>
                <w:bCs/>
                <w:color w:val="auto"/>
                <w:spacing w:val="0"/>
                <w:sz w:val="24"/>
                <w:szCs w:val="24"/>
                <w:lang w:val="en-US" w:eastAsia="zh-CN"/>
              </w:rPr>
              <w:t>（0.7425t/d）</w:t>
            </w:r>
            <w:r>
              <w:rPr>
                <w:rFonts w:hint="default" w:ascii="Times New Roman" w:hAnsi="Times New Roman" w:eastAsia="宋体" w:cs="Times New Roman"/>
                <w:b w:val="0"/>
                <w:bCs/>
                <w:color w:val="auto"/>
                <w:spacing w:val="0"/>
                <w:sz w:val="24"/>
                <w:szCs w:val="24"/>
                <w:lang w:val="en-US" w:eastAsia="zh-CN"/>
              </w:rPr>
              <w:t>。浓水较为洁净，</w:t>
            </w:r>
            <w:r>
              <w:rPr>
                <w:rFonts w:hint="eastAsia" w:ascii="Times New Roman" w:hAnsi="Times New Roman" w:eastAsia="宋体" w:cs="Times New Roman"/>
                <w:b w:val="0"/>
                <w:bCs/>
                <w:color w:val="auto"/>
                <w:spacing w:val="0"/>
                <w:sz w:val="24"/>
                <w:szCs w:val="24"/>
                <w:lang w:val="en-US" w:eastAsia="zh-CN"/>
              </w:rPr>
              <w:t>因此可以直排，</w:t>
            </w:r>
            <w:r>
              <w:rPr>
                <w:rFonts w:hint="eastAsia" w:ascii="Times New Roman" w:hAnsi="Times New Roman" w:eastAsia="宋体" w:cs="Times New Roman"/>
                <w:color w:val="auto"/>
                <w:sz w:val="24"/>
                <w:szCs w:val="24"/>
                <w:lang w:val="en-US" w:eastAsia="zh-CN"/>
              </w:rPr>
              <w:t>类比同类型项目可知，纯水制备浓水浓度：pH6~9，SS50mg/L，全盐量1200mg/L，作为清净下水</w:t>
            </w:r>
            <w:r>
              <w:rPr>
                <w:rFonts w:hint="eastAsia" w:ascii="Times New Roman" w:hAnsi="Times New Roman" w:eastAsia="宋体" w:cs="Times New Roman"/>
                <w:b w:val="0"/>
                <w:bCs/>
                <w:color w:val="auto"/>
                <w:spacing w:val="0"/>
                <w:sz w:val="24"/>
                <w:szCs w:val="24"/>
                <w:lang w:val="en-US" w:eastAsia="zh-CN"/>
              </w:rPr>
              <w:t>与化粪池处理后的生活污水一同排入</w:t>
            </w:r>
            <w:r>
              <w:rPr>
                <w:rFonts w:hint="eastAsia" w:ascii="Times New Roman" w:hAnsi="Times New Roman" w:eastAsia="宋体" w:cs="Times New Roman"/>
                <w:color w:val="auto"/>
                <w:spacing w:val="0"/>
                <w:kern w:val="0"/>
                <w:sz w:val="24"/>
                <w:szCs w:val="24"/>
                <w:lang w:val="en-US" w:eastAsia="zh-CN" w:bidi="ar"/>
              </w:rPr>
              <w:t>庐山工业污水处理厂进行处理。</w:t>
            </w:r>
          </w:p>
          <w:p w14:paraId="6C922A95">
            <w:pPr>
              <w:pStyle w:val="22"/>
              <w:rPr>
                <w:rFonts w:hint="eastAsia" w:cs="Times New Roman"/>
                <w:b/>
                <w:bCs/>
                <w:color w:val="FF0000"/>
                <w:spacing w:val="0"/>
                <w:kern w:val="0"/>
                <w:sz w:val="24"/>
                <w:szCs w:val="24"/>
                <w:lang w:val="en-US" w:eastAsia="zh-CN" w:bidi="ar"/>
              </w:rPr>
            </w:pPr>
            <w:r>
              <w:rPr>
                <w:rFonts w:hint="eastAsia" w:cs="Times New Roman"/>
                <w:b/>
                <w:bCs/>
                <w:color w:val="FF0000"/>
                <w:spacing w:val="0"/>
                <w:kern w:val="0"/>
                <w:sz w:val="24"/>
                <w:szCs w:val="24"/>
                <w:lang w:val="en-US" w:eastAsia="zh-CN" w:bidi="ar"/>
              </w:rPr>
              <w:t>2、水平衡</w:t>
            </w:r>
          </w:p>
          <w:p w14:paraId="259C5C53">
            <w:pPr>
              <w:adjustRightInd w:val="0"/>
              <w:spacing w:line="360" w:lineRule="auto"/>
              <w:ind w:firstLine="480" w:firstLineChars="200"/>
              <w:jc w:val="left"/>
              <w:rPr>
                <w:rFonts w:ascii="Times New Roman" w:hAnsi="Times New Roman" w:eastAsia="宋体" w:cs="Times New Roman"/>
                <w:color w:val="FF0000"/>
                <w:spacing w:val="0"/>
                <w:position w:val="0"/>
                <w:sz w:val="24"/>
                <w:szCs w:val="24"/>
              </w:rPr>
            </w:pPr>
            <w:r>
              <w:rPr>
                <w:rFonts w:ascii="Times New Roman" w:hAnsi="Times New Roman" w:eastAsia="宋体" w:cs="Times New Roman"/>
                <w:color w:val="FF0000"/>
                <w:spacing w:val="0"/>
                <w:position w:val="0"/>
                <w:sz w:val="24"/>
                <w:szCs w:val="24"/>
              </w:rPr>
              <w:t>本项目全厂总用水量</w:t>
            </w:r>
            <w:r>
              <w:rPr>
                <w:rFonts w:hint="eastAsia" w:cs="Times New Roman"/>
                <w:color w:val="FF0000"/>
                <w:spacing w:val="0"/>
                <w:position w:val="0"/>
                <w:sz w:val="24"/>
                <w:szCs w:val="24"/>
                <w:lang w:val="en-US" w:eastAsia="zh-CN"/>
              </w:rPr>
              <w:t>2163.75</w:t>
            </w:r>
            <w:r>
              <w:rPr>
                <w:rFonts w:ascii="Times New Roman" w:hAnsi="Times New Roman" w:eastAsia="宋体" w:cs="Times New Roman"/>
                <w:color w:val="FF0000"/>
                <w:spacing w:val="0"/>
                <w:position w:val="0"/>
                <w:sz w:val="24"/>
                <w:szCs w:val="24"/>
              </w:rPr>
              <w:t>m³/a，排水量</w:t>
            </w:r>
            <w:r>
              <w:rPr>
                <w:rFonts w:hint="eastAsia" w:cs="Times New Roman"/>
                <w:color w:val="FF0000"/>
                <w:spacing w:val="0"/>
                <w:position w:val="0"/>
                <w:sz w:val="24"/>
                <w:szCs w:val="24"/>
                <w:lang w:val="en-US" w:eastAsia="zh-CN"/>
              </w:rPr>
              <w:t>1076.25</w:t>
            </w:r>
            <w:r>
              <w:rPr>
                <w:rFonts w:ascii="Times New Roman" w:hAnsi="Times New Roman" w:eastAsia="宋体" w:cs="Times New Roman"/>
                <w:color w:val="FF0000"/>
                <w:spacing w:val="0"/>
                <w:position w:val="0"/>
                <w:sz w:val="24"/>
                <w:szCs w:val="24"/>
              </w:rPr>
              <w:t>m³/a。</w:t>
            </w:r>
            <w:r>
              <w:rPr>
                <w:rFonts w:hint="eastAsia" w:ascii="Times New Roman" w:hAnsi="Times New Roman" w:eastAsia="宋体" w:cs="Times New Roman"/>
                <w:color w:val="FF0000"/>
                <w:spacing w:val="0"/>
                <w:position w:val="0"/>
                <w:sz w:val="24"/>
                <w:szCs w:val="24"/>
              </w:rPr>
              <w:t>本项目</w:t>
            </w:r>
            <w:r>
              <w:rPr>
                <w:rFonts w:ascii="Times New Roman" w:hAnsi="Times New Roman" w:eastAsia="宋体" w:cs="Times New Roman"/>
                <w:color w:val="FF0000"/>
                <w:spacing w:val="0"/>
                <w:position w:val="0"/>
                <w:sz w:val="24"/>
                <w:szCs w:val="24"/>
              </w:rPr>
              <w:t>水平衡见表</w:t>
            </w:r>
            <w:r>
              <w:rPr>
                <w:rFonts w:hint="eastAsia" w:cs="Times New Roman"/>
                <w:color w:val="FF0000"/>
                <w:spacing w:val="0"/>
                <w:position w:val="0"/>
                <w:sz w:val="24"/>
                <w:szCs w:val="24"/>
                <w:lang w:val="en-US" w:eastAsia="zh-CN"/>
              </w:rPr>
              <w:t>4-9</w:t>
            </w:r>
            <w:r>
              <w:rPr>
                <w:rFonts w:hint="eastAsia" w:ascii="Times New Roman" w:hAnsi="Times New Roman" w:eastAsia="宋体" w:cs="Times New Roman"/>
                <w:color w:val="FF0000"/>
                <w:spacing w:val="0"/>
                <w:position w:val="0"/>
                <w:sz w:val="24"/>
                <w:szCs w:val="24"/>
              </w:rPr>
              <w:t>及图</w:t>
            </w:r>
            <w:r>
              <w:rPr>
                <w:rFonts w:hint="eastAsia" w:cs="Times New Roman"/>
                <w:color w:val="FF0000"/>
                <w:spacing w:val="0"/>
                <w:position w:val="0"/>
                <w:sz w:val="24"/>
                <w:szCs w:val="24"/>
                <w:lang w:val="en-US" w:eastAsia="zh-CN"/>
              </w:rPr>
              <w:t>4-3</w:t>
            </w:r>
            <w:r>
              <w:rPr>
                <w:rFonts w:hint="eastAsia" w:ascii="Times New Roman" w:hAnsi="Times New Roman" w:eastAsia="宋体" w:cs="Times New Roman"/>
                <w:color w:val="FF0000"/>
                <w:spacing w:val="0"/>
                <w:position w:val="0"/>
                <w:sz w:val="24"/>
                <w:szCs w:val="24"/>
              </w:rPr>
              <w:t>。</w:t>
            </w:r>
          </w:p>
          <w:p w14:paraId="661323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FF0000"/>
                <w:spacing w:val="0"/>
                <w:position w:val="0"/>
                <w:sz w:val="21"/>
                <w:szCs w:val="21"/>
                <w:lang w:val="en-US" w:eastAsia="zh-CN"/>
              </w:rPr>
            </w:pPr>
            <w:r>
              <w:rPr>
                <w:rFonts w:hint="eastAsia" w:ascii="Times New Roman" w:hAnsi="Times New Roman" w:eastAsia="宋体" w:cs="Times New Roman"/>
                <w:b/>
                <w:bCs w:val="0"/>
                <w:color w:val="FF0000"/>
                <w:spacing w:val="0"/>
                <w:position w:val="0"/>
                <w:sz w:val="21"/>
                <w:szCs w:val="21"/>
                <w:lang w:val="en-US" w:eastAsia="zh-CN"/>
              </w:rPr>
              <w:t>表</w:t>
            </w:r>
            <w:r>
              <w:rPr>
                <w:rFonts w:hint="eastAsia" w:cs="Times New Roman"/>
                <w:b/>
                <w:bCs w:val="0"/>
                <w:color w:val="FF0000"/>
                <w:spacing w:val="0"/>
                <w:position w:val="0"/>
                <w:sz w:val="21"/>
                <w:szCs w:val="21"/>
                <w:lang w:val="en-US" w:eastAsia="zh-CN"/>
              </w:rPr>
              <w:t xml:space="preserve">4-9 </w:t>
            </w:r>
            <w:r>
              <w:rPr>
                <w:rFonts w:hint="eastAsia" w:ascii="Times New Roman" w:hAnsi="Times New Roman" w:eastAsia="宋体" w:cs="Times New Roman"/>
                <w:b/>
                <w:bCs w:val="0"/>
                <w:color w:val="FF0000"/>
                <w:spacing w:val="0"/>
                <w:position w:val="0"/>
                <w:sz w:val="21"/>
                <w:szCs w:val="21"/>
                <w:lang w:val="en-US" w:eastAsia="zh-CN"/>
              </w:rPr>
              <w:t xml:space="preserve"> 项目水平衡表  （t/d）</w:t>
            </w:r>
          </w:p>
          <w:tbl>
            <w:tblPr>
              <w:tblStyle w:val="24"/>
              <w:tblW w:w="492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306"/>
              <w:gridCol w:w="1147"/>
              <w:gridCol w:w="1224"/>
              <w:gridCol w:w="1428"/>
              <w:gridCol w:w="1159"/>
              <w:gridCol w:w="1154"/>
            </w:tblGrid>
            <w:tr w14:paraId="678EBF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2778" w:type="pct"/>
                  <w:gridSpan w:val="3"/>
                  <w:tcBorders>
                    <w:bottom w:val="single" w:color="auto" w:sz="12" w:space="0"/>
                  </w:tcBorders>
                  <w:noWrap w:val="0"/>
                  <w:vAlign w:val="center"/>
                </w:tcPr>
                <w:p w14:paraId="4F80D473">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default" w:ascii="Times New Roman" w:hAnsi="Times New Roman" w:eastAsia="宋体" w:cs="Times New Roman"/>
                      <w:b/>
                      <w:bCs/>
                      <w:color w:val="FF0000"/>
                      <w:sz w:val="21"/>
                      <w:szCs w:val="21"/>
                      <w:highlight w:val="none"/>
                      <w:lang w:val="en-US" w:eastAsia="zh-CN"/>
                    </w:rPr>
                    <w:t>投入</w:t>
                  </w:r>
                </w:p>
              </w:tc>
              <w:tc>
                <w:tcPr>
                  <w:tcW w:w="2221" w:type="pct"/>
                  <w:gridSpan w:val="3"/>
                  <w:tcBorders>
                    <w:bottom w:val="single" w:color="auto" w:sz="12" w:space="0"/>
                  </w:tcBorders>
                  <w:noWrap w:val="0"/>
                  <w:vAlign w:val="center"/>
                </w:tcPr>
                <w:p w14:paraId="518D7869">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default" w:ascii="Times New Roman" w:hAnsi="Times New Roman" w:eastAsia="宋体" w:cs="Times New Roman"/>
                      <w:b/>
                      <w:bCs/>
                      <w:color w:val="FF0000"/>
                      <w:sz w:val="21"/>
                      <w:szCs w:val="21"/>
                      <w:highlight w:val="none"/>
                      <w:lang w:val="en-US" w:eastAsia="zh-CN"/>
                    </w:rPr>
                    <w:t>产出</w:t>
                  </w:r>
                </w:p>
              </w:tc>
            </w:tr>
            <w:tr w14:paraId="2596F3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1370" w:type="pct"/>
                  <w:tcBorders>
                    <w:top w:val="single" w:color="auto" w:sz="12" w:space="0"/>
                    <w:bottom w:val="single" w:color="auto" w:sz="12" w:space="0"/>
                  </w:tcBorders>
                  <w:noWrap w:val="0"/>
                  <w:vAlign w:val="center"/>
                </w:tcPr>
                <w:p w14:paraId="4F7B798A">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名称</w:t>
                  </w:r>
                </w:p>
              </w:tc>
              <w:tc>
                <w:tcPr>
                  <w:tcW w:w="681" w:type="pct"/>
                  <w:tcBorders>
                    <w:top w:val="single" w:color="auto" w:sz="12" w:space="0"/>
                    <w:bottom w:val="single" w:color="auto" w:sz="12" w:space="0"/>
                  </w:tcBorders>
                  <w:noWrap w:val="0"/>
                  <w:vAlign w:val="center"/>
                </w:tcPr>
                <w:p w14:paraId="1B19E987">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新鲜水</w:t>
                  </w:r>
                </w:p>
              </w:tc>
              <w:tc>
                <w:tcPr>
                  <w:tcW w:w="727" w:type="pct"/>
                  <w:tcBorders>
                    <w:top w:val="single" w:color="auto" w:sz="12" w:space="0"/>
                    <w:bottom w:val="single" w:color="auto" w:sz="12" w:space="0"/>
                  </w:tcBorders>
                  <w:noWrap w:val="0"/>
                  <w:vAlign w:val="center"/>
                </w:tcPr>
                <w:p w14:paraId="7139D51F">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回用水</w:t>
                  </w:r>
                </w:p>
              </w:tc>
              <w:tc>
                <w:tcPr>
                  <w:tcW w:w="848" w:type="pct"/>
                  <w:tcBorders>
                    <w:top w:val="single" w:color="auto" w:sz="12" w:space="0"/>
                    <w:bottom w:val="single" w:color="auto" w:sz="12" w:space="0"/>
                  </w:tcBorders>
                  <w:noWrap w:val="0"/>
                  <w:vAlign w:val="center"/>
                </w:tcPr>
                <w:p w14:paraId="263C8813">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损耗水</w:t>
                  </w:r>
                </w:p>
              </w:tc>
              <w:tc>
                <w:tcPr>
                  <w:tcW w:w="688" w:type="pct"/>
                  <w:tcBorders>
                    <w:top w:val="single" w:color="auto" w:sz="12" w:space="0"/>
                    <w:bottom w:val="single" w:color="auto" w:sz="12" w:space="0"/>
                  </w:tcBorders>
                  <w:noWrap w:val="0"/>
                  <w:vAlign w:val="center"/>
                </w:tcPr>
                <w:p w14:paraId="4CFE4491">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回用水</w:t>
                  </w:r>
                </w:p>
              </w:tc>
              <w:tc>
                <w:tcPr>
                  <w:tcW w:w="685" w:type="pct"/>
                  <w:tcBorders>
                    <w:top w:val="single" w:color="auto" w:sz="12" w:space="0"/>
                    <w:bottom w:val="single" w:color="auto" w:sz="12" w:space="0"/>
                  </w:tcBorders>
                  <w:noWrap w:val="0"/>
                  <w:vAlign w:val="center"/>
                </w:tcPr>
                <w:p w14:paraId="5722A654">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FF0000"/>
                      <w:sz w:val="21"/>
                      <w:szCs w:val="21"/>
                      <w:highlight w:val="none"/>
                      <w:lang w:val="en-US" w:eastAsia="zh-CN"/>
                    </w:rPr>
                  </w:pPr>
                  <w:r>
                    <w:rPr>
                      <w:rFonts w:hint="eastAsia" w:ascii="Times New Roman" w:hAnsi="Times New Roman" w:eastAsia="宋体" w:cs="Times New Roman"/>
                      <w:b/>
                      <w:bCs/>
                      <w:color w:val="FF0000"/>
                      <w:sz w:val="21"/>
                      <w:szCs w:val="21"/>
                      <w:highlight w:val="none"/>
                      <w:lang w:val="en-US" w:eastAsia="zh-CN"/>
                    </w:rPr>
                    <w:t>排放量</w:t>
                  </w:r>
                </w:p>
              </w:tc>
            </w:tr>
            <w:tr w14:paraId="5A0FB7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1370" w:type="pct"/>
                  <w:tcBorders>
                    <w:tl2br w:val="nil"/>
                    <w:tr2bl w:val="nil"/>
                  </w:tcBorders>
                  <w:noWrap w:val="0"/>
                  <w:vAlign w:val="center"/>
                </w:tcPr>
                <w:p w14:paraId="6EE2C191">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纯水制备用水</w:t>
                  </w:r>
                </w:p>
              </w:tc>
              <w:tc>
                <w:tcPr>
                  <w:tcW w:w="681" w:type="pct"/>
                  <w:tcBorders>
                    <w:tl2br w:val="nil"/>
                    <w:tr2bl w:val="nil"/>
                  </w:tcBorders>
                  <w:noWrap w:val="0"/>
                  <w:vAlign w:val="center"/>
                </w:tcPr>
                <w:p w14:paraId="11E52FBC">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cs="Times New Roman"/>
                      <w:b w:val="0"/>
                      <w:bCs w:val="0"/>
                      <w:color w:val="FF0000"/>
                      <w:spacing w:val="0"/>
                      <w:sz w:val="21"/>
                      <w:szCs w:val="21"/>
                      <w:lang w:val="en-US" w:eastAsia="zh-CN"/>
                    </w:rPr>
                    <w:t>3.7125</w:t>
                  </w:r>
                </w:p>
              </w:tc>
              <w:tc>
                <w:tcPr>
                  <w:tcW w:w="727" w:type="pct"/>
                  <w:tcBorders>
                    <w:tl2br w:val="nil"/>
                    <w:tr2bl w:val="nil"/>
                  </w:tcBorders>
                  <w:noWrap w:val="0"/>
                  <w:vAlign w:val="center"/>
                </w:tcPr>
                <w:p w14:paraId="5541E5C2">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cs="Times New Roman"/>
                      <w:b w:val="0"/>
                      <w:bCs w:val="0"/>
                      <w:color w:val="FF0000"/>
                      <w:spacing w:val="0"/>
                      <w:sz w:val="21"/>
                      <w:szCs w:val="21"/>
                      <w:lang w:val="en-US" w:eastAsia="zh-CN"/>
                    </w:rPr>
                    <w:t>0</w:t>
                  </w:r>
                </w:p>
              </w:tc>
              <w:tc>
                <w:tcPr>
                  <w:tcW w:w="848" w:type="pct"/>
                  <w:tcBorders>
                    <w:tl2br w:val="nil"/>
                    <w:tr2bl w:val="nil"/>
                  </w:tcBorders>
                  <w:noWrap w:val="0"/>
                  <w:vAlign w:val="center"/>
                </w:tcPr>
                <w:p w14:paraId="29245E26">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cs="Times New Roman"/>
                      <w:b w:val="0"/>
                      <w:bCs w:val="0"/>
                      <w:color w:val="FF0000"/>
                      <w:spacing w:val="0"/>
                      <w:sz w:val="21"/>
                      <w:szCs w:val="21"/>
                      <w:lang w:val="en-US" w:eastAsia="zh-CN"/>
                    </w:rPr>
                    <w:t>2.90</w:t>
                  </w:r>
                </w:p>
              </w:tc>
              <w:tc>
                <w:tcPr>
                  <w:tcW w:w="688" w:type="pct"/>
                  <w:tcBorders>
                    <w:tl2br w:val="nil"/>
                    <w:tr2bl w:val="nil"/>
                  </w:tcBorders>
                  <w:noWrap w:val="0"/>
                  <w:vAlign w:val="center"/>
                </w:tcPr>
                <w:p w14:paraId="3F4B671A">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cs="Times New Roman"/>
                      <w:b w:val="0"/>
                      <w:bCs w:val="0"/>
                      <w:color w:val="FF0000"/>
                      <w:spacing w:val="0"/>
                      <w:sz w:val="21"/>
                      <w:szCs w:val="21"/>
                      <w:lang w:val="en-US" w:eastAsia="zh-CN"/>
                    </w:rPr>
                    <w:t>0.05</w:t>
                  </w:r>
                </w:p>
              </w:tc>
              <w:tc>
                <w:tcPr>
                  <w:tcW w:w="685" w:type="pct"/>
                  <w:tcBorders>
                    <w:tl2br w:val="nil"/>
                    <w:tr2bl w:val="nil"/>
                  </w:tcBorders>
                  <w:noWrap w:val="0"/>
                  <w:vAlign w:val="center"/>
                </w:tcPr>
                <w:p w14:paraId="1B7D739B">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cs="Times New Roman"/>
                      <w:b w:val="0"/>
                      <w:bCs w:val="0"/>
                      <w:color w:val="FF0000"/>
                      <w:spacing w:val="0"/>
                      <w:sz w:val="21"/>
                      <w:szCs w:val="21"/>
                      <w:lang w:val="en-US" w:eastAsia="zh-CN"/>
                    </w:rPr>
                    <w:t>0.7425</w:t>
                  </w:r>
                </w:p>
              </w:tc>
            </w:tr>
            <w:tr w14:paraId="091D22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1370" w:type="pct"/>
                  <w:tcBorders>
                    <w:tl2br w:val="nil"/>
                    <w:tr2bl w:val="nil"/>
                  </w:tcBorders>
                  <w:noWrap w:val="0"/>
                  <w:vAlign w:val="center"/>
                </w:tcPr>
                <w:p w14:paraId="0A075CA5">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highlight w:val="none"/>
                      <w:lang w:val="zh-CN" w:eastAsia="zh-CN"/>
                    </w:rPr>
                  </w:pPr>
                  <w:r>
                    <w:rPr>
                      <w:rFonts w:hint="eastAsia" w:ascii="Times New Roman" w:hAnsi="Times New Roman" w:eastAsia="宋体" w:cs="Times New Roman"/>
                      <w:color w:val="FF0000"/>
                      <w:sz w:val="21"/>
                      <w:szCs w:val="21"/>
                      <w:highlight w:val="none"/>
                      <w:lang w:val="en-US" w:eastAsia="zh-CN"/>
                    </w:rPr>
                    <w:t>生活</w:t>
                  </w:r>
                  <w:r>
                    <w:rPr>
                      <w:rFonts w:hint="eastAsia" w:ascii="Times New Roman" w:hAnsi="Times New Roman" w:eastAsia="宋体" w:cs="Times New Roman"/>
                      <w:color w:val="FF0000"/>
                      <w:sz w:val="21"/>
                      <w:szCs w:val="21"/>
                      <w:highlight w:val="none"/>
                      <w:lang w:val="zh-CN" w:eastAsia="zh-CN"/>
                    </w:rPr>
                    <w:t>用水</w:t>
                  </w:r>
                </w:p>
              </w:tc>
              <w:tc>
                <w:tcPr>
                  <w:tcW w:w="681" w:type="pct"/>
                  <w:tcBorders>
                    <w:tl2br w:val="nil"/>
                    <w:tr2bl w:val="nil"/>
                  </w:tcBorders>
                  <w:noWrap w:val="0"/>
                  <w:vAlign w:val="center"/>
                </w:tcPr>
                <w:p w14:paraId="088B2A97">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b w:val="0"/>
                      <w:bCs w:val="0"/>
                      <w:color w:val="FF0000"/>
                      <w:kern w:val="2"/>
                      <w:sz w:val="21"/>
                      <w:szCs w:val="21"/>
                      <w:highlight w:val="none"/>
                      <w:lang w:val="en-US" w:eastAsia="zh-CN" w:bidi="ar-SA"/>
                    </w:rPr>
                    <w:t>3.5</w:t>
                  </w:r>
                </w:p>
              </w:tc>
              <w:tc>
                <w:tcPr>
                  <w:tcW w:w="727" w:type="pct"/>
                  <w:tcBorders>
                    <w:tl2br w:val="nil"/>
                    <w:tr2bl w:val="nil"/>
                  </w:tcBorders>
                  <w:noWrap w:val="0"/>
                  <w:vAlign w:val="center"/>
                </w:tcPr>
                <w:p w14:paraId="09DCE133">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b w:val="0"/>
                      <w:bCs w:val="0"/>
                      <w:color w:val="FF0000"/>
                      <w:kern w:val="2"/>
                      <w:sz w:val="21"/>
                      <w:szCs w:val="21"/>
                      <w:highlight w:val="none"/>
                      <w:lang w:val="en-US" w:eastAsia="zh-CN" w:bidi="ar-SA"/>
                    </w:rPr>
                    <w:t>0</w:t>
                  </w:r>
                </w:p>
              </w:tc>
              <w:tc>
                <w:tcPr>
                  <w:tcW w:w="848" w:type="pct"/>
                  <w:tcBorders>
                    <w:tl2br w:val="nil"/>
                    <w:tr2bl w:val="nil"/>
                  </w:tcBorders>
                  <w:noWrap w:val="0"/>
                  <w:vAlign w:val="center"/>
                </w:tcPr>
                <w:p w14:paraId="19464EF9">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ascii="Times New Roman" w:hAnsi="Times New Roman" w:eastAsia="宋体" w:cs="Times New Roman"/>
                      <w:b w:val="0"/>
                      <w:bCs w:val="0"/>
                      <w:color w:val="FF0000"/>
                      <w:kern w:val="0"/>
                      <w:sz w:val="21"/>
                      <w:szCs w:val="21"/>
                      <w:highlight w:val="none"/>
                      <w:lang w:val="en-US" w:eastAsia="zh-CN" w:bidi="ar-SA"/>
                    </w:rPr>
                    <w:t>0.7</w:t>
                  </w:r>
                </w:p>
              </w:tc>
              <w:tc>
                <w:tcPr>
                  <w:tcW w:w="688" w:type="pct"/>
                  <w:tcBorders>
                    <w:tl2br w:val="nil"/>
                    <w:tr2bl w:val="nil"/>
                  </w:tcBorders>
                  <w:noWrap w:val="0"/>
                  <w:vAlign w:val="center"/>
                </w:tcPr>
                <w:p w14:paraId="2B93FC69">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b w:val="0"/>
                      <w:bCs w:val="0"/>
                      <w:color w:val="FF0000"/>
                      <w:kern w:val="2"/>
                      <w:sz w:val="21"/>
                      <w:szCs w:val="21"/>
                      <w:highlight w:val="none"/>
                      <w:lang w:val="en-US" w:eastAsia="zh-CN" w:bidi="ar-SA"/>
                    </w:rPr>
                    <w:t>0</w:t>
                  </w:r>
                </w:p>
              </w:tc>
              <w:tc>
                <w:tcPr>
                  <w:tcW w:w="685" w:type="pct"/>
                  <w:tcBorders>
                    <w:tl2br w:val="nil"/>
                    <w:tr2bl w:val="nil"/>
                  </w:tcBorders>
                  <w:noWrap w:val="0"/>
                  <w:vAlign w:val="center"/>
                </w:tcPr>
                <w:p w14:paraId="44B77D0D">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ascii="Times New Roman" w:hAnsi="Times New Roman" w:eastAsia="宋体" w:cs="Times New Roman"/>
                      <w:b w:val="0"/>
                      <w:bCs w:val="0"/>
                      <w:color w:val="FF0000"/>
                      <w:kern w:val="0"/>
                      <w:sz w:val="21"/>
                      <w:szCs w:val="21"/>
                      <w:highlight w:val="none"/>
                      <w:lang w:val="en-US" w:eastAsia="zh-CN" w:bidi="ar-SA"/>
                    </w:rPr>
                    <w:t>2.8</w:t>
                  </w:r>
                </w:p>
              </w:tc>
            </w:tr>
            <w:tr w14:paraId="047E51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1370" w:type="pct"/>
                  <w:tcBorders>
                    <w:tl2br w:val="nil"/>
                    <w:tr2bl w:val="nil"/>
                  </w:tcBorders>
                  <w:noWrap w:val="0"/>
                  <w:vAlign w:val="center"/>
                </w:tcPr>
                <w:p w14:paraId="72E2D5A1">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eastAsia" w:eastAsia="宋体" w:cs="Times New Roman"/>
                      <w:color w:val="FF0000"/>
                      <w:sz w:val="21"/>
                      <w:szCs w:val="21"/>
                      <w:highlight w:val="none"/>
                      <w:lang w:val="en-US" w:eastAsia="zh-CN"/>
                    </w:rPr>
                    <w:t>设备清洗用水</w:t>
                  </w:r>
                </w:p>
              </w:tc>
              <w:tc>
                <w:tcPr>
                  <w:tcW w:w="681" w:type="pct"/>
                  <w:tcBorders>
                    <w:tl2br w:val="nil"/>
                    <w:tr2bl w:val="nil"/>
                  </w:tcBorders>
                  <w:noWrap w:val="0"/>
                  <w:vAlign w:val="center"/>
                </w:tcPr>
                <w:p w14:paraId="1617A190">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b w:val="0"/>
                      <w:bCs w:val="0"/>
                      <w:color w:val="FF0000"/>
                      <w:kern w:val="2"/>
                      <w:sz w:val="21"/>
                      <w:szCs w:val="21"/>
                      <w:highlight w:val="none"/>
                      <w:lang w:val="en-US" w:eastAsia="zh-CN" w:bidi="ar-SA"/>
                    </w:rPr>
                    <w:t>0</w:t>
                  </w:r>
                </w:p>
              </w:tc>
              <w:tc>
                <w:tcPr>
                  <w:tcW w:w="727" w:type="pct"/>
                  <w:tcBorders>
                    <w:tl2br w:val="nil"/>
                    <w:tr2bl w:val="nil"/>
                  </w:tcBorders>
                  <w:noWrap w:val="0"/>
                  <w:vAlign w:val="center"/>
                </w:tcPr>
                <w:p w14:paraId="295B132E">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b w:val="0"/>
                      <w:bCs w:val="0"/>
                      <w:color w:val="FF0000"/>
                      <w:kern w:val="2"/>
                      <w:sz w:val="21"/>
                      <w:szCs w:val="21"/>
                      <w:highlight w:val="none"/>
                      <w:lang w:val="en-US" w:eastAsia="zh-CN" w:bidi="ar-SA"/>
                    </w:rPr>
                    <w:t>0.05</w:t>
                  </w:r>
                </w:p>
              </w:tc>
              <w:tc>
                <w:tcPr>
                  <w:tcW w:w="848" w:type="pct"/>
                  <w:tcBorders>
                    <w:tl2br w:val="nil"/>
                    <w:tr2bl w:val="nil"/>
                  </w:tcBorders>
                  <w:noWrap w:val="0"/>
                  <w:vAlign w:val="center"/>
                </w:tcPr>
                <w:p w14:paraId="57092827">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eastAsia="宋体" w:cs="Times New Roman"/>
                      <w:b w:val="0"/>
                      <w:bCs w:val="0"/>
                      <w:color w:val="FF0000"/>
                      <w:kern w:val="0"/>
                      <w:sz w:val="21"/>
                      <w:szCs w:val="21"/>
                      <w:highlight w:val="none"/>
                      <w:lang w:val="en-US" w:eastAsia="zh-CN" w:bidi="ar-SA"/>
                    </w:rPr>
                    <w:t>0.005</w:t>
                  </w:r>
                </w:p>
              </w:tc>
              <w:tc>
                <w:tcPr>
                  <w:tcW w:w="688" w:type="pct"/>
                  <w:tcBorders>
                    <w:tl2br w:val="nil"/>
                    <w:tr2bl w:val="nil"/>
                  </w:tcBorders>
                  <w:noWrap w:val="0"/>
                  <w:vAlign w:val="center"/>
                </w:tcPr>
                <w:p w14:paraId="2A769944">
                  <w:pPr>
                    <w:keepNext w:val="0"/>
                    <w:keepLines w:val="0"/>
                    <w:pageBreakBefore w:val="0"/>
                    <w:widowControl/>
                    <w:kinsoku/>
                    <w:wordWrap/>
                    <w:overflowPunct/>
                    <w:topLinePunct w:val="0"/>
                    <w:autoSpaceDE/>
                    <w:autoSpaceDN/>
                    <w:bidi w:val="0"/>
                    <w:adjustRightInd w:val="0"/>
                    <w:snapToGrid w:val="0"/>
                    <w:spacing w:line="240" w:lineRule="auto"/>
                    <w:jc w:val="center"/>
                    <w:rPr>
                      <w:rFonts w:hint="default"/>
                      <w:b w:val="0"/>
                      <w:bCs w:val="0"/>
                      <w:color w:val="FF0000"/>
                      <w:kern w:val="2"/>
                      <w:sz w:val="21"/>
                      <w:szCs w:val="21"/>
                      <w:highlight w:val="none"/>
                      <w:lang w:val="en-US" w:eastAsia="zh-CN" w:bidi="ar-SA"/>
                    </w:rPr>
                  </w:pPr>
                  <w:r>
                    <w:rPr>
                      <w:rFonts w:hint="eastAsia"/>
                      <w:b w:val="0"/>
                      <w:bCs w:val="0"/>
                      <w:color w:val="FF0000"/>
                      <w:kern w:val="2"/>
                      <w:sz w:val="21"/>
                      <w:szCs w:val="21"/>
                      <w:highlight w:val="none"/>
                      <w:lang w:val="en-US" w:eastAsia="zh-CN" w:bidi="ar-SA"/>
                    </w:rPr>
                    <w:t>0</w:t>
                  </w:r>
                </w:p>
              </w:tc>
              <w:tc>
                <w:tcPr>
                  <w:tcW w:w="685" w:type="pct"/>
                  <w:tcBorders>
                    <w:tl2br w:val="nil"/>
                    <w:tr2bl w:val="nil"/>
                  </w:tcBorders>
                  <w:noWrap w:val="0"/>
                  <w:vAlign w:val="center"/>
                </w:tcPr>
                <w:p w14:paraId="4CE7FEF9">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FF0000"/>
                      <w:kern w:val="0"/>
                      <w:sz w:val="21"/>
                      <w:szCs w:val="21"/>
                      <w:highlight w:val="none"/>
                      <w:lang w:val="en-US" w:eastAsia="zh-CN" w:bidi="ar-SA"/>
                    </w:rPr>
                  </w:pPr>
                  <w:r>
                    <w:rPr>
                      <w:rFonts w:hint="eastAsia" w:eastAsia="宋体" w:cs="Times New Roman"/>
                      <w:b w:val="0"/>
                      <w:bCs w:val="0"/>
                      <w:color w:val="FF0000"/>
                      <w:kern w:val="0"/>
                      <w:sz w:val="21"/>
                      <w:szCs w:val="21"/>
                      <w:highlight w:val="none"/>
                      <w:lang w:val="en-US" w:eastAsia="zh-CN" w:bidi="ar-SA"/>
                    </w:rPr>
                    <w:t>0.045</w:t>
                  </w:r>
                </w:p>
              </w:tc>
            </w:tr>
            <w:tr w14:paraId="00AE89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9" w:hRule="atLeast"/>
                <w:jc w:val="center"/>
              </w:trPr>
              <w:tc>
                <w:tcPr>
                  <w:tcW w:w="1370" w:type="pct"/>
                  <w:tcBorders>
                    <w:tl2br w:val="nil"/>
                    <w:tr2bl w:val="nil"/>
                  </w:tcBorders>
                  <w:noWrap w:val="0"/>
                  <w:vAlign w:val="center"/>
                </w:tcPr>
                <w:p w14:paraId="1EA9B63A">
                  <w:pPr>
                    <w:pStyle w:val="8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合计</w:t>
                  </w:r>
                </w:p>
              </w:tc>
              <w:tc>
                <w:tcPr>
                  <w:tcW w:w="681" w:type="pct"/>
                  <w:tcBorders>
                    <w:tl2br w:val="nil"/>
                    <w:tr2bl w:val="nil"/>
                  </w:tcBorders>
                  <w:noWrap w:val="0"/>
                  <w:vAlign w:val="center"/>
                </w:tcPr>
                <w:p w14:paraId="3C7E4886">
                  <w:pPr>
                    <w:keepNext w:val="0"/>
                    <w:keepLines w:val="0"/>
                    <w:widowControl/>
                    <w:suppressLineNumbers w:val="0"/>
                    <w:jc w:val="center"/>
                    <w:textAlignment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7.2125</w:t>
                  </w:r>
                </w:p>
              </w:tc>
              <w:tc>
                <w:tcPr>
                  <w:tcW w:w="727" w:type="pct"/>
                  <w:tcBorders>
                    <w:tl2br w:val="nil"/>
                    <w:tr2bl w:val="nil"/>
                  </w:tcBorders>
                  <w:noWrap w:val="0"/>
                  <w:vAlign w:val="center"/>
                </w:tcPr>
                <w:p w14:paraId="125EA3D4">
                  <w:pPr>
                    <w:keepNext w:val="0"/>
                    <w:keepLines w:val="0"/>
                    <w:widowControl/>
                    <w:suppressLineNumbers w:val="0"/>
                    <w:jc w:val="center"/>
                    <w:textAlignment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0.05</w:t>
                  </w:r>
                </w:p>
              </w:tc>
              <w:tc>
                <w:tcPr>
                  <w:tcW w:w="848" w:type="pct"/>
                  <w:tcBorders>
                    <w:tl2br w:val="nil"/>
                    <w:tr2bl w:val="nil"/>
                  </w:tcBorders>
                  <w:noWrap w:val="0"/>
                  <w:vAlign w:val="center"/>
                </w:tcPr>
                <w:p w14:paraId="75345C1A">
                  <w:pPr>
                    <w:keepNext w:val="0"/>
                    <w:keepLines w:val="0"/>
                    <w:widowControl/>
                    <w:suppressLineNumbers w:val="0"/>
                    <w:jc w:val="center"/>
                    <w:textAlignment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3</w:t>
                  </w:r>
                  <w:r>
                    <w:rPr>
                      <w:rFonts w:hint="eastAsia" w:cs="Times New Roman"/>
                      <w:b w:val="0"/>
                      <w:bCs w:val="0"/>
                      <w:color w:val="FF0000"/>
                      <w:kern w:val="2"/>
                      <w:sz w:val="21"/>
                      <w:szCs w:val="21"/>
                      <w:highlight w:val="none"/>
                      <w:lang w:val="en-US" w:eastAsia="zh-CN" w:bidi="ar-SA"/>
                    </w:rPr>
                    <w:t>.605</w:t>
                  </w:r>
                </w:p>
              </w:tc>
              <w:tc>
                <w:tcPr>
                  <w:tcW w:w="688" w:type="pct"/>
                  <w:tcBorders>
                    <w:tl2br w:val="nil"/>
                    <w:tr2bl w:val="nil"/>
                  </w:tcBorders>
                  <w:noWrap w:val="0"/>
                  <w:vAlign w:val="center"/>
                </w:tcPr>
                <w:p w14:paraId="6C9E1503">
                  <w:pPr>
                    <w:keepNext w:val="0"/>
                    <w:keepLines w:val="0"/>
                    <w:widowControl/>
                    <w:suppressLineNumbers w:val="0"/>
                    <w:jc w:val="center"/>
                    <w:textAlignment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0</w:t>
                  </w:r>
                  <w:r>
                    <w:rPr>
                      <w:rFonts w:hint="eastAsia" w:cs="Times New Roman"/>
                      <w:b w:val="0"/>
                      <w:bCs w:val="0"/>
                      <w:color w:val="FF0000"/>
                      <w:kern w:val="2"/>
                      <w:sz w:val="21"/>
                      <w:szCs w:val="21"/>
                      <w:highlight w:val="none"/>
                      <w:lang w:val="en-US" w:eastAsia="zh-CN" w:bidi="ar-SA"/>
                    </w:rPr>
                    <w:t>.05</w:t>
                  </w:r>
                </w:p>
              </w:tc>
              <w:tc>
                <w:tcPr>
                  <w:tcW w:w="685" w:type="pct"/>
                  <w:tcBorders>
                    <w:tl2br w:val="nil"/>
                    <w:tr2bl w:val="nil"/>
                  </w:tcBorders>
                  <w:noWrap w:val="0"/>
                  <w:vAlign w:val="center"/>
                </w:tcPr>
                <w:p w14:paraId="451F4ED3">
                  <w:pPr>
                    <w:keepNext w:val="0"/>
                    <w:keepLines w:val="0"/>
                    <w:widowControl/>
                    <w:suppressLineNumbers w:val="0"/>
                    <w:jc w:val="center"/>
                    <w:textAlignment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3.5875</w:t>
                  </w:r>
                </w:p>
              </w:tc>
            </w:tr>
          </w:tbl>
          <w:p w14:paraId="04B4AA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object>
                <v:shape id="_x0000_i1053" o:spt="75" type="#_x0000_t75" style="height:208.15pt;width:399.55pt;" o:ole="t" filled="f" o:preferrelative="t" stroked="f" coordsize="21600,21600">
                  <v:path/>
                  <v:fill on="f" focussize="0,0"/>
                  <v:stroke on="f"/>
                  <v:imagedata r:id="rId12" o:title=""/>
                  <o:lock v:ext="edit" aspectratio="f"/>
                  <w10:wrap type="none"/>
                  <w10:anchorlock/>
                </v:shape>
                <o:OLEObject Type="Embed" ProgID="Visio.Drawing.11" ShapeID="_x0000_i1053" DrawAspect="Content" ObjectID="_1468075753" r:id="rId73">
                  <o:LockedField>false</o:LockedField>
                </o:OLEObject>
              </w:object>
            </w:r>
          </w:p>
          <w:p w14:paraId="7E1AF40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b/>
                <w:color w:val="FF0000"/>
                <w:spacing w:val="0"/>
                <w:szCs w:val="21"/>
                <w:lang w:val="en-US" w:eastAsia="zh-CN"/>
              </w:rPr>
            </w:pPr>
            <w:commentRangeStart w:id="39"/>
            <w:commentRangeStart w:id="40"/>
            <w:r>
              <w:rPr>
                <w:rFonts w:ascii="Times New Roman" w:hAnsi="Times New Roman" w:eastAsia="宋体" w:cs="Times New Roman"/>
                <w:b/>
                <w:color w:val="FF0000"/>
                <w:spacing w:val="0"/>
                <w:szCs w:val="21"/>
              </w:rPr>
              <w:t>图</w:t>
            </w:r>
            <w:commentRangeEnd w:id="39"/>
            <w:r>
              <w:commentReference w:id="39"/>
            </w:r>
            <w:commentRangeEnd w:id="40"/>
            <w:r>
              <w:commentReference w:id="40"/>
            </w:r>
            <w:r>
              <w:rPr>
                <w:rFonts w:hint="eastAsia" w:cs="Times New Roman"/>
                <w:b/>
                <w:color w:val="FF0000"/>
                <w:spacing w:val="0"/>
                <w:szCs w:val="21"/>
                <w:lang w:val="en-US" w:eastAsia="zh-CN"/>
              </w:rPr>
              <w:t>4-3</w:t>
            </w:r>
            <w:r>
              <w:rPr>
                <w:rFonts w:ascii="Times New Roman" w:hAnsi="Times New Roman" w:eastAsia="宋体" w:cs="Times New Roman"/>
                <w:b/>
                <w:color w:val="FF0000"/>
                <w:spacing w:val="0"/>
                <w:szCs w:val="21"/>
              </w:rPr>
              <w:t xml:space="preserve"> 本项目水平衡图</w:t>
            </w:r>
            <w:r>
              <w:rPr>
                <w:rFonts w:hint="eastAsia" w:cs="Times New Roman"/>
                <w:b/>
                <w:color w:val="FF0000"/>
                <w:spacing w:val="0"/>
                <w:szCs w:val="21"/>
                <w:lang w:val="en-US" w:eastAsia="zh-CN"/>
              </w:rPr>
              <w:t xml:space="preserve">  </w:t>
            </w:r>
            <w:r>
              <w:rPr>
                <w:rFonts w:ascii="Times New Roman" w:hAnsi="Times New Roman" w:eastAsia="宋体" w:cs="Times New Roman"/>
                <w:b/>
                <w:color w:val="FF0000"/>
                <w:spacing w:val="0"/>
                <w:szCs w:val="21"/>
              </w:rPr>
              <w:t>（t/</w:t>
            </w:r>
            <w:r>
              <w:rPr>
                <w:rFonts w:hint="eastAsia" w:ascii="Times New Roman" w:hAnsi="Times New Roman" w:eastAsia="宋体" w:cs="Times New Roman"/>
                <w:b/>
                <w:color w:val="FF0000"/>
                <w:spacing w:val="0"/>
                <w:szCs w:val="21"/>
                <w:lang w:val="en-US" w:eastAsia="zh-CN"/>
              </w:rPr>
              <w:t>d</w:t>
            </w:r>
            <w:r>
              <w:rPr>
                <w:rFonts w:ascii="Times New Roman" w:hAnsi="Times New Roman" w:eastAsia="宋体" w:cs="Times New Roman"/>
                <w:b/>
                <w:color w:val="FF0000"/>
                <w:spacing w:val="0"/>
                <w:szCs w:val="21"/>
              </w:rPr>
              <w:t>）</w:t>
            </w:r>
          </w:p>
          <w:p w14:paraId="3971B14F">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val="0"/>
                <w:bCs w:val="0"/>
                <w:color w:val="auto"/>
                <w:sz w:val="24"/>
                <w:szCs w:val="24"/>
                <w:highlight w:val="none"/>
                <w:shd w:val="clear" w:color="auto" w:fill="auto"/>
                <w:lang w:eastAsia="zh-CN"/>
              </w:rPr>
            </w:pPr>
            <w:r>
              <w:rPr>
                <w:rFonts w:hint="default" w:ascii="Times New Roman" w:hAnsi="Times New Roman" w:eastAsia="宋体" w:cs="Times New Roman"/>
                <w:b/>
                <w:bCs/>
                <w:color w:val="auto"/>
                <w:sz w:val="24"/>
                <w:szCs w:val="24"/>
                <w:highlight w:val="none"/>
                <w:shd w:val="clear" w:color="auto" w:fill="auto"/>
                <w:lang w:val="en-US" w:eastAsia="zh-CN"/>
              </w:rPr>
              <w:t>3、</w:t>
            </w:r>
            <w:r>
              <w:rPr>
                <w:rFonts w:hint="default" w:ascii="Times New Roman" w:hAnsi="Times New Roman" w:eastAsia="宋体" w:cs="Times New Roman"/>
                <w:b/>
                <w:bCs/>
                <w:color w:val="auto"/>
                <w:sz w:val="24"/>
                <w:szCs w:val="24"/>
                <w:highlight w:val="none"/>
                <w:shd w:val="clear" w:color="auto" w:fill="auto"/>
                <w:lang w:eastAsia="zh-CN"/>
              </w:rPr>
              <w:t>水污染控制和水环境影响减缓措施有效性评价</w:t>
            </w:r>
          </w:p>
          <w:p w14:paraId="4011E8E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lang w:val="en-US" w:eastAsia="zh-CN"/>
              </w:rPr>
            </w:pPr>
            <w:r>
              <w:rPr>
                <w:rFonts w:hint="default" w:ascii="Times New Roman" w:hAnsi="Times New Roman" w:eastAsia="宋体" w:cs="Times New Roman"/>
                <w:b w:val="0"/>
                <w:bCs w:val="0"/>
                <w:color w:val="auto"/>
                <w:sz w:val="24"/>
                <w:szCs w:val="24"/>
                <w:highlight w:val="none"/>
                <w:shd w:val="clear" w:color="auto" w:fill="auto"/>
                <w:lang w:val="en-US" w:eastAsia="zh-CN"/>
              </w:rPr>
              <w:t>项目主要废水为纯水制备浓水、生活污水，其中纯水制备浓水属于淸净下水可直接排入园区污水管网；生活污水经</w:t>
            </w:r>
            <w:r>
              <w:rPr>
                <w:rFonts w:hint="eastAsia" w:ascii="Times New Roman" w:hAnsi="Times New Roman" w:eastAsia="宋体" w:cs="Times New Roman"/>
                <w:b w:val="0"/>
                <w:bCs w:val="0"/>
                <w:color w:val="auto"/>
                <w:sz w:val="24"/>
                <w:szCs w:val="24"/>
                <w:highlight w:val="none"/>
                <w:shd w:val="clear" w:color="auto" w:fill="auto"/>
                <w:lang w:val="en-US" w:eastAsia="zh-CN"/>
              </w:rPr>
              <w:t>化粪池</w:t>
            </w:r>
            <w:r>
              <w:rPr>
                <w:rFonts w:hint="default" w:ascii="Times New Roman" w:hAnsi="Times New Roman" w:eastAsia="宋体" w:cs="Times New Roman"/>
                <w:b w:val="0"/>
                <w:bCs w:val="0"/>
                <w:color w:val="auto"/>
                <w:sz w:val="24"/>
                <w:szCs w:val="24"/>
                <w:highlight w:val="none"/>
                <w:shd w:val="clear" w:color="auto" w:fill="auto"/>
                <w:lang w:val="en-US" w:eastAsia="zh-CN"/>
              </w:rPr>
              <w:t>预处理达</w:t>
            </w:r>
            <w:r>
              <w:rPr>
                <w:rFonts w:hint="eastAsia" w:ascii="Times New Roman" w:hAnsi="Times New Roman" w:eastAsia="宋体" w:cs="Times New Roman"/>
                <w:b w:val="0"/>
                <w:bCs w:val="0"/>
                <w:color w:val="auto"/>
                <w:sz w:val="24"/>
                <w:szCs w:val="24"/>
                <w:highlight w:val="none"/>
                <w:shd w:val="clear" w:color="auto" w:fill="auto"/>
                <w:lang w:val="en-US" w:eastAsia="zh-CN"/>
              </w:rPr>
              <w:t>庐山工业污水处理厂</w:t>
            </w:r>
            <w:r>
              <w:rPr>
                <w:rFonts w:hint="default" w:ascii="Times New Roman" w:hAnsi="Times New Roman" w:eastAsia="宋体" w:cs="Times New Roman"/>
                <w:b w:val="0"/>
                <w:bCs w:val="0"/>
                <w:color w:val="auto"/>
                <w:sz w:val="24"/>
                <w:szCs w:val="24"/>
                <w:highlight w:val="none"/>
                <w:shd w:val="clear" w:color="auto" w:fill="auto"/>
                <w:lang w:val="en-US" w:eastAsia="zh-CN"/>
              </w:rPr>
              <w:t>接管标准后，通过污水管网排入</w:t>
            </w:r>
            <w:r>
              <w:rPr>
                <w:rFonts w:hint="eastAsia" w:ascii="Times New Roman" w:hAnsi="Times New Roman" w:eastAsia="宋体" w:cs="Times New Roman"/>
                <w:b w:val="0"/>
                <w:bCs w:val="0"/>
                <w:color w:val="auto"/>
                <w:sz w:val="24"/>
                <w:szCs w:val="24"/>
                <w:highlight w:val="none"/>
                <w:shd w:val="clear" w:color="auto" w:fill="auto"/>
                <w:lang w:val="en-US" w:eastAsia="zh-CN"/>
              </w:rPr>
              <w:t>庐山工业污水处理厂</w:t>
            </w:r>
            <w:r>
              <w:rPr>
                <w:rFonts w:hint="default" w:ascii="Times New Roman" w:hAnsi="Times New Roman" w:eastAsia="宋体" w:cs="Times New Roman"/>
                <w:b w:val="0"/>
                <w:bCs w:val="0"/>
                <w:color w:val="auto"/>
                <w:sz w:val="24"/>
                <w:szCs w:val="24"/>
                <w:highlight w:val="none"/>
                <w:shd w:val="clear" w:color="auto" w:fill="auto"/>
                <w:lang w:val="en-US" w:eastAsia="zh-CN"/>
              </w:rPr>
              <w:t>深度处理，待达《城镇污水处理厂污染物排放标准》（GB18918-2002</w:t>
            </w:r>
            <w:r>
              <w:rPr>
                <w:rFonts w:hint="eastAsia" w:ascii="Times New Roman" w:hAnsi="Times New Roman" w:eastAsia="宋体" w:cs="Times New Roman"/>
                <w:b w:val="0"/>
                <w:bCs w:val="0"/>
                <w:color w:val="auto"/>
                <w:sz w:val="24"/>
                <w:szCs w:val="24"/>
                <w:highlight w:val="none"/>
                <w:shd w:val="clear" w:color="auto" w:fill="auto"/>
                <w:lang w:val="en-US" w:eastAsia="zh-CN"/>
              </w:rPr>
              <w:t>）</w:t>
            </w:r>
            <w:r>
              <w:rPr>
                <w:rFonts w:hint="default" w:ascii="Times New Roman" w:hAnsi="Times New Roman" w:eastAsia="宋体" w:cs="Times New Roman"/>
                <w:b w:val="0"/>
                <w:bCs w:val="0"/>
                <w:color w:val="auto"/>
                <w:sz w:val="24"/>
                <w:szCs w:val="24"/>
                <w:highlight w:val="none"/>
                <w:shd w:val="clear" w:color="auto" w:fill="auto"/>
                <w:lang w:val="en-US" w:eastAsia="zh-CN"/>
              </w:rPr>
              <w:t>中一级A标准后排入</w:t>
            </w:r>
            <w:r>
              <w:rPr>
                <w:rFonts w:hint="eastAsia" w:ascii="Times New Roman" w:hAnsi="Times New Roman" w:eastAsia="宋体" w:cs="Times New Roman"/>
                <w:b w:val="0"/>
                <w:bCs w:val="0"/>
                <w:color w:val="auto"/>
                <w:sz w:val="24"/>
                <w:szCs w:val="24"/>
                <w:highlight w:val="none"/>
                <w:shd w:val="clear" w:color="auto" w:fill="auto"/>
                <w:lang w:val="en-US" w:eastAsia="zh-CN"/>
              </w:rPr>
              <w:t>鄱阳湖</w:t>
            </w:r>
            <w:r>
              <w:rPr>
                <w:rFonts w:hint="default" w:ascii="Times New Roman" w:hAnsi="Times New Roman" w:eastAsia="宋体" w:cs="Times New Roman"/>
                <w:b w:val="0"/>
                <w:bCs w:val="0"/>
                <w:color w:val="auto"/>
                <w:sz w:val="24"/>
                <w:szCs w:val="24"/>
                <w:highlight w:val="none"/>
                <w:shd w:val="clear" w:color="auto" w:fill="auto"/>
                <w:lang w:val="en-US" w:eastAsia="zh-CN"/>
              </w:rPr>
              <w:t>，属间接排放，对周围环境影响较小。</w:t>
            </w:r>
          </w:p>
          <w:p w14:paraId="316EDD78">
            <w:pPr>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4、废水进入庐山工业污水处理厂的环境可行性</w:t>
            </w:r>
          </w:p>
          <w:p w14:paraId="1B1C13A5">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本项目建成后，</w:t>
            </w:r>
            <w:r>
              <w:rPr>
                <w:rFonts w:hint="eastAsia" w:ascii="Times New Roman" w:hAnsi="Times New Roman" w:eastAsia="宋体" w:cs="Times New Roman"/>
                <w:color w:val="auto"/>
                <w:sz w:val="24"/>
                <w:lang w:val="en-US" w:eastAsia="zh-CN"/>
              </w:rPr>
              <w:t>外排废水为生活污水、纯水制备浓水，排放量为</w:t>
            </w:r>
            <w:r>
              <w:rPr>
                <w:rFonts w:hint="eastAsia" w:cs="Times New Roman"/>
                <w:color w:val="auto"/>
                <w:sz w:val="24"/>
                <w:lang w:val="en-US" w:eastAsia="zh-CN"/>
              </w:rPr>
              <w:t>1076.25</w:t>
            </w:r>
            <w:r>
              <w:rPr>
                <w:rFonts w:hint="eastAsia" w:ascii="Times New Roman" w:hAnsi="Times New Roman" w:eastAsia="宋体" w:cs="Times New Roman"/>
                <w:color w:val="auto"/>
                <w:sz w:val="24"/>
                <w:lang w:val="en-US" w:eastAsia="zh-CN"/>
              </w:rPr>
              <w:t>t</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a（3.</w:t>
            </w:r>
            <w:r>
              <w:rPr>
                <w:rFonts w:hint="eastAsia" w:cs="Times New Roman"/>
                <w:color w:val="auto"/>
                <w:sz w:val="24"/>
                <w:lang w:val="en-US" w:eastAsia="zh-CN"/>
              </w:rPr>
              <w:t>5875</w:t>
            </w:r>
            <w:r>
              <w:rPr>
                <w:rFonts w:hint="eastAsia" w:ascii="Times New Roman" w:hAnsi="Times New Roman" w:eastAsia="宋体" w:cs="Times New Roman"/>
                <w:color w:val="auto"/>
                <w:sz w:val="24"/>
                <w:lang w:val="en-US" w:eastAsia="zh-CN"/>
              </w:rPr>
              <w:t>t/d）</w:t>
            </w:r>
            <w:r>
              <w:rPr>
                <w:rFonts w:hint="eastAsia" w:ascii="Times New Roman" w:hAnsi="Times New Roman" w:eastAsia="宋体" w:cs="Times New Roman"/>
                <w:color w:val="auto"/>
                <w:sz w:val="24"/>
              </w:rPr>
              <w:t>，主要污染物为COD</w:t>
            </w:r>
            <w:r>
              <w:rPr>
                <w:rFonts w:hint="eastAsia" w:ascii="Times New Roman" w:hAnsi="Times New Roman" w:eastAsia="宋体" w:cs="Times New Roman"/>
                <w:color w:val="auto"/>
                <w:sz w:val="24"/>
                <w:lang w:val="en-US" w:eastAsia="zh-CN"/>
              </w:rPr>
              <w:t>cr</w:t>
            </w:r>
            <w:r>
              <w:rPr>
                <w:rFonts w:hint="eastAsia" w:ascii="Times New Roman" w:hAnsi="Times New Roman" w:eastAsia="宋体" w:cs="Times New Roman"/>
                <w:color w:val="auto"/>
                <w:sz w:val="24"/>
              </w:rPr>
              <w:t>、BOD</w:t>
            </w:r>
            <w:r>
              <w:rPr>
                <w:rFonts w:hint="eastAsia" w:ascii="Times New Roman" w:hAnsi="Times New Roman" w:eastAsia="宋体" w:cs="Times New Roman"/>
                <w:color w:val="auto"/>
                <w:sz w:val="24"/>
                <w:vertAlign w:val="subscript"/>
              </w:rPr>
              <w:t>5</w:t>
            </w:r>
            <w:r>
              <w:rPr>
                <w:rFonts w:hint="eastAsia" w:ascii="Times New Roman" w:hAnsi="Times New Roman" w:eastAsia="宋体" w:cs="Times New Roman"/>
                <w:color w:val="auto"/>
                <w:sz w:val="24"/>
              </w:rPr>
              <w:t>、SS、NH</w:t>
            </w:r>
            <w:r>
              <w:rPr>
                <w:rFonts w:hint="eastAsia" w:ascii="Times New Roman" w:hAnsi="Times New Roman" w:eastAsia="宋体" w:cs="Times New Roman"/>
                <w:color w:val="auto"/>
                <w:sz w:val="24"/>
                <w:vertAlign w:val="subscript"/>
              </w:rPr>
              <w:t>3</w:t>
            </w:r>
            <w:r>
              <w:rPr>
                <w:rFonts w:hint="eastAsia" w:ascii="Times New Roman" w:hAnsi="Times New Roman" w:eastAsia="宋体" w:cs="Times New Roman"/>
                <w:color w:val="auto"/>
                <w:sz w:val="24"/>
              </w:rPr>
              <w:t>-N</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TP、TN</w:t>
            </w:r>
            <w:r>
              <w:rPr>
                <w:rFonts w:hint="eastAsia" w:cs="Times New Roman"/>
                <w:color w:val="auto"/>
                <w:sz w:val="24"/>
                <w:lang w:eastAsia="zh-CN"/>
              </w:rPr>
              <w:t>、</w:t>
            </w:r>
            <w:r>
              <w:rPr>
                <w:rFonts w:hint="eastAsia" w:cs="Times New Roman"/>
                <w:color w:val="auto"/>
                <w:sz w:val="24"/>
                <w:lang w:val="en-US" w:eastAsia="zh-CN"/>
              </w:rPr>
              <w:t>总有机碳</w:t>
            </w:r>
            <w:r>
              <w:rPr>
                <w:rFonts w:hint="eastAsia" w:ascii="Times New Roman" w:hAnsi="Times New Roman" w:eastAsia="宋体" w:cs="Times New Roman"/>
                <w:color w:val="auto"/>
                <w:sz w:val="24"/>
              </w:rPr>
              <w:t>，废水</w:t>
            </w:r>
            <w:r>
              <w:rPr>
                <w:rFonts w:hint="eastAsia" w:ascii="Times New Roman" w:hAnsi="Times New Roman" w:eastAsia="宋体" w:cs="Times New Roman"/>
                <w:color w:val="auto"/>
                <w:sz w:val="24"/>
                <w:lang w:val="en-US" w:eastAsia="zh-CN"/>
              </w:rPr>
              <w:t>经</w:t>
            </w:r>
            <w:r>
              <w:rPr>
                <w:rFonts w:hint="eastAsia" w:cs="Times New Roman"/>
                <w:color w:val="auto"/>
                <w:sz w:val="24"/>
                <w:lang w:val="en-US" w:eastAsia="zh-CN"/>
              </w:rPr>
              <w:t>沉淀池</w:t>
            </w:r>
            <w:r>
              <w:rPr>
                <w:rFonts w:hint="eastAsia" w:ascii="Times New Roman" w:hAnsi="Times New Roman" w:eastAsia="宋体" w:cs="Times New Roman"/>
                <w:color w:val="auto"/>
                <w:sz w:val="24"/>
                <w:lang w:val="en-US" w:eastAsia="zh-CN"/>
              </w:rPr>
              <w:t>+化粪池</w:t>
            </w:r>
            <w:r>
              <w:rPr>
                <w:rFonts w:hint="eastAsia" w:ascii="Times New Roman" w:hAnsi="Times New Roman" w:eastAsia="宋体" w:cs="Times New Roman"/>
                <w:color w:val="auto"/>
                <w:sz w:val="24"/>
              </w:rPr>
              <w:t>预处理后排入</w:t>
            </w:r>
            <w:r>
              <w:rPr>
                <w:rFonts w:hint="eastAsia" w:ascii="Times New Roman" w:hAnsi="Times New Roman" w:eastAsia="宋体" w:cs="Times New Roman"/>
                <w:color w:val="auto"/>
                <w:sz w:val="24"/>
                <w:lang w:val="en-US" w:eastAsia="zh-CN"/>
              </w:rPr>
              <w:t>庐山</w:t>
            </w:r>
            <w:r>
              <w:rPr>
                <w:rFonts w:hint="eastAsia" w:ascii="Times New Roman" w:hAnsi="Times New Roman" w:eastAsia="宋体" w:cs="Times New Roman"/>
                <w:color w:val="auto"/>
                <w:sz w:val="24"/>
              </w:rPr>
              <w:t>工业污水处理厂进行处理，</w:t>
            </w:r>
            <w:r>
              <w:rPr>
                <w:rFonts w:hint="eastAsia" w:ascii="Times New Roman" w:hAnsi="Times New Roman" w:eastAsia="宋体" w:cs="Times New Roman"/>
                <w:color w:val="auto"/>
                <w:sz w:val="24"/>
                <w:lang w:val="en-US" w:eastAsia="zh-CN"/>
              </w:rPr>
              <w:t>庐山工业</w:t>
            </w:r>
            <w:r>
              <w:rPr>
                <w:rFonts w:hint="eastAsia" w:ascii="Times New Roman" w:hAnsi="Times New Roman" w:eastAsia="宋体" w:cs="Times New Roman"/>
                <w:color w:val="auto"/>
                <w:sz w:val="24"/>
              </w:rPr>
              <w:t>污水处理厂位于庐山工业园区东部，日处理量</w:t>
            </w:r>
            <w:r>
              <w:rPr>
                <w:rFonts w:hint="eastAsia" w:ascii="Times New Roman" w:hAnsi="Times New Roman" w:eastAsia="宋体" w:cs="Times New Roman"/>
                <w:color w:val="auto"/>
                <w:sz w:val="24"/>
                <w:lang w:val="en-US" w:eastAsia="zh-CN"/>
              </w:rPr>
              <w:t>0.5</w:t>
            </w:r>
            <w:r>
              <w:rPr>
                <w:rFonts w:hint="eastAsia" w:ascii="Times New Roman" w:hAnsi="Times New Roman" w:eastAsia="宋体" w:cs="Times New Roman"/>
                <w:color w:val="auto"/>
                <w:sz w:val="24"/>
              </w:rPr>
              <w:t>万吨，</w:t>
            </w:r>
            <w:r>
              <w:rPr>
                <w:rFonts w:hint="eastAsia" w:ascii="Times New Roman" w:hAnsi="Times New Roman" w:eastAsia="宋体" w:cs="Times New Roman"/>
                <w:color w:val="auto"/>
                <w:sz w:val="24"/>
                <w:lang w:val="en-US" w:eastAsia="zh-CN"/>
              </w:rPr>
              <w:t>污水处理</w:t>
            </w:r>
            <w:r>
              <w:rPr>
                <w:rFonts w:hint="eastAsia" w:ascii="Times New Roman" w:hAnsi="Times New Roman" w:eastAsia="宋体" w:cs="Times New Roman"/>
                <w:color w:val="auto"/>
                <w:sz w:val="24"/>
              </w:rPr>
              <w:t>采用物化预处理+ALB生化一体池（厌氧池、缺氧池、曝气池）+紫外消毒工艺</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根据调查及参考《江西庐山工业园区扩区调区规划环境影响报告书（修改稿）》（2023.4），江西庐山工业园庐山工业污水处理厂运行状况良好，2019年~2022年日均处理量为1050~2035m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/d，现状处理规模5000m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/d，实际废水处理量约占设计处理能力的21%-40.7%，按实际处理40.7%计算纳管余量为2965m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/d，本项目日外排量</w:t>
            </w:r>
            <w:r>
              <w:rPr>
                <w:rFonts w:hint="eastAsia" w:cs="Times New Roman"/>
                <w:color w:val="auto"/>
                <w:sz w:val="24"/>
                <w:lang w:val="en-US" w:eastAsia="zh-CN"/>
              </w:rPr>
              <w:t>3.5875</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w:t>
            </w:r>
            <w:r>
              <w:rPr>
                <w:rFonts w:hint="eastAsia" w:ascii="Times New Roman" w:hAnsi="Times New Roman" w:eastAsia="宋体" w:cs="Times New Roman"/>
                <w:color w:val="auto"/>
                <w:sz w:val="24"/>
              </w:rPr>
              <w:t>本项目废水排放量</w:t>
            </w:r>
            <w:r>
              <w:rPr>
                <w:rFonts w:hint="eastAsia" w:ascii="Times New Roman" w:hAnsi="Times New Roman" w:eastAsia="宋体" w:cs="Times New Roman"/>
                <w:color w:val="auto"/>
                <w:sz w:val="24"/>
                <w:lang w:val="en-US" w:eastAsia="zh-CN"/>
              </w:rPr>
              <w:t>占日处理余量的0.1</w:t>
            </w: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%，占</w:t>
            </w:r>
            <w:r>
              <w:rPr>
                <w:rFonts w:hint="eastAsia" w:ascii="Times New Roman" w:hAnsi="Times New Roman" w:eastAsia="宋体" w:cs="Times New Roman"/>
                <w:color w:val="auto"/>
                <w:sz w:val="24"/>
              </w:rPr>
              <w:t>污水处理厂</w:t>
            </w:r>
            <w:r>
              <w:rPr>
                <w:rFonts w:hint="eastAsia" w:ascii="Times New Roman" w:hAnsi="Times New Roman" w:eastAsia="宋体" w:cs="Times New Roman"/>
                <w:color w:val="auto"/>
                <w:sz w:val="24"/>
                <w:lang w:val="en-US" w:eastAsia="zh-CN"/>
              </w:rPr>
              <w:t>日</w:t>
            </w:r>
            <w:r>
              <w:rPr>
                <w:rFonts w:hint="eastAsia" w:ascii="Times New Roman" w:hAnsi="Times New Roman" w:eastAsia="宋体" w:cs="Times New Roman"/>
                <w:color w:val="auto"/>
                <w:sz w:val="24"/>
              </w:rPr>
              <w:t>处理</w:t>
            </w:r>
            <w:r>
              <w:rPr>
                <w:rFonts w:hint="eastAsia" w:ascii="Times New Roman" w:hAnsi="Times New Roman" w:eastAsia="宋体" w:cs="Times New Roman"/>
                <w:color w:val="auto"/>
                <w:sz w:val="24"/>
                <w:lang w:val="en-US" w:eastAsia="zh-CN"/>
              </w:rPr>
              <w:t>量比例较小</w:t>
            </w:r>
            <w:r>
              <w:rPr>
                <w:rFonts w:hint="eastAsia" w:ascii="Times New Roman" w:hAnsi="Times New Roman" w:eastAsia="宋体" w:cs="Times New Roman"/>
                <w:color w:val="auto"/>
                <w:sz w:val="24"/>
              </w:rPr>
              <w:t>，不会明显增加其污水处理负荷，</w:t>
            </w:r>
            <w:r>
              <w:rPr>
                <w:rFonts w:hint="eastAsia" w:ascii="Times New Roman" w:hAnsi="Times New Roman" w:eastAsia="宋体" w:cs="Times New Roman"/>
                <w:color w:val="auto"/>
                <w:sz w:val="24"/>
                <w:lang w:val="en-US" w:eastAsia="zh-CN"/>
              </w:rPr>
              <w:t>不会影响污水处理厂废水处理的正常运转，</w:t>
            </w:r>
            <w:r>
              <w:rPr>
                <w:rFonts w:hint="eastAsia" w:ascii="Times New Roman" w:hAnsi="Times New Roman" w:eastAsia="宋体" w:cs="Times New Roman"/>
                <w:color w:val="auto"/>
                <w:sz w:val="24"/>
              </w:rPr>
              <w:t>且该方案符合污水统一管理、集中处理的原则，可有效降低企业分别建设的费用和运行成本</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污水管网已接通至本项目。</w:t>
            </w:r>
          </w:p>
          <w:p w14:paraId="614F1575">
            <w:pPr>
              <w:spacing w:line="360" w:lineRule="auto"/>
              <w:ind w:right="-2" w:rightChars="-1" w:firstLine="482" w:firstLineChars="200"/>
              <w:rPr>
                <w:rFonts w:ascii="Times New Roman" w:hAnsi="Times New Roman" w:eastAsia="宋体" w:cs="Times New Roman"/>
                <w:color w:val="auto"/>
                <w:sz w:val="24"/>
                <w:highlight w:val="none"/>
              </w:rPr>
            </w:pPr>
            <w:r>
              <w:rPr>
                <w:rFonts w:hint="eastAsia" w:ascii="Times New Roman" w:hAnsi="Times New Roman" w:eastAsia="宋体" w:cs="Times New Roman"/>
                <w:b/>
                <w:bCs/>
                <w:color w:val="auto"/>
                <w:sz w:val="24"/>
                <w:szCs w:val="24"/>
                <w:highlight w:val="none"/>
                <w:shd w:val="clear" w:color="auto" w:fill="auto"/>
                <w:lang w:val="en-US" w:eastAsia="zh-CN"/>
              </w:rPr>
              <w:t>5</w:t>
            </w:r>
            <w:r>
              <w:rPr>
                <w:rFonts w:hint="default" w:ascii="Times New Roman" w:hAnsi="Times New Roman" w:eastAsia="宋体" w:cs="Times New Roman"/>
                <w:b/>
                <w:bCs/>
                <w:color w:val="auto"/>
                <w:sz w:val="24"/>
                <w:szCs w:val="24"/>
                <w:highlight w:val="none"/>
                <w:shd w:val="clear" w:color="auto" w:fill="auto"/>
                <w:lang w:val="en-US" w:eastAsia="zh-CN"/>
              </w:rPr>
              <w:t>、</w:t>
            </w:r>
            <w:r>
              <w:rPr>
                <w:rFonts w:hint="eastAsia" w:ascii="Times New Roman" w:hAnsi="Times New Roman" w:eastAsia="宋体" w:cs="Times New Roman"/>
                <w:b/>
                <w:bCs/>
                <w:color w:val="auto"/>
                <w:sz w:val="24"/>
                <w:szCs w:val="24"/>
                <w:highlight w:val="none"/>
                <w:shd w:val="clear" w:color="auto" w:fill="auto"/>
                <w:lang w:val="en-US" w:eastAsia="zh-CN"/>
              </w:rPr>
              <w:t>废水排放口设置情况</w:t>
            </w:r>
          </w:p>
          <w:p w14:paraId="5EC1A426">
            <w:pPr>
              <w:spacing w:line="360" w:lineRule="auto"/>
              <w:ind w:right="-2" w:rightChars="-1"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本项目废水类别及污染治理设施信息</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废水</w:t>
            </w:r>
            <w:r>
              <w:rPr>
                <w:rFonts w:hint="eastAsia" w:ascii="Times New Roman" w:hAnsi="Times New Roman" w:eastAsia="宋体" w:cs="Times New Roman"/>
                <w:color w:val="auto"/>
                <w:sz w:val="24"/>
                <w:highlight w:val="none"/>
                <w:lang w:eastAsia="zh-CN"/>
              </w:rPr>
              <w:t>间接排放口</w:t>
            </w:r>
            <w:r>
              <w:rPr>
                <w:rFonts w:ascii="Times New Roman" w:hAnsi="Times New Roman" w:eastAsia="宋体" w:cs="Times New Roman"/>
                <w:color w:val="auto"/>
                <w:sz w:val="24"/>
                <w:highlight w:val="none"/>
              </w:rPr>
              <w:t>基本情况</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szCs w:val="32"/>
                <w:highlight w:val="none"/>
              </w:rPr>
              <w:t>废水污染物排放执行标准见</w:t>
            </w:r>
            <w:r>
              <w:rPr>
                <w:rFonts w:hint="eastAsia" w:ascii="Times New Roman" w:hAnsi="Times New Roman" w:eastAsia="宋体" w:cs="Times New Roman"/>
                <w:color w:val="auto"/>
                <w:sz w:val="24"/>
                <w:szCs w:val="32"/>
                <w:highlight w:val="none"/>
                <w:lang w:val="en-US" w:eastAsia="zh-CN"/>
              </w:rPr>
              <w:t>下</w:t>
            </w:r>
            <w:r>
              <w:rPr>
                <w:rFonts w:ascii="Times New Roman" w:hAnsi="Times New Roman" w:eastAsia="宋体" w:cs="Times New Roman"/>
                <w:color w:val="auto"/>
                <w:sz w:val="24"/>
                <w:szCs w:val="32"/>
                <w:highlight w:val="none"/>
              </w:rPr>
              <w:t>表</w:t>
            </w:r>
            <w:r>
              <w:rPr>
                <w:rFonts w:ascii="Times New Roman" w:hAnsi="Times New Roman" w:eastAsia="宋体" w:cs="Times New Roman"/>
                <w:color w:val="auto"/>
                <w:sz w:val="24"/>
                <w:highlight w:val="none"/>
              </w:rPr>
              <w:t>。</w:t>
            </w:r>
          </w:p>
          <w:p w14:paraId="27559790">
            <w:pPr>
              <w:spacing w:before="156" w:beforeLines="5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表4-</w:t>
            </w:r>
            <w:r>
              <w:rPr>
                <w:rFonts w:hint="eastAsia" w:cs="Times New Roman"/>
                <w:b/>
                <w:color w:val="auto"/>
                <w:szCs w:val="21"/>
                <w:highlight w:val="none"/>
                <w:lang w:val="en-US" w:eastAsia="zh-CN"/>
              </w:rPr>
              <w:t>10</w:t>
            </w:r>
            <w:r>
              <w:rPr>
                <w:rFonts w:ascii="Times New Roman" w:hAnsi="Times New Roman" w:eastAsia="宋体" w:cs="Times New Roman"/>
                <w:b/>
                <w:color w:val="auto"/>
                <w:szCs w:val="21"/>
                <w:highlight w:val="none"/>
              </w:rPr>
              <w:t xml:space="preserve">  废水类别、污染物及污染治理设施信息表</w:t>
            </w:r>
          </w:p>
          <w:tbl>
            <w:tblPr>
              <w:tblStyle w:val="24"/>
              <w:tblW w:w="49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9"/>
              <w:gridCol w:w="830"/>
              <w:gridCol w:w="725"/>
              <w:gridCol w:w="1003"/>
              <w:gridCol w:w="647"/>
              <w:gridCol w:w="552"/>
              <w:gridCol w:w="1040"/>
              <w:gridCol w:w="618"/>
              <w:gridCol w:w="1030"/>
              <w:gridCol w:w="1491"/>
            </w:tblGrid>
            <w:tr w14:paraId="6B50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2" w:hRule="atLeast"/>
                <w:jc w:val="center"/>
              </w:trPr>
              <w:tc>
                <w:tcPr>
                  <w:tcW w:w="312" w:type="pct"/>
                  <w:vMerge w:val="restart"/>
                  <w:tcBorders>
                    <w:top w:val="single" w:color="auto" w:sz="12" w:space="0"/>
                    <w:left w:val="nil"/>
                  </w:tcBorders>
                  <w:noWrap w:val="0"/>
                  <w:tcMar>
                    <w:left w:w="0" w:type="dxa"/>
                    <w:right w:w="0" w:type="dxa"/>
                  </w:tcMar>
                  <w:vAlign w:val="center"/>
                </w:tcPr>
                <w:p w14:paraId="0E2A72F1">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废水类别</w:t>
                  </w:r>
                </w:p>
              </w:tc>
              <w:tc>
                <w:tcPr>
                  <w:tcW w:w="490" w:type="pct"/>
                  <w:vMerge w:val="restart"/>
                  <w:tcBorders>
                    <w:top w:val="single" w:color="auto" w:sz="12" w:space="0"/>
                  </w:tcBorders>
                  <w:noWrap w:val="0"/>
                  <w:tcMar>
                    <w:left w:w="0" w:type="dxa"/>
                    <w:right w:w="0" w:type="dxa"/>
                  </w:tcMar>
                  <w:vAlign w:val="center"/>
                </w:tcPr>
                <w:p w14:paraId="23B4F1E2">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污染物种类</w:t>
                  </w:r>
                </w:p>
              </w:tc>
              <w:tc>
                <w:tcPr>
                  <w:tcW w:w="428" w:type="pct"/>
                  <w:vMerge w:val="restart"/>
                  <w:tcBorders>
                    <w:top w:val="single" w:color="auto" w:sz="12" w:space="0"/>
                  </w:tcBorders>
                  <w:noWrap w:val="0"/>
                  <w:tcMar>
                    <w:left w:w="0" w:type="dxa"/>
                    <w:right w:w="0" w:type="dxa"/>
                  </w:tcMar>
                  <w:vAlign w:val="center"/>
                </w:tcPr>
                <w:p w14:paraId="4F0B5FCA">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排放去向</w:t>
                  </w:r>
                </w:p>
              </w:tc>
              <w:tc>
                <w:tcPr>
                  <w:tcW w:w="592" w:type="pct"/>
                  <w:vMerge w:val="restart"/>
                  <w:tcBorders>
                    <w:top w:val="single" w:color="auto" w:sz="12" w:space="0"/>
                  </w:tcBorders>
                  <w:noWrap w:val="0"/>
                  <w:tcMar>
                    <w:left w:w="0" w:type="dxa"/>
                    <w:right w:w="0" w:type="dxa"/>
                  </w:tcMar>
                  <w:vAlign w:val="center"/>
                </w:tcPr>
                <w:p w14:paraId="6057C09A">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排放规律</w:t>
                  </w:r>
                </w:p>
              </w:tc>
              <w:tc>
                <w:tcPr>
                  <w:tcW w:w="1322" w:type="pct"/>
                  <w:gridSpan w:val="3"/>
                  <w:tcBorders>
                    <w:top w:val="single" w:color="auto" w:sz="12" w:space="0"/>
                  </w:tcBorders>
                  <w:noWrap w:val="0"/>
                  <w:tcMar>
                    <w:left w:w="0" w:type="dxa"/>
                    <w:right w:w="0" w:type="dxa"/>
                  </w:tcMar>
                  <w:vAlign w:val="center"/>
                </w:tcPr>
                <w:p w14:paraId="78CF15FF">
                  <w:pPr>
                    <w:jc w:val="center"/>
                    <w:rPr>
                      <w:rFonts w:ascii="Times New Roman" w:hAnsi="Times New Roman" w:eastAsia="宋体" w:cs="Times New Roman"/>
                      <w:color w:val="auto"/>
                      <w:szCs w:val="21"/>
                      <w:highlight w:val="none"/>
                    </w:rPr>
                  </w:pPr>
                  <w:r>
                    <w:rPr>
                      <w:rFonts w:ascii="Times New Roman" w:hAnsi="Times New Roman" w:eastAsia="宋体" w:cs="Times New Roman"/>
                      <w:b/>
                      <w:bCs/>
                      <w:color w:val="auto"/>
                      <w:szCs w:val="21"/>
                      <w:highlight w:val="none"/>
                    </w:rPr>
                    <w:t>污染治理设施</w:t>
                  </w:r>
                </w:p>
              </w:tc>
              <w:tc>
                <w:tcPr>
                  <w:tcW w:w="365" w:type="pct"/>
                  <w:vMerge w:val="restart"/>
                  <w:tcBorders>
                    <w:top w:val="single" w:color="auto" w:sz="12" w:space="0"/>
                  </w:tcBorders>
                  <w:noWrap w:val="0"/>
                  <w:tcMar>
                    <w:left w:w="0" w:type="dxa"/>
                    <w:right w:w="0" w:type="dxa"/>
                  </w:tcMar>
                  <w:vAlign w:val="center"/>
                </w:tcPr>
                <w:p w14:paraId="414F6804">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排放口编号*</w:t>
                  </w:r>
                </w:p>
              </w:tc>
              <w:tc>
                <w:tcPr>
                  <w:tcW w:w="608" w:type="pct"/>
                  <w:vMerge w:val="restart"/>
                  <w:tcBorders>
                    <w:top w:val="single" w:color="auto" w:sz="12" w:space="0"/>
                  </w:tcBorders>
                  <w:noWrap w:val="0"/>
                  <w:tcMar>
                    <w:left w:w="0" w:type="dxa"/>
                    <w:right w:w="0" w:type="dxa"/>
                  </w:tcMar>
                  <w:vAlign w:val="center"/>
                </w:tcPr>
                <w:p w14:paraId="215D7455">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排放口设置是否符合要求</w:t>
                  </w:r>
                </w:p>
              </w:tc>
              <w:tc>
                <w:tcPr>
                  <w:tcW w:w="880" w:type="pct"/>
                  <w:vMerge w:val="restart"/>
                  <w:tcBorders>
                    <w:top w:val="single" w:color="auto" w:sz="12" w:space="0"/>
                    <w:right w:val="nil"/>
                  </w:tcBorders>
                  <w:noWrap w:val="0"/>
                  <w:tcMar>
                    <w:left w:w="0" w:type="dxa"/>
                    <w:right w:w="0" w:type="dxa"/>
                  </w:tcMar>
                  <w:vAlign w:val="center"/>
                </w:tcPr>
                <w:p w14:paraId="6F0D7B10">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排放口类型</w:t>
                  </w:r>
                </w:p>
              </w:tc>
            </w:tr>
            <w:tr w14:paraId="0059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8" w:hRule="atLeast"/>
                <w:jc w:val="center"/>
              </w:trPr>
              <w:tc>
                <w:tcPr>
                  <w:tcW w:w="312" w:type="pct"/>
                  <w:vMerge w:val="continue"/>
                  <w:tcBorders>
                    <w:left w:val="nil"/>
                    <w:bottom w:val="single" w:color="auto" w:sz="12" w:space="0"/>
                  </w:tcBorders>
                  <w:noWrap w:val="0"/>
                  <w:tcMar>
                    <w:left w:w="0" w:type="dxa"/>
                    <w:right w:w="0" w:type="dxa"/>
                  </w:tcMar>
                  <w:vAlign w:val="center"/>
                </w:tcPr>
                <w:p w14:paraId="77E97E5D">
                  <w:pPr>
                    <w:jc w:val="center"/>
                    <w:rPr>
                      <w:rFonts w:ascii="Times New Roman" w:hAnsi="Times New Roman" w:eastAsia="宋体" w:cs="Times New Roman"/>
                      <w:color w:val="auto"/>
                      <w:highlight w:val="none"/>
                    </w:rPr>
                  </w:pPr>
                </w:p>
              </w:tc>
              <w:tc>
                <w:tcPr>
                  <w:tcW w:w="490" w:type="pct"/>
                  <w:vMerge w:val="continue"/>
                  <w:tcBorders>
                    <w:bottom w:val="single" w:color="auto" w:sz="12" w:space="0"/>
                  </w:tcBorders>
                  <w:noWrap w:val="0"/>
                  <w:tcMar>
                    <w:left w:w="0" w:type="dxa"/>
                    <w:right w:w="0" w:type="dxa"/>
                  </w:tcMar>
                  <w:vAlign w:val="center"/>
                </w:tcPr>
                <w:p w14:paraId="5757B063">
                  <w:pPr>
                    <w:jc w:val="center"/>
                    <w:rPr>
                      <w:rFonts w:ascii="Times New Roman" w:hAnsi="Times New Roman" w:eastAsia="宋体" w:cs="Times New Roman"/>
                      <w:color w:val="auto"/>
                      <w:highlight w:val="none"/>
                    </w:rPr>
                  </w:pPr>
                </w:p>
              </w:tc>
              <w:tc>
                <w:tcPr>
                  <w:tcW w:w="428" w:type="pct"/>
                  <w:vMerge w:val="continue"/>
                  <w:tcBorders>
                    <w:bottom w:val="single" w:color="auto" w:sz="12" w:space="0"/>
                  </w:tcBorders>
                  <w:noWrap w:val="0"/>
                  <w:tcMar>
                    <w:left w:w="0" w:type="dxa"/>
                    <w:right w:w="0" w:type="dxa"/>
                  </w:tcMar>
                  <w:vAlign w:val="center"/>
                </w:tcPr>
                <w:p w14:paraId="453207C5">
                  <w:pPr>
                    <w:jc w:val="center"/>
                    <w:rPr>
                      <w:rFonts w:ascii="Times New Roman" w:hAnsi="Times New Roman" w:eastAsia="宋体" w:cs="Times New Roman"/>
                      <w:color w:val="auto"/>
                      <w:highlight w:val="none"/>
                    </w:rPr>
                  </w:pPr>
                </w:p>
              </w:tc>
              <w:tc>
                <w:tcPr>
                  <w:tcW w:w="592" w:type="pct"/>
                  <w:vMerge w:val="continue"/>
                  <w:tcBorders>
                    <w:bottom w:val="single" w:color="auto" w:sz="12" w:space="0"/>
                  </w:tcBorders>
                  <w:noWrap w:val="0"/>
                  <w:tcMar>
                    <w:left w:w="0" w:type="dxa"/>
                    <w:right w:w="0" w:type="dxa"/>
                  </w:tcMar>
                  <w:vAlign w:val="center"/>
                </w:tcPr>
                <w:p w14:paraId="1524FEEE">
                  <w:pPr>
                    <w:jc w:val="center"/>
                    <w:rPr>
                      <w:rFonts w:ascii="Times New Roman" w:hAnsi="Times New Roman" w:eastAsia="宋体" w:cs="Times New Roman"/>
                      <w:color w:val="auto"/>
                      <w:highlight w:val="none"/>
                    </w:rPr>
                  </w:pPr>
                </w:p>
              </w:tc>
              <w:tc>
                <w:tcPr>
                  <w:tcW w:w="382" w:type="pct"/>
                  <w:tcBorders>
                    <w:bottom w:val="single" w:color="auto" w:sz="12" w:space="0"/>
                  </w:tcBorders>
                  <w:noWrap w:val="0"/>
                  <w:tcMar>
                    <w:left w:w="0" w:type="dxa"/>
                    <w:right w:w="0" w:type="dxa"/>
                  </w:tcMar>
                  <w:vAlign w:val="center"/>
                </w:tcPr>
                <w:p w14:paraId="7C421F64">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编号</w:t>
                  </w:r>
                </w:p>
              </w:tc>
              <w:tc>
                <w:tcPr>
                  <w:tcW w:w="326" w:type="pct"/>
                  <w:tcBorders>
                    <w:bottom w:val="single" w:color="auto" w:sz="12" w:space="0"/>
                  </w:tcBorders>
                  <w:noWrap w:val="0"/>
                  <w:tcMar>
                    <w:left w:w="0" w:type="dxa"/>
                    <w:right w:w="0" w:type="dxa"/>
                  </w:tcMar>
                  <w:vAlign w:val="center"/>
                </w:tcPr>
                <w:p w14:paraId="76DEDC29">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名称</w:t>
                  </w:r>
                </w:p>
              </w:tc>
              <w:tc>
                <w:tcPr>
                  <w:tcW w:w="613" w:type="pct"/>
                  <w:tcBorders>
                    <w:bottom w:val="single" w:color="auto" w:sz="12" w:space="0"/>
                  </w:tcBorders>
                  <w:noWrap w:val="0"/>
                  <w:tcMar>
                    <w:left w:w="0" w:type="dxa"/>
                    <w:right w:w="0" w:type="dxa"/>
                  </w:tcMar>
                  <w:vAlign w:val="center"/>
                </w:tcPr>
                <w:p w14:paraId="7BA2F407">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污染治理设施工艺</w:t>
                  </w:r>
                </w:p>
              </w:tc>
              <w:tc>
                <w:tcPr>
                  <w:tcW w:w="365" w:type="pct"/>
                  <w:vMerge w:val="continue"/>
                  <w:tcBorders>
                    <w:bottom w:val="single" w:color="auto" w:sz="12" w:space="0"/>
                  </w:tcBorders>
                  <w:noWrap w:val="0"/>
                  <w:tcMar>
                    <w:left w:w="0" w:type="dxa"/>
                    <w:right w:w="0" w:type="dxa"/>
                  </w:tcMar>
                  <w:vAlign w:val="center"/>
                </w:tcPr>
                <w:p w14:paraId="30C0C68D">
                  <w:pPr>
                    <w:jc w:val="center"/>
                    <w:rPr>
                      <w:rFonts w:ascii="Times New Roman" w:hAnsi="Times New Roman" w:eastAsia="宋体" w:cs="Times New Roman"/>
                      <w:color w:val="auto"/>
                      <w:szCs w:val="21"/>
                      <w:highlight w:val="none"/>
                    </w:rPr>
                  </w:pPr>
                </w:p>
              </w:tc>
              <w:tc>
                <w:tcPr>
                  <w:tcW w:w="608" w:type="pct"/>
                  <w:vMerge w:val="continue"/>
                  <w:tcBorders>
                    <w:bottom w:val="single" w:color="auto" w:sz="12" w:space="0"/>
                  </w:tcBorders>
                  <w:noWrap w:val="0"/>
                  <w:tcMar>
                    <w:left w:w="0" w:type="dxa"/>
                    <w:right w:w="0" w:type="dxa"/>
                  </w:tcMar>
                  <w:vAlign w:val="center"/>
                </w:tcPr>
                <w:p w14:paraId="5E53D682">
                  <w:pPr>
                    <w:jc w:val="center"/>
                    <w:rPr>
                      <w:rFonts w:ascii="Times New Roman" w:hAnsi="Times New Roman" w:eastAsia="宋体" w:cs="Times New Roman"/>
                      <w:color w:val="auto"/>
                      <w:szCs w:val="21"/>
                      <w:highlight w:val="none"/>
                    </w:rPr>
                  </w:pPr>
                </w:p>
              </w:tc>
              <w:tc>
                <w:tcPr>
                  <w:tcW w:w="880" w:type="pct"/>
                  <w:vMerge w:val="continue"/>
                  <w:tcBorders>
                    <w:bottom w:val="single" w:color="auto" w:sz="12" w:space="0"/>
                    <w:right w:val="nil"/>
                  </w:tcBorders>
                  <w:noWrap w:val="0"/>
                  <w:tcMar>
                    <w:left w:w="0" w:type="dxa"/>
                    <w:right w:w="0" w:type="dxa"/>
                  </w:tcMar>
                  <w:vAlign w:val="center"/>
                </w:tcPr>
                <w:p w14:paraId="7E79F48B">
                  <w:pPr>
                    <w:jc w:val="center"/>
                    <w:rPr>
                      <w:rFonts w:ascii="Times New Roman" w:hAnsi="Times New Roman" w:eastAsia="宋体" w:cs="Times New Roman"/>
                      <w:color w:val="auto"/>
                      <w:szCs w:val="21"/>
                      <w:highlight w:val="none"/>
                    </w:rPr>
                  </w:pPr>
                </w:p>
              </w:tc>
            </w:tr>
            <w:tr w14:paraId="303E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13" w:hRule="atLeast"/>
                <w:jc w:val="center"/>
              </w:trPr>
              <w:tc>
                <w:tcPr>
                  <w:tcW w:w="312" w:type="pct"/>
                  <w:tcBorders>
                    <w:top w:val="single" w:color="auto" w:sz="12" w:space="0"/>
                    <w:left w:val="nil"/>
                    <w:bottom w:val="single" w:color="auto" w:sz="4" w:space="0"/>
                  </w:tcBorders>
                  <w:noWrap w:val="0"/>
                  <w:tcMar>
                    <w:left w:w="0" w:type="dxa"/>
                    <w:right w:w="0" w:type="dxa"/>
                  </w:tcMar>
                  <w:vAlign w:val="center"/>
                </w:tcPr>
                <w:p w14:paraId="54016568">
                  <w:pPr>
                    <w:jc w:val="center"/>
                    <w:rPr>
                      <w:rFonts w:ascii="Times New Roman" w:hAnsi="Times New Roman" w:eastAsia="宋体" w:cs="Times New Roman"/>
                      <w:color w:val="auto"/>
                      <w:spacing w:val="-5"/>
                      <w:position w:val="2"/>
                      <w:highlight w:val="none"/>
                    </w:rPr>
                  </w:pPr>
                  <w:r>
                    <w:rPr>
                      <w:rFonts w:ascii="Times New Roman" w:hAnsi="Times New Roman" w:eastAsia="宋体" w:cs="Times New Roman"/>
                      <w:color w:val="auto"/>
                      <w:spacing w:val="-5"/>
                      <w:position w:val="2"/>
                      <w:highlight w:val="none"/>
                    </w:rPr>
                    <w:t>生活污水</w:t>
                  </w:r>
                </w:p>
              </w:tc>
              <w:tc>
                <w:tcPr>
                  <w:tcW w:w="490" w:type="pct"/>
                  <w:tcBorders>
                    <w:top w:val="single" w:color="auto" w:sz="12" w:space="0"/>
                    <w:bottom w:val="single" w:color="auto" w:sz="4" w:space="0"/>
                  </w:tcBorders>
                  <w:noWrap w:val="0"/>
                  <w:tcMar>
                    <w:left w:w="0" w:type="dxa"/>
                    <w:right w:w="0" w:type="dxa"/>
                  </w:tcMar>
                  <w:vAlign w:val="center"/>
                </w:tcPr>
                <w:p w14:paraId="6D47BF32">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pH</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COD</w:t>
                  </w:r>
                  <w:r>
                    <w:rPr>
                      <w:rFonts w:hint="eastAsia" w:ascii="Times New Roman" w:hAnsi="Times New Roman" w:eastAsia="宋体" w:cs="Times New Roman"/>
                      <w:color w:val="auto"/>
                      <w:szCs w:val="21"/>
                      <w:highlight w:val="none"/>
                      <w:lang w:eastAsia="zh-CN"/>
                    </w:rPr>
                    <w:t>、</w:t>
                  </w:r>
                </w:p>
                <w:p w14:paraId="7FB890AB">
                  <w:pPr>
                    <w:jc w:val="center"/>
                    <w:rPr>
                      <w:rFonts w:ascii="Times New Roman" w:hAnsi="Times New Roman" w:eastAsia="宋体" w:cs="Times New Roman"/>
                      <w:color w:val="auto"/>
                      <w:spacing w:val="-5"/>
                      <w:position w:val="2"/>
                      <w:highlight w:val="none"/>
                    </w:rPr>
                  </w:pPr>
                  <w:r>
                    <w:rPr>
                      <w:rFonts w:hint="default" w:ascii="Times New Roman" w:hAnsi="Times New Roman" w:eastAsia="宋体" w:cs="Times New Roman"/>
                      <w:color w:val="auto"/>
                      <w:spacing w:val="-5"/>
                      <w:position w:val="2"/>
                      <w:sz w:val="21"/>
                      <w:szCs w:val="21"/>
                      <w:highlight w:val="none"/>
                      <w:lang w:val="en-US" w:eastAsia="zh-CN"/>
                    </w:rPr>
                    <w:t>BOD</w:t>
                  </w:r>
                  <w:r>
                    <w:rPr>
                      <w:rFonts w:hint="default" w:ascii="Times New Roman" w:hAnsi="Times New Roman" w:eastAsia="宋体" w:cs="Times New Roman"/>
                      <w:color w:val="auto"/>
                      <w:spacing w:val="-5"/>
                      <w:position w:val="2"/>
                      <w:sz w:val="21"/>
                      <w:szCs w:val="21"/>
                      <w:highlight w:val="none"/>
                      <w:vertAlign w:val="subscript"/>
                      <w:lang w:val="en-US" w:eastAsia="zh-CN"/>
                    </w:rPr>
                    <w:t>5</w:t>
                  </w:r>
                  <w:r>
                    <w:rPr>
                      <w:rFonts w:hint="eastAsia" w:ascii="Times New Roman" w:hAnsi="Times New Roman" w:eastAsia="宋体" w:cs="Times New Roman"/>
                      <w:color w:val="auto"/>
                      <w:spacing w:val="-5"/>
                      <w:position w:val="2"/>
                      <w:sz w:val="21"/>
                      <w:szCs w:val="21"/>
                      <w:highlight w:val="none"/>
                      <w:vertAlign w:val="baseline"/>
                      <w:lang w:val="en-US" w:eastAsia="zh-CN"/>
                    </w:rPr>
                    <w:t>、SS、NH</w:t>
                  </w:r>
                  <w:r>
                    <w:rPr>
                      <w:rFonts w:hint="eastAsia" w:ascii="Times New Roman" w:hAnsi="Times New Roman" w:eastAsia="宋体" w:cs="Times New Roman"/>
                      <w:color w:val="auto"/>
                      <w:spacing w:val="-5"/>
                      <w:position w:val="2"/>
                      <w:sz w:val="21"/>
                      <w:szCs w:val="21"/>
                      <w:highlight w:val="none"/>
                      <w:vertAlign w:val="subscript"/>
                      <w:lang w:val="en-US" w:eastAsia="zh-CN"/>
                    </w:rPr>
                    <w:t>3</w:t>
                  </w:r>
                  <w:r>
                    <w:rPr>
                      <w:rFonts w:hint="eastAsia" w:ascii="Times New Roman" w:hAnsi="Times New Roman" w:eastAsia="宋体" w:cs="Times New Roman"/>
                      <w:color w:val="auto"/>
                      <w:spacing w:val="-5"/>
                      <w:position w:val="2"/>
                      <w:sz w:val="21"/>
                      <w:szCs w:val="21"/>
                      <w:highlight w:val="none"/>
                      <w:vertAlign w:val="baseline"/>
                      <w:lang w:val="en-US" w:eastAsia="zh-CN"/>
                    </w:rPr>
                    <w:t>-N、TP、TN</w:t>
                  </w:r>
                </w:p>
              </w:tc>
              <w:tc>
                <w:tcPr>
                  <w:tcW w:w="428" w:type="pct"/>
                  <w:vMerge w:val="restart"/>
                  <w:tcBorders>
                    <w:top w:val="single" w:color="auto" w:sz="12" w:space="0"/>
                  </w:tcBorders>
                  <w:noWrap w:val="0"/>
                  <w:tcMar>
                    <w:left w:w="0" w:type="dxa"/>
                    <w:right w:w="0" w:type="dxa"/>
                  </w:tcMar>
                  <w:vAlign w:val="center"/>
                </w:tcPr>
                <w:p w14:paraId="1CA4B72F">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庐山工业污水处理厂</w:t>
                  </w:r>
                </w:p>
              </w:tc>
              <w:tc>
                <w:tcPr>
                  <w:tcW w:w="592" w:type="pct"/>
                  <w:vMerge w:val="restart"/>
                  <w:tcBorders>
                    <w:top w:val="single" w:color="auto" w:sz="12" w:space="0"/>
                  </w:tcBorders>
                  <w:noWrap w:val="0"/>
                  <w:tcMar>
                    <w:left w:w="0" w:type="dxa"/>
                    <w:right w:w="0" w:type="dxa"/>
                  </w:tcMar>
                  <w:vAlign w:val="center"/>
                </w:tcPr>
                <w:p w14:paraId="3BCFAA38">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间断排放，排放期间流量不稳定但有周期性规律</w:t>
                  </w:r>
                </w:p>
              </w:tc>
              <w:tc>
                <w:tcPr>
                  <w:tcW w:w="382" w:type="pct"/>
                  <w:vMerge w:val="restart"/>
                  <w:tcBorders>
                    <w:top w:val="single" w:color="auto" w:sz="12" w:space="0"/>
                  </w:tcBorders>
                  <w:noWrap w:val="0"/>
                  <w:tcMar>
                    <w:left w:w="0" w:type="dxa"/>
                    <w:right w:w="0" w:type="dxa"/>
                  </w:tcMar>
                  <w:vAlign w:val="center"/>
                </w:tcPr>
                <w:p w14:paraId="46C23DC6">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TW</w:t>
                  </w:r>
                </w:p>
                <w:p w14:paraId="2274792F">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001</w:t>
                  </w:r>
                </w:p>
              </w:tc>
              <w:tc>
                <w:tcPr>
                  <w:tcW w:w="326" w:type="pct"/>
                  <w:tcBorders>
                    <w:top w:val="single" w:color="auto" w:sz="12" w:space="0"/>
                    <w:bottom w:val="single" w:color="auto" w:sz="4" w:space="0"/>
                  </w:tcBorders>
                  <w:noWrap w:val="0"/>
                  <w:tcMar>
                    <w:left w:w="0" w:type="dxa"/>
                    <w:right w:w="0" w:type="dxa"/>
                  </w:tcMar>
                  <w:vAlign w:val="center"/>
                </w:tcPr>
                <w:p w14:paraId="0E877C5B">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化粪池</w:t>
                  </w:r>
                </w:p>
              </w:tc>
              <w:tc>
                <w:tcPr>
                  <w:tcW w:w="613" w:type="pct"/>
                  <w:tcBorders>
                    <w:top w:val="single" w:color="auto" w:sz="12" w:space="0"/>
                    <w:bottom w:val="single" w:color="auto" w:sz="4" w:space="0"/>
                  </w:tcBorders>
                  <w:noWrap w:val="0"/>
                  <w:tcMar>
                    <w:left w:w="0" w:type="dxa"/>
                    <w:right w:w="0" w:type="dxa"/>
                  </w:tcMar>
                  <w:vAlign w:val="center"/>
                </w:tcPr>
                <w:p w14:paraId="62B487D1">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化粪池</w:t>
                  </w:r>
                </w:p>
              </w:tc>
              <w:tc>
                <w:tcPr>
                  <w:tcW w:w="365" w:type="pct"/>
                  <w:vMerge w:val="restart"/>
                  <w:tcBorders>
                    <w:top w:val="single" w:color="auto" w:sz="12" w:space="0"/>
                  </w:tcBorders>
                  <w:noWrap w:val="0"/>
                  <w:tcMar>
                    <w:left w:w="0" w:type="dxa"/>
                    <w:right w:w="0" w:type="dxa"/>
                  </w:tcMar>
                  <w:vAlign w:val="center"/>
                </w:tcPr>
                <w:p w14:paraId="1A1328BE">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w:t>
                  </w:r>
                </w:p>
                <w:p w14:paraId="23FA0597">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001</w:t>
                  </w:r>
                </w:p>
              </w:tc>
              <w:tc>
                <w:tcPr>
                  <w:tcW w:w="608" w:type="pct"/>
                  <w:vMerge w:val="restart"/>
                  <w:tcBorders>
                    <w:top w:val="single" w:color="auto" w:sz="12" w:space="0"/>
                  </w:tcBorders>
                  <w:noWrap w:val="0"/>
                  <w:tcMar>
                    <w:left w:w="0" w:type="dxa"/>
                    <w:right w:w="0" w:type="dxa"/>
                  </w:tcMar>
                  <w:vAlign w:val="center"/>
                </w:tcPr>
                <w:p w14:paraId="4CD1E586">
                  <w:pPr>
                    <w:jc w:val="center"/>
                    <w:rPr>
                      <w:rFonts w:ascii="Times New Roman" w:hAnsi="Times New Roman" w:eastAsia="宋体" w:cs="Times New Roman"/>
                      <w:color w:val="auto"/>
                      <w:spacing w:val="-5"/>
                      <w:position w:val="2"/>
                      <w:highlight w:val="none"/>
                    </w:rPr>
                  </w:pPr>
                  <w:r>
                    <w:rPr>
                      <w:rFonts w:ascii="Times New Roman" w:hAnsi="Times New Roman" w:eastAsia="宋体" w:cs="Times New Roman"/>
                      <w:color w:val="auto"/>
                      <w:spacing w:val="-5"/>
                      <w:position w:val="2"/>
                      <w:highlight w:val="none"/>
                    </w:rPr>
                    <w:sym w:font="Wingdings 2" w:char="0052"/>
                  </w:r>
                  <w:r>
                    <w:rPr>
                      <w:rFonts w:ascii="Times New Roman" w:hAnsi="Times New Roman" w:eastAsia="宋体" w:cs="Times New Roman"/>
                      <w:color w:val="auto"/>
                      <w:spacing w:val="-5"/>
                      <w:position w:val="2"/>
                      <w:highlight w:val="none"/>
                    </w:rPr>
                    <w:t>是</w:t>
                  </w:r>
                </w:p>
                <w:p w14:paraId="7954F221">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5"/>
                      <w:position w:val="2"/>
                      <w:highlight w:val="none"/>
                    </w:rPr>
                    <w:sym w:font="Wingdings 2" w:char="00A3"/>
                  </w:r>
                  <w:r>
                    <w:rPr>
                      <w:rFonts w:ascii="Times New Roman" w:hAnsi="Times New Roman" w:eastAsia="宋体" w:cs="Times New Roman"/>
                      <w:color w:val="auto"/>
                      <w:spacing w:val="-5"/>
                      <w:position w:val="2"/>
                      <w:highlight w:val="none"/>
                    </w:rPr>
                    <w:t>否</w:t>
                  </w:r>
                </w:p>
              </w:tc>
              <w:tc>
                <w:tcPr>
                  <w:tcW w:w="880" w:type="pct"/>
                  <w:vMerge w:val="restart"/>
                  <w:tcBorders>
                    <w:top w:val="single" w:color="auto" w:sz="12" w:space="0"/>
                    <w:right w:val="nil"/>
                  </w:tcBorders>
                  <w:noWrap w:val="0"/>
                  <w:tcMar>
                    <w:left w:w="0" w:type="dxa"/>
                    <w:right w:w="0" w:type="dxa"/>
                  </w:tcMar>
                  <w:vAlign w:val="center"/>
                </w:tcPr>
                <w:p w14:paraId="12E74B66">
                  <w:pPr>
                    <w:jc w:val="left"/>
                    <w:rPr>
                      <w:rFonts w:ascii="Times New Roman" w:hAnsi="Times New Roman" w:eastAsia="宋体" w:cs="Times New Roman"/>
                      <w:color w:val="auto"/>
                      <w:spacing w:val="-5"/>
                      <w:position w:val="2"/>
                      <w:highlight w:val="none"/>
                    </w:rPr>
                  </w:pPr>
                  <w:r>
                    <w:rPr>
                      <w:rFonts w:ascii="Times New Roman" w:hAnsi="Times New Roman" w:eastAsia="宋体" w:cs="Times New Roman"/>
                      <w:color w:val="auto"/>
                      <w:spacing w:val="-5"/>
                      <w:position w:val="2"/>
                      <w:highlight w:val="none"/>
                    </w:rPr>
                    <w:sym w:font="Wingdings 2" w:char="0052"/>
                  </w:r>
                  <w:r>
                    <w:rPr>
                      <w:rFonts w:ascii="Times New Roman" w:hAnsi="Times New Roman" w:eastAsia="宋体" w:cs="Times New Roman"/>
                      <w:color w:val="auto"/>
                      <w:spacing w:val="-5"/>
                      <w:position w:val="2"/>
                      <w:highlight w:val="none"/>
                    </w:rPr>
                    <w:t>企业总排；</w:t>
                  </w:r>
                </w:p>
                <w:p w14:paraId="4260597C">
                  <w:pPr>
                    <w:jc w:val="left"/>
                    <w:rPr>
                      <w:rFonts w:ascii="Times New Roman" w:hAnsi="Times New Roman" w:eastAsia="宋体" w:cs="Times New Roman"/>
                      <w:color w:val="auto"/>
                      <w:spacing w:val="-5"/>
                      <w:position w:val="2"/>
                      <w:highlight w:val="none"/>
                    </w:rPr>
                  </w:pPr>
                  <w:r>
                    <w:rPr>
                      <w:rFonts w:ascii="Times New Roman" w:hAnsi="Times New Roman" w:eastAsia="宋体" w:cs="Times New Roman"/>
                      <w:color w:val="auto"/>
                      <w:spacing w:val="-5"/>
                      <w:position w:val="2"/>
                      <w:highlight w:val="none"/>
                    </w:rPr>
                    <w:sym w:font="Wingdings 2" w:char="00A3"/>
                  </w:r>
                  <w:r>
                    <w:rPr>
                      <w:rFonts w:ascii="Times New Roman" w:hAnsi="Times New Roman" w:eastAsia="宋体" w:cs="Times New Roman"/>
                      <w:color w:val="auto"/>
                      <w:spacing w:val="-5"/>
                      <w:position w:val="2"/>
                      <w:highlight w:val="none"/>
                    </w:rPr>
                    <w:t>雨水排放；</w:t>
                  </w:r>
                </w:p>
                <w:p w14:paraId="4EFA56D9">
                  <w:pPr>
                    <w:jc w:val="left"/>
                    <w:rPr>
                      <w:rFonts w:ascii="Times New Roman" w:hAnsi="Times New Roman" w:eastAsia="宋体" w:cs="Times New Roman"/>
                      <w:color w:val="auto"/>
                      <w:spacing w:val="-5"/>
                      <w:position w:val="2"/>
                      <w:highlight w:val="none"/>
                    </w:rPr>
                  </w:pPr>
                  <w:r>
                    <w:rPr>
                      <w:rFonts w:ascii="Times New Roman" w:hAnsi="Times New Roman" w:eastAsia="宋体" w:cs="Times New Roman"/>
                      <w:color w:val="auto"/>
                      <w:spacing w:val="-5"/>
                      <w:position w:val="2"/>
                      <w:highlight w:val="none"/>
                    </w:rPr>
                    <w:sym w:font="Wingdings 2" w:char="00A3"/>
                  </w:r>
                  <w:r>
                    <w:rPr>
                      <w:rFonts w:ascii="Times New Roman" w:hAnsi="Times New Roman" w:eastAsia="宋体" w:cs="Times New Roman"/>
                      <w:color w:val="auto"/>
                      <w:spacing w:val="-5"/>
                      <w:position w:val="2"/>
                      <w:highlight w:val="none"/>
                    </w:rPr>
                    <w:t>清净下水排放；</w:t>
                  </w:r>
                </w:p>
                <w:p w14:paraId="238479CD">
                  <w:pPr>
                    <w:jc w:val="left"/>
                    <w:rPr>
                      <w:rFonts w:ascii="Times New Roman" w:hAnsi="Times New Roman" w:eastAsia="宋体" w:cs="Times New Roman"/>
                      <w:color w:val="auto"/>
                      <w:spacing w:val="-5"/>
                      <w:position w:val="2"/>
                      <w:highlight w:val="none"/>
                    </w:rPr>
                  </w:pPr>
                  <w:r>
                    <w:rPr>
                      <w:rFonts w:ascii="Times New Roman" w:hAnsi="Times New Roman" w:eastAsia="宋体" w:cs="Times New Roman"/>
                      <w:color w:val="auto"/>
                      <w:spacing w:val="-5"/>
                      <w:position w:val="2"/>
                      <w:highlight w:val="none"/>
                    </w:rPr>
                    <w:sym w:font="Wingdings 2" w:char="00A3"/>
                  </w:r>
                  <w:r>
                    <w:rPr>
                      <w:rFonts w:ascii="Times New Roman" w:hAnsi="Times New Roman" w:eastAsia="宋体" w:cs="Times New Roman"/>
                      <w:color w:val="auto"/>
                      <w:spacing w:val="-5"/>
                      <w:position w:val="2"/>
                      <w:highlight w:val="none"/>
                    </w:rPr>
                    <w:t>温排水排放；</w:t>
                  </w:r>
                </w:p>
                <w:p w14:paraId="1A6C799F">
                  <w:pPr>
                    <w:jc w:val="left"/>
                    <w:rPr>
                      <w:rFonts w:ascii="Times New Roman" w:hAnsi="Times New Roman" w:eastAsia="宋体" w:cs="Times New Roman"/>
                      <w:color w:val="auto"/>
                      <w:szCs w:val="21"/>
                      <w:highlight w:val="none"/>
                    </w:rPr>
                  </w:pPr>
                  <w:r>
                    <w:rPr>
                      <w:rFonts w:ascii="Times New Roman" w:hAnsi="Times New Roman" w:eastAsia="宋体" w:cs="Times New Roman"/>
                      <w:color w:val="auto"/>
                      <w:spacing w:val="-5"/>
                      <w:position w:val="2"/>
                      <w:highlight w:val="none"/>
                    </w:rPr>
                    <w:sym w:font="Wingdings 2" w:char="00A3"/>
                  </w:r>
                  <w:r>
                    <w:rPr>
                      <w:rFonts w:ascii="Times New Roman" w:hAnsi="Times New Roman" w:eastAsia="宋体" w:cs="Times New Roman"/>
                      <w:color w:val="auto"/>
                      <w:spacing w:val="-5"/>
                      <w:position w:val="2"/>
                      <w:highlight w:val="none"/>
                    </w:rPr>
                    <w:t>车间或车间处理设施排放</w:t>
                  </w:r>
                </w:p>
              </w:tc>
            </w:tr>
            <w:tr w14:paraId="4320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17" w:hRule="atLeast"/>
                <w:jc w:val="center"/>
              </w:trPr>
              <w:tc>
                <w:tcPr>
                  <w:tcW w:w="312" w:type="pct"/>
                  <w:tcBorders>
                    <w:top w:val="single" w:color="auto" w:sz="4" w:space="0"/>
                    <w:left w:val="nil"/>
                    <w:bottom w:val="single" w:color="auto" w:sz="12" w:space="0"/>
                  </w:tcBorders>
                  <w:noWrap w:val="0"/>
                  <w:tcMar>
                    <w:left w:w="0" w:type="dxa"/>
                    <w:right w:w="0" w:type="dxa"/>
                  </w:tcMar>
                  <w:vAlign w:val="center"/>
                </w:tcPr>
                <w:p w14:paraId="6B518A58">
                  <w:pPr>
                    <w:jc w:val="center"/>
                    <w:rPr>
                      <w:rFonts w:hint="default" w:ascii="Times New Roman" w:hAnsi="Times New Roman" w:eastAsia="宋体" w:cs="Times New Roman"/>
                      <w:color w:val="auto"/>
                      <w:spacing w:val="-5"/>
                      <w:position w:val="2"/>
                      <w:highlight w:val="none"/>
                      <w:lang w:val="en-US" w:eastAsia="zh-CN"/>
                    </w:rPr>
                  </w:pPr>
                  <w:r>
                    <w:rPr>
                      <w:rFonts w:hint="eastAsia" w:cs="Times New Roman"/>
                      <w:color w:val="auto"/>
                      <w:spacing w:val="-5"/>
                      <w:position w:val="2"/>
                      <w:highlight w:val="none"/>
                      <w:lang w:val="en-US" w:eastAsia="zh-CN"/>
                    </w:rPr>
                    <w:t>设备清洗废水</w:t>
                  </w:r>
                </w:p>
              </w:tc>
              <w:tc>
                <w:tcPr>
                  <w:tcW w:w="490" w:type="pct"/>
                  <w:tcBorders>
                    <w:top w:val="single" w:color="auto" w:sz="4" w:space="0"/>
                    <w:bottom w:val="single" w:color="auto" w:sz="12" w:space="0"/>
                  </w:tcBorders>
                  <w:noWrap w:val="0"/>
                  <w:tcMar>
                    <w:left w:w="0" w:type="dxa"/>
                    <w:right w:w="0" w:type="dxa"/>
                  </w:tcMar>
                  <w:vAlign w:val="center"/>
                </w:tcPr>
                <w:p w14:paraId="63DDA5F9">
                  <w:pPr>
                    <w:jc w:val="center"/>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COD</w:t>
                  </w:r>
                  <w:r>
                    <w:rPr>
                      <w:rFonts w:hint="eastAsia" w:ascii="Times New Roman" w:hAnsi="Times New Roman" w:eastAsia="宋体" w:cs="Times New Roman"/>
                      <w:color w:val="auto"/>
                      <w:szCs w:val="21"/>
                      <w:highlight w:val="none"/>
                      <w:lang w:eastAsia="zh-CN"/>
                    </w:rPr>
                    <w:t>、</w:t>
                  </w:r>
                </w:p>
                <w:p w14:paraId="34B81622">
                  <w:pPr>
                    <w:jc w:val="center"/>
                    <w:rPr>
                      <w:rFonts w:hint="eastAsia" w:ascii="Times New Roman" w:hAnsi="Times New Roman" w:eastAsia="宋体" w:cs="Times New Roman"/>
                      <w:color w:val="auto"/>
                      <w:spacing w:val="-5"/>
                      <w:position w:val="2"/>
                      <w:sz w:val="21"/>
                      <w:szCs w:val="21"/>
                      <w:highlight w:val="none"/>
                      <w:lang w:val="en-US" w:eastAsia="zh-CN"/>
                    </w:rPr>
                  </w:pPr>
                  <w:r>
                    <w:rPr>
                      <w:rFonts w:hint="default" w:ascii="Times New Roman" w:hAnsi="Times New Roman" w:eastAsia="宋体" w:cs="Times New Roman"/>
                      <w:color w:val="auto"/>
                      <w:spacing w:val="-5"/>
                      <w:position w:val="2"/>
                      <w:sz w:val="21"/>
                      <w:szCs w:val="21"/>
                      <w:highlight w:val="none"/>
                      <w:lang w:val="en-US" w:eastAsia="zh-CN"/>
                    </w:rPr>
                    <w:t>BOD5</w:t>
                  </w:r>
                  <w:r>
                    <w:rPr>
                      <w:rFonts w:hint="eastAsia" w:ascii="Times New Roman" w:hAnsi="Times New Roman" w:eastAsia="宋体" w:cs="Times New Roman"/>
                      <w:color w:val="auto"/>
                      <w:spacing w:val="-5"/>
                      <w:position w:val="2"/>
                      <w:sz w:val="21"/>
                      <w:szCs w:val="21"/>
                      <w:highlight w:val="none"/>
                      <w:lang w:val="en-US" w:eastAsia="zh-CN"/>
                    </w:rPr>
                    <w:t>、SS、NH3-N、总有机碳</w:t>
                  </w:r>
                </w:p>
              </w:tc>
              <w:tc>
                <w:tcPr>
                  <w:tcW w:w="428" w:type="pct"/>
                  <w:vMerge w:val="continue"/>
                  <w:tcBorders>
                    <w:bottom w:val="single" w:color="auto" w:sz="12" w:space="0"/>
                  </w:tcBorders>
                  <w:noWrap w:val="0"/>
                  <w:tcMar>
                    <w:left w:w="0" w:type="dxa"/>
                    <w:right w:w="0" w:type="dxa"/>
                  </w:tcMar>
                  <w:vAlign w:val="center"/>
                </w:tcPr>
                <w:p w14:paraId="1424D3E7">
                  <w:pPr>
                    <w:jc w:val="center"/>
                    <w:rPr>
                      <w:rFonts w:hint="eastAsia" w:ascii="Times New Roman" w:hAnsi="Times New Roman" w:eastAsia="宋体" w:cs="Times New Roman"/>
                      <w:color w:val="auto"/>
                      <w:szCs w:val="21"/>
                      <w:highlight w:val="none"/>
                      <w:lang w:val="en-US" w:eastAsia="zh-CN"/>
                    </w:rPr>
                  </w:pPr>
                </w:p>
              </w:tc>
              <w:tc>
                <w:tcPr>
                  <w:tcW w:w="592" w:type="pct"/>
                  <w:vMerge w:val="continue"/>
                  <w:tcBorders>
                    <w:bottom w:val="single" w:color="auto" w:sz="12" w:space="0"/>
                  </w:tcBorders>
                  <w:noWrap w:val="0"/>
                  <w:tcMar>
                    <w:left w:w="0" w:type="dxa"/>
                    <w:right w:w="0" w:type="dxa"/>
                  </w:tcMar>
                  <w:vAlign w:val="center"/>
                </w:tcPr>
                <w:p w14:paraId="47A37851">
                  <w:pPr>
                    <w:jc w:val="center"/>
                    <w:rPr>
                      <w:rFonts w:ascii="Times New Roman" w:hAnsi="Times New Roman" w:eastAsia="宋体" w:cs="Times New Roman"/>
                      <w:color w:val="auto"/>
                      <w:szCs w:val="21"/>
                      <w:highlight w:val="none"/>
                    </w:rPr>
                  </w:pPr>
                </w:p>
              </w:tc>
              <w:tc>
                <w:tcPr>
                  <w:tcW w:w="382" w:type="pct"/>
                  <w:vMerge w:val="continue"/>
                  <w:tcBorders>
                    <w:bottom w:val="single" w:color="auto" w:sz="12" w:space="0"/>
                  </w:tcBorders>
                  <w:noWrap w:val="0"/>
                  <w:tcMar>
                    <w:left w:w="0" w:type="dxa"/>
                    <w:right w:w="0" w:type="dxa"/>
                  </w:tcMar>
                  <w:vAlign w:val="center"/>
                </w:tcPr>
                <w:p w14:paraId="2CAC832D">
                  <w:pPr>
                    <w:jc w:val="center"/>
                    <w:rPr>
                      <w:rFonts w:hint="eastAsia" w:ascii="Times New Roman" w:hAnsi="Times New Roman" w:eastAsia="宋体" w:cs="Times New Roman"/>
                      <w:color w:val="auto"/>
                      <w:szCs w:val="21"/>
                      <w:highlight w:val="none"/>
                      <w:lang w:val="en-US" w:eastAsia="zh-CN"/>
                    </w:rPr>
                  </w:pPr>
                </w:p>
              </w:tc>
              <w:tc>
                <w:tcPr>
                  <w:tcW w:w="326" w:type="pct"/>
                  <w:tcBorders>
                    <w:top w:val="single" w:color="auto" w:sz="4" w:space="0"/>
                    <w:bottom w:val="single" w:color="auto" w:sz="12" w:space="0"/>
                  </w:tcBorders>
                  <w:noWrap w:val="0"/>
                  <w:tcMar>
                    <w:left w:w="0" w:type="dxa"/>
                    <w:right w:w="0" w:type="dxa"/>
                  </w:tcMar>
                  <w:vAlign w:val="center"/>
                </w:tcPr>
                <w:p w14:paraId="6466923D">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沉淀池+化粪池</w:t>
                  </w:r>
                </w:p>
              </w:tc>
              <w:tc>
                <w:tcPr>
                  <w:tcW w:w="613" w:type="pct"/>
                  <w:tcBorders>
                    <w:top w:val="single" w:color="auto" w:sz="4" w:space="0"/>
                    <w:bottom w:val="single" w:color="auto" w:sz="12" w:space="0"/>
                  </w:tcBorders>
                  <w:noWrap w:val="0"/>
                  <w:tcMar>
                    <w:left w:w="0" w:type="dxa"/>
                    <w:right w:w="0" w:type="dxa"/>
                  </w:tcMar>
                  <w:vAlign w:val="center"/>
                </w:tcPr>
                <w:p w14:paraId="5C189E94">
                  <w:pPr>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沉淀池+化粪池</w:t>
                  </w:r>
                </w:p>
              </w:tc>
              <w:tc>
                <w:tcPr>
                  <w:tcW w:w="365" w:type="pct"/>
                  <w:vMerge w:val="continue"/>
                  <w:tcBorders>
                    <w:bottom w:val="single" w:color="auto" w:sz="12" w:space="0"/>
                  </w:tcBorders>
                  <w:noWrap w:val="0"/>
                  <w:tcMar>
                    <w:left w:w="0" w:type="dxa"/>
                    <w:right w:w="0" w:type="dxa"/>
                  </w:tcMar>
                  <w:vAlign w:val="center"/>
                </w:tcPr>
                <w:p w14:paraId="65D1E6A3">
                  <w:pPr>
                    <w:jc w:val="center"/>
                    <w:rPr>
                      <w:rFonts w:hint="eastAsia" w:ascii="Times New Roman" w:hAnsi="Times New Roman" w:eastAsia="宋体" w:cs="Times New Roman"/>
                      <w:color w:val="auto"/>
                      <w:szCs w:val="21"/>
                      <w:highlight w:val="none"/>
                      <w:lang w:val="en-US" w:eastAsia="zh-CN"/>
                    </w:rPr>
                  </w:pPr>
                </w:p>
              </w:tc>
              <w:tc>
                <w:tcPr>
                  <w:tcW w:w="608" w:type="pct"/>
                  <w:vMerge w:val="continue"/>
                  <w:tcBorders>
                    <w:bottom w:val="single" w:color="auto" w:sz="12" w:space="0"/>
                  </w:tcBorders>
                  <w:noWrap w:val="0"/>
                  <w:tcMar>
                    <w:left w:w="0" w:type="dxa"/>
                    <w:right w:w="0" w:type="dxa"/>
                  </w:tcMar>
                  <w:vAlign w:val="center"/>
                </w:tcPr>
                <w:p w14:paraId="119C0A13">
                  <w:pPr>
                    <w:jc w:val="center"/>
                    <w:rPr>
                      <w:rFonts w:ascii="Times New Roman" w:hAnsi="Times New Roman" w:eastAsia="宋体" w:cs="Times New Roman"/>
                      <w:color w:val="auto"/>
                      <w:spacing w:val="-5"/>
                      <w:position w:val="2"/>
                      <w:highlight w:val="none"/>
                    </w:rPr>
                  </w:pPr>
                </w:p>
              </w:tc>
              <w:tc>
                <w:tcPr>
                  <w:tcW w:w="880" w:type="pct"/>
                  <w:vMerge w:val="continue"/>
                  <w:tcBorders>
                    <w:bottom w:val="single" w:color="auto" w:sz="12" w:space="0"/>
                    <w:right w:val="nil"/>
                  </w:tcBorders>
                  <w:noWrap w:val="0"/>
                  <w:tcMar>
                    <w:left w:w="0" w:type="dxa"/>
                    <w:right w:w="0" w:type="dxa"/>
                  </w:tcMar>
                  <w:vAlign w:val="center"/>
                </w:tcPr>
                <w:p w14:paraId="70F4FA07">
                  <w:pPr>
                    <w:jc w:val="left"/>
                    <w:rPr>
                      <w:rFonts w:ascii="Times New Roman" w:hAnsi="Times New Roman" w:eastAsia="宋体" w:cs="Times New Roman"/>
                      <w:color w:val="auto"/>
                      <w:spacing w:val="-5"/>
                      <w:position w:val="2"/>
                      <w:highlight w:val="none"/>
                    </w:rPr>
                  </w:pPr>
                </w:p>
              </w:tc>
            </w:tr>
            <w:tr w14:paraId="38A6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38" w:hRule="atLeast"/>
                <w:jc w:val="center"/>
              </w:trPr>
              <w:tc>
                <w:tcPr>
                  <w:tcW w:w="312" w:type="pct"/>
                  <w:tcBorders>
                    <w:top w:val="single" w:color="auto" w:sz="4" w:space="0"/>
                    <w:left w:val="nil"/>
                    <w:bottom w:val="single" w:color="auto" w:sz="12" w:space="0"/>
                  </w:tcBorders>
                  <w:noWrap w:val="0"/>
                  <w:tcMar>
                    <w:left w:w="0" w:type="dxa"/>
                    <w:right w:w="0" w:type="dxa"/>
                  </w:tcMar>
                  <w:vAlign w:val="center"/>
                </w:tcPr>
                <w:p w14:paraId="59CE9E29">
                  <w:pPr>
                    <w:jc w:val="center"/>
                    <w:rPr>
                      <w:rFonts w:hint="eastAsia" w:ascii="Times New Roman" w:hAnsi="Times New Roman" w:eastAsia="宋体" w:cs="Times New Roman"/>
                      <w:color w:val="auto"/>
                      <w:spacing w:val="-5"/>
                      <w:position w:val="2"/>
                      <w:highlight w:val="none"/>
                      <w:lang w:eastAsia="zh-CN"/>
                    </w:rPr>
                  </w:pPr>
                  <w:r>
                    <w:rPr>
                      <w:rFonts w:hint="eastAsia" w:ascii="Times New Roman" w:hAnsi="Times New Roman" w:eastAsia="宋体" w:cs="Times New Roman"/>
                      <w:color w:val="auto"/>
                      <w:spacing w:val="-5"/>
                      <w:position w:val="2"/>
                      <w:highlight w:val="none"/>
                      <w:lang w:eastAsia="zh-CN"/>
                    </w:rPr>
                    <w:t>纯水制备浓水</w:t>
                  </w:r>
                </w:p>
              </w:tc>
              <w:tc>
                <w:tcPr>
                  <w:tcW w:w="490" w:type="pct"/>
                  <w:tcBorders>
                    <w:top w:val="single" w:color="auto" w:sz="4" w:space="0"/>
                    <w:bottom w:val="single" w:color="auto" w:sz="12" w:space="0"/>
                  </w:tcBorders>
                  <w:noWrap w:val="0"/>
                  <w:tcMar>
                    <w:left w:w="0" w:type="dxa"/>
                    <w:right w:w="0" w:type="dxa"/>
                  </w:tcMar>
                  <w:vAlign w:val="center"/>
                </w:tcPr>
                <w:p w14:paraId="3F7C8D7A">
                  <w:pPr>
                    <w:jc w:val="center"/>
                    <w:rPr>
                      <w:rFonts w:hint="eastAsia" w:ascii="Times New Roman" w:hAnsi="Times New Roman" w:eastAsia="宋体" w:cs="Times New Roman"/>
                      <w:color w:val="auto"/>
                      <w:spacing w:val="-5"/>
                      <w:position w:val="2"/>
                      <w:sz w:val="21"/>
                      <w:szCs w:val="21"/>
                      <w:highlight w:val="none"/>
                      <w:lang w:val="en-US" w:eastAsia="zh-CN"/>
                    </w:rPr>
                  </w:pPr>
                  <w:r>
                    <w:rPr>
                      <w:rFonts w:hint="eastAsia" w:ascii="Times New Roman" w:hAnsi="Times New Roman" w:eastAsia="宋体" w:cs="Times New Roman"/>
                      <w:color w:val="auto"/>
                      <w:spacing w:val="-5"/>
                      <w:position w:val="2"/>
                      <w:sz w:val="21"/>
                      <w:szCs w:val="21"/>
                      <w:highlight w:val="none"/>
                      <w:lang w:val="en-US" w:eastAsia="zh-CN"/>
                    </w:rPr>
                    <w:t>SS、</w:t>
                  </w:r>
                </w:p>
                <w:p w14:paraId="5E806AEB">
                  <w:pPr>
                    <w:jc w:val="center"/>
                    <w:rPr>
                      <w:rFonts w:hint="default" w:ascii="Times New Roman" w:hAnsi="Times New Roman" w:eastAsia="宋体" w:cs="Times New Roman"/>
                      <w:color w:val="auto"/>
                      <w:spacing w:val="-5"/>
                      <w:position w:val="2"/>
                      <w:sz w:val="21"/>
                      <w:szCs w:val="21"/>
                      <w:highlight w:val="none"/>
                      <w:lang w:val="en-US" w:eastAsia="zh-CN"/>
                    </w:rPr>
                  </w:pPr>
                  <w:r>
                    <w:rPr>
                      <w:rFonts w:hint="eastAsia" w:ascii="Times New Roman" w:hAnsi="Times New Roman" w:eastAsia="宋体" w:cs="Times New Roman"/>
                      <w:color w:val="auto"/>
                      <w:spacing w:val="-5"/>
                      <w:position w:val="2"/>
                      <w:sz w:val="21"/>
                      <w:szCs w:val="21"/>
                      <w:highlight w:val="none"/>
                      <w:lang w:val="en-US" w:eastAsia="zh-CN"/>
                    </w:rPr>
                    <w:t>全盐量</w:t>
                  </w:r>
                </w:p>
              </w:tc>
              <w:tc>
                <w:tcPr>
                  <w:tcW w:w="428" w:type="pct"/>
                  <w:vMerge w:val="continue"/>
                  <w:tcBorders>
                    <w:bottom w:val="single" w:color="auto" w:sz="12" w:space="0"/>
                  </w:tcBorders>
                  <w:noWrap w:val="0"/>
                  <w:tcMar>
                    <w:left w:w="0" w:type="dxa"/>
                    <w:right w:w="0" w:type="dxa"/>
                  </w:tcMar>
                  <w:vAlign w:val="center"/>
                </w:tcPr>
                <w:p w14:paraId="711FF66E">
                  <w:pPr>
                    <w:jc w:val="center"/>
                    <w:rPr>
                      <w:rFonts w:hint="eastAsia" w:ascii="Times New Roman" w:hAnsi="Times New Roman" w:eastAsia="宋体" w:cs="Times New Roman"/>
                      <w:color w:val="auto"/>
                      <w:szCs w:val="21"/>
                      <w:highlight w:val="none"/>
                      <w:lang w:val="en-US" w:eastAsia="zh-CN"/>
                    </w:rPr>
                  </w:pPr>
                </w:p>
              </w:tc>
              <w:tc>
                <w:tcPr>
                  <w:tcW w:w="592" w:type="pct"/>
                  <w:vMerge w:val="continue"/>
                  <w:tcBorders>
                    <w:bottom w:val="single" w:color="auto" w:sz="12" w:space="0"/>
                  </w:tcBorders>
                  <w:noWrap w:val="0"/>
                  <w:tcMar>
                    <w:left w:w="0" w:type="dxa"/>
                    <w:right w:w="0" w:type="dxa"/>
                  </w:tcMar>
                  <w:vAlign w:val="center"/>
                </w:tcPr>
                <w:p w14:paraId="01FB2719">
                  <w:pPr>
                    <w:jc w:val="center"/>
                    <w:rPr>
                      <w:rFonts w:ascii="Times New Roman" w:hAnsi="Times New Roman" w:eastAsia="宋体" w:cs="Times New Roman"/>
                      <w:color w:val="auto"/>
                      <w:szCs w:val="21"/>
                      <w:highlight w:val="none"/>
                    </w:rPr>
                  </w:pPr>
                </w:p>
              </w:tc>
              <w:tc>
                <w:tcPr>
                  <w:tcW w:w="382" w:type="pct"/>
                  <w:tcBorders>
                    <w:top w:val="single" w:color="auto" w:sz="4" w:space="0"/>
                    <w:bottom w:val="single" w:color="auto" w:sz="12" w:space="0"/>
                  </w:tcBorders>
                  <w:noWrap w:val="0"/>
                  <w:tcMar>
                    <w:left w:w="0" w:type="dxa"/>
                    <w:right w:w="0" w:type="dxa"/>
                  </w:tcMar>
                  <w:vAlign w:val="center"/>
                </w:tcPr>
                <w:p w14:paraId="31BEB4C9">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326" w:type="pct"/>
                  <w:tcBorders>
                    <w:top w:val="single" w:color="auto" w:sz="4" w:space="0"/>
                    <w:bottom w:val="single" w:color="auto" w:sz="12" w:space="0"/>
                  </w:tcBorders>
                  <w:noWrap w:val="0"/>
                  <w:tcMar>
                    <w:left w:w="0" w:type="dxa"/>
                    <w:right w:w="0" w:type="dxa"/>
                  </w:tcMar>
                  <w:vAlign w:val="center"/>
                </w:tcPr>
                <w:p w14:paraId="6F094E73">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613" w:type="pct"/>
                  <w:tcBorders>
                    <w:top w:val="single" w:color="auto" w:sz="4" w:space="0"/>
                    <w:bottom w:val="single" w:color="auto" w:sz="12" w:space="0"/>
                  </w:tcBorders>
                  <w:noWrap w:val="0"/>
                  <w:tcMar>
                    <w:left w:w="0" w:type="dxa"/>
                    <w:right w:w="0" w:type="dxa"/>
                  </w:tcMar>
                  <w:vAlign w:val="center"/>
                </w:tcPr>
                <w:p w14:paraId="12545D1A">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365" w:type="pct"/>
                  <w:tcBorders>
                    <w:top w:val="single" w:color="auto" w:sz="4" w:space="0"/>
                    <w:bottom w:val="single" w:color="auto" w:sz="12" w:space="0"/>
                  </w:tcBorders>
                  <w:noWrap w:val="0"/>
                  <w:tcMar>
                    <w:left w:w="0" w:type="dxa"/>
                    <w:right w:w="0" w:type="dxa"/>
                  </w:tcMar>
                  <w:vAlign w:val="center"/>
                </w:tcPr>
                <w:p w14:paraId="376257AB">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608" w:type="pct"/>
                  <w:vMerge w:val="continue"/>
                  <w:tcBorders>
                    <w:bottom w:val="single" w:color="auto" w:sz="12" w:space="0"/>
                  </w:tcBorders>
                  <w:noWrap w:val="0"/>
                  <w:tcMar>
                    <w:left w:w="0" w:type="dxa"/>
                    <w:right w:w="0" w:type="dxa"/>
                  </w:tcMar>
                  <w:vAlign w:val="center"/>
                </w:tcPr>
                <w:p w14:paraId="0130A2CD">
                  <w:pPr>
                    <w:jc w:val="center"/>
                    <w:rPr>
                      <w:rFonts w:ascii="Times New Roman" w:hAnsi="Times New Roman" w:eastAsia="宋体" w:cs="Times New Roman"/>
                      <w:color w:val="auto"/>
                      <w:spacing w:val="-5"/>
                      <w:position w:val="2"/>
                      <w:highlight w:val="none"/>
                    </w:rPr>
                  </w:pPr>
                </w:p>
              </w:tc>
              <w:tc>
                <w:tcPr>
                  <w:tcW w:w="880" w:type="pct"/>
                  <w:vMerge w:val="continue"/>
                  <w:tcBorders>
                    <w:bottom w:val="single" w:color="auto" w:sz="12" w:space="0"/>
                    <w:right w:val="nil"/>
                  </w:tcBorders>
                  <w:noWrap w:val="0"/>
                  <w:tcMar>
                    <w:left w:w="0" w:type="dxa"/>
                    <w:right w:w="0" w:type="dxa"/>
                  </w:tcMar>
                  <w:vAlign w:val="center"/>
                </w:tcPr>
                <w:p w14:paraId="5D0D1853">
                  <w:pPr>
                    <w:jc w:val="left"/>
                    <w:rPr>
                      <w:rFonts w:ascii="Times New Roman" w:hAnsi="Times New Roman" w:eastAsia="宋体" w:cs="Times New Roman"/>
                      <w:color w:val="auto"/>
                      <w:spacing w:val="-5"/>
                      <w:position w:val="2"/>
                      <w:highlight w:val="none"/>
                    </w:rPr>
                  </w:pPr>
                </w:p>
              </w:tc>
            </w:tr>
          </w:tbl>
          <w:p w14:paraId="135DC10C">
            <w:pPr>
              <w:keepNext w:val="0"/>
              <w:keepLines w:val="0"/>
              <w:pageBreakBefore w:val="0"/>
              <w:widowControl w:val="0"/>
              <w:kinsoku/>
              <w:wordWrap/>
              <w:overflowPunct/>
              <w:topLinePunct w:val="0"/>
              <w:autoSpaceDE/>
              <w:autoSpaceDN/>
              <w:bidi w:val="0"/>
              <w:adjustRightInd/>
              <w:snapToGrid/>
              <w:spacing w:before="156" w:beforeLines="50"/>
              <w:jc w:val="center"/>
              <w:textAlignment w:val="auto"/>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表4-</w:t>
            </w:r>
            <w:r>
              <w:rPr>
                <w:rFonts w:hint="eastAsia" w:cs="Times New Roman"/>
                <w:b/>
                <w:color w:val="auto"/>
                <w:szCs w:val="21"/>
                <w:highlight w:val="none"/>
                <w:lang w:val="en-US" w:eastAsia="zh-CN"/>
              </w:rPr>
              <w:t>11</w:t>
            </w:r>
            <w:r>
              <w:rPr>
                <w:rFonts w:ascii="Times New Roman" w:hAnsi="Times New Roman" w:eastAsia="宋体" w:cs="Times New Roman"/>
                <w:b/>
                <w:color w:val="auto"/>
                <w:szCs w:val="21"/>
                <w:highlight w:val="none"/>
              </w:rPr>
              <w:t xml:space="preserve">  废水间接排放口基本情况表</w:t>
            </w:r>
          </w:p>
          <w:tbl>
            <w:tblPr>
              <w:tblStyle w:val="24"/>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9"/>
              <w:gridCol w:w="622"/>
              <w:gridCol w:w="1327"/>
              <w:gridCol w:w="1317"/>
              <w:gridCol w:w="738"/>
              <w:gridCol w:w="538"/>
              <w:gridCol w:w="516"/>
              <w:gridCol w:w="545"/>
              <w:gridCol w:w="521"/>
              <w:gridCol w:w="852"/>
              <w:gridCol w:w="1340"/>
            </w:tblGrid>
            <w:tr w14:paraId="0D3F2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5" w:hRule="atLeast"/>
                <w:jc w:val="center"/>
              </w:trPr>
              <w:tc>
                <w:tcPr>
                  <w:tcW w:w="129" w:type="pct"/>
                  <w:vMerge w:val="restart"/>
                  <w:tcBorders>
                    <w:tl2br w:val="nil"/>
                    <w:tr2bl w:val="nil"/>
                  </w:tcBorders>
                  <w:noWrap w:val="0"/>
                  <w:tcMar>
                    <w:left w:w="0" w:type="dxa"/>
                    <w:right w:w="0" w:type="dxa"/>
                  </w:tcMar>
                  <w:vAlign w:val="center"/>
                </w:tcPr>
                <w:p w14:paraId="18DB4641">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序号</w:t>
                  </w:r>
                </w:p>
              </w:tc>
              <w:tc>
                <w:tcPr>
                  <w:tcW w:w="364" w:type="pct"/>
                  <w:vMerge w:val="restart"/>
                  <w:tcBorders>
                    <w:tl2br w:val="nil"/>
                    <w:tr2bl w:val="nil"/>
                  </w:tcBorders>
                  <w:noWrap w:val="0"/>
                  <w:tcMar>
                    <w:left w:w="0" w:type="dxa"/>
                    <w:right w:w="0" w:type="dxa"/>
                  </w:tcMar>
                  <w:vAlign w:val="center"/>
                </w:tcPr>
                <w:p w14:paraId="1C605D32">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排放口编号</w:t>
                  </w:r>
                </w:p>
              </w:tc>
              <w:tc>
                <w:tcPr>
                  <w:tcW w:w="1548" w:type="pct"/>
                  <w:gridSpan w:val="2"/>
                  <w:tcBorders>
                    <w:tl2br w:val="nil"/>
                    <w:tr2bl w:val="nil"/>
                  </w:tcBorders>
                  <w:noWrap w:val="0"/>
                  <w:tcMar>
                    <w:left w:w="0" w:type="dxa"/>
                    <w:right w:w="0" w:type="dxa"/>
                  </w:tcMar>
                  <w:vAlign w:val="center"/>
                </w:tcPr>
                <w:p w14:paraId="15AF6995">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排放口地理坐标</w:t>
                  </w:r>
                </w:p>
              </w:tc>
              <w:tc>
                <w:tcPr>
                  <w:tcW w:w="432" w:type="pct"/>
                  <w:vMerge w:val="restart"/>
                  <w:tcBorders>
                    <w:tl2br w:val="nil"/>
                    <w:tr2bl w:val="nil"/>
                  </w:tcBorders>
                  <w:noWrap w:val="0"/>
                  <w:tcMar>
                    <w:left w:w="0" w:type="dxa"/>
                    <w:right w:w="0" w:type="dxa"/>
                  </w:tcMar>
                  <w:vAlign w:val="center"/>
                </w:tcPr>
                <w:p w14:paraId="48B4E6F5">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废水排放量（t/a）</w:t>
                  </w:r>
                </w:p>
              </w:tc>
              <w:tc>
                <w:tcPr>
                  <w:tcW w:w="315" w:type="pct"/>
                  <w:vMerge w:val="restart"/>
                  <w:tcBorders>
                    <w:tl2br w:val="nil"/>
                    <w:tr2bl w:val="nil"/>
                  </w:tcBorders>
                  <w:noWrap w:val="0"/>
                  <w:tcMar>
                    <w:left w:w="0" w:type="dxa"/>
                    <w:right w:w="0" w:type="dxa"/>
                  </w:tcMar>
                  <w:vAlign w:val="center"/>
                </w:tcPr>
                <w:p w14:paraId="422C5425">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排放</w:t>
                  </w:r>
                </w:p>
                <w:p w14:paraId="062BEDB4">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去向</w:t>
                  </w:r>
                </w:p>
              </w:tc>
              <w:tc>
                <w:tcPr>
                  <w:tcW w:w="302" w:type="pct"/>
                  <w:vMerge w:val="restart"/>
                  <w:tcBorders>
                    <w:tl2br w:val="nil"/>
                    <w:tr2bl w:val="nil"/>
                  </w:tcBorders>
                  <w:noWrap w:val="0"/>
                  <w:tcMar>
                    <w:left w:w="0" w:type="dxa"/>
                    <w:right w:w="0" w:type="dxa"/>
                  </w:tcMar>
                  <w:vAlign w:val="center"/>
                </w:tcPr>
                <w:p w14:paraId="0E01A8DA">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排放</w:t>
                  </w:r>
                </w:p>
                <w:p w14:paraId="25CDEEC0">
                  <w:pPr>
                    <w:jc w:val="center"/>
                    <w:rPr>
                      <w:rFonts w:hint="eastAsia" w:ascii="Times New Roman" w:hAnsi="Times New Roman" w:eastAsia="宋体" w:cs="Times New Roman"/>
                      <w:b/>
                      <w:bCs/>
                      <w:color w:val="auto"/>
                      <w:szCs w:val="21"/>
                      <w:highlight w:val="none"/>
                      <w:lang w:eastAsia="zh-CN"/>
                    </w:rPr>
                  </w:pPr>
                  <w:r>
                    <w:rPr>
                      <w:rFonts w:hint="eastAsia" w:ascii="Times New Roman" w:hAnsi="Times New Roman" w:eastAsia="宋体" w:cs="Times New Roman"/>
                      <w:b/>
                      <w:bCs/>
                      <w:color w:val="auto"/>
                      <w:szCs w:val="21"/>
                      <w:highlight w:val="none"/>
                      <w:lang w:eastAsia="zh-CN"/>
                    </w:rPr>
                    <w:t>规律</w:t>
                  </w:r>
                </w:p>
              </w:tc>
              <w:tc>
                <w:tcPr>
                  <w:tcW w:w="319" w:type="pct"/>
                  <w:vMerge w:val="restart"/>
                  <w:tcBorders>
                    <w:tl2br w:val="nil"/>
                    <w:tr2bl w:val="nil"/>
                  </w:tcBorders>
                  <w:noWrap w:val="0"/>
                  <w:tcMar>
                    <w:left w:w="0" w:type="dxa"/>
                    <w:right w:w="0" w:type="dxa"/>
                  </w:tcMar>
                  <w:vAlign w:val="center"/>
                </w:tcPr>
                <w:p w14:paraId="524A7126">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间歇排放时段</w:t>
                  </w:r>
                </w:p>
              </w:tc>
              <w:tc>
                <w:tcPr>
                  <w:tcW w:w="1589" w:type="pct"/>
                  <w:gridSpan w:val="3"/>
                  <w:tcBorders>
                    <w:tl2br w:val="nil"/>
                    <w:tr2bl w:val="nil"/>
                  </w:tcBorders>
                  <w:noWrap w:val="0"/>
                  <w:tcMar>
                    <w:left w:w="0" w:type="dxa"/>
                    <w:right w:w="0" w:type="dxa"/>
                  </w:tcMar>
                  <w:vAlign w:val="center"/>
                </w:tcPr>
                <w:p w14:paraId="6EB1AAEB">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受纳污水处理厂信息</w:t>
                  </w:r>
                </w:p>
              </w:tc>
            </w:tr>
            <w:tr w14:paraId="0038E4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9" w:type="pct"/>
                  <w:vMerge w:val="continue"/>
                  <w:tcBorders>
                    <w:bottom w:val="single" w:color="auto" w:sz="12" w:space="0"/>
                    <w:tl2br w:val="nil"/>
                    <w:tr2bl w:val="nil"/>
                  </w:tcBorders>
                  <w:noWrap w:val="0"/>
                  <w:tcMar>
                    <w:left w:w="0" w:type="dxa"/>
                    <w:right w:w="0" w:type="dxa"/>
                  </w:tcMar>
                  <w:vAlign w:val="center"/>
                </w:tcPr>
                <w:p w14:paraId="7228DBEC">
                  <w:pPr>
                    <w:spacing w:before="156" w:beforeLines="50"/>
                    <w:jc w:val="center"/>
                    <w:rPr>
                      <w:rFonts w:ascii="Times New Roman" w:hAnsi="Times New Roman" w:eastAsia="宋体" w:cs="Times New Roman"/>
                      <w:b/>
                      <w:bCs/>
                      <w:color w:val="auto"/>
                      <w:szCs w:val="21"/>
                      <w:highlight w:val="none"/>
                    </w:rPr>
                  </w:pPr>
                </w:p>
              </w:tc>
              <w:tc>
                <w:tcPr>
                  <w:tcW w:w="364" w:type="pct"/>
                  <w:vMerge w:val="continue"/>
                  <w:tcBorders>
                    <w:bottom w:val="single" w:color="auto" w:sz="12" w:space="0"/>
                    <w:tl2br w:val="nil"/>
                    <w:tr2bl w:val="nil"/>
                  </w:tcBorders>
                  <w:noWrap w:val="0"/>
                  <w:tcMar>
                    <w:left w:w="0" w:type="dxa"/>
                    <w:right w:w="0" w:type="dxa"/>
                  </w:tcMar>
                  <w:vAlign w:val="center"/>
                </w:tcPr>
                <w:p w14:paraId="5C2D0B29">
                  <w:pPr>
                    <w:jc w:val="center"/>
                    <w:rPr>
                      <w:rFonts w:ascii="Times New Roman" w:hAnsi="Times New Roman" w:eastAsia="宋体" w:cs="Times New Roman"/>
                      <w:b/>
                      <w:bCs/>
                      <w:color w:val="auto"/>
                      <w:szCs w:val="21"/>
                      <w:highlight w:val="none"/>
                    </w:rPr>
                  </w:pPr>
                </w:p>
              </w:tc>
              <w:tc>
                <w:tcPr>
                  <w:tcW w:w="777" w:type="pct"/>
                  <w:tcBorders>
                    <w:bottom w:val="single" w:color="auto" w:sz="12" w:space="0"/>
                    <w:tl2br w:val="nil"/>
                    <w:tr2bl w:val="nil"/>
                  </w:tcBorders>
                  <w:noWrap w:val="0"/>
                  <w:tcMar>
                    <w:left w:w="0" w:type="dxa"/>
                    <w:right w:w="0" w:type="dxa"/>
                  </w:tcMar>
                  <w:vAlign w:val="center"/>
                </w:tcPr>
                <w:p w14:paraId="73C419FF">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经度</w:t>
                  </w:r>
                </w:p>
              </w:tc>
              <w:tc>
                <w:tcPr>
                  <w:tcW w:w="770" w:type="pct"/>
                  <w:tcBorders>
                    <w:bottom w:val="single" w:color="auto" w:sz="12" w:space="0"/>
                    <w:tl2br w:val="nil"/>
                    <w:tr2bl w:val="nil"/>
                  </w:tcBorders>
                  <w:noWrap w:val="0"/>
                  <w:tcMar>
                    <w:left w:w="0" w:type="dxa"/>
                    <w:right w:w="0" w:type="dxa"/>
                  </w:tcMar>
                  <w:vAlign w:val="center"/>
                </w:tcPr>
                <w:p w14:paraId="33358C3C">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纬度</w:t>
                  </w:r>
                </w:p>
              </w:tc>
              <w:tc>
                <w:tcPr>
                  <w:tcW w:w="432" w:type="pct"/>
                  <w:vMerge w:val="continue"/>
                  <w:tcBorders>
                    <w:bottom w:val="single" w:color="auto" w:sz="12" w:space="0"/>
                    <w:tl2br w:val="nil"/>
                    <w:tr2bl w:val="nil"/>
                  </w:tcBorders>
                  <w:noWrap w:val="0"/>
                  <w:tcMar>
                    <w:left w:w="0" w:type="dxa"/>
                    <w:right w:w="0" w:type="dxa"/>
                  </w:tcMar>
                  <w:vAlign w:val="center"/>
                </w:tcPr>
                <w:p w14:paraId="1F01C644">
                  <w:pPr>
                    <w:jc w:val="center"/>
                    <w:rPr>
                      <w:rFonts w:ascii="Times New Roman" w:hAnsi="Times New Roman" w:eastAsia="宋体" w:cs="Times New Roman"/>
                      <w:b/>
                      <w:bCs/>
                      <w:color w:val="auto"/>
                      <w:szCs w:val="21"/>
                      <w:highlight w:val="none"/>
                    </w:rPr>
                  </w:pPr>
                </w:p>
              </w:tc>
              <w:tc>
                <w:tcPr>
                  <w:tcW w:w="315" w:type="pct"/>
                  <w:vMerge w:val="continue"/>
                  <w:tcBorders>
                    <w:bottom w:val="single" w:color="auto" w:sz="12" w:space="0"/>
                    <w:tl2br w:val="nil"/>
                    <w:tr2bl w:val="nil"/>
                  </w:tcBorders>
                  <w:noWrap w:val="0"/>
                  <w:tcMar>
                    <w:left w:w="0" w:type="dxa"/>
                    <w:right w:w="0" w:type="dxa"/>
                  </w:tcMar>
                  <w:vAlign w:val="center"/>
                </w:tcPr>
                <w:p w14:paraId="67BCE694">
                  <w:pPr>
                    <w:jc w:val="center"/>
                    <w:rPr>
                      <w:rFonts w:ascii="Times New Roman" w:hAnsi="Times New Roman" w:eastAsia="宋体" w:cs="Times New Roman"/>
                      <w:b/>
                      <w:bCs/>
                      <w:color w:val="auto"/>
                      <w:szCs w:val="21"/>
                      <w:highlight w:val="none"/>
                    </w:rPr>
                  </w:pPr>
                </w:p>
              </w:tc>
              <w:tc>
                <w:tcPr>
                  <w:tcW w:w="302" w:type="pct"/>
                  <w:vMerge w:val="continue"/>
                  <w:tcBorders>
                    <w:bottom w:val="single" w:color="auto" w:sz="12" w:space="0"/>
                    <w:tl2br w:val="nil"/>
                    <w:tr2bl w:val="nil"/>
                  </w:tcBorders>
                  <w:noWrap w:val="0"/>
                  <w:tcMar>
                    <w:left w:w="0" w:type="dxa"/>
                    <w:right w:w="0" w:type="dxa"/>
                  </w:tcMar>
                  <w:vAlign w:val="center"/>
                </w:tcPr>
                <w:p w14:paraId="5AF70B13">
                  <w:pPr>
                    <w:jc w:val="center"/>
                    <w:rPr>
                      <w:rFonts w:ascii="Times New Roman" w:hAnsi="Times New Roman" w:eastAsia="宋体" w:cs="Times New Roman"/>
                      <w:b/>
                      <w:bCs/>
                      <w:color w:val="auto"/>
                      <w:szCs w:val="21"/>
                      <w:highlight w:val="none"/>
                    </w:rPr>
                  </w:pPr>
                </w:p>
              </w:tc>
              <w:tc>
                <w:tcPr>
                  <w:tcW w:w="319" w:type="pct"/>
                  <w:vMerge w:val="continue"/>
                  <w:tcBorders>
                    <w:bottom w:val="single" w:color="auto" w:sz="12" w:space="0"/>
                    <w:tl2br w:val="nil"/>
                    <w:tr2bl w:val="nil"/>
                  </w:tcBorders>
                  <w:noWrap w:val="0"/>
                  <w:tcMar>
                    <w:left w:w="0" w:type="dxa"/>
                    <w:right w:w="0" w:type="dxa"/>
                  </w:tcMar>
                  <w:vAlign w:val="center"/>
                </w:tcPr>
                <w:p w14:paraId="57AC8D28">
                  <w:pPr>
                    <w:jc w:val="center"/>
                    <w:rPr>
                      <w:rFonts w:ascii="Times New Roman" w:hAnsi="Times New Roman" w:eastAsia="宋体" w:cs="Times New Roman"/>
                      <w:b/>
                      <w:bCs/>
                      <w:color w:val="auto"/>
                      <w:szCs w:val="21"/>
                      <w:highlight w:val="none"/>
                    </w:rPr>
                  </w:pPr>
                </w:p>
              </w:tc>
              <w:tc>
                <w:tcPr>
                  <w:tcW w:w="305" w:type="pct"/>
                  <w:tcBorders>
                    <w:bottom w:val="single" w:color="auto" w:sz="12" w:space="0"/>
                    <w:tl2br w:val="nil"/>
                    <w:tr2bl w:val="nil"/>
                  </w:tcBorders>
                  <w:noWrap w:val="0"/>
                  <w:tcMar>
                    <w:left w:w="0" w:type="dxa"/>
                    <w:right w:w="0" w:type="dxa"/>
                  </w:tcMar>
                  <w:vAlign w:val="center"/>
                </w:tcPr>
                <w:p w14:paraId="6550533B">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名称</w:t>
                  </w:r>
                </w:p>
              </w:tc>
              <w:tc>
                <w:tcPr>
                  <w:tcW w:w="499" w:type="pct"/>
                  <w:tcBorders>
                    <w:bottom w:val="single" w:color="auto" w:sz="12" w:space="0"/>
                    <w:tl2br w:val="nil"/>
                    <w:tr2bl w:val="nil"/>
                  </w:tcBorders>
                  <w:noWrap w:val="0"/>
                  <w:tcMar>
                    <w:left w:w="0" w:type="dxa"/>
                    <w:right w:w="0" w:type="dxa"/>
                  </w:tcMar>
                  <w:vAlign w:val="center"/>
                </w:tcPr>
                <w:p w14:paraId="19A2AF53">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污染物种类</w:t>
                  </w:r>
                </w:p>
              </w:tc>
              <w:tc>
                <w:tcPr>
                  <w:tcW w:w="784" w:type="pct"/>
                  <w:tcBorders>
                    <w:bottom w:val="single" w:color="auto" w:sz="12" w:space="0"/>
                    <w:tl2br w:val="nil"/>
                    <w:tr2bl w:val="nil"/>
                  </w:tcBorders>
                  <w:noWrap w:val="0"/>
                  <w:tcMar>
                    <w:left w:w="0" w:type="dxa"/>
                    <w:right w:w="0" w:type="dxa"/>
                  </w:tcMar>
                  <w:vAlign w:val="center"/>
                </w:tcPr>
                <w:p w14:paraId="7B43C4C9">
                  <w:pPr>
                    <w:jc w:val="center"/>
                    <w:rPr>
                      <w:rFonts w:ascii="Times New Roman" w:hAnsi="Times New Roman" w:eastAsia="宋体" w:cs="Times New Roman"/>
                      <w:b/>
                      <w:bCs/>
                      <w:color w:val="auto"/>
                      <w:szCs w:val="21"/>
                      <w:highlight w:val="none"/>
                    </w:rPr>
                  </w:pPr>
                  <w:r>
                    <w:rPr>
                      <w:rFonts w:ascii="Times New Roman" w:hAnsi="Times New Roman" w:eastAsia="宋体" w:cs="Times New Roman"/>
                      <w:b/>
                      <w:bCs/>
                      <w:color w:val="auto"/>
                      <w:szCs w:val="21"/>
                      <w:highlight w:val="none"/>
                    </w:rPr>
                    <w:t>国家或地方污染物排放标准浓度限值（mg/L）</w:t>
                  </w:r>
                </w:p>
              </w:tc>
            </w:tr>
            <w:tr w14:paraId="0A0DF5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5" w:hRule="atLeast"/>
                <w:jc w:val="center"/>
              </w:trPr>
              <w:tc>
                <w:tcPr>
                  <w:tcW w:w="129" w:type="pct"/>
                  <w:vMerge w:val="restart"/>
                  <w:tcBorders>
                    <w:top w:val="single" w:color="auto" w:sz="12" w:space="0"/>
                  </w:tcBorders>
                  <w:noWrap w:val="0"/>
                  <w:tcMar>
                    <w:left w:w="0" w:type="dxa"/>
                    <w:right w:w="0" w:type="dxa"/>
                  </w:tcMar>
                  <w:vAlign w:val="center"/>
                </w:tcPr>
                <w:p w14:paraId="190FE372">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364" w:type="pct"/>
                  <w:vMerge w:val="restart"/>
                  <w:tcBorders>
                    <w:top w:val="single" w:color="auto" w:sz="12" w:space="0"/>
                  </w:tcBorders>
                  <w:noWrap w:val="0"/>
                  <w:tcMar>
                    <w:left w:w="0" w:type="dxa"/>
                    <w:right w:w="0" w:type="dxa"/>
                  </w:tcMar>
                  <w:vAlign w:val="center"/>
                </w:tcPr>
                <w:p w14:paraId="480C8675">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DW</w:t>
                  </w:r>
                </w:p>
                <w:p w14:paraId="36C6B22A">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001</w:t>
                  </w:r>
                </w:p>
              </w:tc>
              <w:tc>
                <w:tcPr>
                  <w:tcW w:w="777" w:type="pct"/>
                  <w:vMerge w:val="restart"/>
                  <w:tcBorders>
                    <w:top w:val="single" w:color="auto" w:sz="12" w:space="0"/>
                  </w:tcBorders>
                  <w:noWrap w:val="0"/>
                  <w:tcMar>
                    <w:left w:w="0" w:type="dxa"/>
                    <w:right w:w="0" w:type="dxa"/>
                  </w:tcMar>
                  <w:vAlign w:val="center"/>
                </w:tcPr>
                <w:p w14:paraId="50FF826C">
                  <w:pPr>
                    <w:widowControl/>
                    <w:jc w:val="center"/>
                    <w:textAlignment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rPr>
                    <w:t>11</w:t>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eastAsia" w:ascii="Times New Roman" w:hAnsi="Times New Roman" w:cs="Times New Roman"/>
                      <w:color w:val="auto"/>
                      <w:lang w:val="en-US" w:eastAsia="zh-CN"/>
                    </w:rPr>
                    <w:t>2</w:t>
                  </w:r>
                  <w:r>
                    <w:rPr>
                      <w:rFonts w:hint="default" w:ascii="Times New Roman" w:hAnsi="Times New Roman" w:cs="Times New Roman"/>
                      <w:color w:val="auto"/>
                    </w:rPr>
                    <w:t>′</w:t>
                  </w:r>
                  <w:r>
                    <w:rPr>
                      <w:rFonts w:hint="eastAsia" w:ascii="Times New Roman" w:hAnsi="Times New Roman" w:cs="Times New Roman"/>
                      <w:color w:val="auto"/>
                      <w:lang w:val="en-US" w:eastAsia="zh-CN"/>
                    </w:rPr>
                    <w:t>59.13</w:t>
                  </w:r>
                  <w:r>
                    <w:rPr>
                      <w:rFonts w:hint="default" w:ascii="Times New Roman" w:hAnsi="Times New Roman" w:cs="Times New Roman"/>
                      <w:color w:val="auto"/>
                    </w:rPr>
                    <w:t>″</w:t>
                  </w:r>
                </w:p>
              </w:tc>
              <w:tc>
                <w:tcPr>
                  <w:tcW w:w="770" w:type="pct"/>
                  <w:vMerge w:val="restart"/>
                  <w:tcBorders>
                    <w:top w:val="single" w:color="auto" w:sz="12" w:space="0"/>
                  </w:tcBorders>
                  <w:noWrap w:val="0"/>
                  <w:tcMar>
                    <w:left w:w="0" w:type="dxa"/>
                    <w:right w:w="0" w:type="dxa"/>
                  </w:tcMar>
                  <w:vAlign w:val="center"/>
                </w:tcPr>
                <w:p w14:paraId="678E641A">
                  <w:pPr>
                    <w:widowControl/>
                    <w:jc w:val="center"/>
                    <w:textAlignment w:val="center"/>
                    <w:rPr>
                      <w:rFonts w:ascii="Times New Roman" w:hAnsi="Times New Roman" w:eastAsia="宋体" w:cs="Times New Roman"/>
                      <w:color w:val="auto"/>
                      <w:szCs w:val="21"/>
                      <w:highlight w:val="none"/>
                    </w:rPr>
                  </w:pPr>
                  <w:r>
                    <w:rPr>
                      <w:rFonts w:hint="default" w:ascii="Times New Roman" w:hAnsi="Times New Roman" w:cs="Times New Roman"/>
                      <w:color w:val="auto"/>
                    </w:rPr>
                    <w:t>2</w:t>
                  </w:r>
                  <w:r>
                    <w:rPr>
                      <w:rFonts w:hint="default" w:ascii="Times New Roman" w:hAnsi="Times New Roman" w:cs="Times New Roman"/>
                      <w:color w:val="auto"/>
                      <w:lang w:val="en-US" w:eastAsia="zh-CN"/>
                    </w:rPr>
                    <w:t>9</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eastAsia" w:cs="Times New Roman"/>
                      <w:color w:val="auto"/>
                      <w:lang w:val="en-US" w:eastAsia="zh-CN"/>
                    </w:rPr>
                    <w:t>8</w:t>
                  </w:r>
                  <w:r>
                    <w:rPr>
                      <w:rFonts w:hint="default" w:ascii="Times New Roman" w:hAnsi="Times New Roman" w:cs="Times New Roman"/>
                      <w:color w:val="auto"/>
                    </w:rPr>
                    <w:t>′</w:t>
                  </w:r>
                  <w:r>
                    <w:rPr>
                      <w:rFonts w:hint="eastAsia" w:ascii="Times New Roman" w:hAnsi="Times New Roman" w:cs="Times New Roman"/>
                      <w:color w:val="auto"/>
                      <w:lang w:val="en-US" w:eastAsia="zh-CN"/>
                    </w:rPr>
                    <w:t>30</w:t>
                  </w:r>
                  <w:r>
                    <w:rPr>
                      <w:rFonts w:hint="eastAsia" w:cs="Times New Roman"/>
                      <w:color w:val="auto"/>
                      <w:lang w:val="en-US" w:eastAsia="zh-CN"/>
                    </w:rPr>
                    <w:t>.92</w:t>
                  </w:r>
                  <w:r>
                    <w:rPr>
                      <w:rFonts w:hint="default" w:ascii="Times New Roman" w:hAnsi="Times New Roman" w:cs="Times New Roman"/>
                      <w:color w:val="auto"/>
                    </w:rPr>
                    <w:t>″</w:t>
                  </w:r>
                </w:p>
              </w:tc>
              <w:tc>
                <w:tcPr>
                  <w:tcW w:w="432" w:type="pct"/>
                  <w:vMerge w:val="restart"/>
                  <w:tcBorders>
                    <w:top w:val="single" w:color="auto" w:sz="12" w:space="0"/>
                  </w:tcBorders>
                  <w:noWrap w:val="0"/>
                  <w:tcMar>
                    <w:left w:w="0" w:type="dxa"/>
                    <w:right w:w="0" w:type="dxa"/>
                  </w:tcMar>
                  <w:vAlign w:val="center"/>
                </w:tcPr>
                <w:p w14:paraId="35B38417">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w:t>
                  </w:r>
                  <w:r>
                    <w:rPr>
                      <w:rFonts w:hint="eastAsia" w:cs="Times New Roman"/>
                      <w:color w:val="auto"/>
                      <w:szCs w:val="21"/>
                      <w:highlight w:val="none"/>
                      <w:lang w:val="en-US" w:eastAsia="zh-CN"/>
                    </w:rPr>
                    <w:t>59</w:t>
                  </w:r>
                </w:p>
              </w:tc>
              <w:tc>
                <w:tcPr>
                  <w:tcW w:w="315" w:type="pct"/>
                  <w:vMerge w:val="restart"/>
                  <w:tcBorders>
                    <w:top w:val="single" w:color="auto" w:sz="12" w:space="0"/>
                  </w:tcBorders>
                  <w:noWrap w:val="0"/>
                  <w:tcMar>
                    <w:left w:w="0" w:type="dxa"/>
                    <w:right w:w="0" w:type="dxa"/>
                  </w:tcMar>
                  <w:vAlign w:val="center"/>
                </w:tcPr>
                <w:p w14:paraId="21D3DB47">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庐山工业污水处理厂</w:t>
                  </w:r>
                </w:p>
              </w:tc>
              <w:tc>
                <w:tcPr>
                  <w:tcW w:w="302" w:type="pct"/>
                  <w:vMerge w:val="restart"/>
                  <w:tcBorders>
                    <w:top w:val="single" w:color="auto" w:sz="12" w:space="0"/>
                  </w:tcBorders>
                  <w:noWrap w:val="0"/>
                  <w:tcMar>
                    <w:left w:w="0" w:type="dxa"/>
                    <w:right w:w="0" w:type="dxa"/>
                  </w:tcMar>
                  <w:vAlign w:val="center"/>
                </w:tcPr>
                <w:p w14:paraId="7F1B703E">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间歇排放</w:t>
                  </w:r>
                </w:p>
              </w:tc>
              <w:tc>
                <w:tcPr>
                  <w:tcW w:w="319" w:type="pct"/>
                  <w:vMerge w:val="restart"/>
                  <w:tcBorders>
                    <w:top w:val="single" w:color="auto" w:sz="12" w:space="0"/>
                  </w:tcBorders>
                  <w:noWrap w:val="0"/>
                  <w:tcMar>
                    <w:left w:w="0" w:type="dxa"/>
                    <w:right w:w="0" w:type="dxa"/>
                  </w:tcMar>
                  <w:vAlign w:val="center"/>
                </w:tcPr>
                <w:p w14:paraId="1C7C7E52">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305" w:type="pct"/>
                  <w:vMerge w:val="restart"/>
                  <w:tcBorders>
                    <w:top w:val="single" w:color="auto" w:sz="12" w:space="0"/>
                  </w:tcBorders>
                  <w:noWrap w:val="0"/>
                  <w:tcMar>
                    <w:left w:w="0" w:type="dxa"/>
                    <w:right w:w="0" w:type="dxa"/>
                  </w:tcMar>
                  <w:vAlign w:val="center"/>
                </w:tcPr>
                <w:p w14:paraId="0DE6A8DD">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庐山工业污水处理厂</w:t>
                  </w:r>
                </w:p>
              </w:tc>
              <w:tc>
                <w:tcPr>
                  <w:tcW w:w="499" w:type="pct"/>
                  <w:vMerge w:val="restart"/>
                  <w:tcBorders>
                    <w:top w:val="single" w:color="auto" w:sz="12" w:space="0"/>
                  </w:tcBorders>
                  <w:noWrap w:val="0"/>
                  <w:tcMar>
                    <w:left w:w="0" w:type="dxa"/>
                    <w:right w:w="0" w:type="dxa"/>
                  </w:tcMar>
                  <w:vAlign w:val="center"/>
                </w:tcPr>
                <w:p w14:paraId="1FB0804B">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pH</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COD</w:t>
                  </w:r>
                  <w:r>
                    <w:rPr>
                      <w:rFonts w:hint="eastAsia" w:ascii="Times New Roman" w:hAnsi="Times New Roman" w:eastAsia="宋体" w:cs="Times New Roman"/>
                      <w:color w:val="auto"/>
                      <w:szCs w:val="21"/>
                      <w:highlight w:val="none"/>
                      <w:lang w:eastAsia="zh-CN"/>
                    </w:rPr>
                    <w:t>、</w:t>
                  </w:r>
                </w:p>
                <w:p w14:paraId="083A083A">
                  <w:pPr>
                    <w:jc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color w:val="auto"/>
                      <w:spacing w:val="-5"/>
                      <w:position w:val="2"/>
                      <w:sz w:val="21"/>
                      <w:szCs w:val="21"/>
                      <w:highlight w:val="none"/>
                      <w:lang w:val="en-US" w:eastAsia="zh-CN"/>
                    </w:rPr>
                    <w:t>BOD</w:t>
                  </w:r>
                  <w:r>
                    <w:rPr>
                      <w:rFonts w:hint="default" w:ascii="Times New Roman" w:hAnsi="Times New Roman" w:eastAsia="宋体" w:cs="Times New Roman"/>
                      <w:color w:val="auto"/>
                      <w:spacing w:val="-5"/>
                      <w:position w:val="2"/>
                      <w:sz w:val="21"/>
                      <w:szCs w:val="21"/>
                      <w:highlight w:val="none"/>
                      <w:vertAlign w:val="subscript"/>
                      <w:lang w:val="en-US" w:eastAsia="zh-CN"/>
                    </w:rPr>
                    <w:t>5</w:t>
                  </w:r>
                  <w:r>
                    <w:rPr>
                      <w:rFonts w:hint="eastAsia" w:ascii="Times New Roman" w:hAnsi="Times New Roman" w:eastAsia="宋体" w:cs="Times New Roman"/>
                      <w:color w:val="auto"/>
                      <w:spacing w:val="-5"/>
                      <w:position w:val="2"/>
                      <w:sz w:val="21"/>
                      <w:szCs w:val="21"/>
                      <w:highlight w:val="none"/>
                      <w:vertAlign w:val="baseline"/>
                      <w:lang w:val="en-US" w:eastAsia="zh-CN"/>
                    </w:rPr>
                    <w:t>、SS、NH</w:t>
                  </w:r>
                  <w:r>
                    <w:rPr>
                      <w:rFonts w:hint="eastAsia" w:ascii="Times New Roman" w:hAnsi="Times New Roman" w:eastAsia="宋体" w:cs="Times New Roman"/>
                      <w:color w:val="auto"/>
                      <w:spacing w:val="-5"/>
                      <w:position w:val="2"/>
                      <w:sz w:val="21"/>
                      <w:szCs w:val="21"/>
                      <w:highlight w:val="none"/>
                      <w:vertAlign w:val="subscript"/>
                      <w:lang w:val="en-US" w:eastAsia="zh-CN"/>
                    </w:rPr>
                    <w:t>3</w:t>
                  </w:r>
                  <w:r>
                    <w:rPr>
                      <w:rFonts w:hint="eastAsia" w:ascii="Times New Roman" w:hAnsi="Times New Roman" w:eastAsia="宋体" w:cs="Times New Roman"/>
                      <w:color w:val="auto"/>
                      <w:spacing w:val="-5"/>
                      <w:position w:val="2"/>
                      <w:sz w:val="21"/>
                      <w:szCs w:val="21"/>
                      <w:highlight w:val="none"/>
                      <w:vertAlign w:val="baseline"/>
                      <w:lang w:val="en-US" w:eastAsia="zh-CN"/>
                    </w:rPr>
                    <w:t>-N、TP、TN</w:t>
                  </w:r>
                </w:p>
              </w:tc>
              <w:tc>
                <w:tcPr>
                  <w:tcW w:w="784" w:type="pct"/>
                  <w:tcBorders>
                    <w:top w:val="single" w:color="auto" w:sz="12" w:space="0"/>
                  </w:tcBorders>
                  <w:noWrap w:val="0"/>
                  <w:tcMar>
                    <w:left w:w="0" w:type="dxa"/>
                    <w:right w:w="0" w:type="dxa"/>
                  </w:tcMar>
                  <w:vAlign w:val="center"/>
                </w:tcPr>
                <w:p w14:paraId="38727A54">
                  <w:pPr>
                    <w:keepNext w:val="0"/>
                    <w:keepLines w:val="0"/>
                    <w:pageBreakBefore w:val="0"/>
                    <w:widowControl w:val="0"/>
                    <w:kinsoku/>
                    <w:wordWrap/>
                    <w:overflowPunct/>
                    <w:topLinePunct w:val="0"/>
                    <w:bidi w:val="0"/>
                    <w:snapToGrid/>
                    <w:jc w:val="center"/>
                    <w:textAlignment w:val="auto"/>
                    <w:rPr>
                      <w:rFonts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pH</w:t>
                  </w:r>
                  <w:r>
                    <w:rPr>
                      <w:rFonts w:hint="default" w:ascii="Times New Roman" w:hAnsi="Times New Roman" w:eastAsia="宋体" w:cs="Times New Roman"/>
                      <w:color w:val="auto"/>
                      <w:sz w:val="21"/>
                      <w:szCs w:val="21"/>
                      <w:highlight w:val="none"/>
                      <w:lang w:val="en-US" w:eastAsia="zh-CN"/>
                    </w:rPr>
                    <w:t>=6~9</w:t>
                  </w:r>
                </w:p>
              </w:tc>
            </w:tr>
            <w:tr w14:paraId="1CD7C9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129" w:type="pct"/>
                  <w:vMerge w:val="continue"/>
                  <w:noWrap w:val="0"/>
                  <w:tcMar>
                    <w:left w:w="0" w:type="dxa"/>
                    <w:right w:w="0" w:type="dxa"/>
                  </w:tcMar>
                  <w:vAlign w:val="center"/>
                </w:tcPr>
                <w:p w14:paraId="0BD13F43">
                  <w:pPr>
                    <w:jc w:val="left"/>
                    <w:rPr>
                      <w:rFonts w:ascii="Times New Roman" w:hAnsi="Times New Roman" w:eastAsia="宋体" w:cs="Times New Roman"/>
                      <w:color w:val="auto"/>
                      <w:highlight w:val="none"/>
                    </w:rPr>
                  </w:pPr>
                </w:p>
              </w:tc>
              <w:tc>
                <w:tcPr>
                  <w:tcW w:w="364" w:type="pct"/>
                  <w:vMerge w:val="continue"/>
                  <w:noWrap w:val="0"/>
                  <w:tcMar>
                    <w:left w:w="0" w:type="dxa"/>
                    <w:right w:w="0" w:type="dxa"/>
                  </w:tcMar>
                  <w:vAlign w:val="center"/>
                </w:tcPr>
                <w:p w14:paraId="742004EC">
                  <w:pPr>
                    <w:jc w:val="left"/>
                    <w:rPr>
                      <w:rFonts w:ascii="Times New Roman" w:hAnsi="Times New Roman" w:eastAsia="宋体" w:cs="Times New Roman"/>
                      <w:color w:val="auto"/>
                      <w:highlight w:val="none"/>
                    </w:rPr>
                  </w:pPr>
                </w:p>
              </w:tc>
              <w:tc>
                <w:tcPr>
                  <w:tcW w:w="777" w:type="pct"/>
                  <w:vMerge w:val="continue"/>
                  <w:noWrap w:val="0"/>
                  <w:tcMar>
                    <w:left w:w="0" w:type="dxa"/>
                    <w:right w:w="0" w:type="dxa"/>
                  </w:tcMar>
                  <w:vAlign w:val="center"/>
                </w:tcPr>
                <w:p w14:paraId="73261076">
                  <w:pPr>
                    <w:jc w:val="left"/>
                    <w:rPr>
                      <w:rFonts w:ascii="Times New Roman" w:hAnsi="Times New Roman" w:eastAsia="宋体" w:cs="Times New Roman"/>
                      <w:color w:val="auto"/>
                      <w:highlight w:val="none"/>
                    </w:rPr>
                  </w:pPr>
                </w:p>
              </w:tc>
              <w:tc>
                <w:tcPr>
                  <w:tcW w:w="770" w:type="pct"/>
                  <w:vMerge w:val="continue"/>
                  <w:noWrap w:val="0"/>
                  <w:tcMar>
                    <w:left w:w="0" w:type="dxa"/>
                    <w:right w:w="0" w:type="dxa"/>
                  </w:tcMar>
                  <w:vAlign w:val="center"/>
                </w:tcPr>
                <w:p w14:paraId="171BE52B">
                  <w:pPr>
                    <w:jc w:val="left"/>
                    <w:rPr>
                      <w:rFonts w:ascii="Times New Roman" w:hAnsi="Times New Roman" w:eastAsia="宋体" w:cs="Times New Roman"/>
                      <w:color w:val="auto"/>
                      <w:highlight w:val="none"/>
                    </w:rPr>
                  </w:pPr>
                </w:p>
              </w:tc>
              <w:tc>
                <w:tcPr>
                  <w:tcW w:w="432" w:type="pct"/>
                  <w:vMerge w:val="continue"/>
                  <w:noWrap w:val="0"/>
                  <w:tcMar>
                    <w:left w:w="0" w:type="dxa"/>
                    <w:right w:w="0" w:type="dxa"/>
                  </w:tcMar>
                  <w:vAlign w:val="center"/>
                </w:tcPr>
                <w:p w14:paraId="739D2E0D">
                  <w:pPr>
                    <w:jc w:val="left"/>
                    <w:rPr>
                      <w:rFonts w:ascii="Times New Roman" w:hAnsi="Times New Roman" w:eastAsia="宋体" w:cs="Times New Roman"/>
                      <w:color w:val="auto"/>
                      <w:highlight w:val="none"/>
                    </w:rPr>
                  </w:pPr>
                </w:p>
              </w:tc>
              <w:tc>
                <w:tcPr>
                  <w:tcW w:w="315" w:type="pct"/>
                  <w:vMerge w:val="continue"/>
                  <w:noWrap w:val="0"/>
                  <w:tcMar>
                    <w:left w:w="0" w:type="dxa"/>
                    <w:right w:w="0" w:type="dxa"/>
                  </w:tcMar>
                  <w:vAlign w:val="center"/>
                </w:tcPr>
                <w:p w14:paraId="47A77BF9">
                  <w:pPr>
                    <w:jc w:val="left"/>
                    <w:rPr>
                      <w:rFonts w:ascii="Times New Roman" w:hAnsi="Times New Roman" w:eastAsia="宋体" w:cs="Times New Roman"/>
                      <w:color w:val="auto"/>
                      <w:highlight w:val="none"/>
                    </w:rPr>
                  </w:pPr>
                </w:p>
              </w:tc>
              <w:tc>
                <w:tcPr>
                  <w:tcW w:w="302" w:type="pct"/>
                  <w:vMerge w:val="continue"/>
                  <w:noWrap w:val="0"/>
                  <w:tcMar>
                    <w:left w:w="0" w:type="dxa"/>
                    <w:right w:w="0" w:type="dxa"/>
                  </w:tcMar>
                  <w:vAlign w:val="center"/>
                </w:tcPr>
                <w:p w14:paraId="2A9C3A10">
                  <w:pPr>
                    <w:jc w:val="left"/>
                    <w:rPr>
                      <w:rFonts w:ascii="Times New Roman" w:hAnsi="Times New Roman" w:eastAsia="宋体" w:cs="Times New Roman"/>
                      <w:color w:val="auto"/>
                      <w:highlight w:val="none"/>
                    </w:rPr>
                  </w:pPr>
                </w:p>
              </w:tc>
              <w:tc>
                <w:tcPr>
                  <w:tcW w:w="319" w:type="pct"/>
                  <w:vMerge w:val="continue"/>
                  <w:noWrap w:val="0"/>
                  <w:tcMar>
                    <w:left w:w="0" w:type="dxa"/>
                    <w:right w:w="0" w:type="dxa"/>
                  </w:tcMar>
                  <w:vAlign w:val="center"/>
                </w:tcPr>
                <w:p w14:paraId="7DA72E06">
                  <w:pPr>
                    <w:jc w:val="left"/>
                    <w:rPr>
                      <w:rFonts w:ascii="Times New Roman" w:hAnsi="Times New Roman" w:eastAsia="宋体" w:cs="Times New Roman"/>
                      <w:color w:val="auto"/>
                      <w:highlight w:val="none"/>
                    </w:rPr>
                  </w:pPr>
                </w:p>
              </w:tc>
              <w:tc>
                <w:tcPr>
                  <w:tcW w:w="305" w:type="pct"/>
                  <w:vMerge w:val="continue"/>
                  <w:noWrap w:val="0"/>
                  <w:tcMar>
                    <w:left w:w="0" w:type="dxa"/>
                    <w:right w:w="0" w:type="dxa"/>
                  </w:tcMar>
                  <w:vAlign w:val="center"/>
                </w:tcPr>
                <w:p w14:paraId="3091E0A4">
                  <w:pPr>
                    <w:jc w:val="left"/>
                    <w:rPr>
                      <w:rFonts w:ascii="Times New Roman" w:hAnsi="Times New Roman" w:eastAsia="宋体" w:cs="Times New Roman"/>
                      <w:color w:val="auto"/>
                      <w:highlight w:val="none"/>
                    </w:rPr>
                  </w:pPr>
                </w:p>
              </w:tc>
              <w:tc>
                <w:tcPr>
                  <w:tcW w:w="499" w:type="pct"/>
                  <w:vMerge w:val="continue"/>
                  <w:noWrap w:val="0"/>
                  <w:tcMar>
                    <w:left w:w="0" w:type="dxa"/>
                    <w:right w:w="0" w:type="dxa"/>
                  </w:tcMar>
                  <w:vAlign w:val="center"/>
                </w:tcPr>
                <w:p w14:paraId="2C5FA708">
                  <w:pPr>
                    <w:jc w:val="left"/>
                    <w:rPr>
                      <w:rFonts w:ascii="Times New Roman" w:hAnsi="Times New Roman" w:eastAsia="宋体" w:cs="Times New Roman"/>
                      <w:color w:val="auto"/>
                      <w:highlight w:val="none"/>
                    </w:rPr>
                  </w:pPr>
                </w:p>
              </w:tc>
              <w:tc>
                <w:tcPr>
                  <w:tcW w:w="784" w:type="pct"/>
                  <w:noWrap w:val="0"/>
                  <w:tcMar>
                    <w:left w:w="0" w:type="dxa"/>
                    <w:right w:w="0" w:type="dxa"/>
                  </w:tcMar>
                  <w:vAlign w:val="center"/>
                </w:tcPr>
                <w:p w14:paraId="13DEE17D">
                  <w:pPr>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auto"/>
                      <w:spacing w:val="-5"/>
                      <w:position w:val="2"/>
                      <w:sz w:val="21"/>
                      <w:szCs w:val="21"/>
                      <w:highlight w:val="none"/>
                      <w:lang w:val="en-US" w:eastAsia="zh-CN"/>
                    </w:rPr>
                  </w:pPr>
                  <w:r>
                    <w:rPr>
                      <w:rFonts w:hint="default" w:ascii="Times New Roman" w:hAnsi="Times New Roman" w:eastAsia="宋体" w:cs="Times New Roman"/>
                      <w:color w:val="auto"/>
                      <w:sz w:val="21"/>
                      <w:szCs w:val="21"/>
                      <w:highlight w:val="none"/>
                    </w:rPr>
                    <w:t>COD≤</w:t>
                  </w:r>
                  <w:r>
                    <w:rPr>
                      <w:rFonts w:hint="eastAsia" w:ascii="Times New Roman" w:hAnsi="Times New Roman" w:eastAsia="宋体" w:cs="Times New Roman"/>
                      <w:color w:val="auto"/>
                      <w:sz w:val="21"/>
                      <w:szCs w:val="21"/>
                      <w:highlight w:val="none"/>
                      <w:lang w:val="en-US" w:eastAsia="zh-CN"/>
                    </w:rPr>
                    <w:t>50</w:t>
                  </w:r>
                </w:p>
              </w:tc>
            </w:tr>
            <w:tr w14:paraId="254E19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129" w:type="pct"/>
                  <w:vMerge w:val="continue"/>
                  <w:noWrap w:val="0"/>
                  <w:tcMar>
                    <w:left w:w="0" w:type="dxa"/>
                    <w:right w:w="0" w:type="dxa"/>
                  </w:tcMar>
                  <w:vAlign w:val="center"/>
                </w:tcPr>
                <w:p w14:paraId="7FC01C7F">
                  <w:pPr>
                    <w:jc w:val="left"/>
                    <w:rPr>
                      <w:rFonts w:ascii="Times New Roman" w:hAnsi="Times New Roman" w:eastAsia="宋体" w:cs="Times New Roman"/>
                      <w:color w:val="auto"/>
                      <w:highlight w:val="none"/>
                    </w:rPr>
                  </w:pPr>
                </w:p>
              </w:tc>
              <w:tc>
                <w:tcPr>
                  <w:tcW w:w="364" w:type="pct"/>
                  <w:vMerge w:val="continue"/>
                  <w:noWrap w:val="0"/>
                  <w:tcMar>
                    <w:left w:w="0" w:type="dxa"/>
                    <w:right w:w="0" w:type="dxa"/>
                  </w:tcMar>
                  <w:vAlign w:val="center"/>
                </w:tcPr>
                <w:p w14:paraId="5EA415D6">
                  <w:pPr>
                    <w:jc w:val="left"/>
                    <w:rPr>
                      <w:rFonts w:ascii="Times New Roman" w:hAnsi="Times New Roman" w:eastAsia="宋体" w:cs="Times New Roman"/>
                      <w:color w:val="auto"/>
                      <w:highlight w:val="none"/>
                    </w:rPr>
                  </w:pPr>
                </w:p>
              </w:tc>
              <w:tc>
                <w:tcPr>
                  <w:tcW w:w="777" w:type="pct"/>
                  <w:vMerge w:val="continue"/>
                  <w:noWrap w:val="0"/>
                  <w:tcMar>
                    <w:left w:w="0" w:type="dxa"/>
                    <w:right w:w="0" w:type="dxa"/>
                  </w:tcMar>
                  <w:vAlign w:val="center"/>
                </w:tcPr>
                <w:p w14:paraId="490F439B">
                  <w:pPr>
                    <w:jc w:val="left"/>
                    <w:rPr>
                      <w:rFonts w:ascii="Times New Roman" w:hAnsi="Times New Roman" w:eastAsia="宋体" w:cs="Times New Roman"/>
                      <w:color w:val="auto"/>
                      <w:highlight w:val="none"/>
                    </w:rPr>
                  </w:pPr>
                </w:p>
              </w:tc>
              <w:tc>
                <w:tcPr>
                  <w:tcW w:w="770" w:type="pct"/>
                  <w:vMerge w:val="continue"/>
                  <w:noWrap w:val="0"/>
                  <w:tcMar>
                    <w:left w:w="0" w:type="dxa"/>
                    <w:right w:w="0" w:type="dxa"/>
                  </w:tcMar>
                  <w:vAlign w:val="center"/>
                </w:tcPr>
                <w:p w14:paraId="1DFD48A0">
                  <w:pPr>
                    <w:jc w:val="left"/>
                    <w:rPr>
                      <w:rFonts w:ascii="Times New Roman" w:hAnsi="Times New Roman" w:eastAsia="宋体" w:cs="Times New Roman"/>
                      <w:color w:val="auto"/>
                      <w:highlight w:val="none"/>
                    </w:rPr>
                  </w:pPr>
                </w:p>
              </w:tc>
              <w:tc>
                <w:tcPr>
                  <w:tcW w:w="432" w:type="pct"/>
                  <w:vMerge w:val="continue"/>
                  <w:noWrap w:val="0"/>
                  <w:tcMar>
                    <w:left w:w="0" w:type="dxa"/>
                    <w:right w:w="0" w:type="dxa"/>
                  </w:tcMar>
                  <w:vAlign w:val="center"/>
                </w:tcPr>
                <w:p w14:paraId="3771DB3C">
                  <w:pPr>
                    <w:jc w:val="left"/>
                    <w:rPr>
                      <w:rFonts w:ascii="Times New Roman" w:hAnsi="Times New Roman" w:eastAsia="宋体" w:cs="Times New Roman"/>
                      <w:color w:val="auto"/>
                      <w:highlight w:val="none"/>
                    </w:rPr>
                  </w:pPr>
                </w:p>
              </w:tc>
              <w:tc>
                <w:tcPr>
                  <w:tcW w:w="315" w:type="pct"/>
                  <w:vMerge w:val="continue"/>
                  <w:noWrap w:val="0"/>
                  <w:tcMar>
                    <w:left w:w="0" w:type="dxa"/>
                    <w:right w:w="0" w:type="dxa"/>
                  </w:tcMar>
                  <w:vAlign w:val="center"/>
                </w:tcPr>
                <w:p w14:paraId="64E889B0">
                  <w:pPr>
                    <w:jc w:val="left"/>
                    <w:rPr>
                      <w:rFonts w:ascii="Times New Roman" w:hAnsi="Times New Roman" w:eastAsia="宋体" w:cs="Times New Roman"/>
                      <w:color w:val="auto"/>
                      <w:highlight w:val="none"/>
                    </w:rPr>
                  </w:pPr>
                </w:p>
              </w:tc>
              <w:tc>
                <w:tcPr>
                  <w:tcW w:w="302" w:type="pct"/>
                  <w:vMerge w:val="continue"/>
                  <w:noWrap w:val="0"/>
                  <w:tcMar>
                    <w:left w:w="0" w:type="dxa"/>
                    <w:right w:w="0" w:type="dxa"/>
                  </w:tcMar>
                  <w:vAlign w:val="center"/>
                </w:tcPr>
                <w:p w14:paraId="7A158C7D">
                  <w:pPr>
                    <w:jc w:val="left"/>
                    <w:rPr>
                      <w:rFonts w:ascii="Times New Roman" w:hAnsi="Times New Roman" w:eastAsia="宋体" w:cs="Times New Roman"/>
                      <w:color w:val="auto"/>
                      <w:highlight w:val="none"/>
                    </w:rPr>
                  </w:pPr>
                </w:p>
              </w:tc>
              <w:tc>
                <w:tcPr>
                  <w:tcW w:w="319" w:type="pct"/>
                  <w:vMerge w:val="continue"/>
                  <w:noWrap w:val="0"/>
                  <w:tcMar>
                    <w:left w:w="0" w:type="dxa"/>
                    <w:right w:w="0" w:type="dxa"/>
                  </w:tcMar>
                  <w:vAlign w:val="center"/>
                </w:tcPr>
                <w:p w14:paraId="4C250085">
                  <w:pPr>
                    <w:jc w:val="left"/>
                    <w:rPr>
                      <w:rFonts w:ascii="Times New Roman" w:hAnsi="Times New Roman" w:eastAsia="宋体" w:cs="Times New Roman"/>
                      <w:color w:val="auto"/>
                      <w:highlight w:val="none"/>
                    </w:rPr>
                  </w:pPr>
                </w:p>
              </w:tc>
              <w:tc>
                <w:tcPr>
                  <w:tcW w:w="305" w:type="pct"/>
                  <w:vMerge w:val="continue"/>
                  <w:noWrap w:val="0"/>
                  <w:tcMar>
                    <w:left w:w="0" w:type="dxa"/>
                    <w:right w:w="0" w:type="dxa"/>
                  </w:tcMar>
                  <w:vAlign w:val="center"/>
                </w:tcPr>
                <w:p w14:paraId="555C54FF">
                  <w:pPr>
                    <w:jc w:val="left"/>
                    <w:rPr>
                      <w:rFonts w:ascii="Times New Roman" w:hAnsi="Times New Roman" w:eastAsia="宋体" w:cs="Times New Roman"/>
                      <w:color w:val="auto"/>
                      <w:highlight w:val="none"/>
                    </w:rPr>
                  </w:pPr>
                </w:p>
              </w:tc>
              <w:tc>
                <w:tcPr>
                  <w:tcW w:w="499" w:type="pct"/>
                  <w:vMerge w:val="continue"/>
                  <w:noWrap w:val="0"/>
                  <w:tcMar>
                    <w:left w:w="0" w:type="dxa"/>
                    <w:right w:w="0" w:type="dxa"/>
                  </w:tcMar>
                  <w:vAlign w:val="center"/>
                </w:tcPr>
                <w:p w14:paraId="74252D86">
                  <w:pPr>
                    <w:jc w:val="left"/>
                    <w:rPr>
                      <w:rFonts w:ascii="Times New Roman" w:hAnsi="Times New Roman" w:eastAsia="宋体" w:cs="Times New Roman"/>
                      <w:color w:val="auto"/>
                      <w:highlight w:val="none"/>
                    </w:rPr>
                  </w:pPr>
                </w:p>
              </w:tc>
              <w:tc>
                <w:tcPr>
                  <w:tcW w:w="784" w:type="pct"/>
                  <w:noWrap w:val="0"/>
                  <w:tcMar>
                    <w:left w:w="0" w:type="dxa"/>
                    <w:right w:w="0" w:type="dxa"/>
                  </w:tcMar>
                  <w:vAlign w:val="center"/>
                </w:tcPr>
                <w:p w14:paraId="06BF9DCB">
                  <w:pPr>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auto"/>
                      <w:spacing w:val="-5"/>
                      <w:position w:val="2"/>
                      <w:sz w:val="21"/>
                      <w:szCs w:val="21"/>
                      <w:highlight w:val="none"/>
                      <w:lang w:val="en-US" w:eastAsia="zh-CN"/>
                    </w:rPr>
                  </w:pPr>
                  <w:r>
                    <w:rPr>
                      <w:rFonts w:hint="default" w:ascii="Times New Roman" w:hAnsi="Times New Roman" w:eastAsia="宋体" w:cs="Times New Roman"/>
                      <w:color w:val="auto"/>
                      <w:spacing w:val="-5"/>
                      <w:position w:val="2"/>
                      <w:sz w:val="21"/>
                      <w:szCs w:val="21"/>
                      <w:highlight w:val="none"/>
                      <w:lang w:val="en-US" w:eastAsia="zh-CN"/>
                    </w:rPr>
                    <w:t>BOD</w:t>
                  </w:r>
                  <w:r>
                    <w:rPr>
                      <w:rFonts w:hint="default" w:ascii="Times New Roman" w:hAnsi="Times New Roman" w:eastAsia="宋体" w:cs="Times New Roman"/>
                      <w:color w:val="auto"/>
                      <w:spacing w:val="-5"/>
                      <w:position w:val="2"/>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10</w:t>
                  </w:r>
                </w:p>
              </w:tc>
            </w:tr>
            <w:tr w14:paraId="01290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129" w:type="pct"/>
                  <w:vMerge w:val="continue"/>
                  <w:noWrap w:val="0"/>
                  <w:tcMar>
                    <w:left w:w="0" w:type="dxa"/>
                    <w:right w:w="0" w:type="dxa"/>
                  </w:tcMar>
                  <w:vAlign w:val="center"/>
                </w:tcPr>
                <w:p w14:paraId="1B13C535">
                  <w:pPr>
                    <w:jc w:val="left"/>
                    <w:rPr>
                      <w:rFonts w:hint="default" w:ascii="Times New Roman" w:hAnsi="Times New Roman" w:eastAsia="宋体" w:cs="Times New Roman"/>
                      <w:color w:val="auto"/>
                      <w:spacing w:val="-5"/>
                      <w:position w:val="2"/>
                      <w:sz w:val="21"/>
                      <w:szCs w:val="21"/>
                      <w:highlight w:val="none"/>
                      <w:lang w:val="en-US" w:eastAsia="zh-CN"/>
                    </w:rPr>
                  </w:pPr>
                </w:p>
              </w:tc>
              <w:tc>
                <w:tcPr>
                  <w:tcW w:w="364" w:type="pct"/>
                  <w:vMerge w:val="continue"/>
                  <w:noWrap w:val="0"/>
                  <w:tcMar>
                    <w:left w:w="0" w:type="dxa"/>
                    <w:right w:w="0" w:type="dxa"/>
                  </w:tcMar>
                  <w:vAlign w:val="center"/>
                </w:tcPr>
                <w:p w14:paraId="71EF0CE9">
                  <w:pPr>
                    <w:jc w:val="left"/>
                    <w:rPr>
                      <w:rFonts w:hint="default" w:ascii="Times New Roman" w:hAnsi="Times New Roman" w:eastAsia="宋体" w:cs="Times New Roman"/>
                      <w:color w:val="auto"/>
                      <w:spacing w:val="-5"/>
                      <w:position w:val="2"/>
                      <w:sz w:val="21"/>
                      <w:szCs w:val="21"/>
                      <w:highlight w:val="none"/>
                      <w:lang w:val="en-US" w:eastAsia="zh-CN"/>
                    </w:rPr>
                  </w:pPr>
                </w:p>
              </w:tc>
              <w:tc>
                <w:tcPr>
                  <w:tcW w:w="777" w:type="pct"/>
                  <w:vMerge w:val="continue"/>
                  <w:noWrap w:val="0"/>
                  <w:tcMar>
                    <w:left w:w="0" w:type="dxa"/>
                    <w:right w:w="0" w:type="dxa"/>
                  </w:tcMar>
                  <w:vAlign w:val="center"/>
                </w:tcPr>
                <w:p w14:paraId="4059D2DF">
                  <w:pPr>
                    <w:jc w:val="left"/>
                    <w:rPr>
                      <w:rFonts w:hint="default" w:ascii="Times New Roman" w:hAnsi="Times New Roman" w:eastAsia="宋体" w:cs="Times New Roman"/>
                      <w:color w:val="auto"/>
                      <w:spacing w:val="-5"/>
                      <w:position w:val="2"/>
                      <w:sz w:val="21"/>
                      <w:szCs w:val="21"/>
                      <w:highlight w:val="none"/>
                      <w:lang w:val="en-US" w:eastAsia="zh-CN"/>
                    </w:rPr>
                  </w:pPr>
                </w:p>
              </w:tc>
              <w:tc>
                <w:tcPr>
                  <w:tcW w:w="770" w:type="pct"/>
                  <w:vMerge w:val="continue"/>
                  <w:noWrap w:val="0"/>
                  <w:tcMar>
                    <w:left w:w="0" w:type="dxa"/>
                    <w:right w:w="0" w:type="dxa"/>
                  </w:tcMar>
                  <w:vAlign w:val="center"/>
                </w:tcPr>
                <w:p w14:paraId="0FE43C3E">
                  <w:pPr>
                    <w:jc w:val="left"/>
                    <w:rPr>
                      <w:rFonts w:hint="default" w:ascii="Times New Roman" w:hAnsi="Times New Roman" w:eastAsia="宋体" w:cs="Times New Roman"/>
                      <w:color w:val="auto"/>
                      <w:spacing w:val="-5"/>
                      <w:position w:val="2"/>
                      <w:sz w:val="21"/>
                      <w:szCs w:val="21"/>
                      <w:highlight w:val="none"/>
                      <w:lang w:val="en-US" w:eastAsia="zh-CN"/>
                    </w:rPr>
                  </w:pPr>
                </w:p>
              </w:tc>
              <w:tc>
                <w:tcPr>
                  <w:tcW w:w="432" w:type="pct"/>
                  <w:vMerge w:val="continue"/>
                  <w:noWrap w:val="0"/>
                  <w:tcMar>
                    <w:left w:w="0" w:type="dxa"/>
                    <w:right w:w="0" w:type="dxa"/>
                  </w:tcMar>
                  <w:vAlign w:val="center"/>
                </w:tcPr>
                <w:p w14:paraId="71D72695">
                  <w:pPr>
                    <w:jc w:val="left"/>
                    <w:rPr>
                      <w:rFonts w:hint="default" w:ascii="Times New Roman" w:hAnsi="Times New Roman" w:eastAsia="宋体" w:cs="Times New Roman"/>
                      <w:color w:val="auto"/>
                      <w:spacing w:val="-5"/>
                      <w:position w:val="2"/>
                      <w:sz w:val="21"/>
                      <w:szCs w:val="21"/>
                      <w:highlight w:val="none"/>
                      <w:lang w:val="en-US" w:eastAsia="zh-CN"/>
                    </w:rPr>
                  </w:pPr>
                </w:p>
              </w:tc>
              <w:tc>
                <w:tcPr>
                  <w:tcW w:w="315" w:type="pct"/>
                  <w:vMerge w:val="continue"/>
                  <w:noWrap w:val="0"/>
                  <w:tcMar>
                    <w:left w:w="0" w:type="dxa"/>
                    <w:right w:w="0" w:type="dxa"/>
                  </w:tcMar>
                  <w:vAlign w:val="center"/>
                </w:tcPr>
                <w:p w14:paraId="7947E326">
                  <w:pPr>
                    <w:jc w:val="left"/>
                    <w:rPr>
                      <w:rFonts w:hint="default" w:ascii="Times New Roman" w:hAnsi="Times New Roman" w:eastAsia="宋体" w:cs="Times New Roman"/>
                      <w:color w:val="auto"/>
                      <w:spacing w:val="-5"/>
                      <w:position w:val="2"/>
                      <w:sz w:val="21"/>
                      <w:szCs w:val="21"/>
                      <w:highlight w:val="none"/>
                      <w:lang w:val="en-US" w:eastAsia="zh-CN"/>
                    </w:rPr>
                  </w:pPr>
                </w:p>
              </w:tc>
              <w:tc>
                <w:tcPr>
                  <w:tcW w:w="302" w:type="pct"/>
                  <w:vMerge w:val="continue"/>
                  <w:noWrap w:val="0"/>
                  <w:tcMar>
                    <w:left w:w="0" w:type="dxa"/>
                    <w:right w:w="0" w:type="dxa"/>
                  </w:tcMar>
                  <w:vAlign w:val="center"/>
                </w:tcPr>
                <w:p w14:paraId="7B29A511">
                  <w:pPr>
                    <w:jc w:val="left"/>
                    <w:rPr>
                      <w:rFonts w:hint="default" w:ascii="Times New Roman" w:hAnsi="Times New Roman" w:eastAsia="宋体" w:cs="Times New Roman"/>
                      <w:color w:val="auto"/>
                      <w:spacing w:val="-5"/>
                      <w:position w:val="2"/>
                      <w:sz w:val="21"/>
                      <w:szCs w:val="21"/>
                      <w:highlight w:val="none"/>
                      <w:lang w:val="en-US" w:eastAsia="zh-CN"/>
                    </w:rPr>
                  </w:pPr>
                </w:p>
              </w:tc>
              <w:tc>
                <w:tcPr>
                  <w:tcW w:w="319" w:type="pct"/>
                  <w:vMerge w:val="continue"/>
                  <w:noWrap w:val="0"/>
                  <w:tcMar>
                    <w:left w:w="0" w:type="dxa"/>
                    <w:right w:w="0" w:type="dxa"/>
                  </w:tcMar>
                  <w:vAlign w:val="center"/>
                </w:tcPr>
                <w:p w14:paraId="074FAFE6">
                  <w:pPr>
                    <w:jc w:val="left"/>
                    <w:rPr>
                      <w:rFonts w:hint="default" w:ascii="Times New Roman" w:hAnsi="Times New Roman" w:eastAsia="宋体" w:cs="Times New Roman"/>
                      <w:color w:val="auto"/>
                      <w:spacing w:val="-5"/>
                      <w:position w:val="2"/>
                      <w:sz w:val="21"/>
                      <w:szCs w:val="21"/>
                      <w:highlight w:val="none"/>
                      <w:lang w:val="en-US" w:eastAsia="zh-CN"/>
                    </w:rPr>
                  </w:pPr>
                </w:p>
              </w:tc>
              <w:tc>
                <w:tcPr>
                  <w:tcW w:w="305" w:type="pct"/>
                  <w:vMerge w:val="continue"/>
                  <w:noWrap w:val="0"/>
                  <w:tcMar>
                    <w:left w:w="0" w:type="dxa"/>
                    <w:right w:w="0" w:type="dxa"/>
                  </w:tcMar>
                  <w:vAlign w:val="center"/>
                </w:tcPr>
                <w:p w14:paraId="402B802F">
                  <w:pPr>
                    <w:jc w:val="left"/>
                    <w:rPr>
                      <w:rFonts w:hint="default" w:ascii="Times New Roman" w:hAnsi="Times New Roman" w:eastAsia="宋体" w:cs="Times New Roman"/>
                      <w:color w:val="auto"/>
                      <w:spacing w:val="-5"/>
                      <w:position w:val="2"/>
                      <w:sz w:val="21"/>
                      <w:szCs w:val="21"/>
                      <w:highlight w:val="none"/>
                      <w:lang w:val="en-US" w:eastAsia="zh-CN"/>
                    </w:rPr>
                  </w:pPr>
                </w:p>
              </w:tc>
              <w:tc>
                <w:tcPr>
                  <w:tcW w:w="499" w:type="pct"/>
                  <w:vMerge w:val="continue"/>
                  <w:noWrap w:val="0"/>
                  <w:tcMar>
                    <w:left w:w="0" w:type="dxa"/>
                    <w:right w:w="0" w:type="dxa"/>
                  </w:tcMar>
                  <w:vAlign w:val="center"/>
                </w:tcPr>
                <w:p w14:paraId="7AD2AB92">
                  <w:pPr>
                    <w:jc w:val="left"/>
                    <w:rPr>
                      <w:rFonts w:hint="default" w:ascii="Times New Roman" w:hAnsi="Times New Roman" w:eastAsia="宋体" w:cs="Times New Roman"/>
                      <w:color w:val="auto"/>
                      <w:spacing w:val="-5"/>
                      <w:position w:val="2"/>
                      <w:sz w:val="21"/>
                      <w:szCs w:val="21"/>
                      <w:highlight w:val="none"/>
                      <w:lang w:val="en-US" w:eastAsia="zh-CN"/>
                    </w:rPr>
                  </w:pPr>
                </w:p>
              </w:tc>
              <w:tc>
                <w:tcPr>
                  <w:tcW w:w="784" w:type="pct"/>
                  <w:noWrap w:val="0"/>
                  <w:tcMar>
                    <w:left w:w="0" w:type="dxa"/>
                    <w:right w:w="0" w:type="dxa"/>
                  </w:tcMar>
                  <w:vAlign w:val="center"/>
                </w:tcPr>
                <w:p w14:paraId="6ECD00BE">
                  <w:pPr>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auto"/>
                      <w:spacing w:val="-5"/>
                      <w:position w:val="2"/>
                      <w:sz w:val="21"/>
                      <w:szCs w:val="21"/>
                      <w:highlight w:val="none"/>
                      <w:lang w:val="en-US" w:eastAsia="zh-CN"/>
                    </w:rPr>
                  </w:pPr>
                  <w:r>
                    <w:rPr>
                      <w:rFonts w:hint="default" w:ascii="Times New Roman" w:hAnsi="Times New Roman" w:eastAsia="宋体" w:cs="Times New Roman"/>
                      <w:color w:val="auto"/>
                      <w:sz w:val="21"/>
                      <w:szCs w:val="21"/>
                      <w:highlight w:val="none"/>
                    </w:rPr>
                    <w:t>SS≤</w:t>
                  </w:r>
                  <w:r>
                    <w:rPr>
                      <w:rFonts w:hint="eastAsia" w:ascii="Times New Roman" w:hAnsi="Times New Roman" w:eastAsia="宋体" w:cs="Times New Roman"/>
                      <w:color w:val="auto"/>
                      <w:sz w:val="21"/>
                      <w:szCs w:val="21"/>
                      <w:highlight w:val="none"/>
                      <w:lang w:val="en-US" w:eastAsia="zh-CN"/>
                    </w:rPr>
                    <w:t>10</w:t>
                  </w:r>
                </w:p>
              </w:tc>
            </w:tr>
            <w:tr w14:paraId="540FB0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129" w:type="pct"/>
                  <w:vMerge w:val="continue"/>
                  <w:noWrap w:val="0"/>
                  <w:tcMar>
                    <w:left w:w="0" w:type="dxa"/>
                    <w:right w:w="0" w:type="dxa"/>
                  </w:tcMar>
                  <w:vAlign w:val="center"/>
                </w:tcPr>
                <w:p w14:paraId="627FC94A">
                  <w:pPr>
                    <w:jc w:val="left"/>
                    <w:rPr>
                      <w:rFonts w:hint="default" w:ascii="Times New Roman" w:hAnsi="Times New Roman" w:eastAsia="宋体" w:cs="Times New Roman"/>
                      <w:color w:val="auto"/>
                      <w:spacing w:val="-5"/>
                      <w:position w:val="2"/>
                      <w:sz w:val="21"/>
                      <w:szCs w:val="21"/>
                      <w:highlight w:val="none"/>
                      <w:lang w:val="en-US" w:eastAsia="zh-CN"/>
                    </w:rPr>
                  </w:pPr>
                </w:p>
              </w:tc>
              <w:tc>
                <w:tcPr>
                  <w:tcW w:w="364" w:type="pct"/>
                  <w:vMerge w:val="continue"/>
                  <w:noWrap w:val="0"/>
                  <w:tcMar>
                    <w:left w:w="0" w:type="dxa"/>
                    <w:right w:w="0" w:type="dxa"/>
                  </w:tcMar>
                  <w:vAlign w:val="center"/>
                </w:tcPr>
                <w:p w14:paraId="58958A63">
                  <w:pPr>
                    <w:jc w:val="left"/>
                    <w:rPr>
                      <w:rFonts w:hint="default" w:ascii="Times New Roman" w:hAnsi="Times New Roman" w:eastAsia="宋体" w:cs="Times New Roman"/>
                      <w:color w:val="auto"/>
                      <w:spacing w:val="-5"/>
                      <w:position w:val="2"/>
                      <w:sz w:val="21"/>
                      <w:szCs w:val="21"/>
                      <w:highlight w:val="none"/>
                      <w:lang w:val="en-US" w:eastAsia="zh-CN"/>
                    </w:rPr>
                  </w:pPr>
                </w:p>
              </w:tc>
              <w:tc>
                <w:tcPr>
                  <w:tcW w:w="777" w:type="pct"/>
                  <w:vMerge w:val="continue"/>
                  <w:noWrap w:val="0"/>
                  <w:tcMar>
                    <w:left w:w="0" w:type="dxa"/>
                    <w:right w:w="0" w:type="dxa"/>
                  </w:tcMar>
                  <w:vAlign w:val="center"/>
                </w:tcPr>
                <w:p w14:paraId="2F9D9F64">
                  <w:pPr>
                    <w:jc w:val="left"/>
                    <w:rPr>
                      <w:rFonts w:hint="default" w:ascii="Times New Roman" w:hAnsi="Times New Roman" w:eastAsia="宋体" w:cs="Times New Roman"/>
                      <w:color w:val="auto"/>
                      <w:spacing w:val="-5"/>
                      <w:position w:val="2"/>
                      <w:sz w:val="21"/>
                      <w:szCs w:val="21"/>
                      <w:highlight w:val="none"/>
                      <w:lang w:val="en-US" w:eastAsia="zh-CN"/>
                    </w:rPr>
                  </w:pPr>
                </w:p>
              </w:tc>
              <w:tc>
                <w:tcPr>
                  <w:tcW w:w="770" w:type="pct"/>
                  <w:vMerge w:val="continue"/>
                  <w:noWrap w:val="0"/>
                  <w:tcMar>
                    <w:left w:w="0" w:type="dxa"/>
                    <w:right w:w="0" w:type="dxa"/>
                  </w:tcMar>
                  <w:vAlign w:val="center"/>
                </w:tcPr>
                <w:p w14:paraId="493932FA">
                  <w:pPr>
                    <w:jc w:val="left"/>
                    <w:rPr>
                      <w:rFonts w:hint="default" w:ascii="Times New Roman" w:hAnsi="Times New Roman" w:eastAsia="宋体" w:cs="Times New Roman"/>
                      <w:color w:val="auto"/>
                      <w:spacing w:val="-5"/>
                      <w:position w:val="2"/>
                      <w:sz w:val="21"/>
                      <w:szCs w:val="21"/>
                      <w:highlight w:val="none"/>
                      <w:lang w:val="en-US" w:eastAsia="zh-CN"/>
                    </w:rPr>
                  </w:pPr>
                </w:p>
              </w:tc>
              <w:tc>
                <w:tcPr>
                  <w:tcW w:w="432" w:type="pct"/>
                  <w:vMerge w:val="continue"/>
                  <w:noWrap w:val="0"/>
                  <w:tcMar>
                    <w:left w:w="0" w:type="dxa"/>
                    <w:right w:w="0" w:type="dxa"/>
                  </w:tcMar>
                  <w:vAlign w:val="center"/>
                </w:tcPr>
                <w:p w14:paraId="274D2A87">
                  <w:pPr>
                    <w:jc w:val="left"/>
                    <w:rPr>
                      <w:rFonts w:hint="default" w:ascii="Times New Roman" w:hAnsi="Times New Roman" w:eastAsia="宋体" w:cs="Times New Roman"/>
                      <w:color w:val="auto"/>
                      <w:spacing w:val="-5"/>
                      <w:position w:val="2"/>
                      <w:sz w:val="21"/>
                      <w:szCs w:val="21"/>
                      <w:highlight w:val="none"/>
                      <w:lang w:val="en-US" w:eastAsia="zh-CN"/>
                    </w:rPr>
                  </w:pPr>
                </w:p>
              </w:tc>
              <w:tc>
                <w:tcPr>
                  <w:tcW w:w="315" w:type="pct"/>
                  <w:vMerge w:val="continue"/>
                  <w:noWrap w:val="0"/>
                  <w:tcMar>
                    <w:left w:w="0" w:type="dxa"/>
                    <w:right w:w="0" w:type="dxa"/>
                  </w:tcMar>
                  <w:vAlign w:val="center"/>
                </w:tcPr>
                <w:p w14:paraId="33383F32">
                  <w:pPr>
                    <w:jc w:val="left"/>
                    <w:rPr>
                      <w:rFonts w:hint="default" w:ascii="Times New Roman" w:hAnsi="Times New Roman" w:eastAsia="宋体" w:cs="Times New Roman"/>
                      <w:color w:val="auto"/>
                      <w:spacing w:val="-5"/>
                      <w:position w:val="2"/>
                      <w:sz w:val="21"/>
                      <w:szCs w:val="21"/>
                      <w:highlight w:val="none"/>
                      <w:lang w:val="en-US" w:eastAsia="zh-CN"/>
                    </w:rPr>
                  </w:pPr>
                </w:p>
              </w:tc>
              <w:tc>
                <w:tcPr>
                  <w:tcW w:w="302" w:type="pct"/>
                  <w:vMerge w:val="continue"/>
                  <w:noWrap w:val="0"/>
                  <w:tcMar>
                    <w:left w:w="0" w:type="dxa"/>
                    <w:right w:w="0" w:type="dxa"/>
                  </w:tcMar>
                  <w:vAlign w:val="center"/>
                </w:tcPr>
                <w:p w14:paraId="68EA982B">
                  <w:pPr>
                    <w:jc w:val="left"/>
                    <w:rPr>
                      <w:rFonts w:hint="default" w:ascii="Times New Roman" w:hAnsi="Times New Roman" w:eastAsia="宋体" w:cs="Times New Roman"/>
                      <w:color w:val="auto"/>
                      <w:spacing w:val="-5"/>
                      <w:position w:val="2"/>
                      <w:sz w:val="21"/>
                      <w:szCs w:val="21"/>
                      <w:highlight w:val="none"/>
                      <w:lang w:val="en-US" w:eastAsia="zh-CN"/>
                    </w:rPr>
                  </w:pPr>
                </w:p>
              </w:tc>
              <w:tc>
                <w:tcPr>
                  <w:tcW w:w="319" w:type="pct"/>
                  <w:vMerge w:val="continue"/>
                  <w:noWrap w:val="0"/>
                  <w:tcMar>
                    <w:left w:w="0" w:type="dxa"/>
                    <w:right w:w="0" w:type="dxa"/>
                  </w:tcMar>
                  <w:vAlign w:val="center"/>
                </w:tcPr>
                <w:p w14:paraId="787B2547">
                  <w:pPr>
                    <w:jc w:val="left"/>
                    <w:rPr>
                      <w:rFonts w:hint="default" w:ascii="Times New Roman" w:hAnsi="Times New Roman" w:eastAsia="宋体" w:cs="Times New Roman"/>
                      <w:color w:val="auto"/>
                      <w:spacing w:val="-5"/>
                      <w:position w:val="2"/>
                      <w:sz w:val="21"/>
                      <w:szCs w:val="21"/>
                      <w:highlight w:val="none"/>
                      <w:lang w:val="en-US" w:eastAsia="zh-CN"/>
                    </w:rPr>
                  </w:pPr>
                </w:p>
              </w:tc>
              <w:tc>
                <w:tcPr>
                  <w:tcW w:w="305" w:type="pct"/>
                  <w:vMerge w:val="continue"/>
                  <w:noWrap w:val="0"/>
                  <w:tcMar>
                    <w:left w:w="0" w:type="dxa"/>
                    <w:right w:w="0" w:type="dxa"/>
                  </w:tcMar>
                  <w:vAlign w:val="center"/>
                </w:tcPr>
                <w:p w14:paraId="01109F17">
                  <w:pPr>
                    <w:jc w:val="left"/>
                    <w:rPr>
                      <w:rFonts w:hint="default" w:ascii="Times New Roman" w:hAnsi="Times New Roman" w:eastAsia="宋体" w:cs="Times New Roman"/>
                      <w:color w:val="auto"/>
                      <w:spacing w:val="-5"/>
                      <w:position w:val="2"/>
                      <w:sz w:val="21"/>
                      <w:szCs w:val="21"/>
                      <w:highlight w:val="none"/>
                      <w:lang w:val="en-US" w:eastAsia="zh-CN"/>
                    </w:rPr>
                  </w:pPr>
                </w:p>
              </w:tc>
              <w:tc>
                <w:tcPr>
                  <w:tcW w:w="499" w:type="pct"/>
                  <w:vMerge w:val="continue"/>
                  <w:noWrap w:val="0"/>
                  <w:tcMar>
                    <w:left w:w="0" w:type="dxa"/>
                    <w:right w:w="0" w:type="dxa"/>
                  </w:tcMar>
                  <w:vAlign w:val="center"/>
                </w:tcPr>
                <w:p w14:paraId="2BC624F5">
                  <w:pPr>
                    <w:jc w:val="left"/>
                    <w:rPr>
                      <w:rFonts w:hint="default" w:ascii="Times New Roman" w:hAnsi="Times New Roman" w:eastAsia="宋体" w:cs="Times New Roman"/>
                      <w:color w:val="auto"/>
                      <w:spacing w:val="-5"/>
                      <w:position w:val="2"/>
                      <w:sz w:val="21"/>
                      <w:szCs w:val="21"/>
                      <w:highlight w:val="none"/>
                      <w:lang w:val="en-US" w:eastAsia="zh-CN"/>
                    </w:rPr>
                  </w:pPr>
                </w:p>
              </w:tc>
              <w:tc>
                <w:tcPr>
                  <w:tcW w:w="784" w:type="pct"/>
                  <w:noWrap w:val="0"/>
                  <w:tcMar>
                    <w:left w:w="0" w:type="dxa"/>
                    <w:right w:w="0" w:type="dxa"/>
                  </w:tcMar>
                  <w:vAlign w:val="center"/>
                </w:tcPr>
                <w:p w14:paraId="221DDDEC">
                  <w:pPr>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auto"/>
                      <w:spacing w:val="-5"/>
                      <w:kern w:val="2"/>
                      <w:position w:val="2"/>
                      <w:sz w:val="21"/>
                      <w:szCs w:val="21"/>
                      <w:highlight w:val="none"/>
                      <w:lang w:val="en-US" w:eastAsia="zh-CN" w:bidi="ar-SA"/>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r>
                    <w:rPr>
                      <w:rFonts w:hint="eastAsia" w:ascii="Times New Roman" w:hAnsi="Times New Roman" w:eastAsia="宋体" w:cs="Times New Roman"/>
                      <w:color w:val="auto"/>
                      <w:sz w:val="21"/>
                      <w:szCs w:val="21"/>
                      <w:highlight w:val="none"/>
                      <w:lang w:val="en-US" w:eastAsia="zh-CN"/>
                    </w:rPr>
                    <w:t>5</w:t>
                  </w:r>
                </w:p>
              </w:tc>
            </w:tr>
            <w:tr w14:paraId="795CCE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9" w:hRule="atLeast"/>
                <w:jc w:val="center"/>
              </w:trPr>
              <w:tc>
                <w:tcPr>
                  <w:tcW w:w="129" w:type="pct"/>
                  <w:vMerge w:val="continue"/>
                  <w:noWrap w:val="0"/>
                  <w:tcMar>
                    <w:left w:w="0" w:type="dxa"/>
                    <w:right w:w="0" w:type="dxa"/>
                  </w:tcMar>
                  <w:vAlign w:val="center"/>
                </w:tcPr>
                <w:p w14:paraId="1F19678B">
                  <w:pPr>
                    <w:jc w:val="left"/>
                    <w:rPr>
                      <w:rFonts w:hint="default" w:ascii="Times New Roman" w:hAnsi="Times New Roman" w:eastAsia="宋体" w:cs="Times New Roman"/>
                      <w:color w:val="auto"/>
                      <w:spacing w:val="-5"/>
                      <w:position w:val="2"/>
                      <w:sz w:val="21"/>
                      <w:szCs w:val="21"/>
                      <w:highlight w:val="none"/>
                      <w:lang w:val="en-US" w:eastAsia="zh-CN"/>
                    </w:rPr>
                  </w:pPr>
                </w:p>
              </w:tc>
              <w:tc>
                <w:tcPr>
                  <w:tcW w:w="364" w:type="pct"/>
                  <w:vMerge w:val="continue"/>
                  <w:noWrap w:val="0"/>
                  <w:tcMar>
                    <w:left w:w="0" w:type="dxa"/>
                    <w:right w:w="0" w:type="dxa"/>
                  </w:tcMar>
                  <w:vAlign w:val="center"/>
                </w:tcPr>
                <w:p w14:paraId="2CFC256F">
                  <w:pPr>
                    <w:jc w:val="left"/>
                    <w:rPr>
                      <w:rFonts w:hint="default" w:ascii="Times New Roman" w:hAnsi="Times New Roman" w:eastAsia="宋体" w:cs="Times New Roman"/>
                      <w:color w:val="auto"/>
                      <w:spacing w:val="-5"/>
                      <w:position w:val="2"/>
                      <w:sz w:val="21"/>
                      <w:szCs w:val="21"/>
                      <w:highlight w:val="none"/>
                      <w:lang w:val="en-US" w:eastAsia="zh-CN"/>
                    </w:rPr>
                  </w:pPr>
                </w:p>
              </w:tc>
              <w:tc>
                <w:tcPr>
                  <w:tcW w:w="777" w:type="pct"/>
                  <w:vMerge w:val="continue"/>
                  <w:noWrap w:val="0"/>
                  <w:tcMar>
                    <w:left w:w="0" w:type="dxa"/>
                    <w:right w:w="0" w:type="dxa"/>
                  </w:tcMar>
                  <w:vAlign w:val="center"/>
                </w:tcPr>
                <w:p w14:paraId="0427996E">
                  <w:pPr>
                    <w:jc w:val="left"/>
                    <w:rPr>
                      <w:rFonts w:hint="default" w:ascii="Times New Roman" w:hAnsi="Times New Roman" w:eastAsia="宋体" w:cs="Times New Roman"/>
                      <w:color w:val="auto"/>
                      <w:spacing w:val="-5"/>
                      <w:position w:val="2"/>
                      <w:sz w:val="21"/>
                      <w:szCs w:val="21"/>
                      <w:highlight w:val="none"/>
                      <w:lang w:val="en-US" w:eastAsia="zh-CN"/>
                    </w:rPr>
                  </w:pPr>
                </w:p>
              </w:tc>
              <w:tc>
                <w:tcPr>
                  <w:tcW w:w="770" w:type="pct"/>
                  <w:vMerge w:val="continue"/>
                  <w:noWrap w:val="0"/>
                  <w:tcMar>
                    <w:left w:w="0" w:type="dxa"/>
                    <w:right w:w="0" w:type="dxa"/>
                  </w:tcMar>
                  <w:vAlign w:val="center"/>
                </w:tcPr>
                <w:p w14:paraId="17FA467F">
                  <w:pPr>
                    <w:jc w:val="left"/>
                    <w:rPr>
                      <w:rFonts w:hint="default" w:ascii="Times New Roman" w:hAnsi="Times New Roman" w:eastAsia="宋体" w:cs="Times New Roman"/>
                      <w:color w:val="auto"/>
                      <w:spacing w:val="-5"/>
                      <w:position w:val="2"/>
                      <w:sz w:val="21"/>
                      <w:szCs w:val="21"/>
                      <w:highlight w:val="none"/>
                      <w:lang w:val="en-US" w:eastAsia="zh-CN"/>
                    </w:rPr>
                  </w:pPr>
                </w:p>
              </w:tc>
              <w:tc>
                <w:tcPr>
                  <w:tcW w:w="432" w:type="pct"/>
                  <w:vMerge w:val="continue"/>
                  <w:noWrap w:val="0"/>
                  <w:tcMar>
                    <w:left w:w="0" w:type="dxa"/>
                    <w:right w:w="0" w:type="dxa"/>
                  </w:tcMar>
                  <w:vAlign w:val="center"/>
                </w:tcPr>
                <w:p w14:paraId="715706DB">
                  <w:pPr>
                    <w:jc w:val="left"/>
                    <w:rPr>
                      <w:rFonts w:hint="default" w:ascii="Times New Roman" w:hAnsi="Times New Roman" w:eastAsia="宋体" w:cs="Times New Roman"/>
                      <w:color w:val="auto"/>
                      <w:spacing w:val="-5"/>
                      <w:position w:val="2"/>
                      <w:sz w:val="21"/>
                      <w:szCs w:val="21"/>
                      <w:highlight w:val="none"/>
                      <w:lang w:val="en-US" w:eastAsia="zh-CN"/>
                    </w:rPr>
                  </w:pPr>
                </w:p>
              </w:tc>
              <w:tc>
                <w:tcPr>
                  <w:tcW w:w="315" w:type="pct"/>
                  <w:vMerge w:val="continue"/>
                  <w:noWrap w:val="0"/>
                  <w:tcMar>
                    <w:left w:w="0" w:type="dxa"/>
                    <w:right w:w="0" w:type="dxa"/>
                  </w:tcMar>
                  <w:vAlign w:val="center"/>
                </w:tcPr>
                <w:p w14:paraId="3AE243D0">
                  <w:pPr>
                    <w:jc w:val="left"/>
                    <w:rPr>
                      <w:rFonts w:hint="default" w:ascii="Times New Roman" w:hAnsi="Times New Roman" w:eastAsia="宋体" w:cs="Times New Roman"/>
                      <w:color w:val="auto"/>
                      <w:spacing w:val="-5"/>
                      <w:position w:val="2"/>
                      <w:sz w:val="21"/>
                      <w:szCs w:val="21"/>
                      <w:highlight w:val="none"/>
                      <w:lang w:val="en-US" w:eastAsia="zh-CN"/>
                    </w:rPr>
                  </w:pPr>
                </w:p>
              </w:tc>
              <w:tc>
                <w:tcPr>
                  <w:tcW w:w="302" w:type="pct"/>
                  <w:vMerge w:val="continue"/>
                  <w:noWrap w:val="0"/>
                  <w:tcMar>
                    <w:left w:w="0" w:type="dxa"/>
                    <w:right w:w="0" w:type="dxa"/>
                  </w:tcMar>
                  <w:vAlign w:val="center"/>
                </w:tcPr>
                <w:p w14:paraId="2F64BC48">
                  <w:pPr>
                    <w:jc w:val="left"/>
                    <w:rPr>
                      <w:rFonts w:hint="default" w:ascii="Times New Roman" w:hAnsi="Times New Roman" w:eastAsia="宋体" w:cs="Times New Roman"/>
                      <w:color w:val="auto"/>
                      <w:spacing w:val="-5"/>
                      <w:position w:val="2"/>
                      <w:sz w:val="21"/>
                      <w:szCs w:val="21"/>
                      <w:highlight w:val="none"/>
                      <w:lang w:val="en-US" w:eastAsia="zh-CN"/>
                    </w:rPr>
                  </w:pPr>
                </w:p>
              </w:tc>
              <w:tc>
                <w:tcPr>
                  <w:tcW w:w="319" w:type="pct"/>
                  <w:vMerge w:val="continue"/>
                  <w:noWrap w:val="0"/>
                  <w:tcMar>
                    <w:left w:w="0" w:type="dxa"/>
                    <w:right w:w="0" w:type="dxa"/>
                  </w:tcMar>
                  <w:vAlign w:val="center"/>
                </w:tcPr>
                <w:p w14:paraId="2CD5DB74">
                  <w:pPr>
                    <w:jc w:val="left"/>
                    <w:rPr>
                      <w:rFonts w:hint="default" w:ascii="Times New Roman" w:hAnsi="Times New Roman" w:eastAsia="宋体" w:cs="Times New Roman"/>
                      <w:color w:val="auto"/>
                      <w:spacing w:val="-5"/>
                      <w:position w:val="2"/>
                      <w:sz w:val="21"/>
                      <w:szCs w:val="21"/>
                      <w:highlight w:val="none"/>
                      <w:lang w:val="en-US" w:eastAsia="zh-CN"/>
                    </w:rPr>
                  </w:pPr>
                </w:p>
              </w:tc>
              <w:tc>
                <w:tcPr>
                  <w:tcW w:w="305" w:type="pct"/>
                  <w:vMerge w:val="continue"/>
                  <w:noWrap w:val="0"/>
                  <w:tcMar>
                    <w:left w:w="0" w:type="dxa"/>
                    <w:right w:w="0" w:type="dxa"/>
                  </w:tcMar>
                  <w:vAlign w:val="center"/>
                </w:tcPr>
                <w:p w14:paraId="3330638B">
                  <w:pPr>
                    <w:jc w:val="left"/>
                    <w:rPr>
                      <w:rFonts w:hint="default" w:ascii="Times New Roman" w:hAnsi="Times New Roman" w:eastAsia="宋体" w:cs="Times New Roman"/>
                      <w:color w:val="auto"/>
                      <w:spacing w:val="-5"/>
                      <w:position w:val="2"/>
                      <w:sz w:val="21"/>
                      <w:szCs w:val="21"/>
                      <w:highlight w:val="none"/>
                      <w:lang w:val="en-US" w:eastAsia="zh-CN"/>
                    </w:rPr>
                  </w:pPr>
                </w:p>
              </w:tc>
              <w:tc>
                <w:tcPr>
                  <w:tcW w:w="499" w:type="pct"/>
                  <w:vMerge w:val="continue"/>
                  <w:noWrap w:val="0"/>
                  <w:tcMar>
                    <w:left w:w="0" w:type="dxa"/>
                    <w:right w:w="0" w:type="dxa"/>
                  </w:tcMar>
                  <w:vAlign w:val="center"/>
                </w:tcPr>
                <w:p w14:paraId="27EC2BC0">
                  <w:pPr>
                    <w:jc w:val="left"/>
                    <w:rPr>
                      <w:rFonts w:hint="default" w:ascii="Times New Roman" w:hAnsi="Times New Roman" w:eastAsia="宋体" w:cs="Times New Roman"/>
                      <w:color w:val="auto"/>
                      <w:spacing w:val="-5"/>
                      <w:position w:val="2"/>
                      <w:sz w:val="21"/>
                      <w:szCs w:val="21"/>
                      <w:highlight w:val="none"/>
                      <w:lang w:val="en-US" w:eastAsia="zh-CN"/>
                    </w:rPr>
                  </w:pPr>
                </w:p>
              </w:tc>
              <w:tc>
                <w:tcPr>
                  <w:tcW w:w="784" w:type="pct"/>
                  <w:noWrap w:val="0"/>
                  <w:tcMar>
                    <w:left w:w="0" w:type="dxa"/>
                    <w:right w:w="0" w:type="dxa"/>
                  </w:tcMar>
                  <w:vAlign w:val="center"/>
                </w:tcPr>
                <w:p w14:paraId="70F8A4B5">
                  <w:pPr>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TP≤0.5</w:t>
                  </w:r>
                </w:p>
              </w:tc>
            </w:tr>
            <w:tr w14:paraId="71F0A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129" w:type="pct"/>
                  <w:vMerge w:val="continue"/>
                  <w:noWrap w:val="0"/>
                  <w:tcMar>
                    <w:left w:w="0" w:type="dxa"/>
                    <w:right w:w="0" w:type="dxa"/>
                  </w:tcMar>
                  <w:vAlign w:val="center"/>
                </w:tcPr>
                <w:p w14:paraId="616BFE38">
                  <w:pPr>
                    <w:jc w:val="left"/>
                    <w:rPr>
                      <w:rFonts w:hint="default" w:ascii="Times New Roman" w:hAnsi="Times New Roman" w:eastAsia="宋体" w:cs="Times New Roman"/>
                      <w:color w:val="auto"/>
                      <w:spacing w:val="-5"/>
                      <w:position w:val="2"/>
                      <w:sz w:val="21"/>
                      <w:szCs w:val="21"/>
                      <w:highlight w:val="none"/>
                      <w:lang w:val="en-US" w:eastAsia="zh-CN"/>
                    </w:rPr>
                  </w:pPr>
                </w:p>
              </w:tc>
              <w:tc>
                <w:tcPr>
                  <w:tcW w:w="364" w:type="pct"/>
                  <w:vMerge w:val="continue"/>
                  <w:noWrap w:val="0"/>
                  <w:tcMar>
                    <w:left w:w="0" w:type="dxa"/>
                    <w:right w:w="0" w:type="dxa"/>
                  </w:tcMar>
                  <w:vAlign w:val="center"/>
                </w:tcPr>
                <w:p w14:paraId="2CE53CDD">
                  <w:pPr>
                    <w:jc w:val="left"/>
                    <w:rPr>
                      <w:rFonts w:hint="default" w:ascii="Times New Roman" w:hAnsi="Times New Roman" w:eastAsia="宋体" w:cs="Times New Roman"/>
                      <w:color w:val="auto"/>
                      <w:spacing w:val="-5"/>
                      <w:position w:val="2"/>
                      <w:sz w:val="21"/>
                      <w:szCs w:val="21"/>
                      <w:highlight w:val="none"/>
                      <w:lang w:val="en-US" w:eastAsia="zh-CN"/>
                    </w:rPr>
                  </w:pPr>
                </w:p>
              </w:tc>
              <w:tc>
                <w:tcPr>
                  <w:tcW w:w="777" w:type="pct"/>
                  <w:vMerge w:val="continue"/>
                  <w:noWrap w:val="0"/>
                  <w:tcMar>
                    <w:left w:w="0" w:type="dxa"/>
                    <w:right w:w="0" w:type="dxa"/>
                  </w:tcMar>
                  <w:vAlign w:val="center"/>
                </w:tcPr>
                <w:p w14:paraId="2F41A6AD">
                  <w:pPr>
                    <w:jc w:val="left"/>
                    <w:rPr>
                      <w:rFonts w:hint="default" w:ascii="Times New Roman" w:hAnsi="Times New Roman" w:eastAsia="宋体" w:cs="Times New Roman"/>
                      <w:color w:val="auto"/>
                      <w:spacing w:val="-5"/>
                      <w:position w:val="2"/>
                      <w:sz w:val="21"/>
                      <w:szCs w:val="21"/>
                      <w:highlight w:val="none"/>
                      <w:lang w:val="en-US" w:eastAsia="zh-CN"/>
                    </w:rPr>
                  </w:pPr>
                </w:p>
              </w:tc>
              <w:tc>
                <w:tcPr>
                  <w:tcW w:w="770" w:type="pct"/>
                  <w:vMerge w:val="continue"/>
                  <w:noWrap w:val="0"/>
                  <w:tcMar>
                    <w:left w:w="0" w:type="dxa"/>
                    <w:right w:w="0" w:type="dxa"/>
                  </w:tcMar>
                  <w:vAlign w:val="center"/>
                </w:tcPr>
                <w:p w14:paraId="169BA868">
                  <w:pPr>
                    <w:jc w:val="left"/>
                    <w:rPr>
                      <w:rFonts w:hint="default" w:ascii="Times New Roman" w:hAnsi="Times New Roman" w:eastAsia="宋体" w:cs="Times New Roman"/>
                      <w:color w:val="auto"/>
                      <w:spacing w:val="-5"/>
                      <w:position w:val="2"/>
                      <w:sz w:val="21"/>
                      <w:szCs w:val="21"/>
                      <w:highlight w:val="none"/>
                      <w:lang w:val="en-US" w:eastAsia="zh-CN"/>
                    </w:rPr>
                  </w:pPr>
                </w:p>
              </w:tc>
              <w:tc>
                <w:tcPr>
                  <w:tcW w:w="432" w:type="pct"/>
                  <w:vMerge w:val="continue"/>
                  <w:noWrap w:val="0"/>
                  <w:tcMar>
                    <w:left w:w="0" w:type="dxa"/>
                    <w:right w:w="0" w:type="dxa"/>
                  </w:tcMar>
                  <w:vAlign w:val="center"/>
                </w:tcPr>
                <w:p w14:paraId="4BAFAB34">
                  <w:pPr>
                    <w:jc w:val="left"/>
                    <w:rPr>
                      <w:rFonts w:hint="default" w:ascii="Times New Roman" w:hAnsi="Times New Roman" w:eastAsia="宋体" w:cs="Times New Roman"/>
                      <w:color w:val="auto"/>
                      <w:spacing w:val="-5"/>
                      <w:position w:val="2"/>
                      <w:sz w:val="21"/>
                      <w:szCs w:val="21"/>
                      <w:highlight w:val="none"/>
                      <w:lang w:val="en-US" w:eastAsia="zh-CN"/>
                    </w:rPr>
                  </w:pPr>
                </w:p>
              </w:tc>
              <w:tc>
                <w:tcPr>
                  <w:tcW w:w="315" w:type="pct"/>
                  <w:vMerge w:val="continue"/>
                  <w:noWrap w:val="0"/>
                  <w:tcMar>
                    <w:left w:w="0" w:type="dxa"/>
                    <w:right w:w="0" w:type="dxa"/>
                  </w:tcMar>
                  <w:vAlign w:val="center"/>
                </w:tcPr>
                <w:p w14:paraId="731A270E">
                  <w:pPr>
                    <w:jc w:val="left"/>
                    <w:rPr>
                      <w:rFonts w:hint="default" w:ascii="Times New Roman" w:hAnsi="Times New Roman" w:eastAsia="宋体" w:cs="Times New Roman"/>
                      <w:color w:val="auto"/>
                      <w:spacing w:val="-5"/>
                      <w:position w:val="2"/>
                      <w:sz w:val="21"/>
                      <w:szCs w:val="21"/>
                      <w:highlight w:val="none"/>
                      <w:lang w:val="en-US" w:eastAsia="zh-CN"/>
                    </w:rPr>
                  </w:pPr>
                </w:p>
              </w:tc>
              <w:tc>
                <w:tcPr>
                  <w:tcW w:w="302" w:type="pct"/>
                  <w:vMerge w:val="continue"/>
                  <w:noWrap w:val="0"/>
                  <w:tcMar>
                    <w:left w:w="0" w:type="dxa"/>
                    <w:right w:w="0" w:type="dxa"/>
                  </w:tcMar>
                  <w:vAlign w:val="center"/>
                </w:tcPr>
                <w:p w14:paraId="157DEA3C">
                  <w:pPr>
                    <w:jc w:val="left"/>
                    <w:rPr>
                      <w:rFonts w:hint="default" w:ascii="Times New Roman" w:hAnsi="Times New Roman" w:eastAsia="宋体" w:cs="Times New Roman"/>
                      <w:color w:val="auto"/>
                      <w:spacing w:val="-5"/>
                      <w:position w:val="2"/>
                      <w:sz w:val="21"/>
                      <w:szCs w:val="21"/>
                      <w:highlight w:val="none"/>
                      <w:lang w:val="en-US" w:eastAsia="zh-CN"/>
                    </w:rPr>
                  </w:pPr>
                </w:p>
              </w:tc>
              <w:tc>
                <w:tcPr>
                  <w:tcW w:w="319" w:type="pct"/>
                  <w:vMerge w:val="continue"/>
                  <w:noWrap w:val="0"/>
                  <w:tcMar>
                    <w:left w:w="0" w:type="dxa"/>
                    <w:right w:w="0" w:type="dxa"/>
                  </w:tcMar>
                  <w:vAlign w:val="center"/>
                </w:tcPr>
                <w:p w14:paraId="6AF3D971">
                  <w:pPr>
                    <w:jc w:val="left"/>
                    <w:rPr>
                      <w:rFonts w:hint="default" w:ascii="Times New Roman" w:hAnsi="Times New Roman" w:eastAsia="宋体" w:cs="Times New Roman"/>
                      <w:color w:val="auto"/>
                      <w:spacing w:val="-5"/>
                      <w:position w:val="2"/>
                      <w:sz w:val="21"/>
                      <w:szCs w:val="21"/>
                      <w:highlight w:val="none"/>
                      <w:lang w:val="en-US" w:eastAsia="zh-CN"/>
                    </w:rPr>
                  </w:pPr>
                </w:p>
              </w:tc>
              <w:tc>
                <w:tcPr>
                  <w:tcW w:w="305" w:type="pct"/>
                  <w:vMerge w:val="continue"/>
                  <w:noWrap w:val="0"/>
                  <w:tcMar>
                    <w:left w:w="0" w:type="dxa"/>
                    <w:right w:w="0" w:type="dxa"/>
                  </w:tcMar>
                  <w:vAlign w:val="center"/>
                </w:tcPr>
                <w:p w14:paraId="64F7B12E">
                  <w:pPr>
                    <w:jc w:val="left"/>
                    <w:rPr>
                      <w:rFonts w:hint="default" w:ascii="Times New Roman" w:hAnsi="Times New Roman" w:eastAsia="宋体" w:cs="Times New Roman"/>
                      <w:color w:val="auto"/>
                      <w:spacing w:val="-5"/>
                      <w:position w:val="2"/>
                      <w:sz w:val="21"/>
                      <w:szCs w:val="21"/>
                      <w:highlight w:val="none"/>
                      <w:lang w:val="en-US" w:eastAsia="zh-CN"/>
                    </w:rPr>
                  </w:pPr>
                </w:p>
              </w:tc>
              <w:tc>
                <w:tcPr>
                  <w:tcW w:w="499" w:type="pct"/>
                  <w:vMerge w:val="continue"/>
                  <w:noWrap w:val="0"/>
                  <w:tcMar>
                    <w:left w:w="0" w:type="dxa"/>
                    <w:right w:w="0" w:type="dxa"/>
                  </w:tcMar>
                  <w:vAlign w:val="center"/>
                </w:tcPr>
                <w:p w14:paraId="6EB700B8">
                  <w:pPr>
                    <w:jc w:val="left"/>
                    <w:rPr>
                      <w:rFonts w:hint="default" w:ascii="Times New Roman" w:hAnsi="Times New Roman" w:eastAsia="宋体" w:cs="Times New Roman"/>
                      <w:color w:val="auto"/>
                      <w:spacing w:val="-5"/>
                      <w:position w:val="2"/>
                      <w:sz w:val="21"/>
                      <w:szCs w:val="21"/>
                      <w:highlight w:val="none"/>
                      <w:lang w:val="en-US" w:eastAsia="zh-CN"/>
                    </w:rPr>
                  </w:pPr>
                </w:p>
              </w:tc>
              <w:tc>
                <w:tcPr>
                  <w:tcW w:w="784" w:type="pct"/>
                  <w:noWrap w:val="0"/>
                  <w:tcMar>
                    <w:left w:w="0" w:type="dxa"/>
                    <w:right w:w="0" w:type="dxa"/>
                  </w:tcMar>
                  <w:vAlign w:val="center"/>
                </w:tcPr>
                <w:p w14:paraId="04C68B7A">
                  <w:pPr>
                    <w:keepNext w:val="0"/>
                    <w:keepLines w:val="0"/>
                    <w:pageBreakBefore w:val="0"/>
                    <w:widowControl w:val="0"/>
                    <w:kinsoku/>
                    <w:wordWrap/>
                    <w:overflowPunct/>
                    <w:topLinePunct w:val="0"/>
                    <w:bidi w:val="0"/>
                    <w:snapToGrid/>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TN≤15</w:t>
                  </w:r>
                </w:p>
              </w:tc>
            </w:tr>
          </w:tbl>
          <w:p w14:paraId="2197639B">
            <w:pPr>
              <w:widowControl w:val="0"/>
              <w:spacing w:before="156" w:beforeLines="50" w:line="360" w:lineRule="auto"/>
              <w:ind w:firstLine="480" w:firstLineChars="200"/>
              <w:jc w:val="both"/>
              <w:rPr>
                <w:rFonts w:hint="eastAsia"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eastAsia="宋体" w:cs="Times New Roman"/>
                <w:b w:val="0"/>
                <w:color w:val="auto"/>
                <w:kern w:val="2"/>
                <w:sz w:val="24"/>
                <w:szCs w:val="24"/>
                <w:highlight w:val="none"/>
                <w:lang w:val="en-US" w:eastAsia="zh-CN" w:bidi="ar-SA"/>
              </w:rPr>
              <w:t>项目主要废水为纯水制备浓水、生活污水，其中纯水制备浓水属于淸净下水可直接排入园区污水管网；生活污水经化粪池预处理达庐山工业污水处理厂接管标准后，通过污水管网排入庐山工业污水处理厂深度处理，待达《城镇污水处理厂污染物排放标准》（GB18918-2002）中一级A标准后排入鄱阳湖，属间接排放，对周围环境影响较小。</w:t>
            </w:r>
          </w:p>
          <w:p w14:paraId="2AA5FE6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FF0000"/>
                <w:spacing w:val="0"/>
                <w:kern w:val="0"/>
                <w:sz w:val="24"/>
                <w:szCs w:val="24"/>
                <w:lang w:val="en-US" w:eastAsia="zh-CN"/>
              </w:rPr>
            </w:pPr>
            <w:commentRangeStart w:id="41"/>
            <w:r>
              <w:rPr>
                <w:rFonts w:hint="eastAsia" w:cs="Times New Roman"/>
                <w:b/>
                <w:bCs/>
                <w:color w:val="FF0000"/>
                <w:spacing w:val="0"/>
                <w:kern w:val="0"/>
                <w:sz w:val="24"/>
                <w:szCs w:val="24"/>
                <w:lang w:val="en-US" w:eastAsia="zh-CN"/>
              </w:rPr>
              <w:t>6、</w:t>
            </w:r>
            <w:commentRangeEnd w:id="41"/>
            <w:r>
              <w:commentReference w:id="41"/>
            </w:r>
            <w:r>
              <w:rPr>
                <w:rFonts w:hint="eastAsia" w:ascii="Times New Roman" w:hAnsi="Times New Roman" w:eastAsia="宋体" w:cs="Times New Roman"/>
                <w:b/>
                <w:bCs/>
                <w:color w:val="FF0000"/>
                <w:spacing w:val="0"/>
                <w:kern w:val="0"/>
                <w:sz w:val="24"/>
                <w:szCs w:val="24"/>
                <w:lang w:val="en-US" w:eastAsia="zh-CN"/>
              </w:rPr>
              <w:t>自行监测方案</w:t>
            </w:r>
          </w:p>
          <w:p w14:paraId="19447BC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FF0000"/>
                <w:sz w:val="24"/>
                <w:highlight w:val="none"/>
              </w:rPr>
            </w:pPr>
            <w:r>
              <w:rPr>
                <w:rFonts w:hint="eastAsia"/>
                <w:b w:val="0"/>
                <w:bCs w:val="0"/>
                <w:color w:val="FF0000"/>
                <w:sz w:val="24"/>
                <w:szCs w:val="24"/>
                <w:highlight w:val="none"/>
                <w:shd w:val="clear" w:color="auto" w:fill="auto"/>
                <w:lang w:val="en-US" w:eastAsia="zh-CN"/>
              </w:rPr>
              <w:t>参照《排污单位自行监测技术指南 总则》（HJ819 2017）、</w:t>
            </w:r>
            <w:r>
              <w:rPr>
                <w:rFonts w:hint="eastAsia" w:ascii="Times New Roman" w:hAnsi="Times New Roman" w:eastAsia="宋体" w:cs="Times New Roman"/>
                <w:color w:val="FF0000"/>
                <w:sz w:val="24"/>
                <w:lang w:val="en-US" w:eastAsia="zh-CN"/>
              </w:rPr>
              <w:t>《排污单位自行监测技术指南</w:t>
            </w:r>
            <w:r>
              <w:rPr>
                <w:rFonts w:hint="eastAsia" w:cs="Times New Roman"/>
                <w:color w:val="FF0000"/>
                <w:sz w:val="24"/>
                <w:lang w:val="en-US" w:eastAsia="zh-CN"/>
              </w:rPr>
              <w:t xml:space="preserve"> 中药、生物药品制品、化学药品制剂制造业</w:t>
            </w:r>
            <w:r>
              <w:rPr>
                <w:rFonts w:hint="eastAsia" w:ascii="Times New Roman" w:hAnsi="Times New Roman" w:eastAsia="宋体" w:cs="Times New Roman"/>
                <w:color w:val="FF0000"/>
                <w:sz w:val="24"/>
                <w:lang w:val="en-US" w:eastAsia="zh-CN"/>
              </w:rPr>
              <w:t xml:space="preserve">》（HJ </w:t>
            </w:r>
            <w:r>
              <w:rPr>
                <w:rFonts w:hint="eastAsia" w:cs="Times New Roman"/>
                <w:color w:val="FF0000"/>
                <w:sz w:val="24"/>
                <w:lang w:val="en-US" w:eastAsia="zh-CN"/>
              </w:rPr>
              <w:t>1256</w:t>
            </w:r>
            <w:r>
              <w:rPr>
                <w:rFonts w:hint="eastAsia" w:ascii="Times New Roman" w:hAnsi="Times New Roman" w:eastAsia="宋体" w:cs="Times New Roman"/>
                <w:color w:val="FF0000"/>
                <w:sz w:val="24"/>
                <w:lang w:val="en-US" w:eastAsia="zh-CN"/>
              </w:rPr>
              <w:t>-20</w:t>
            </w:r>
            <w:r>
              <w:rPr>
                <w:rFonts w:hint="eastAsia" w:cs="Times New Roman"/>
                <w:color w:val="FF0000"/>
                <w:sz w:val="24"/>
                <w:lang w:val="en-US" w:eastAsia="zh-CN"/>
              </w:rPr>
              <w:t>22</w:t>
            </w:r>
            <w:r>
              <w:rPr>
                <w:rFonts w:hint="eastAsia" w:ascii="Times New Roman" w:hAnsi="Times New Roman" w:eastAsia="宋体" w:cs="Times New Roman"/>
                <w:color w:val="FF0000"/>
                <w:sz w:val="24"/>
                <w:lang w:val="en-US" w:eastAsia="zh-CN"/>
              </w:rPr>
              <w:t>）</w:t>
            </w:r>
            <w:r>
              <w:rPr>
                <w:rFonts w:hint="eastAsia"/>
                <w:b w:val="0"/>
                <w:bCs w:val="0"/>
                <w:color w:val="FF0000"/>
                <w:sz w:val="24"/>
                <w:szCs w:val="24"/>
                <w:highlight w:val="none"/>
                <w:shd w:val="clear" w:color="auto" w:fill="auto"/>
                <w:lang w:val="en-US" w:eastAsia="zh-CN"/>
              </w:rPr>
              <w:t>，</w:t>
            </w:r>
            <w:r>
              <w:rPr>
                <w:rFonts w:hint="eastAsia" w:ascii="Times New Roman" w:hAnsi="Times New Roman" w:eastAsia="宋体" w:cs="Times New Roman"/>
                <w:color w:val="FF0000"/>
                <w:sz w:val="24"/>
                <w:highlight w:val="none"/>
                <w:lang w:val="en-US" w:eastAsia="zh-CN"/>
              </w:rPr>
              <w:t>项目废水自行监测计划如下：</w:t>
            </w:r>
          </w:p>
          <w:p w14:paraId="2EED3935">
            <w:pPr>
              <w:keepNext w:val="0"/>
              <w:keepLines w:val="0"/>
              <w:pageBreakBefore w:val="0"/>
              <w:widowControl w:val="0"/>
              <w:kinsoku/>
              <w:wordWrap/>
              <w:overflowPunct/>
              <w:topLinePunct w:val="0"/>
              <w:autoSpaceDE/>
              <w:autoSpaceDN/>
              <w:bidi w:val="0"/>
              <w:adjustRightInd/>
              <w:snapToGrid/>
              <w:spacing w:before="217" w:beforeLines="50" w:line="240" w:lineRule="auto"/>
              <w:jc w:val="center"/>
              <w:textAlignment w:val="auto"/>
              <w:rPr>
                <w:rFonts w:hint="default" w:ascii="Times New Roman" w:hAnsi="Times New Roman" w:eastAsia="宋体" w:cs="Times New Roman"/>
                <w:b/>
                <w:color w:val="FF0000"/>
                <w:sz w:val="21"/>
                <w:szCs w:val="21"/>
                <w:highlight w:val="none"/>
              </w:rPr>
            </w:pPr>
            <w:r>
              <w:rPr>
                <w:rFonts w:hint="default" w:ascii="Times New Roman" w:hAnsi="Times New Roman" w:eastAsia="宋体" w:cs="Times New Roman"/>
                <w:b/>
                <w:color w:val="FF0000"/>
                <w:sz w:val="21"/>
                <w:szCs w:val="21"/>
                <w:highlight w:val="none"/>
              </w:rPr>
              <w:t>表</w:t>
            </w:r>
            <w:r>
              <w:rPr>
                <w:rFonts w:hint="default" w:ascii="Times New Roman" w:hAnsi="Times New Roman" w:eastAsia="宋体" w:cs="Times New Roman"/>
                <w:b/>
                <w:color w:val="FF0000"/>
                <w:sz w:val="21"/>
                <w:szCs w:val="21"/>
                <w:highlight w:val="none"/>
                <w:lang w:val="en-US" w:eastAsia="zh-CN"/>
              </w:rPr>
              <w:t>4</w:t>
            </w:r>
            <w:r>
              <w:rPr>
                <w:rFonts w:hint="default" w:ascii="Times New Roman" w:hAnsi="Times New Roman" w:eastAsia="宋体" w:cs="Times New Roman"/>
                <w:b/>
                <w:color w:val="FF0000"/>
                <w:sz w:val="21"/>
                <w:szCs w:val="21"/>
                <w:highlight w:val="none"/>
              </w:rPr>
              <w:t>-</w:t>
            </w:r>
            <w:r>
              <w:rPr>
                <w:rFonts w:hint="eastAsia" w:cs="Times New Roman"/>
                <w:b/>
                <w:color w:val="FF0000"/>
                <w:sz w:val="21"/>
                <w:szCs w:val="21"/>
                <w:highlight w:val="none"/>
                <w:lang w:val="en-US" w:eastAsia="zh-CN"/>
              </w:rPr>
              <w:t>12</w:t>
            </w:r>
            <w:r>
              <w:rPr>
                <w:rFonts w:hint="default" w:ascii="Times New Roman" w:hAnsi="Times New Roman" w:eastAsia="宋体" w:cs="Times New Roman"/>
                <w:b/>
                <w:color w:val="FF0000"/>
                <w:sz w:val="21"/>
                <w:szCs w:val="21"/>
                <w:highlight w:val="none"/>
              </w:rPr>
              <w:t xml:space="preserve">  </w:t>
            </w:r>
            <w:r>
              <w:rPr>
                <w:rFonts w:hint="eastAsia" w:cs="Times New Roman"/>
                <w:b/>
                <w:color w:val="FF0000"/>
                <w:sz w:val="21"/>
                <w:szCs w:val="21"/>
                <w:highlight w:val="none"/>
                <w:lang w:val="en-US" w:eastAsia="zh-CN"/>
              </w:rPr>
              <w:t>水</w:t>
            </w:r>
            <w:r>
              <w:rPr>
                <w:rFonts w:hint="default" w:ascii="Times New Roman" w:hAnsi="Times New Roman" w:eastAsia="宋体" w:cs="Times New Roman"/>
                <w:b/>
                <w:color w:val="FF0000"/>
                <w:sz w:val="21"/>
                <w:szCs w:val="21"/>
                <w:highlight w:val="none"/>
              </w:rPr>
              <w:t>环境监测计划</w:t>
            </w:r>
          </w:p>
          <w:tbl>
            <w:tblPr>
              <w:tblStyle w:val="24"/>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24"/>
              <w:gridCol w:w="1968"/>
              <w:gridCol w:w="1981"/>
              <w:gridCol w:w="1419"/>
              <w:gridCol w:w="2043"/>
            </w:tblGrid>
            <w:tr w14:paraId="16C6E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5" w:hRule="exact"/>
                <w:jc w:val="center"/>
              </w:trPr>
              <w:tc>
                <w:tcPr>
                  <w:tcW w:w="658" w:type="pct"/>
                  <w:tcBorders>
                    <w:bottom w:val="single" w:color="auto" w:sz="12" w:space="0"/>
                  </w:tcBorders>
                  <w:noWrap w:val="0"/>
                  <w:vAlign w:val="center"/>
                </w:tcPr>
                <w:p w14:paraId="52980C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bCs/>
                      <w:color w:val="FF0000"/>
                      <w:kern w:val="2"/>
                      <w:sz w:val="21"/>
                      <w:szCs w:val="21"/>
                      <w:highlight w:val="none"/>
                      <w:lang w:val="en-US" w:eastAsia="zh-CN" w:bidi="ar-SA"/>
                    </w:rPr>
                  </w:pPr>
                  <w:r>
                    <w:rPr>
                      <w:rFonts w:hint="eastAsia" w:ascii="Times New Roman" w:hAnsi="Times New Roman" w:eastAsia="宋体" w:cs="Times New Roman"/>
                      <w:b/>
                      <w:bCs/>
                      <w:color w:val="FF0000"/>
                      <w:kern w:val="2"/>
                      <w:sz w:val="21"/>
                      <w:szCs w:val="21"/>
                      <w:highlight w:val="none"/>
                      <w:lang w:val="en-US" w:eastAsia="zh-CN" w:bidi="ar-SA"/>
                    </w:rPr>
                    <w:t>类别</w:t>
                  </w:r>
                </w:p>
              </w:tc>
              <w:tc>
                <w:tcPr>
                  <w:tcW w:w="1152" w:type="pct"/>
                  <w:tcBorders>
                    <w:bottom w:val="single" w:color="auto" w:sz="12" w:space="0"/>
                  </w:tcBorders>
                  <w:noWrap w:val="0"/>
                  <w:vAlign w:val="center"/>
                </w:tcPr>
                <w:p w14:paraId="65BB644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FF0000"/>
                      <w:kern w:val="2"/>
                      <w:sz w:val="21"/>
                      <w:szCs w:val="21"/>
                      <w:highlight w:val="none"/>
                      <w:lang w:val="en-US" w:eastAsia="zh-CN" w:bidi="ar-SA"/>
                    </w:rPr>
                  </w:pPr>
                  <w:r>
                    <w:rPr>
                      <w:rFonts w:hint="default" w:ascii="Times New Roman" w:hAnsi="Times New Roman" w:eastAsia="宋体" w:cs="Times New Roman"/>
                      <w:b/>
                      <w:bCs/>
                      <w:color w:val="FF0000"/>
                      <w:kern w:val="2"/>
                      <w:sz w:val="21"/>
                      <w:szCs w:val="21"/>
                      <w:highlight w:val="none"/>
                      <w:lang w:val="en-US" w:eastAsia="zh-CN" w:bidi="ar-SA"/>
                    </w:rPr>
                    <w:t>监测检查项目</w:t>
                  </w:r>
                </w:p>
              </w:tc>
              <w:tc>
                <w:tcPr>
                  <w:tcW w:w="1160" w:type="pct"/>
                  <w:tcBorders>
                    <w:bottom w:val="single" w:color="auto" w:sz="12" w:space="0"/>
                  </w:tcBorders>
                  <w:noWrap w:val="0"/>
                  <w:vAlign w:val="center"/>
                </w:tcPr>
                <w:p w14:paraId="58192F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FF0000"/>
                      <w:kern w:val="2"/>
                      <w:sz w:val="21"/>
                      <w:szCs w:val="21"/>
                      <w:highlight w:val="none"/>
                      <w:lang w:val="en-US" w:eastAsia="zh-CN" w:bidi="ar-SA"/>
                    </w:rPr>
                  </w:pPr>
                  <w:r>
                    <w:rPr>
                      <w:rFonts w:hint="default" w:ascii="Times New Roman" w:hAnsi="Times New Roman" w:eastAsia="宋体" w:cs="Times New Roman"/>
                      <w:b/>
                      <w:bCs/>
                      <w:color w:val="FF0000"/>
                      <w:kern w:val="2"/>
                      <w:sz w:val="21"/>
                      <w:szCs w:val="21"/>
                      <w:highlight w:val="none"/>
                      <w:lang w:val="en-US" w:eastAsia="zh-CN" w:bidi="ar-SA"/>
                    </w:rPr>
                    <w:t>监控负责单位</w:t>
                  </w:r>
                </w:p>
              </w:tc>
              <w:tc>
                <w:tcPr>
                  <w:tcW w:w="831" w:type="pct"/>
                  <w:tcBorders>
                    <w:bottom w:val="single" w:color="auto" w:sz="12" w:space="0"/>
                  </w:tcBorders>
                  <w:noWrap w:val="0"/>
                  <w:vAlign w:val="center"/>
                </w:tcPr>
                <w:p w14:paraId="5593892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FF0000"/>
                      <w:kern w:val="2"/>
                      <w:sz w:val="21"/>
                      <w:szCs w:val="21"/>
                      <w:highlight w:val="none"/>
                      <w:lang w:val="en-US" w:eastAsia="zh-CN" w:bidi="ar-SA"/>
                    </w:rPr>
                  </w:pPr>
                  <w:r>
                    <w:rPr>
                      <w:rFonts w:hint="default" w:ascii="Times New Roman" w:hAnsi="Times New Roman" w:eastAsia="宋体" w:cs="Times New Roman"/>
                      <w:b/>
                      <w:bCs/>
                      <w:color w:val="FF0000"/>
                      <w:kern w:val="2"/>
                      <w:sz w:val="21"/>
                      <w:szCs w:val="21"/>
                      <w:highlight w:val="none"/>
                      <w:lang w:val="en-US" w:eastAsia="zh-CN" w:bidi="ar-SA"/>
                    </w:rPr>
                    <w:t>监测检查频次</w:t>
                  </w:r>
                </w:p>
              </w:tc>
              <w:tc>
                <w:tcPr>
                  <w:tcW w:w="1196" w:type="pct"/>
                  <w:tcBorders>
                    <w:bottom w:val="single" w:color="auto" w:sz="12" w:space="0"/>
                  </w:tcBorders>
                  <w:noWrap w:val="0"/>
                  <w:vAlign w:val="center"/>
                </w:tcPr>
                <w:p w14:paraId="0BF3107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bCs/>
                      <w:color w:val="FF0000"/>
                      <w:kern w:val="2"/>
                      <w:sz w:val="21"/>
                      <w:szCs w:val="21"/>
                      <w:highlight w:val="none"/>
                      <w:lang w:val="en-US" w:eastAsia="zh-CN" w:bidi="ar-SA"/>
                    </w:rPr>
                  </w:pPr>
                  <w:r>
                    <w:rPr>
                      <w:rFonts w:hint="default" w:ascii="Times New Roman" w:hAnsi="Times New Roman" w:eastAsia="宋体" w:cs="Times New Roman"/>
                      <w:b/>
                      <w:bCs/>
                      <w:color w:val="FF0000"/>
                      <w:kern w:val="2"/>
                      <w:sz w:val="21"/>
                      <w:szCs w:val="21"/>
                      <w:highlight w:val="none"/>
                      <w:lang w:val="en-US" w:eastAsia="zh-CN" w:bidi="ar-SA"/>
                    </w:rPr>
                    <w:t>监测站点</w:t>
                  </w:r>
                </w:p>
              </w:tc>
            </w:tr>
            <w:tr w14:paraId="786D1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62" w:hRule="atLeast"/>
                <w:jc w:val="center"/>
              </w:trPr>
              <w:tc>
                <w:tcPr>
                  <w:tcW w:w="658" w:type="pct"/>
                  <w:vMerge w:val="restart"/>
                  <w:tcBorders>
                    <w:top w:val="single" w:color="auto" w:sz="12" w:space="0"/>
                  </w:tcBorders>
                  <w:noWrap w:val="0"/>
                  <w:vAlign w:val="center"/>
                </w:tcPr>
                <w:p w14:paraId="50C285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水环境监测</w:t>
                  </w:r>
                </w:p>
              </w:tc>
              <w:tc>
                <w:tcPr>
                  <w:tcW w:w="1152" w:type="pct"/>
                  <w:tcBorders>
                    <w:top w:val="single" w:color="auto" w:sz="12" w:space="0"/>
                    <w:bottom w:val="single" w:color="auto" w:sz="4" w:space="0"/>
                  </w:tcBorders>
                  <w:noWrap w:val="0"/>
                  <w:vAlign w:val="center"/>
                </w:tcPr>
                <w:p w14:paraId="68285A5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pH、COD、BOD</w:t>
                  </w:r>
                  <w:r>
                    <w:rPr>
                      <w:rFonts w:hint="eastAsia" w:ascii="Times New Roman" w:hAnsi="Times New Roman" w:eastAsia="宋体" w:cs="Times New Roman"/>
                      <w:color w:val="FF0000"/>
                      <w:kern w:val="2"/>
                      <w:sz w:val="21"/>
                      <w:szCs w:val="21"/>
                      <w:highlight w:val="none"/>
                      <w:vertAlign w:val="subscript"/>
                      <w:lang w:val="en-US" w:eastAsia="zh-CN" w:bidi="ar-SA"/>
                    </w:rPr>
                    <w:t>5</w:t>
                  </w:r>
                  <w:r>
                    <w:rPr>
                      <w:rFonts w:hint="eastAsia" w:ascii="Times New Roman" w:hAnsi="Times New Roman" w:eastAsia="宋体" w:cs="Times New Roman"/>
                      <w:color w:val="FF0000"/>
                      <w:kern w:val="2"/>
                      <w:sz w:val="21"/>
                      <w:szCs w:val="21"/>
                      <w:highlight w:val="none"/>
                      <w:lang w:val="en-US" w:eastAsia="zh-CN" w:bidi="ar-SA"/>
                    </w:rPr>
                    <w:t>、SS、NH</w:t>
                  </w:r>
                  <w:r>
                    <w:rPr>
                      <w:rFonts w:hint="eastAsia" w:ascii="Times New Roman" w:hAnsi="Times New Roman" w:eastAsia="宋体" w:cs="Times New Roman"/>
                      <w:color w:val="FF0000"/>
                      <w:kern w:val="2"/>
                      <w:sz w:val="21"/>
                      <w:szCs w:val="21"/>
                      <w:highlight w:val="none"/>
                      <w:vertAlign w:val="subscript"/>
                      <w:lang w:val="en-US" w:eastAsia="zh-CN" w:bidi="ar-SA"/>
                    </w:rPr>
                    <w:t>3</w:t>
                  </w:r>
                  <w:r>
                    <w:rPr>
                      <w:rFonts w:hint="eastAsia" w:ascii="Times New Roman" w:hAnsi="Times New Roman" w:eastAsia="宋体" w:cs="Times New Roman"/>
                      <w:color w:val="FF0000"/>
                      <w:kern w:val="2"/>
                      <w:sz w:val="21"/>
                      <w:szCs w:val="21"/>
                      <w:highlight w:val="none"/>
                      <w:lang w:val="en-US" w:eastAsia="zh-CN" w:bidi="ar-SA"/>
                    </w:rPr>
                    <w:t>-N、TP、TN</w:t>
                  </w:r>
                </w:p>
              </w:tc>
              <w:tc>
                <w:tcPr>
                  <w:tcW w:w="1160" w:type="pct"/>
                  <w:vMerge w:val="restart"/>
                  <w:tcBorders>
                    <w:top w:val="single" w:color="auto" w:sz="12" w:space="0"/>
                  </w:tcBorders>
                  <w:noWrap w:val="0"/>
                  <w:vAlign w:val="center"/>
                </w:tcPr>
                <w:p w14:paraId="5DFA43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建设单位委托第三方检测公司</w:t>
                  </w:r>
                </w:p>
              </w:tc>
              <w:tc>
                <w:tcPr>
                  <w:tcW w:w="831" w:type="pct"/>
                  <w:tcBorders>
                    <w:top w:val="single" w:color="auto" w:sz="12" w:space="0"/>
                    <w:bottom w:val="single" w:color="auto" w:sz="4" w:space="0"/>
                  </w:tcBorders>
                  <w:noWrap w:val="0"/>
                  <w:vAlign w:val="center"/>
                </w:tcPr>
                <w:p w14:paraId="075575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sz w:val="21"/>
                      <w:szCs w:val="21"/>
                      <w:u w:val="none"/>
                      <w:lang w:val="en-US" w:eastAsia="zh-CN"/>
                    </w:rPr>
                    <w:t>1次/</w:t>
                  </w:r>
                  <w:r>
                    <w:rPr>
                      <w:rFonts w:hint="eastAsia" w:cs="Times New Roman"/>
                      <w:color w:val="FF0000"/>
                      <w:sz w:val="21"/>
                      <w:szCs w:val="21"/>
                      <w:u w:val="none"/>
                      <w:lang w:val="en-US" w:eastAsia="zh-CN"/>
                    </w:rPr>
                    <w:t>季度</w:t>
                  </w:r>
                </w:p>
              </w:tc>
              <w:tc>
                <w:tcPr>
                  <w:tcW w:w="1196" w:type="pct"/>
                  <w:vMerge w:val="restart"/>
                  <w:tcBorders>
                    <w:top w:val="single" w:color="auto" w:sz="12" w:space="0"/>
                  </w:tcBorders>
                  <w:noWrap w:val="0"/>
                  <w:vAlign w:val="center"/>
                </w:tcPr>
                <w:p w14:paraId="67CA10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FF0000"/>
                      <w:kern w:val="2"/>
                      <w:sz w:val="21"/>
                      <w:szCs w:val="21"/>
                      <w:highlight w:val="none"/>
                      <w:lang w:val="en-US" w:eastAsia="zh-CN" w:bidi="ar-SA"/>
                    </w:rPr>
                    <w:t>总排放口</w:t>
                  </w:r>
                </w:p>
                <w:p w14:paraId="715375B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kern w:val="2"/>
                      <w:sz w:val="21"/>
                      <w:szCs w:val="21"/>
                      <w:highlight w:val="none"/>
                      <w:lang w:val="en-US" w:eastAsia="zh-CN" w:bidi="ar-SA"/>
                    </w:rPr>
                    <w:t>（间接排放口）</w:t>
                  </w:r>
                </w:p>
              </w:tc>
            </w:tr>
            <w:tr w14:paraId="4F522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89" w:hRule="atLeast"/>
                <w:jc w:val="center"/>
              </w:trPr>
              <w:tc>
                <w:tcPr>
                  <w:tcW w:w="658" w:type="pct"/>
                  <w:vMerge w:val="continue"/>
                  <w:noWrap w:val="0"/>
                  <w:vAlign w:val="center"/>
                </w:tcPr>
                <w:p w14:paraId="4DC22D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2"/>
                      <w:sz w:val="21"/>
                      <w:szCs w:val="21"/>
                      <w:highlight w:val="none"/>
                      <w:lang w:val="en-US" w:eastAsia="zh-CN" w:bidi="ar-SA"/>
                    </w:rPr>
                  </w:pPr>
                </w:p>
              </w:tc>
              <w:tc>
                <w:tcPr>
                  <w:tcW w:w="1152" w:type="pct"/>
                  <w:tcBorders>
                    <w:top w:val="single" w:color="auto" w:sz="4" w:space="0"/>
                  </w:tcBorders>
                  <w:noWrap w:val="0"/>
                  <w:vAlign w:val="center"/>
                </w:tcPr>
                <w:p w14:paraId="044ED0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eastAsia" w:cs="Times New Roman"/>
                      <w:color w:val="FF0000"/>
                      <w:kern w:val="2"/>
                      <w:sz w:val="21"/>
                      <w:szCs w:val="21"/>
                      <w:highlight w:val="none"/>
                      <w:lang w:val="en-US" w:eastAsia="zh-CN" w:bidi="ar-SA"/>
                    </w:rPr>
                    <w:t>总有机碳</w:t>
                  </w:r>
                </w:p>
              </w:tc>
              <w:tc>
                <w:tcPr>
                  <w:tcW w:w="1160" w:type="pct"/>
                  <w:vMerge w:val="continue"/>
                  <w:noWrap w:val="0"/>
                  <w:vAlign w:val="center"/>
                </w:tcPr>
                <w:p w14:paraId="4FF17C5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FF0000"/>
                      <w:kern w:val="2"/>
                      <w:sz w:val="21"/>
                      <w:szCs w:val="21"/>
                      <w:highlight w:val="none"/>
                      <w:lang w:val="en-US" w:eastAsia="zh-CN" w:bidi="ar-SA"/>
                    </w:rPr>
                  </w:pPr>
                </w:p>
              </w:tc>
              <w:tc>
                <w:tcPr>
                  <w:tcW w:w="831" w:type="pct"/>
                  <w:tcBorders>
                    <w:top w:val="single" w:color="auto" w:sz="4" w:space="0"/>
                  </w:tcBorders>
                  <w:noWrap w:val="0"/>
                  <w:vAlign w:val="center"/>
                </w:tcPr>
                <w:p w14:paraId="0F4C558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color w:val="FF0000"/>
                      <w:sz w:val="21"/>
                      <w:szCs w:val="21"/>
                      <w:u w:val="none"/>
                      <w:lang w:val="en-US" w:eastAsia="zh-CN"/>
                    </w:rPr>
                    <w:t>1次/</w:t>
                  </w:r>
                  <w:r>
                    <w:rPr>
                      <w:rFonts w:hint="eastAsia" w:cs="Times New Roman"/>
                      <w:color w:val="FF0000"/>
                      <w:sz w:val="21"/>
                      <w:szCs w:val="21"/>
                      <w:u w:val="none"/>
                      <w:lang w:val="en-US" w:eastAsia="zh-CN"/>
                    </w:rPr>
                    <w:t>半年</w:t>
                  </w:r>
                </w:p>
              </w:tc>
              <w:tc>
                <w:tcPr>
                  <w:tcW w:w="1196" w:type="pct"/>
                  <w:vMerge w:val="continue"/>
                  <w:noWrap w:val="0"/>
                  <w:vAlign w:val="center"/>
                </w:tcPr>
                <w:p w14:paraId="21A832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FF0000"/>
                      <w:kern w:val="2"/>
                      <w:sz w:val="21"/>
                      <w:szCs w:val="21"/>
                      <w:highlight w:val="none"/>
                      <w:lang w:val="en-US" w:eastAsia="zh-CN" w:bidi="ar-SA"/>
                    </w:rPr>
                  </w:pPr>
                </w:p>
              </w:tc>
            </w:tr>
          </w:tbl>
          <w:p w14:paraId="5F50A92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eastAsia="宋体" w:cs="Times New Roman"/>
                <w:b/>
                <w:bCs/>
                <w:color w:val="FF0000"/>
                <w:spacing w:val="0"/>
                <w:kern w:val="0"/>
                <w:sz w:val="24"/>
                <w:szCs w:val="24"/>
                <w:lang w:val="en-US" w:eastAsia="zh-CN"/>
              </w:rPr>
            </w:pPr>
            <w:commentRangeStart w:id="42"/>
            <w:r>
              <w:rPr>
                <w:rFonts w:hint="eastAsia" w:cs="Times New Roman"/>
                <w:b/>
                <w:bCs/>
                <w:color w:val="FF0000"/>
                <w:spacing w:val="0"/>
                <w:kern w:val="0"/>
                <w:sz w:val="24"/>
                <w:szCs w:val="24"/>
                <w:lang w:val="en-US" w:eastAsia="zh-CN"/>
              </w:rPr>
              <w:t>三</w:t>
            </w:r>
            <w:r>
              <w:rPr>
                <w:rFonts w:hint="eastAsia" w:ascii="Times New Roman" w:hAnsi="Times New Roman" w:eastAsia="宋体" w:cs="Times New Roman"/>
                <w:b/>
                <w:bCs/>
                <w:color w:val="FF0000"/>
                <w:spacing w:val="0"/>
                <w:kern w:val="0"/>
                <w:sz w:val="24"/>
                <w:szCs w:val="24"/>
                <w:lang w:val="en-US" w:eastAsia="zh-CN"/>
              </w:rPr>
              <w:t>、</w:t>
            </w:r>
            <w:commentRangeEnd w:id="42"/>
            <w:r>
              <w:commentReference w:id="42"/>
            </w:r>
            <w:r>
              <w:rPr>
                <w:rFonts w:hint="eastAsia" w:ascii="Times New Roman" w:hAnsi="Times New Roman" w:eastAsia="宋体" w:cs="Times New Roman"/>
                <w:b/>
                <w:bCs/>
                <w:color w:val="FF0000"/>
                <w:spacing w:val="0"/>
                <w:kern w:val="0"/>
                <w:sz w:val="24"/>
                <w:szCs w:val="24"/>
                <w:lang w:val="en-US" w:eastAsia="zh-CN"/>
              </w:rPr>
              <w:t>声环境影响分析</w:t>
            </w:r>
          </w:p>
          <w:p w14:paraId="3734F3C4">
            <w:pPr>
              <w:spacing w:line="360" w:lineRule="auto"/>
              <w:ind w:firstLine="480" w:firstLineChars="200"/>
              <w:rPr>
                <w:rFonts w:hint="default" w:ascii="Times New Roman" w:hAnsi="Times New Roman" w:eastAsia="宋体" w:cs="Times New Roman"/>
                <w:i w:val="0"/>
                <w:iCs w:val="0"/>
                <w:color w:val="FF0000"/>
                <w:sz w:val="24"/>
                <w:szCs w:val="24"/>
                <w:highlight w:val="none"/>
              </w:rPr>
            </w:pPr>
            <w:r>
              <w:rPr>
                <w:rFonts w:hint="default" w:ascii="Times New Roman" w:hAnsi="Times New Roman" w:eastAsia="宋体" w:cs="Times New Roman"/>
                <w:i w:val="0"/>
                <w:iCs w:val="0"/>
                <w:color w:val="FF0000"/>
                <w:sz w:val="24"/>
                <w:szCs w:val="24"/>
                <w:highlight w:val="none"/>
              </w:rPr>
              <w:t>本项目的噪声源主要是各类机械在生产运行阶段产生的机械设备噪声，各噪声源的排放特征见</w:t>
            </w:r>
            <w:r>
              <w:rPr>
                <w:rFonts w:hint="eastAsia" w:ascii="Times New Roman" w:hAnsi="Times New Roman" w:eastAsia="宋体" w:cs="Times New Roman"/>
                <w:i w:val="0"/>
                <w:iCs w:val="0"/>
                <w:color w:val="FF0000"/>
                <w:sz w:val="24"/>
                <w:szCs w:val="24"/>
                <w:highlight w:val="none"/>
                <w:lang w:val="en-US" w:eastAsia="zh-CN"/>
              </w:rPr>
              <w:t>下</w:t>
            </w:r>
            <w:r>
              <w:rPr>
                <w:rFonts w:hint="default" w:ascii="Times New Roman" w:hAnsi="Times New Roman" w:eastAsia="宋体" w:cs="Times New Roman"/>
                <w:i w:val="0"/>
                <w:iCs w:val="0"/>
                <w:color w:val="FF0000"/>
                <w:sz w:val="24"/>
                <w:szCs w:val="24"/>
                <w:highlight w:val="none"/>
              </w:rPr>
              <w:t>表。</w:t>
            </w:r>
          </w:p>
          <w:p w14:paraId="3594D2B3">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i w:val="0"/>
                <w:iCs w:val="0"/>
                <w:color w:val="FF0000"/>
              </w:rPr>
            </w:pPr>
            <w:r>
              <w:rPr>
                <w:rFonts w:hint="default" w:ascii="Times New Roman" w:hAnsi="Times New Roman" w:eastAsia="宋体" w:cs="Times New Roman"/>
                <w:b/>
                <w:bCs/>
                <w:i w:val="0"/>
                <w:iCs w:val="0"/>
                <w:color w:val="FF0000"/>
              </w:rPr>
              <w:t>表4-</w:t>
            </w:r>
            <w:r>
              <w:rPr>
                <w:rFonts w:hint="eastAsia" w:ascii="Times New Roman" w:hAnsi="Times New Roman" w:eastAsia="宋体" w:cs="Times New Roman"/>
                <w:b/>
                <w:bCs/>
                <w:i w:val="0"/>
                <w:iCs w:val="0"/>
                <w:color w:val="FF0000"/>
                <w:lang w:val="en-US" w:eastAsia="zh-CN"/>
              </w:rPr>
              <w:t>1</w:t>
            </w:r>
            <w:r>
              <w:rPr>
                <w:rFonts w:hint="eastAsia" w:cs="Times New Roman"/>
                <w:b/>
                <w:bCs/>
                <w:i w:val="0"/>
                <w:iCs w:val="0"/>
                <w:color w:val="FF0000"/>
                <w:lang w:val="en-US" w:eastAsia="zh-CN"/>
              </w:rPr>
              <w:t xml:space="preserve">3 </w:t>
            </w:r>
            <w:r>
              <w:rPr>
                <w:rFonts w:hint="default" w:ascii="Times New Roman" w:hAnsi="Times New Roman" w:eastAsia="宋体" w:cs="Times New Roman"/>
                <w:b/>
                <w:bCs/>
                <w:i w:val="0"/>
                <w:iCs w:val="0"/>
                <w:color w:val="FF0000"/>
              </w:rPr>
              <w:t xml:space="preserve"> </w:t>
            </w:r>
            <w:r>
              <w:rPr>
                <w:rFonts w:ascii="Times New Roman" w:hAnsi="Times New Roman" w:eastAsia="宋体" w:cs="Times New Roman"/>
                <w:b/>
                <w:bCs/>
                <w:i w:val="0"/>
                <w:iCs w:val="0"/>
                <w:color w:val="FF0000"/>
                <w:highlight w:val="none"/>
              </w:rPr>
              <w:t>噪声污染源产生、排放汇总表</w:t>
            </w:r>
            <w:r>
              <w:rPr>
                <w:rFonts w:hint="eastAsia" w:ascii="Times New Roman" w:hAnsi="Times New Roman" w:eastAsia="宋体" w:cs="Times New Roman"/>
                <w:b/>
                <w:bCs/>
                <w:i w:val="0"/>
                <w:iCs w:val="0"/>
                <w:color w:val="FF0000"/>
                <w:highlight w:val="none"/>
                <w:lang w:eastAsia="zh-CN"/>
              </w:rPr>
              <w:t>（</w:t>
            </w:r>
            <w:r>
              <w:rPr>
                <w:rFonts w:hint="eastAsia" w:ascii="Times New Roman" w:hAnsi="Times New Roman" w:eastAsia="宋体" w:cs="Times New Roman"/>
                <w:b/>
                <w:bCs/>
                <w:i w:val="0"/>
                <w:iCs w:val="0"/>
                <w:color w:val="FF0000"/>
                <w:highlight w:val="none"/>
                <w:lang w:val="en-US" w:eastAsia="zh-CN"/>
              </w:rPr>
              <w:t>室外声源</w:t>
            </w:r>
            <w:r>
              <w:rPr>
                <w:rFonts w:hint="eastAsia" w:ascii="Times New Roman" w:hAnsi="Times New Roman" w:eastAsia="宋体" w:cs="Times New Roman"/>
                <w:b/>
                <w:bCs/>
                <w:i w:val="0"/>
                <w:iCs w:val="0"/>
                <w:color w:val="FF0000"/>
                <w:highlight w:val="none"/>
                <w:lang w:eastAsia="zh-CN"/>
              </w:rPr>
              <w:t>）</w:t>
            </w:r>
          </w:p>
          <w:tbl>
            <w:tblPr>
              <w:tblStyle w:val="25"/>
              <w:tblW w:w="494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670"/>
              <w:gridCol w:w="787"/>
              <w:gridCol w:w="769"/>
              <w:gridCol w:w="718"/>
              <w:gridCol w:w="1468"/>
              <w:gridCol w:w="1468"/>
              <w:gridCol w:w="811"/>
            </w:tblGrid>
            <w:tr w14:paraId="513A6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454" w:type="pct"/>
                  <w:vMerge w:val="restart"/>
                  <w:tcBorders>
                    <w:tl2br w:val="nil"/>
                    <w:tr2bl w:val="nil"/>
                  </w:tcBorders>
                  <w:noWrap w:val="0"/>
                  <w:vAlign w:val="center"/>
                </w:tcPr>
                <w:p w14:paraId="6CFA45C1">
                  <w:pPr>
                    <w:spacing w:line="240" w:lineRule="auto"/>
                    <w:ind w:firstLine="0" w:firstLineChars="0"/>
                    <w:jc w:val="center"/>
                    <w:rPr>
                      <w:rFonts w:hint="eastAsia" w:ascii="Times New Roman" w:hAnsi="Times New Roman" w:eastAsia="宋体" w:cs="Times New Roman"/>
                      <w:b/>
                      <w:bCs w:val="0"/>
                      <w:color w:val="FF0000"/>
                      <w:szCs w:val="21"/>
                      <w:lang w:val="en-US" w:eastAsia="zh-CN"/>
                    </w:rPr>
                  </w:pPr>
                  <w:r>
                    <w:rPr>
                      <w:rFonts w:hint="eastAsia" w:ascii="Times New Roman" w:hAnsi="Times New Roman" w:eastAsia="宋体" w:cs="Times New Roman"/>
                      <w:b/>
                      <w:bCs w:val="0"/>
                      <w:color w:val="FF0000"/>
                      <w:szCs w:val="21"/>
                      <w:lang w:val="en-US" w:eastAsia="zh-CN"/>
                    </w:rPr>
                    <w:t>序号</w:t>
                  </w:r>
                </w:p>
              </w:tc>
              <w:tc>
                <w:tcPr>
                  <w:tcW w:w="987" w:type="pct"/>
                  <w:vMerge w:val="restart"/>
                  <w:tcBorders>
                    <w:tl2br w:val="nil"/>
                    <w:tr2bl w:val="nil"/>
                  </w:tcBorders>
                  <w:noWrap w:val="0"/>
                  <w:vAlign w:val="center"/>
                </w:tcPr>
                <w:p w14:paraId="15430B77">
                  <w:pPr>
                    <w:spacing w:line="240" w:lineRule="auto"/>
                    <w:ind w:firstLine="0" w:firstLineChars="0"/>
                    <w:jc w:val="center"/>
                    <w:rPr>
                      <w:rFonts w:hint="default" w:ascii="Times New Roman" w:hAnsi="Times New Roman" w:eastAsia="宋体" w:cs="Times New Roman"/>
                      <w:b/>
                      <w:bCs w:val="0"/>
                      <w:color w:val="FF0000"/>
                      <w:szCs w:val="21"/>
                      <w:lang w:val="en-US" w:eastAsia="zh-CN"/>
                    </w:rPr>
                  </w:pPr>
                  <w:r>
                    <w:rPr>
                      <w:rFonts w:hint="eastAsia" w:ascii="Times New Roman" w:hAnsi="Times New Roman" w:eastAsia="宋体" w:cs="Times New Roman"/>
                      <w:b/>
                      <w:bCs w:val="0"/>
                      <w:color w:val="FF0000"/>
                      <w:szCs w:val="21"/>
                      <w:lang w:val="en-US" w:eastAsia="zh-CN"/>
                    </w:rPr>
                    <w:t>声源名称</w:t>
                  </w:r>
                </w:p>
              </w:tc>
              <w:tc>
                <w:tcPr>
                  <w:tcW w:w="1343" w:type="pct"/>
                  <w:gridSpan w:val="3"/>
                  <w:tcBorders>
                    <w:tl2br w:val="nil"/>
                    <w:tr2bl w:val="nil"/>
                  </w:tcBorders>
                  <w:noWrap w:val="0"/>
                  <w:vAlign w:val="center"/>
                </w:tcPr>
                <w:p w14:paraId="3591048E">
                  <w:pPr>
                    <w:spacing w:line="240" w:lineRule="auto"/>
                    <w:ind w:firstLine="0" w:firstLineChars="0"/>
                    <w:jc w:val="center"/>
                    <w:rPr>
                      <w:rFonts w:hint="eastAsia" w:ascii="Times New Roman" w:hAnsi="Times New Roman" w:eastAsia="宋体" w:cs="Times New Roman"/>
                      <w:b/>
                      <w:bCs w:val="0"/>
                      <w:color w:val="FF0000"/>
                      <w:szCs w:val="21"/>
                      <w:lang w:val="en-US" w:eastAsia="zh-CN"/>
                    </w:rPr>
                  </w:pPr>
                  <w:r>
                    <w:rPr>
                      <w:rFonts w:hint="eastAsia" w:ascii="Times New Roman" w:hAnsi="Times New Roman" w:eastAsia="宋体" w:cs="Times New Roman"/>
                      <w:b/>
                      <w:bCs w:val="0"/>
                      <w:color w:val="FF0000"/>
                      <w:szCs w:val="21"/>
                      <w:lang w:val="en-US" w:eastAsia="zh-CN"/>
                    </w:rPr>
                    <w:t>空间相对位置/m</w:t>
                  </w:r>
                </w:p>
              </w:tc>
              <w:tc>
                <w:tcPr>
                  <w:tcW w:w="867" w:type="pct"/>
                  <w:vMerge w:val="restart"/>
                  <w:tcBorders>
                    <w:tl2br w:val="nil"/>
                    <w:tr2bl w:val="nil"/>
                  </w:tcBorders>
                  <w:noWrap w:val="0"/>
                  <w:vAlign w:val="center"/>
                </w:tcPr>
                <w:p w14:paraId="6C862465">
                  <w:pPr>
                    <w:spacing w:line="240" w:lineRule="auto"/>
                    <w:ind w:firstLine="0" w:firstLineChars="0"/>
                    <w:jc w:val="center"/>
                    <w:rPr>
                      <w:rFonts w:hint="default" w:ascii="Times New Roman" w:hAnsi="Times New Roman" w:eastAsia="宋体" w:cs="Times New Roman"/>
                      <w:b/>
                      <w:bCs w:val="0"/>
                      <w:color w:val="FF0000"/>
                      <w:szCs w:val="21"/>
                      <w:lang w:val="en-US" w:eastAsia="zh-CN"/>
                    </w:rPr>
                  </w:pPr>
                  <w:r>
                    <w:rPr>
                      <w:rFonts w:hint="eastAsia" w:ascii="Times New Roman" w:hAnsi="Times New Roman" w:eastAsia="宋体" w:cs="Times New Roman"/>
                      <w:b/>
                      <w:bCs w:val="0"/>
                      <w:color w:val="FF0000"/>
                      <w:szCs w:val="21"/>
                      <w:lang w:val="en-US" w:eastAsia="zh-CN"/>
                    </w:rPr>
                    <w:t>声源源强</w:t>
                  </w:r>
                  <w:r>
                    <w:rPr>
                      <w:rFonts w:hint="default" w:ascii="Times New Roman" w:hAnsi="Times New Roman" w:eastAsia="宋体" w:cs="Times New Roman"/>
                      <w:b/>
                      <w:bCs w:val="0"/>
                      <w:color w:val="FF0000"/>
                      <w:szCs w:val="21"/>
                      <w:lang w:val="en-US" w:eastAsia="zh-CN"/>
                    </w:rPr>
                    <w:t>/</w:t>
                  </w:r>
                </w:p>
                <w:p w14:paraId="10D4086F">
                  <w:pPr>
                    <w:spacing w:line="240" w:lineRule="auto"/>
                    <w:ind w:firstLine="0" w:firstLineChars="0"/>
                    <w:jc w:val="center"/>
                    <w:rPr>
                      <w:rFonts w:hint="eastAsia" w:ascii="Times New Roman" w:hAnsi="Times New Roman" w:eastAsia="宋体" w:cs="Times New Roman"/>
                      <w:b/>
                      <w:bCs w:val="0"/>
                      <w:color w:val="FF0000"/>
                      <w:szCs w:val="21"/>
                      <w:lang w:val="en-US" w:eastAsia="zh-CN"/>
                    </w:rPr>
                  </w:pPr>
                  <w:r>
                    <w:rPr>
                      <w:rFonts w:hint="eastAsia" w:ascii="Times New Roman" w:hAnsi="Times New Roman" w:eastAsia="宋体" w:cs="Times New Roman"/>
                      <w:b/>
                      <w:bCs w:val="0"/>
                      <w:color w:val="FF0000"/>
                      <w:szCs w:val="21"/>
                      <w:lang w:val="en-US" w:eastAsia="zh-CN"/>
                    </w:rPr>
                    <w:t>（声功率级）</w:t>
                  </w:r>
                  <w:r>
                    <w:rPr>
                      <w:rFonts w:hint="default" w:ascii="Times New Roman" w:hAnsi="Times New Roman" w:eastAsia="宋体" w:cs="Times New Roman"/>
                      <w:b/>
                      <w:bCs w:val="0"/>
                      <w:color w:val="FF0000"/>
                      <w:szCs w:val="21"/>
                      <w:lang w:val="en-US" w:eastAsia="zh-CN"/>
                    </w:rPr>
                    <w:t>dB</w:t>
                  </w:r>
                  <w:r>
                    <w:rPr>
                      <w:rFonts w:hint="eastAsia" w:ascii="Times New Roman" w:hAnsi="Times New Roman" w:eastAsia="宋体" w:cs="Times New Roman"/>
                      <w:b/>
                      <w:bCs w:val="0"/>
                      <w:color w:val="FF0000"/>
                      <w:szCs w:val="21"/>
                      <w:lang w:val="en-US" w:eastAsia="zh-CN"/>
                    </w:rPr>
                    <w:t>（</w:t>
                  </w:r>
                  <w:r>
                    <w:rPr>
                      <w:rFonts w:hint="default" w:ascii="Times New Roman" w:hAnsi="Times New Roman" w:eastAsia="宋体" w:cs="Times New Roman"/>
                      <w:b/>
                      <w:bCs w:val="0"/>
                      <w:color w:val="FF0000"/>
                      <w:szCs w:val="21"/>
                      <w:lang w:val="en-US" w:eastAsia="zh-CN"/>
                    </w:rPr>
                    <w:t>A</w:t>
                  </w:r>
                  <w:r>
                    <w:rPr>
                      <w:rFonts w:hint="eastAsia" w:ascii="Times New Roman" w:hAnsi="Times New Roman" w:eastAsia="宋体" w:cs="Times New Roman"/>
                      <w:b/>
                      <w:bCs w:val="0"/>
                      <w:color w:val="FF0000"/>
                      <w:szCs w:val="21"/>
                      <w:lang w:val="en-US" w:eastAsia="zh-CN"/>
                    </w:rPr>
                    <w:t>）</w:t>
                  </w:r>
                </w:p>
              </w:tc>
              <w:tc>
                <w:tcPr>
                  <w:tcW w:w="867" w:type="pct"/>
                  <w:vMerge w:val="restart"/>
                  <w:tcBorders>
                    <w:tl2br w:val="nil"/>
                    <w:tr2bl w:val="nil"/>
                  </w:tcBorders>
                  <w:noWrap w:val="0"/>
                  <w:vAlign w:val="center"/>
                </w:tcPr>
                <w:p w14:paraId="74767BB9">
                  <w:pPr>
                    <w:spacing w:line="240" w:lineRule="auto"/>
                    <w:ind w:firstLine="0" w:firstLineChars="0"/>
                    <w:jc w:val="center"/>
                    <w:rPr>
                      <w:rFonts w:hint="eastAsia" w:ascii="Times New Roman" w:hAnsi="Times New Roman" w:eastAsia="宋体" w:cs="Times New Roman"/>
                      <w:b/>
                      <w:bCs w:val="0"/>
                      <w:color w:val="FF0000"/>
                      <w:szCs w:val="21"/>
                      <w:lang w:val="en-US" w:eastAsia="zh-CN"/>
                    </w:rPr>
                  </w:pPr>
                  <w:r>
                    <w:rPr>
                      <w:rFonts w:hint="eastAsia" w:ascii="Times New Roman" w:hAnsi="Times New Roman" w:eastAsia="宋体" w:cs="Times New Roman"/>
                      <w:b/>
                      <w:bCs w:val="0"/>
                      <w:color w:val="FF0000"/>
                      <w:szCs w:val="21"/>
                      <w:lang w:val="en-US" w:eastAsia="zh-CN"/>
                    </w:rPr>
                    <w:t>声源控制</w:t>
                  </w:r>
                </w:p>
                <w:p w14:paraId="31BC0360">
                  <w:pPr>
                    <w:spacing w:line="240" w:lineRule="auto"/>
                    <w:ind w:firstLine="0" w:firstLineChars="0"/>
                    <w:jc w:val="center"/>
                    <w:rPr>
                      <w:rFonts w:hint="eastAsia" w:ascii="Times New Roman" w:hAnsi="Times New Roman" w:eastAsia="宋体" w:cs="Times New Roman"/>
                      <w:b/>
                      <w:bCs w:val="0"/>
                      <w:color w:val="FF0000"/>
                      <w:szCs w:val="21"/>
                      <w:lang w:val="en-US" w:eastAsia="zh-CN"/>
                    </w:rPr>
                  </w:pPr>
                  <w:r>
                    <w:rPr>
                      <w:rFonts w:hint="eastAsia" w:ascii="Times New Roman" w:hAnsi="Times New Roman" w:eastAsia="宋体" w:cs="Times New Roman"/>
                      <w:b/>
                      <w:bCs w:val="0"/>
                      <w:color w:val="FF0000"/>
                      <w:szCs w:val="21"/>
                      <w:lang w:val="en-US" w:eastAsia="zh-CN"/>
                    </w:rPr>
                    <w:t>措施</w:t>
                  </w:r>
                </w:p>
              </w:tc>
              <w:tc>
                <w:tcPr>
                  <w:tcW w:w="479" w:type="pct"/>
                  <w:vMerge w:val="restart"/>
                  <w:tcBorders>
                    <w:tl2br w:val="nil"/>
                    <w:tr2bl w:val="nil"/>
                  </w:tcBorders>
                  <w:noWrap w:val="0"/>
                  <w:vAlign w:val="center"/>
                </w:tcPr>
                <w:p w14:paraId="40F62894">
                  <w:pPr>
                    <w:spacing w:line="240" w:lineRule="auto"/>
                    <w:ind w:firstLine="0" w:firstLineChars="0"/>
                    <w:jc w:val="center"/>
                    <w:rPr>
                      <w:rFonts w:hint="default" w:ascii="Times New Roman" w:hAnsi="Times New Roman" w:eastAsia="宋体" w:cs="Times New Roman"/>
                      <w:b/>
                      <w:bCs w:val="0"/>
                      <w:color w:val="FF0000"/>
                      <w:szCs w:val="21"/>
                      <w:lang w:val="en-US" w:eastAsia="zh-CN"/>
                    </w:rPr>
                  </w:pPr>
                  <w:r>
                    <w:rPr>
                      <w:rFonts w:hint="eastAsia" w:ascii="Times New Roman" w:hAnsi="Times New Roman" w:eastAsia="宋体" w:cs="Times New Roman"/>
                      <w:b/>
                      <w:bCs w:val="0"/>
                      <w:color w:val="FF0000"/>
                      <w:szCs w:val="21"/>
                      <w:lang w:val="en-US" w:eastAsia="zh-CN"/>
                    </w:rPr>
                    <w:t>运行时段</w:t>
                  </w:r>
                </w:p>
              </w:tc>
            </w:tr>
            <w:tr w14:paraId="3F89E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454" w:type="pct"/>
                  <w:vMerge w:val="continue"/>
                  <w:tcBorders>
                    <w:bottom w:val="single" w:color="auto" w:sz="12" w:space="0"/>
                    <w:tl2br w:val="nil"/>
                    <w:tr2bl w:val="nil"/>
                  </w:tcBorders>
                  <w:noWrap w:val="0"/>
                  <w:vAlign w:val="center"/>
                </w:tcPr>
                <w:p w14:paraId="3FC94A98">
                  <w:pPr>
                    <w:spacing w:line="240" w:lineRule="auto"/>
                    <w:ind w:firstLine="0" w:firstLineChars="0"/>
                    <w:jc w:val="center"/>
                    <w:rPr>
                      <w:rFonts w:hint="eastAsia" w:ascii="Times New Roman" w:hAnsi="Times New Roman" w:eastAsia="宋体" w:cs="Times New Roman"/>
                      <w:b/>
                      <w:bCs w:val="0"/>
                      <w:color w:val="FF0000"/>
                      <w:szCs w:val="21"/>
                      <w:lang w:val="en-US" w:eastAsia="zh-CN"/>
                    </w:rPr>
                  </w:pPr>
                </w:p>
              </w:tc>
              <w:tc>
                <w:tcPr>
                  <w:tcW w:w="987" w:type="pct"/>
                  <w:vMerge w:val="continue"/>
                  <w:tcBorders>
                    <w:bottom w:val="single" w:color="auto" w:sz="12" w:space="0"/>
                    <w:tl2br w:val="nil"/>
                    <w:tr2bl w:val="nil"/>
                  </w:tcBorders>
                  <w:noWrap w:val="0"/>
                  <w:vAlign w:val="center"/>
                </w:tcPr>
                <w:p w14:paraId="3272B066">
                  <w:pPr>
                    <w:spacing w:line="240" w:lineRule="auto"/>
                    <w:ind w:firstLine="0" w:firstLineChars="0"/>
                    <w:jc w:val="center"/>
                    <w:rPr>
                      <w:rFonts w:hint="eastAsia" w:ascii="Times New Roman" w:hAnsi="Times New Roman" w:eastAsia="宋体" w:cs="Times New Roman"/>
                      <w:b/>
                      <w:bCs w:val="0"/>
                      <w:color w:val="FF0000"/>
                      <w:szCs w:val="21"/>
                      <w:lang w:val="en-US" w:eastAsia="zh-CN"/>
                    </w:rPr>
                  </w:pPr>
                </w:p>
              </w:tc>
              <w:tc>
                <w:tcPr>
                  <w:tcW w:w="465" w:type="pct"/>
                  <w:tcBorders>
                    <w:bottom w:val="single" w:color="auto" w:sz="12" w:space="0"/>
                    <w:tl2br w:val="nil"/>
                    <w:tr2bl w:val="nil"/>
                  </w:tcBorders>
                  <w:noWrap w:val="0"/>
                  <w:vAlign w:val="center"/>
                </w:tcPr>
                <w:p w14:paraId="16EDB8D6">
                  <w:pPr>
                    <w:spacing w:line="240" w:lineRule="auto"/>
                    <w:ind w:firstLine="0" w:firstLineChars="0"/>
                    <w:jc w:val="center"/>
                    <w:rPr>
                      <w:rFonts w:hint="default" w:ascii="Times New Roman" w:hAnsi="Times New Roman" w:eastAsia="宋体" w:cs="Times New Roman"/>
                      <w:b/>
                      <w:bCs w:val="0"/>
                      <w:color w:val="FF0000"/>
                      <w:szCs w:val="21"/>
                      <w:lang w:val="en-US" w:eastAsia="zh-CN"/>
                    </w:rPr>
                  </w:pPr>
                  <w:r>
                    <w:rPr>
                      <w:rFonts w:hint="eastAsia" w:ascii="Times New Roman" w:hAnsi="Times New Roman" w:eastAsia="宋体" w:cs="Times New Roman"/>
                      <w:b/>
                      <w:bCs w:val="0"/>
                      <w:color w:val="FF0000"/>
                      <w:szCs w:val="21"/>
                      <w:lang w:val="en-US" w:eastAsia="zh-CN"/>
                    </w:rPr>
                    <w:t>X</w:t>
                  </w:r>
                </w:p>
              </w:tc>
              <w:tc>
                <w:tcPr>
                  <w:tcW w:w="454" w:type="pct"/>
                  <w:tcBorders>
                    <w:bottom w:val="single" w:color="auto" w:sz="12" w:space="0"/>
                    <w:tl2br w:val="nil"/>
                    <w:tr2bl w:val="nil"/>
                  </w:tcBorders>
                  <w:noWrap w:val="0"/>
                  <w:vAlign w:val="center"/>
                </w:tcPr>
                <w:p w14:paraId="5A45473C">
                  <w:pPr>
                    <w:spacing w:line="240" w:lineRule="auto"/>
                    <w:ind w:firstLine="0" w:firstLineChars="0"/>
                    <w:jc w:val="center"/>
                    <w:rPr>
                      <w:rFonts w:hint="default" w:ascii="Times New Roman" w:hAnsi="Times New Roman" w:eastAsia="宋体" w:cs="Times New Roman"/>
                      <w:b/>
                      <w:bCs w:val="0"/>
                      <w:color w:val="FF0000"/>
                      <w:szCs w:val="21"/>
                      <w:lang w:val="en-US" w:eastAsia="zh-CN"/>
                    </w:rPr>
                  </w:pPr>
                  <w:r>
                    <w:rPr>
                      <w:rFonts w:hint="eastAsia" w:ascii="Times New Roman" w:hAnsi="Times New Roman" w:eastAsia="宋体" w:cs="Times New Roman"/>
                      <w:b/>
                      <w:bCs w:val="0"/>
                      <w:color w:val="FF0000"/>
                      <w:szCs w:val="21"/>
                      <w:lang w:val="en-US" w:eastAsia="zh-CN"/>
                    </w:rPr>
                    <w:t>Y</w:t>
                  </w:r>
                </w:p>
              </w:tc>
              <w:tc>
                <w:tcPr>
                  <w:tcW w:w="423" w:type="pct"/>
                  <w:tcBorders>
                    <w:bottom w:val="single" w:color="auto" w:sz="12" w:space="0"/>
                    <w:tl2br w:val="nil"/>
                    <w:tr2bl w:val="nil"/>
                  </w:tcBorders>
                  <w:noWrap w:val="0"/>
                  <w:vAlign w:val="center"/>
                </w:tcPr>
                <w:p w14:paraId="4C0C7D0D">
                  <w:pPr>
                    <w:spacing w:line="240" w:lineRule="auto"/>
                    <w:ind w:firstLine="0" w:firstLineChars="0"/>
                    <w:jc w:val="center"/>
                    <w:rPr>
                      <w:rFonts w:hint="default" w:ascii="Times New Roman" w:hAnsi="Times New Roman" w:eastAsia="宋体" w:cs="Times New Roman"/>
                      <w:b/>
                      <w:bCs w:val="0"/>
                      <w:color w:val="FF0000"/>
                      <w:szCs w:val="21"/>
                      <w:lang w:val="en-US" w:eastAsia="zh-CN"/>
                    </w:rPr>
                  </w:pPr>
                  <w:r>
                    <w:rPr>
                      <w:rFonts w:hint="eastAsia" w:ascii="Times New Roman" w:hAnsi="Times New Roman" w:eastAsia="宋体" w:cs="Times New Roman"/>
                      <w:b/>
                      <w:bCs w:val="0"/>
                      <w:color w:val="FF0000"/>
                      <w:szCs w:val="21"/>
                      <w:lang w:val="en-US" w:eastAsia="zh-CN"/>
                    </w:rPr>
                    <w:t>Z</w:t>
                  </w:r>
                </w:p>
              </w:tc>
              <w:tc>
                <w:tcPr>
                  <w:tcW w:w="867" w:type="pct"/>
                  <w:vMerge w:val="continue"/>
                  <w:tcBorders>
                    <w:bottom w:val="single" w:color="auto" w:sz="12" w:space="0"/>
                    <w:tl2br w:val="nil"/>
                    <w:tr2bl w:val="nil"/>
                  </w:tcBorders>
                  <w:noWrap w:val="0"/>
                  <w:vAlign w:val="center"/>
                </w:tcPr>
                <w:p w14:paraId="63C90E7D">
                  <w:pPr>
                    <w:spacing w:line="240" w:lineRule="auto"/>
                    <w:ind w:firstLine="0" w:firstLineChars="0"/>
                    <w:jc w:val="center"/>
                    <w:rPr>
                      <w:rFonts w:hint="eastAsia" w:ascii="Times New Roman" w:hAnsi="Times New Roman" w:eastAsia="宋体" w:cs="Times New Roman"/>
                      <w:bCs/>
                      <w:color w:val="FF0000"/>
                      <w:szCs w:val="21"/>
                      <w:lang w:val="en-US" w:eastAsia="zh-CN"/>
                    </w:rPr>
                  </w:pPr>
                </w:p>
              </w:tc>
              <w:tc>
                <w:tcPr>
                  <w:tcW w:w="867" w:type="pct"/>
                  <w:vMerge w:val="continue"/>
                  <w:tcBorders>
                    <w:bottom w:val="single" w:color="auto" w:sz="12" w:space="0"/>
                    <w:tl2br w:val="nil"/>
                    <w:tr2bl w:val="nil"/>
                  </w:tcBorders>
                  <w:noWrap w:val="0"/>
                  <w:vAlign w:val="center"/>
                </w:tcPr>
                <w:p w14:paraId="7E29687E">
                  <w:pPr>
                    <w:spacing w:line="240" w:lineRule="auto"/>
                    <w:ind w:firstLine="0" w:firstLineChars="0"/>
                    <w:jc w:val="center"/>
                    <w:rPr>
                      <w:rFonts w:hint="eastAsia" w:ascii="Times New Roman" w:hAnsi="Times New Roman" w:eastAsia="宋体" w:cs="Times New Roman"/>
                      <w:bCs/>
                      <w:color w:val="FF0000"/>
                      <w:szCs w:val="21"/>
                      <w:lang w:val="en-US" w:eastAsia="zh-CN"/>
                    </w:rPr>
                  </w:pPr>
                </w:p>
              </w:tc>
              <w:tc>
                <w:tcPr>
                  <w:tcW w:w="479" w:type="pct"/>
                  <w:vMerge w:val="continue"/>
                  <w:tcBorders>
                    <w:bottom w:val="single" w:color="auto" w:sz="12" w:space="0"/>
                    <w:tl2br w:val="nil"/>
                    <w:tr2bl w:val="nil"/>
                  </w:tcBorders>
                  <w:noWrap w:val="0"/>
                  <w:vAlign w:val="center"/>
                </w:tcPr>
                <w:p w14:paraId="4E2CE396">
                  <w:pPr>
                    <w:spacing w:line="240" w:lineRule="auto"/>
                    <w:ind w:firstLine="0" w:firstLineChars="0"/>
                    <w:jc w:val="center"/>
                    <w:rPr>
                      <w:rFonts w:hint="eastAsia" w:ascii="Times New Roman" w:hAnsi="Times New Roman" w:eastAsia="宋体" w:cs="Times New Roman"/>
                      <w:bCs/>
                      <w:color w:val="FF0000"/>
                      <w:szCs w:val="21"/>
                      <w:lang w:val="en-US" w:eastAsia="zh-CN"/>
                    </w:rPr>
                  </w:pPr>
                </w:p>
              </w:tc>
            </w:tr>
            <w:tr w14:paraId="2624C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454" w:type="pct"/>
                  <w:tcBorders>
                    <w:top w:val="single" w:color="auto" w:sz="12" w:space="0"/>
                    <w:bottom w:val="single" w:color="auto" w:sz="4" w:space="0"/>
                  </w:tcBorders>
                  <w:noWrap w:val="0"/>
                  <w:vAlign w:val="center"/>
                </w:tcPr>
                <w:p w14:paraId="4A2A0640">
                  <w:pPr>
                    <w:spacing w:line="240" w:lineRule="auto"/>
                    <w:ind w:firstLine="0" w:firstLineChars="0"/>
                    <w:jc w:val="center"/>
                    <w:rPr>
                      <w:rFonts w:hint="eastAsia" w:ascii="Times New Roman" w:hAnsi="Times New Roman" w:eastAsia="宋体" w:cs="Times New Roman"/>
                      <w:bCs/>
                      <w:color w:val="FF0000"/>
                      <w:szCs w:val="21"/>
                      <w:lang w:val="en-US" w:eastAsia="zh-CN"/>
                    </w:rPr>
                  </w:pPr>
                  <w:r>
                    <w:rPr>
                      <w:rFonts w:hint="eastAsia" w:ascii="Times New Roman" w:hAnsi="Times New Roman" w:eastAsia="宋体" w:cs="Times New Roman"/>
                      <w:bCs/>
                      <w:color w:val="FF0000"/>
                      <w:szCs w:val="21"/>
                      <w:lang w:val="en-US" w:eastAsia="zh-CN"/>
                    </w:rPr>
                    <w:t>1</w:t>
                  </w:r>
                </w:p>
              </w:tc>
              <w:tc>
                <w:tcPr>
                  <w:tcW w:w="987" w:type="pct"/>
                  <w:tcBorders>
                    <w:top w:val="single" w:color="auto" w:sz="12" w:space="0"/>
                    <w:bottom w:val="single" w:color="auto" w:sz="4" w:space="0"/>
                  </w:tcBorders>
                  <w:noWrap w:val="0"/>
                  <w:vAlign w:val="center"/>
                </w:tcPr>
                <w:p w14:paraId="3B92750B">
                  <w:pPr>
                    <w:spacing w:line="240" w:lineRule="auto"/>
                    <w:ind w:firstLine="0" w:firstLineChars="0"/>
                    <w:jc w:val="center"/>
                    <w:rPr>
                      <w:rFonts w:hint="default" w:ascii="Times New Roman" w:hAnsi="Times New Roman" w:eastAsia="宋体" w:cs="Times New Roman"/>
                      <w:bCs/>
                      <w:color w:val="FF0000"/>
                      <w:szCs w:val="21"/>
                      <w:lang w:val="en-US" w:eastAsia="zh-CN"/>
                    </w:rPr>
                  </w:pPr>
                  <w:r>
                    <w:rPr>
                      <w:rFonts w:hint="eastAsia" w:cs="Times New Roman"/>
                      <w:color w:val="FF0000"/>
                      <w:spacing w:val="0"/>
                      <w:kern w:val="2"/>
                      <w:sz w:val="21"/>
                      <w:szCs w:val="21"/>
                      <w:vertAlign w:val="baseline"/>
                      <w:lang w:eastAsia="zh-CN"/>
                    </w:rPr>
                    <w:t>通风系统风机</w:t>
                  </w:r>
                </w:p>
              </w:tc>
              <w:tc>
                <w:tcPr>
                  <w:tcW w:w="465" w:type="pct"/>
                  <w:tcBorders>
                    <w:top w:val="single" w:color="auto" w:sz="12" w:space="0"/>
                    <w:bottom w:val="single" w:color="auto" w:sz="4" w:space="0"/>
                  </w:tcBorders>
                  <w:noWrap w:val="0"/>
                  <w:vAlign w:val="center"/>
                </w:tcPr>
                <w:p w14:paraId="189D2693">
                  <w:pPr>
                    <w:spacing w:line="240" w:lineRule="auto"/>
                    <w:ind w:firstLine="0" w:firstLineChars="0"/>
                    <w:jc w:val="center"/>
                    <w:rPr>
                      <w:rFonts w:hint="default" w:ascii="Times New Roman" w:hAnsi="Times New Roman" w:eastAsia="宋体" w:cs="Times New Roman"/>
                      <w:bCs/>
                      <w:color w:val="FF0000"/>
                      <w:szCs w:val="21"/>
                      <w:lang w:val="en-US" w:eastAsia="zh-CN"/>
                    </w:rPr>
                  </w:pPr>
                  <w:r>
                    <w:rPr>
                      <w:rFonts w:hint="eastAsia" w:eastAsia="宋体" w:cs="Times New Roman"/>
                      <w:bCs/>
                      <w:color w:val="FF0000"/>
                      <w:szCs w:val="21"/>
                      <w:lang w:val="en-US" w:eastAsia="zh-CN"/>
                    </w:rPr>
                    <w:t>21</w:t>
                  </w:r>
                </w:p>
              </w:tc>
              <w:tc>
                <w:tcPr>
                  <w:tcW w:w="454" w:type="pct"/>
                  <w:tcBorders>
                    <w:top w:val="single" w:color="auto" w:sz="12" w:space="0"/>
                    <w:bottom w:val="single" w:color="auto" w:sz="4" w:space="0"/>
                  </w:tcBorders>
                  <w:noWrap w:val="0"/>
                  <w:vAlign w:val="center"/>
                </w:tcPr>
                <w:p w14:paraId="59CAF338">
                  <w:pPr>
                    <w:spacing w:line="240" w:lineRule="auto"/>
                    <w:ind w:firstLine="0" w:firstLineChars="0"/>
                    <w:jc w:val="center"/>
                    <w:rPr>
                      <w:rFonts w:hint="default" w:ascii="Times New Roman" w:hAnsi="Times New Roman" w:eastAsia="宋体" w:cs="Times New Roman"/>
                      <w:bCs/>
                      <w:color w:val="FF0000"/>
                      <w:szCs w:val="21"/>
                      <w:lang w:val="en-US" w:eastAsia="zh-CN"/>
                    </w:rPr>
                  </w:pPr>
                  <w:r>
                    <w:rPr>
                      <w:rFonts w:hint="eastAsia" w:eastAsia="宋体" w:cs="Times New Roman"/>
                      <w:bCs/>
                      <w:color w:val="FF0000"/>
                      <w:szCs w:val="21"/>
                      <w:lang w:val="en-US" w:eastAsia="zh-CN"/>
                    </w:rPr>
                    <w:t>16</w:t>
                  </w:r>
                </w:p>
              </w:tc>
              <w:tc>
                <w:tcPr>
                  <w:tcW w:w="423" w:type="pct"/>
                  <w:tcBorders>
                    <w:top w:val="single" w:color="auto" w:sz="12" w:space="0"/>
                    <w:bottom w:val="single" w:color="auto" w:sz="4" w:space="0"/>
                  </w:tcBorders>
                  <w:noWrap w:val="0"/>
                  <w:vAlign w:val="center"/>
                </w:tcPr>
                <w:p w14:paraId="6D8F1606">
                  <w:pPr>
                    <w:spacing w:line="240" w:lineRule="auto"/>
                    <w:ind w:firstLine="0" w:firstLineChars="0"/>
                    <w:jc w:val="center"/>
                    <w:rPr>
                      <w:rFonts w:hint="default" w:ascii="Times New Roman" w:hAnsi="Times New Roman" w:eastAsia="宋体" w:cs="Times New Roman"/>
                      <w:bCs/>
                      <w:color w:val="FF0000"/>
                      <w:szCs w:val="21"/>
                      <w:lang w:val="en-US" w:eastAsia="zh-CN"/>
                    </w:rPr>
                  </w:pPr>
                  <w:r>
                    <w:rPr>
                      <w:rFonts w:hint="eastAsia" w:eastAsia="宋体" w:cs="Times New Roman"/>
                      <w:bCs/>
                      <w:color w:val="FF0000"/>
                      <w:szCs w:val="21"/>
                      <w:lang w:val="en-US" w:eastAsia="zh-CN"/>
                    </w:rPr>
                    <w:t>0</w:t>
                  </w:r>
                </w:p>
              </w:tc>
              <w:tc>
                <w:tcPr>
                  <w:tcW w:w="867" w:type="pct"/>
                  <w:tcBorders>
                    <w:top w:val="single" w:color="auto" w:sz="12" w:space="0"/>
                    <w:bottom w:val="single" w:color="auto" w:sz="4" w:space="0"/>
                  </w:tcBorders>
                  <w:noWrap w:val="0"/>
                  <w:vAlign w:val="center"/>
                </w:tcPr>
                <w:p w14:paraId="5A349752">
                  <w:pPr>
                    <w:spacing w:line="240" w:lineRule="auto"/>
                    <w:ind w:firstLine="0" w:firstLineChars="0"/>
                    <w:jc w:val="center"/>
                    <w:rPr>
                      <w:rFonts w:hint="default" w:ascii="Times New Roman" w:hAnsi="Times New Roman" w:eastAsia="宋体" w:cs="Times New Roman"/>
                      <w:bCs/>
                      <w:color w:val="FF0000"/>
                      <w:szCs w:val="21"/>
                      <w:lang w:val="en-US" w:eastAsia="zh-CN"/>
                    </w:rPr>
                  </w:pPr>
                  <w:r>
                    <w:rPr>
                      <w:rFonts w:hint="eastAsia" w:eastAsia="宋体" w:cs="Times New Roman"/>
                      <w:bCs/>
                      <w:color w:val="FF0000"/>
                      <w:szCs w:val="21"/>
                      <w:lang w:val="en-US" w:eastAsia="zh-CN"/>
                    </w:rPr>
                    <w:t>80</w:t>
                  </w:r>
                </w:p>
              </w:tc>
              <w:tc>
                <w:tcPr>
                  <w:tcW w:w="867" w:type="pct"/>
                  <w:tcBorders>
                    <w:top w:val="single" w:color="auto" w:sz="12" w:space="0"/>
                  </w:tcBorders>
                  <w:noWrap w:val="0"/>
                  <w:vAlign w:val="center"/>
                </w:tcPr>
                <w:p w14:paraId="2ED9177D">
                  <w:pPr>
                    <w:spacing w:line="240" w:lineRule="auto"/>
                    <w:ind w:firstLine="0" w:firstLineChars="0"/>
                    <w:jc w:val="center"/>
                    <w:rPr>
                      <w:rFonts w:hint="eastAsia" w:ascii="Times New Roman" w:hAnsi="Times New Roman" w:eastAsia="宋体" w:cs="Times New Roman"/>
                      <w:bCs/>
                      <w:color w:val="FF0000"/>
                      <w:szCs w:val="21"/>
                      <w:lang w:val="en-US" w:eastAsia="zh-CN"/>
                    </w:rPr>
                  </w:pPr>
                  <w:r>
                    <w:rPr>
                      <w:rFonts w:hint="eastAsia" w:ascii="Times New Roman" w:hAnsi="Times New Roman" w:eastAsia="宋体" w:cs="Times New Roman"/>
                      <w:i w:val="0"/>
                      <w:iCs w:val="0"/>
                      <w:color w:val="FF0000"/>
                      <w:highlight w:val="none"/>
                    </w:rPr>
                    <w:t>消声减振、距离衰减等</w:t>
                  </w:r>
                </w:p>
              </w:tc>
              <w:tc>
                <w:tcPr>
                  <w:tcW w:w="479" w:type="pct"/>
                  <w:tcBorders>
                    <w:top w:val="single" w:color="auto" w:sz="12" w:space="0"/>
                  </w:tcBorders>
                  <w:noWrap w:val="0"/>
                  <w:vAlign w:val="center"/>
                </w:tcPr>
                <w:p w14:paraId="59406C5B">
                  <w:pPr>
                    <w:spacing w:line="240" w:lineRule="auto"/>
                    <w:ind w:firstLine="0" w:firstLineChars="0"/>
                    <w:jc w:val="center"/>
                    <w:rPr>
                      <w:rFonts w:hint="default" w:ascii="Times New Roman" w:hAnsi="Times New Roman" w:eastAsia="宋体" w:cs="Times New Roman"/>
                      <w:bCs/>
                      <w:color w:val="FF0000"/>
                      <w:szCs w:val="21"/>
                      <w:lang w:val="en-US" w:eastAsia="zh-CN"/>
                    </w:rPr>
                  </w:pPr>
                  <w:r>
                    <w:rPr>
                      <w:rFonts w:hint="eastAsia" w:eastAsia="宋体" w:cs="Times New Roman"/>
                      <w:bCs/>
                      <w:color w:val="FF0000"/>
                      <w:szCs w:val="21"/>
                      <w:lang w:val="en-US" w:eastAsia="zh-CN"/>
                    </w:rPr>
                    <w:t>全天</w:t>
                  </w:r>
                </w:p>
              </w:tc>
            </w:tr>
          </w:tbl>
          <w:p w14:paraId="47972C83">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宋体" w:hAnsi="宋体" w:eastAsia="宋体" w:cs="宋体"/>
                <w:bCs/>
                <w:color w:val="FF0000"/>
                <w:spacing w:val="-10"/>
                <w:szCs w:val="21"/>
                <w:highlight w:val="none"/>
                <w:shd w:val="clear" w:color="auto" w:fill="auto"/>
                <w:lang w:eastAsia="zh-CN"/>
              </w:rPr>
            </w:pPr>
            <w:r>
              <w:rPr>
                <w:rFonts w:hint="default" w:ascii="Times New Roman" w:hAnsi="Times New Roman" w:eastAsia="宋体" w:cs="Times New Roman"/>
                <w:b/>
                <w:bCs/>
                <w:i w:val="0"/>
                <w:iCs w:val="0"/>
                <w:color w:val="FF0000"/>
                <w:highlight w:val="none"/>
              </w:rPr>
              <w:t>表4-</w:t>
            </w:r>
            <w:r>
              <w:rPr>
                <w:rFonts w:hint="eastAsia" w:ascii="Times New Roman" w:hAnsi="Times New Roman" w:eastAsia="宋体" w:cs="Times New Roman"/>
                <w:b/>
                <w:bCs/>
                <w:i w:val="0"/>
                <w:iCs w:val="0"/>
                <w:color w:val="FF0000"/>
                <w:highlight w:val="none"/>
                <w:lang w:val="en-US" w:eastAsia="zh-CN"/>
              </w:rPr>
              <w:t>1</w:t>
            </w:r>
            <w:r>
              <w:rPr>
                <w:rFonts w:hint="eastAsia" w:cs="Times New Roman"/>
                <w:b/>
                <w:bCs/>
                <w:i w:val="0"/>
                <w:iCs w:val="0"/>
                <w:color w:val="FF0000"/>
                <w:highlight w:val="none"/>
                <w:lang w:val="en-US" w:eastAsia="zh-CN"/>
              </w:rPr>
              <w:t>4</w:t>
            </w:r>
            <w:r>
              <w:rPr>
                <w:rFonts w:hint="eastAsia" w:ascii="Times New Roman" w:hAnsi="Times New Roman" w:eastAsia="宋体" w:cs="Times New Roman"/>
                <w:b/>
                <w:bCs/>
                <w:i w:val="0"/>
                <w:iCs w:val="0"/>
                <w:color w:val="FF0000"/>
                <w:highlight w:val="none"/>
                <w:lang w:val="en-US" w:eastAsia="zh-CN"/>
              </w:rPr>
              <w:t xml:space="preserve"> </w:t>
            </w:r>
            <w:r>
              <w:rPr>
                <w:rFonts w:hint="default" w:ascii="Times New Roman" w:hAnsi="Times New Roman" w:eastAsia="宋体" w:cs="Times New Roman"/>
                <w:b/>
                <w:bCs/>
                <w:i w:val="0"/>
                <w:iCs w:val="0"/>
                <w:color w:val="FF0000"/>
                <w:highlight w:val="none"/>
              </w:rPr>
              <w:t xml:space="preserve"> </w:t>
            </w:r>
            <w:r>
              <w:rPr>
                <w:rFonts w:ascii="Times New Roman" w:hAnsi="Times New Roman" w:eastAsia="宋体" w:cs="Times New Roman"/>
                <w:b/>
                <w:bCs/>
                <w:i w:val="0"/>
                <w:iCs w:val="0"/>
                <w:color w:val="FF0000"/>
                <w:highlight w:val="none"/>
              </w:rPr>
              <w:t>噪声污染源产生、排放汇总表</w:t>
            </w:r>
            <w:r>
              <w:rPr>
                <w:rFonts w:hint="eastAsia" w:ascii="Times New Roman" w:hAnsi="Times New Roman" w:eastAsia="宋体" w:cs="Times New Roman"/>
                <w:b/>
                <w:bCs/>
                <w:i w:val="0"/>
                <w:iCs w:val="0"/>
                <w:color w:val="FF0000"/>
                <w:highlight w:val="none"/>
                <w:lang w:eastAsia="zh-CN"/>
              </w:rPr>
              <w:t>（</w:t>
            </w:r>
            <w:r>
              <w:rPr>
                <w:rFonts w:hint="eastAsia" w:ascii="Times New Roman" w:hAnsi="Times New Roman" w:eastAsia="宋体" w:cs="Times New Roman"/>
                <w:b/>
                <w:bCs/>
                <w:i w:val="0"/>
                <w:iCs w:val="0"/>
                <w:color w:val="FF0000"/>
                <w:highlight w:val="none"/>
                <w:lang w:val="en-US" w:eastAsia="zh-CN"/>
              </w:rPr>
              <w:t>室内声源</w:t>
            </w:r>
            <w:r>
              <w:rPr>
                <w:rFonts w:hint="eastAsia" w:ascii="Times New Roman" w:hAnsi="Times New Roman" w:eastAsia="宋体" w:cs="Times New Roman"/>
                <w:b/>
                <w:bCs/>
                <w:i w:val="0"/>
                <w:iCs w:val="0"/>
                <w:color w:val="FF0000"/>
                <w:highlight w:val="none"/>
                <w:lang w:eastAsia="zh-CN"/>
              </w:rPr>
              <w:t>）（</w:t>
            </w:r>
            <w:r>
              <w:rPr>
                <w:rFonts w:hint="eastAsia" w:ascii="Times New Roman" w:hAnsi="Times New Roman" w:eastAsia="宋体" w:cs="Times New Roman"/>
                <w:b/>
                <w:bCs/>
                <w:i w:val="0"/>
                <w:iCs w:val="0"/>
                <w:color w:val="FF0000"/>
                <w:highlight w:val="none"/>
                <w:lang w:val="en-US" w:eastAsia="zh-CN"/>
              </w:rPr>
              <w:t>1</w:t>
            </w:r>
            <w:r>
              <w:rPr>
                <w:rFonts w:hint="eastAsia" w:ascii="Times New Roman" w:hAnsi="Times New Roman" w:eastAsia="宋体" w:cs="Times New Roman"/>
                <w:b/>
                <w:bCs/>
                <w:i w:val="0"/>
                <w:iCs w:val="0"/>
                <w:color w:val="FF0000"/>
                <w:highlight w:val="none"/>
                <w:lang w:eastAsia="zh-CN"/>
              </w:rPr>
              <w:t>）</w:t>
            </w:r>
          </w:p>
          <w:tbl>
            <w:tblPr>
              <w:tblStyle w:val="77"/>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13"/>
              <w:gridCol w:w="234"/>
              <w:gridCol w:w="831"/>
              <w:gridCol w:w="447"/>
              <w:gridCol w:w="1365"/>
              <w:gridCol w:w="604"/>
              <w:gridCol w:w="462"/>
              <w:gridCol w:w="359"/>
              <w:gridCol w:w="262"/>
              <w:gridCol w:w="257"/>
              <w:gridCol w:w="311"/>
              <w:gridCol w:w="328"/>
              <w:gridCol w:w="311"/>
              <w:gridCol w:w="327"/>
              <w:gridCol w:w="575"/>
              <w:gridCol w:w="518"/>
              <w:gridCol w:w="518"/>
              <w:gridCol w:w="523"/>
            </w:tblGrid>
            <w:tr w14:paraId="5992A8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183" w:type="pct"/>
                  <w:vMerge w:val="restart"/>
                  <w:tcBorders>
                    <w:tl2br w:val="nil"/>
                    <w:tr2bl w:val="nil"/>
                  </w:tcBorders>
                  <w:noWrap w:val="0"/>
                  <w:textDirection w:val="tbRlV"/>
                  <w:vAlign w:val="center"/>
                </w:tcPr>
                <w:p w14:paraId="0A6E7F1F">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序号</w:t>
                  </w:r>
                </w:p>
              </w:tc>
              <w:tc>
                <w:tcPr>
                  <w:tcW w:w="137" w:type="pct"/>
                  <w:vMerge w:val="restart"/>
                  <w:tcBorders>
                    <w:tl2br w:val="nil"/>
                    <w:tr2bl w:val="nil"/>
                  </w:tcBorders>
                  <w:noWrap w:val="0"/>
                  <w:vAlign w:val="center"/>
                </w:tcPr>
                <w:p w14:paraId="29186660">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建筑物名称</w:t>
                  </w:r>
                </w:p>
              </w:tc>
              <w:tc>
                <w:tcPr>
                  <w:tcW w:w="486" w:type="pct"/>
                  <w:vMerge w:val="restart"/>
                  <w:tcBorders>
                    <w:tl2br w:val="nil"/>
                    <w:tr2bl w:val="nil"/>
                  </w:tcBorders>
                  <w:noWrap w:val="0"/>
                  <w:vAlign w:val="center"/>
                </w:tcPr>
                <w:p w14:paraId="54A9AC2B">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声源</w:t>
                  </w:r>
                </w:p>
                <w:p w14:paraId="51FEAF6A">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名称</w:t>
                  </w:r>
                </w:p>
              </w:tc>
              <w:tc>
                <w:tcPr>
                  <w:tcW w:w="261" w:type="pct"/>
                  <w:vMerge w:val="restart"/>
                  <w:tcBorders>
                    <w:tl2br w:val="nil"/>
                    <w:tr2bl w:val="nil"/>
                  </w:tcBorders>
                  <w:noWrap w:val="0"/>
                  <w:vAlign w:val="center"/>
                </w:tcPr>
                <w:p w14:paraId="11E0BCCF">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型号</w:t>
                  </w:r>
                </w:p>
              </w:tc>
              <w:tc>
                <w:tcPr>
                  <w:tcW w:w="1151" w:type="pct"/>
                  <w:gridSpan w:val="2"/>
                  <w:tcBorders>
                    <w:tl2br w:val="nil"/>
                    <w:tr2bl w:val="nil"/>
                  </w:tcBorders>
                  <w:noWrap w:val="0"/>
                  <w:vAlign w:val="center"/>
                </w:tcPr>
                <w:p w14:paraId="228FD2B3">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声源源强(任选一种)</w:t>
                  </w:r>
                </w:p>
              </w:tc>
              <w:tc>
                <w:tcPr>
                  <w:tcW w:w="270" w:type="pct"/>
                  <w:vMerge w:val="restart"/>
                  <w:tcBorders>
                    <w:tl2br w:val="nil"/>
                    <w:tr2bl w:val="nil"/>
                  </w:tcBorders>
                  <w:noWrap w:val="0"/>
                  <w:vAlign w:val="center"/>
                </w:tcPr>
                <w:p w14:paraId="7E2FB1C1">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声源控制措施</w:t>
                  </w:r>
                </w:p>
              </w:tc>
              <w:tc>
                <w:tcPr>
                  <w:tcW w:w="513" w:type="pct"/>
                  <w:gridSpan w:val="3"/>
                  <w:tcBorders>
                    <w:tl2br w:val="nil"/>
                    <w:tr2bl w:val="nil"/>
                  </w:tcBorders>
                  <w:noWrap w:val="0"/>
                  <w:vAlign w:val="center"/>
                </w:tcPr>
                <w:p w14:paraId="2A43C803">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空间相对位置/m</w:t>
                  </w:r>
                </w:p>
              </w:tc>
              <w:tc>
                <w:tcPr>
                  <w:tcW w:w="747" w:type="pct"/>
                  <w:gridSpan w:val="4"/>
                  <w:vMerge w:val="restart"/>
                  <w:tcBorders>
                    <w:tl2br w:val="nil"/>
                    <w:tr2bl w:val="nil"/>
                  </w:tcBorders>
                  <w:noWrap w:val="0"/>
                  <w:vAlign w:val="center"/>
                </w:tcPr>
                <w:p w14:paraId="6EB8B628">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距室内边界距离/m</w:t>
                  </w:r>
                </w:p>
              </w:tc>
              <w:tc>
                <w:tcPr>
                  <w:tcW w:w="1247" w:type="pct"/>
                  <w:gridSpan w:val="4"/>
                  <w:vMerge w:val="restart"/>
                  <w:tcBorders>
                    <w:tl2br w:val="nil"/>
                    <w:tr2bl w:val="nil"/>
                  </w:tcBorders>
                  <w:noWrap w:val="0"/>
                  <w:vAlign w:val="center"/>
                </w:tcPr>
                <w:p w14:paraId="544B5A38">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室内边界声级/dB(A)</w:t>
                  </w:r>
                </w:p>
              </w:tc>
            </w:tr>
            <w:tr w14:paraId="2E67CD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83" w:type="pct"/>
                  <w:vMerge w:val="continue"/>
                  <w:tcBorders>
                    <w:tl2br w:val="nil"/>
                    <w:tr2bl w:val="nil"/>
                  </w:tcBorders>
                  <w:noWrap w:val="0"/>
                  <w:textDirection w:val="tbRlV"/>
                  <w:vAlign w:val="center"/>
                </w:tcPr>
                <w:p w14:paraId="6903432C">
                  <w:pPr>
                    <w:pStyle w:val="71"/>
                    <w:autoSpaceDE w:val="0"/>
                    <w:autoSpaceDN w:val="0"/>
                    <w:bidi w:val="0"/>
                    <w:jc w:val="center"/>
                    <w:rPr>
                      <w:rFonts w:ascii="Times New Roman" w:hAnsi="Times New Roman" w:eastAsia="宋体" w:cs="Times New Roman"/>
                      <w:b/>
                      <w:bCs/>
                      <w:i w:val="0"/>
                      <w:iCs w:val="0"/>
                      <w:color w:val="FF0000"/>
                      <w:highlight w:val="none"/>
                    </w:rPr>
                  </w:pPr>
                </w:p>
              </w:tc>
              <w:tc>
                <w:tcPr>
                  <w:tcW w:w="137" w:type="pct"/>
                  <w:vMerge w:val="continue"/>
                  <w:tcBorders>
                    <w:tl2br w:val="nil"/>
                    <w:tr2bl w:val="nil"/>
                  </w:tcBorders>
                  <w:noWrap w:val="0"/>
                  <w:vAlign w:val="center"/>
                </w:tcPr>
                <w:p w14:paraId="402D16B2">
                  <w:pPr>
                    <w:pStyle w:val="71"/>
                    <w:autoSpaceDE w:val="0"/>
                    <w:autoSpaceDN w:val="0"/>
                    <w:bidi w:val="0"/>
                    <w:jc w:val="center"/>
                    <w:rPr>
                      <w:rFonts w:ascii="Times New Roman" w:hAnsi="Times New Roman" w:eastAsia="宋体" w:cs="Times New Roman"/>
                      <w:b/>
                      <w:bCs/>
                      <w:i w:val="0"/>
                      <w:iCs w:val="0"/>
                      <w:color w:val="FF0000"/>
                      <w:highlight w:val="none"/>
                    </w:rPr>
                  </w:pPr>
                </w:p>
              </w:tc>
              <w:tc>
                <w:tcPr>
                  <w:tcW w:w="486" w:type="pct"/>
                  <w:vMerge w:val="continue"/>
                  <w:tcBorders>
                    <w:tl2br w:val="nil"/>
                    <w:tr2bl w:val="nil"/>
                  </w:tcBorders>
                  <w:noWrap w:val="0"/>
                  <w:vAlign w:val="center"/>
                </w:tcPr>
                <w:p w14:paraId="1FCB7C72">
                  <w:pPr>
                    <w:pStyle w:val="71"/>
                    <w:autoSpaceDE w:val="0"/>
                    <w:autoSpaceDN w:val="0"/>
                    <w:bidi w:val="0"/>
                    <w:jc w:val="center"/>
                    <w:rPr>
                      <w:rFonts w:ascii="Times New Roman" w:hAnsi="Times New Roman" w:eastAsia="宋体" w:cs="Times New Roman"/>
                      <w:b/>
                      <w:bCs/>
                      <w:i w:val="0"/>
                      <w:iCs w:val="0"/>
                      <w:color w:val="FF0000"/>
                      <w:highlight w:val="none"/>
                    </w:rPr>
                  </w:pPr>
                </w:p>
              </w:tc>
              <w:tc>
                <w:tcPr>
                  <w:tcW w:w="261" w:type="pct"/>
                  <w:vMerge w:val="continue"/>
                  <w:tcBorders>
                    <w:tl2br w:val="nil"/>
                    <w:tr2bl w:val="nil"/>
                  </w:tcBorders>
                  <w:noWrap w:val="0"/>
                  <w:vAlign w:val="center"/>
                </w:tcPr>
                <w:p w14:paraId="2F9AE938">
                  <w:pPr>
                    <w:pStyle w:val="71"/>
                    <w:autoSpaceDE w:val="0"/>
                    <w:autoSpaceDN w:val="0"/>
                    <w:bidi w:val="0"/>
                    <w:jc w:val="center"/>
                    <w:rPr>
                      <w:rFonts w:ascii="Times New Roman" w:hAnsi="Times New Roman" w:eastAsia="宋体" w:cs="Times New Roman"/>
                      <w:b/>
                      <w:bCs/>
                      <w:i w:val="0"/>
                      <w:iCs w:val="0"/>
                      <w:color w:val="FF0000"/>
                      <w:highlight w:val="none"/>
                    </w:rPr>
                  </w:pPr>
                </w:p>
              </w:tc>
              <w:tc>
                <w:tcPr>
                  <w:tcW w:w="798" w:type="pct"/>
                  <w:vMerge w:val="restart"/>
                  <w:tcBorders>
                    <w:tl2br w:val="nil"/>
                    <w:tr2bl w:val="nil"/>
                  </w:tcBorders>
                  <w:noWrap w:val="0"/>
                  <w:vAlign w:val="center"/>
                </w:tcPr>
                <w:p w14:paraId="652E6941">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(声压级/距声源距离)/(dB(A)/m)</w:t>
                  </w:r>
                </w:p>
              </w:tc>
              <w:tc>
                <w:tcPr>
                  <w:tcW w:w="353" w:type="pct"/>
                  <w:vMerge w:val="restart"/>
                  <w:tcBorders>
                    <w:tl2br w:val="nil"/>
                    <w:tr2bl w:val="nil"/>
                  </w:tcBorders>
                  <w:noWrap w:val="0"/>
                  <w:vAlign w:val="center"/>
                </w:tcPr>
                <w:p w14:paraId="00E47BBD">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声功率级dB(A)</w:t>
                  </w:r>
                </w:p>
              </w:tc>
              <w:tc>
                <w:tcPr>
                  <w:tcW w:w="270" w:type="pct"/>
                  <w:vMerge w:val="continue"/>
                  <w:tcBorders>
                    <w:tl2br w:val="nil"/>
                    <w:tr2bl w:val="nil"/>
                  </w:tcBorders>
                  <w:noWrap w:val="0"/>
                  <w:vAlign w:val="center"/>
                </w:tcPr>
                <w:p w14:paraId="607F6851">
                  <w:pPr>
                    <w:pStyle w:val="71"/>
                    <w:autoSpaceDE w:val="0"/>
                    <w:autoSpaceDN w:val="0"/>
                    <w:bidi w:val="0"/>
                    <w:jc w:val="center"/>
                    <w:rPr>
                      <w:rFonts w:ascii="Times New Roman" w:hAnsi="Times New Roman" w:eastAsia="宋体" w:cs="Times New Roman"/>
                      <w:b/>
                      <w:bCs/>
                      <w:i w:val="0"/>
                      <w:iCs w:val="0"/>
                      <w:color w:val="FF0000"/>
                      <w:highlight w:val="none"/>
                    </w:rPr>
                  </w:pPr>
                </w:p>
              </w:tc>
              <w:tc>
                <w:tcPr>
                  <w:tcW w:w="210" w:type="pct"/>
                  <w:vMerge w:val="restart"/>
                  <w:tcBorders>
                    <w:tl2br w:val="nil"/>
                    <w:tr2bl w:val="nil"/>
                  </w:tcBorders>
                  <w:noWrap w:val="0"/>
                  <w:vAlign w:val="center"/>
                </w:tcPr>
                <w:p w14:paraId="13F66C81">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X</w:t>
                  </w:r>
                </w:p>
              </w:tc>
              <w:tc>
                <w:tcPr>
                  <w:tcW w:w="153" w:type="pct"/>
                  <w:vMerge w:val="restart"/>
                  <w:tcBorders>
                    <w:tl2br w:val="nil"/>
                    <w:tr2bl w:val="nil"/>
                  </w:tcBorders>
                  <w:noWrap w:val="0"/>
                  <w:vAlign w:val="center"/>
                </w:tcPr>
                <w:p w14:paraId="61D0C766">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Y</w:t>
                  </w:r>
                </w:p>
              </w:tc>
              <w:tc>
                <w:tcPr>
                  <w:tcW w:w="148" w:type="pct"/>
                  <w:vMerge w:val="restart"/>
                  <w:tcBorders>
                    <w:tl2br w:val="nil"/>
                    <w:tr2bl w:val="nil"/>
                  </w:tcBorders>
                  <w:noWrap w:val="0"/>
                  <w:vAlign w:val="center"/>
                </w:tcPr>
                <w:p w14:paraId="1E953B6E">
                  <w:pPr>
                    <w:pStyle w:val="71"/>
                    <w:autoSpaceDE w:val="0"/>
                    <w:autoSpaceDN w:val="0"/>
                    <w:bidi w:val="0"/>
                    <w:jc w:val="center"/>
                    <w:rPr>
                      <w:rFonts w:ascii="Times New Roman" w:hAnsi="Times New Roman" w:eastAsia="宋体" w:cs="Times New Roman"/>
                      <w:b/>
                      <w:bCs/>
                      <w:i w:val="0"/>
                      <w:iCs w:val="0"/>
                      <w:color w:val="FF0000"/>
                      <w:highlight w:val="none"/>
                    </w:rPr>
                  </w:pPr>
                  <w:r>
                    <w:rPr>
                      <w:rFonts w:ascii="Times New Roman" w:hAnsi="Times New Roman" w:eastAsia="宋体" w:cs="Times New Roman"/>
                      <w:b/>
                      <w:bCs/>
                      <w:i w:val="0"/>
                      <w:iCs w:val="0"/>
                      <w:color w:val="FF0000"/>
                      <w:highlight w:val="none"/>
                    </w:rPr>
                    <w:t>Z</w:t>
                  </w:r>
                </w:p>
              </w:tc>
              <w:tc>
                <w:tcPr>
                  <w:tcW w:w="747" w:type="pct"/>
                  <w:gridSpan w:val="4"/>
                  <w:vMerge w:val="continue"/>
                  <w:tcBorders>
                    <w:tl2br w:val="nil"/>
                    <w:tr2bl w:val="nil"/>
                  </w:tcBorders>
                  <w:noWrap w:val="0"/>
                  <w:vAlign w:val="center"/>
                </w:tcPr>
                <w:p w14:paraId="0129E32F">
                  <w:pPr>
                    <w:pStyle w:val="71"/>
                    <w:autoSpaceDE w:val="0"/>
                    <w:autoSpaceDN w:val="0"/>
                    <w:bidi w:val="0"/>
                    <w:jc w:val="center"/>
                    <w:rPr>
                      <w:rFonts w:ascii="Times New Roman" w:hAnsi="Times New Roman" w:eastAsia="宋体" w:cs="Times New Roman"/>
                      <w:b/>
                      <w:bCs/>
                      <w:i w:val="0"/>
                      <w:iCs w:val="0"/>
                      <w:color w:val="FF0000"/>
                      <w:highlight w:val="none"/>
                    </w:rPr>
                  </w:pPr>
                </w:p>
              </w:tc>
              <w:tc>
                <w:tcPr>
                  <w:tcW w:w="1247" w:type="pct"/>
                  <w:gridSpan w:val="4"/>
                  <w:vMerge w:val="continue"/>
                  <w:tcBorders>
                    <w:tl2br w:val="nil"/>
                    <w:tr2bl w:val="nil"/>
                  </w:tcBorders>
                  <w:noWrap w:val="0"/>
                  <w:vAlign w:val="center"/>
                </w:tcPr>
                <w:p w14:paraId="3A419B23">
                  <w:pPr>
                    <w:pStyle w:val="71"/>
                    <w:autoSpaceDE w:val="0"/>
                    <w:autoSpaceDN w:val="0"/>
                    <w:bidi w:val="0"/>
                    <w:jc w:val="center"/>
                    <w:rPr>
                      <w:rFonts w:ascii="Times New Roman" w:hAnsi="Times New Roman" w:eastAsia="宋体" w:cs="Times New Roman"/>
                      <w:b/>
                      <w:bCs/>
                      <w:i w:val="0"/>
                      <w:iCs w:val="0"/>
                      <w:color w:val="FF0000"/>
                      <w:highlight w:val="none"/>
                    </w:rPr>
                  </w:pPr>
                </w:p>
              </w:tc>
            </w:tr>
            <w:tr w14:paraId="64B5DF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25" w:hRule="atLeast"/>
              </w:trPr>
              <w:tc>
                <w:tcPr>
                  <w:tcW w:w="183" w:type="pct"/>
                  <w:vMerge w:val="continue"/>
                  <w:tcBorders>
                    <w:bottom w:val="single" w:color="000000" w:sz="12" w:space="0"/>
                    <w:tl2br w:val="nil"/>
                    <w:tr2bl w:val="nil"/>
                  </w:tcBorders>
                  <w:noWrap w:val="0"/>
                  <w:textDirection w:val="tbRlV"/>
                  <w:vAlign w:val="center"/>
                </w:tcPr>
                <w:p w14:paraId="2781C8FF">
                  <w:pPr>
                    <w:pStyle w:val="71"/>
                    <w:autoSpaceDE w:val="0"/>
                    <w:autoSpaceDN w:val="0"/>
                    <w:bidi w:val="0"/>
                    <w:jc w:val="center"/>
                    <w:rPr>
                      <w:rFonts w:ascii="Times New Roman" w:hAnsi="Times New Roman" w:eastAsia="宋体" w:cs="Times New Roman"/>
                      <w:b/>
                      <w:bCs/>
                      <w:i w:val="0"/>
                      <w:iCs w:val="0"/>
                      <w:color w:val="FF0000"/>
                      <w:highlight w:val="none"/>
                    </w:rPr>
                  </w:pPr>
                </w:p>
              </w:tc>
              <w:tc>
                <w:tcPr>
                  <w:tcW w:w="137" w:type="pct"/>
                  <w:vMerge w:val="continue"/>
                  <w:tcBorders>
                    <w:bottom w:val="single" w:color="000000" w:sz="12" w:space="0"/>
                    <w:tl2br w:val="nil"/>
                    <w:tr2bl w:val="nil"/>
                  </w:tcBorders>
                  <w:noWrap w:val="0"/>
                  <w:vAlign w:val="center"/>
                </w:tcPr>
                <w:p w14:paraId="030E5C32">
                  <w:pPr>
                    <w:pStyle w:val="71"/>
                    <w:autoSpaceDE w:val="0"/>
                    <w:autoSpaceDN w:val="0"/>
                    <w:bidi w:val="0"/>
                    <w:jc w:val="center"/>
                    <w:rPr>
                      <w:rFonts w:ascii="Times New Roman" w:hAnsi="Times New Roman" w:eastAsia="宋体" w:cs="Times New Roman"/>
                      <w:b/>
                      <w:bCs/>
                      <w:i w:val="0"/>
                      <w:iCs w:val="0"/>
                      <w:color w:val="FF0000"/>
                      <w:highlight w:val="none"/>
                    </w:rPr>
                  </w:pPr>
                </w:p>
              </w:tc>
              <w:tc>
                <w:tcPr>
                  <w:tcW w:w="486" w:type="pct"/>
                  <w:vMerge w:val="continue"/>
                  <w:tcBorders>
                    <w:bottom w:val="single" w:color="000000" w:sz="12" w:space="0"/>
                    <w:tl2br w:val="nil"/>
                    <w:tr2bl w:val="nil"/>
                  </w:tcBorders>
                  <w:noWrap w:val="0"/>
                  <w:vAlign w:val="center"/>
                </w:tcPr>
                <w:p w14:paraId="52B73A0A">
                  <w:pPr>
                    <w:pStyle w:val="71"/>
                    <w:autoSpaceDE w:val="0"/>
                    <w:autoSpaceDN w:val="0"/>
                    <w:bidi w:val="0"/>
                    <w:jc w:val="center"/>
                    <w:rPr>
                      <w:rFonts w:ascii="Times New Roman" w:hAnsi="Times New Roman" w:eastAsia="宋体" w:cs="Times New Roman"/>
                      <w:b/>
                      <w:bCs/>
                      <w:i w:val="0"/>
                      <w:iCs w:val="0"/>
                      <w:color w:val="FF0000"/>
                      <w:highlight w:val="none"/>
                    </w:rPr>
                  </w:pPr>
                </w:p>
              </w:tc>
              <w:tc>
                <w:tcPr>
                  <w:tcW w:w="261" w:type="pct"/>
                  <w:vMerge w:val="continue"/>
                  <w:tcBorders>
                    <w:bottom w:val="single" w:color="000000" w:sz="12" w:space="0"/>
                    <w:tl2br w:val="nil"/>
                    <w:tr2bl w:val="nil"/>
                  </w:tcBorders>
                  <w:noWrap w:val="0"/>
                  <w:vAlign w:val="center"/>
                </w:tcPr>
                <w:p w14:paraId="5DEB017A">
                  <w:pPr>
                    <w:pStyle w:val="71"/>
                    <w:autoSpaceDE w:val="0"/>
                    <w:autoSpaceDN w:val="0"/>
                    <w:bidi w:val="0"/>
                    <w:jc w:val="center"/>
                    <w:rPr>
                      <w:rFonts w:ascii="Times New Roman" w:hAnsi="Times New Roman" w:eastAsia="宋体" w:cs="Times New Roman"/>
                      <w:b/>
                      <w:bCs/>
                      <w:i w:val="0"/>
                      <w:iCs w:val="0"/>
                      <w:color w:val="FF0000"/>
                      <w:highlight w:val="none"/>
                    </w:rPr>
                  </w:pPr>
                </w:p>
              </w:tc>
              <w:tc>
                <w:tcPr>
                  <w:tcW w:w="798" w:type="pct"/>
                  <w:vMerge w:val="continue"/>
                  <w:tcBorders>
                    <w:bottom w:val="single" w:color="000000" w:sz="12" w:space="0"/>
                    <w:tl2br w:val="nil"/>
                    <w:tr2bl w:val="nil"/>
                  </w:tcBorders>
                  <w:noWrap w:val="0"/>
                  <w:vAlign w:val="center"/>
                </w:tcPr>
                <w:p w14:paraId="2A067158">
                  <w:pPr>
                    <w:pStyle w:val="71"/>
                    <w:autoSpaceDE w:val="0"/>
                    <w:autoSpaceDN w:val="0"/>
                    <w:bidi w:val="0"/>
                    <w:jc w:val="center"/>
                    <w:rPr>
                      <w:rFonts w:ascii="Times New Roman" w:hAnsi="Times New Roman" w:eastAsia="宋体" w:cs="Times New Roman"/>
                      <w:b/>
                      <w:bCs/>
                      <w:i w:val="0"/>
                      <w:iCs w:val="0"/>
                      <w:color w:val="FF0000"/>
                      <w:highlight w:val="none"/>
                    </w:rPr>
                  </w:pPr>
                </w:p>
              </w:tc>
              <w:tc>
                <w:tcPr>
                  <w:tcW w:w="353" w:type="pct"/>
                  <w:vMerge w:val="continue"/>
                  <w:tcBorders>
                    <w:bottom w:val="single" w:color="000000" w:sz="12" w:space="0"/>
                    <w:tl2br w:val="nil"/>
                    <w:tr2bl w:val="nil"/>
                  </w:tcBorders>
                  <w:noWrap w:val="0"/>
                  <w:vAlign w:val="center"/>
                </w:tcPr>
                <w:p w14:paraId="6243A606">
                  <w:pPr>
                    <w:pStyle w:val="71"/>
                    <w:autoSpaceDE w:val="0"/>
                    <w:autoSpaceDN w:val="0"/>
                    <w:bidi w:val="0"/>
                    <w:jc w:val="center"/>
                    <w:rPr>
                      <w:rFonts w:ascii="Times New Roman" w:hAnsi="Times New Roman" w:eastAsia="宋体" w:cs="Times New Roman"/>
                      <w:b/>
                      <w:bCs/>
                      <w:i w:val="0"/>
                      <w:iCs w:val="0"/>
                      <w:color w:val="FF0000"/>
                      <w:highlight w:val="none"/>
                    </w:rPr>
                  </w:pPr>
                </w:p>
              </w:tc>
              <w:tc>
                <w:tcPr>
                  <w:tcW w:w="270" w:type="pct"/>
                  <w:vMerge w:val="continue"/>
                  <w:tcBorders>
                    <w:bottom w:val="single" w:color="000000" w:sz="12" w:space="0"/>
                    <w:tl2br w:val="nil"/>
                    <w:tr2bl w:val="nil"/>
                  </w:tcBorders>
                  <w:noWrap w:val="0"/>
                  <w:vAlign w:val="center"/>
                </w:tcPr>
                <w:p w14:paraId="394C5C0A">
                  <w:pPr>
                    <w:pStyle w:val="71"/>
                    <w:autoSpaceDE w:val="0"/>
                    <w:autoSpaceDN w:val="0"/>
                    <w:bidi w:val="0"/>
                    <w:jc w:val="center"/>
                    <w:rPr>
                      <w:rFonts w:ascii="Times New Roman" w:hAnsi="Times New Roman" w:eastAsia="宋体" w:cs="Times New Roman"/>
                      <w:b/>
                      <w:bCs/>
                      <w:i w:val="0"/>
                      <w:iCs w:val="0"/>
                      <w:color w:val="FF0000"/>
                      <w:highlight w:val="none"/>
                    </w:rPr>
                  </w:pPr>
                </w:p>
              </w:tc>
              <w:tc>
                <w:tcPr>
                  <w:tcW w:w="210" w:type="pct"/>
                  <w:vMerge w:val="continue"/>
                  <w:tcBorders>
                    <w:bottom w:val="single" w:color="000000" w:sz="12" w:space="0"/>
                    <w:tl2br w:val="nil"/>
                    <w:tr2bl w:val="nil"/>
                  </w:tcBorders>
                  <w:noWrap w:val="0"/>
                  <w:vAlign w:val="center"/>
                </w:tcPr>
                <w:p w14:paraId="62C38295">
                  <w:pPr>
                    <w:pStyle w:val="71"/>
                    <w:autoSpaceDE w:val="0"/>
                    <w:autoSpaceDN w:val="0"/>
                    <w:bidi w:val="0"/>
                    <w:jc w:val="center"/>
                    <w:rPr>
                      <w:rFonts w:ascii="Times New Roman" w:hAnsi="Times New Roman" w:eastAsia="宋体" w:cs="Times New Roman"/>
                      <w:b/>
                      <w:bCs/>
                      <w:i w:val="0"/>
                      <w:iCs w:val="0"/>
                      <w:color w:val="FF0000"/>
                      <w:highlight w:val="none"/>
                    </w:rPr>
                  </w:pPr>
                </w:p>
              </w:tc>
              <w:tc>
                <w:tcPr>
                  <w:tcW w:w="153" w:type="pct"/>
                  <w:vMerge w:val="continue"/>
                  <w:tcBorders>
                    <w:bottom w:val="single" w:color="000000" w:sz="12" w:space="0"/>
                    <w:tl2br w:val="nil"/>
                    <w:tr2bl w:val="nil"/>
                  </w:tcBorders>
                  <w:noWrap w:val="0"/>
                  <w:vAlign w:val="center"/>
                </w:tcPr>
                <w:p w14:paraId="687D9B25">
                  <w:pPr>
                    <w:pStyle w:val="71"/>
                    <w:autoSpaceDE w:val="0"/>
                    <w:autoSpaceDN w:val="0"/>
                    <w:bidi w:val="0"/>
                    <w:jc w:val="center"/>
                    <w:rPr>
                      <w:rFonts w:ascii="Times New Roman" w:hAnsi="Times New Roman" w:eastAsia="宋体" w:cs="Times New Roman"/>
                      <w:b/>
                      <w:bCs/>
                      <w:i w:val="0"/>
                      <w:iCs w:val="0"/>
                      <w:color w:val="FF0000"/>
                      <w:highlight w:val="none"/>
                    </w:rPr>
                  </w:pPr>
                </w:p>
              </w:tc>
              <w:tc>
                <w:tcPr>
                  <w:tcW w:w="148" w:type="pct"/>
                  <w:vMerge w:val="continue"/>
                  <w:tcBorders>
                    <w:bottom w:val="single" w:color="000000" w:sz="12" w:space="0"/>
                    <w:tl2br w:val="nil"/>
                    <w:tr2bl w:val="nil"/>
                  </w:tcBorders>
                  <w:noWrap w:val="0"/>
                  <w:vAlign w:val="center"/>
                </w:tcPr>
                <w:p w14:paraId="1A3847BD">
                  <w:pPr>
                    <w:pStyle w:val="71"/>
                    <w:autoSpaceDE w:val="0"/>
                    <w:autoSpaceDN w:val="0"/>
                    <w:bidi w:val="0"/>
                    <w:jc w:val="center"/>
                    <w:rPr>
                      <w:rFonts w:ascii="Times New Roman" w:hAnsi="Times New Roman" w:eastAsia="宋体" w:cs="Times New Roman"/>
                      <w:b/>
                      <w:bCs/>
                      <w:i w:val="0"/>
                      <w:iCs w:val="0"/>
                      <w:color w:val="FF0000"/>
                      <w:highlight w:val="none"/>
                    </w:rPr>
                  </w:pPr>
                </w:p>
              </w:tc>
              <w:tc>
                <w:tcPr>
                  <w:tcW w:w="182" w:type="pct"/>
                  <w:tcBorders>
                    <w:bottom w:val="single" w:color="000000" w:sz="12" w:space="0"/>
                    <w:tl2br w:val="nil"/>
                    <w:tr2bl w:val="nil"/>
                  </w:tcBorders>
                  <w:noWrap w:val="0"/>
                  <w:vAlign w:val="center"/>
                </w:tcPr>
                <w:p w14:paraId="2B3CBB95">
                  <w:pPr>
                    <w:pStyle w:val="71"/>
                    <w:autoSpaceDE w:val="0"/>
                    <w:autoSpaceDN w:val="0"/>
                    <w:bidi w:val="0"/>
                    <w:jc w:val="center"/>
                    <w:rPr>
                      <w:rFonts w:hint="eastAsia" w:ascii="Times New Roman" w:hAnsi="Times New Roman" w:eastAsia="宋体" w:cs="Times New Roman"/>
                      <w:b/>
                      <w:bCs/>
                      <w:i w:val="0"/>
                      <w:iCs w:val="0"/>
                      <w:color w:val="FF0000"/>
                      <w:highlight w:val="none"/>
                      <w:lang w:val="en-US" w:eastAsia="zh-CN"/>
                    </w:rPr>
                  </w:pPr>
                  <w:r>
                    <w:rPr>
                      <w:rFonts w:hint="eastAsia" w:ascii="Times New Roman" w:hAnsi="Times New Roman" w:eastAsia="宋体" w:cs="Times New Roman"/>
                      <w:b/>
                      <w:bCs/>
                      <w:i w:val="0"/>
                      <w:iCs w:val="0"/>
                      <w:color w:val="FF0000"/>
                      <w:highlight w:val="none"/>
                      <w:lang w:val="en-US" w:eastAsia="zh-CN"/>
                    </w:rPr>
                    <w:t>东</w:t>
                  </w:r>
                </w:p>
              </w:tc>
              <w:tc>
                <w:tcPr>
                  <w:tcW w:w="192" w:type="pct"/>
                  <w:tcBorders>
                    <w:bottom w:val="single" w:color="000000" w:sz="12" w:space="0"/>
                    <w:tl2br w:val="nil"/>
                    <w:tr2bl w:val="nil"/>
                  </w:tcBorders>
                  <w:noWrap w:val="0"/>
                  <w:vAlign w:val="center"/>
                </w:tcPr>
                <w:p w14:paraId="20F7D956">
                  <w:pPr>
                    <w:pStyle w:val="71"/>
                    <w:autoSpaceDE w:val="0"/>
                    <w:autoSpaceDN w:val="0"/>
                    <w:bidi w:val="0"/>
                    <w:jc w:val="center"/>
                    <w:rPr>
                      <w:rFonts w:hint="eastAsia" w:ascii="Times New Roman" w:hAnsi="Times New Roman" w:eastAsia="宋体" w:cs="Times New Roman"/>
                      <w:b/>
                      <w:bCs/>
                      <w:i w:val="0"/>
                      <w:iCs w:val="0"/>
                      <w:color w:val="FF0000"/>
                      <w:highlight w:val="none"/>
                      <w:lang w:val="en-US" w:eastAsia="zh-CN"/>
                    </w:rPr>
                  </w:pPr>
                  <w:r>
                    <w:rPr>
                      <w:rFonts w:hint="eastAsia" w:ascii="Times New Roman" w:hAnsi="Times New Roman" w:eastAsia="宋体" w:cs="Times New Roman"/>
                      <w:b/>
                      <w:bCs/>
                      <w:i w:val="0"/>
                      <w:iCs w:val="0"/>
                      <w:color w:val="FF0000"/>
                      <w:highlight w:val="none"/>
                      <w:lang w:val="en-US" w:eastAsia="zh-CN"/>
                    </w:rPr>
                    <w:t>西</w:t>
                  </w:r>
                </w:p>
              </w:tc>
              <w:tc>
                <w:tcPr>
                  <w:tcW w:w="182" w:type="pct"/>
                  <w:tcBorders>
                    <w:bottom w:val="single" w:color="000000" w:sz="12" w:space="0"/>
                    <w:tl2br w:val="nil"/>
                    <w:tr2bl w:val="nil"/>
                  </w:tcBorders>
                  <w:noWrap w:val="0"/>
                  <w:vAlign w:val="center"/>
                </w:tcPr>
                <w:p w14:paraId="43D05767">
                  <w:pPr>
                    <w:pStyle w:val="71"/>
                    <w:autoSpaceDE w:val="0"/>
                    <w:autoSpaceDN w:val="0"/>
                    <w:bidi w:val="0"/>
                    <w:jc w:val="center"/>
                    <w:rPr>
                      <w:rFonts w:hint="eastAsia" w:ascii="Times New Roman" w:hAnsi="Times New Roman" w:eastAsia="宋体" w:cs="Times New Roman"/>
                      <w:b/>
                      <w:bCs/>
                      <w:i w:val="0"/>
                      <w:iCs w:val="0"/>
                      <w:color w:val="FF0000"/>
                      <w:highlight w:val="none"/>
                      <w:lang w:val="en-US" w:eastAsia="zh-CN"/>
                    </w:rPr>
                  </w:pPr>
                  <w:r>
                    <w:rPr>
                      <w:rFonts w:hint="eastAsia" w:ascii="Times New Roman" w:hAnsi="Times New Roman" w:eastAsia="宋体" w:cs="Times New Roman"/>
                      <w:b/>
                      <w:bCs/>
                      <w:i w:val="0"/>
                      <w:iCs w:val="0"/>
                      <w:color w:val="FF0000"/>
                      <w:highlight w:val="none"/>
                      <w:lang w:val="en-US" w:eastAsia="zh-CN"/>
                    </w:rPr>
                    <w:t>南</w:t>
                  </w:r>
                </w:p>
              </w:tc>
              <w:tc>
                <w:tcPr>
                  <w:tcW w:w="191" w:type="pct"/>
                  <w:tcBorders>
                    <w:bottom w:val="single" w:color="000000" w:sz="12" w:space="0"/>
                    <w:tl2br w:val="nil"/>
                    <w:tr2bl w:val="nil"/>
                  </w:tcBorders>
                  <w:noWrap w:val="0"/>
                  <w:vAlign w:val="center"/>
                </w:tcPr>
                <w:p w14:paraId="5FBC252A">
                  <w:pPr>
                    <w:pStyle w:val="71"/>
                    <w:autoSpaceDE w:val="0"/>
                    <w:autoSpaceDN w:val="0"/>
                    <w:bidi w:val="0"/>
                    <w:jc w:val="center"/>
                    <w:rPr>
                      <w:rFonts w:hint="eastAsia" w:ascii="Times New Roman" w:hAnsi="Times New Roman" w:eastAsia="宋体" w:cs="Times New Roman"/>
                      <w:b/>
                      <w:bCs/>
                      <w:i w:val="0"/>
                      <w:iCs w:val="0"/>
                      <w:color w:val="FF0000"/>
                      <w:highlight w:val="none"/>
                      <w:lang w:val="en-US" w:eastAsia="zh-CN"/>
                    </w:rPr>
                  </w:pPr>
                  <w:r>
                    <w:rPr>
                      <w:rFonts w:hint="eastAsia" w:ascii="Times New Roman" w:hAnsi="Times New Roman" w:eastAsia="宋体" w:cs="Times New Roman"/>
                      <w:b/>
                      <w:bCs/>
                      <w:i w:val="0"/>
                      <w:iCs w:val="0"/>
                      <w:color w:val="FF0000"/>
                      <w:highlight w:val="none"/>
                      <w:lang w:val="en-US" w:eastAsia="zh-CN"/>
                    </w:rPr>
                    <w:t>北</w:t>
                  </w:r>
                </w:p>
              </w:tc>
              <w:tc>
                <w:tcPr>
                  <w:tcW w:w="336" w:type="pct"/>
                  <w:tcBorders>
                    <w:bottom w:val="single" w:color="000000" w:sz="12" w:space="0"/>
                    <w:tl2br w:val="nil"/>
                    <w:tr2bl w:val="nil"/>
                  </w:tcBorders>
                  <w:noWrap w:val="0"/>
                  <w:vAlign w:val="center"/>
                </w:tcPr>
                <w:p w14:paraId="17EB5985">
                  <w:pPr>
                    <w:pStyle w:val="71"/>
                    <w:autoSpaceDE w:val="0"/>
                    <w:autoSpaceDN w:val="0"/>
                    <w:bidi w:val="0"/>
                    <w:jc w:val="center"/>
                    <w:rPr>
                      <w:rFonts w:hint="eastAsia" w:ascii="Times New Roman" w:hAnsi="Times New Roman" w:eastAsia="宋体" w:cs="Times New Roman"/>
                      <w:b/>
                      <w:bCs/>
                      <w:i w:val="0"/>
                      <w:iCs w:val="0"/>
                      <w:color w:val="FF0000"/>
                      <w:highlight w:val="none"/>
                      <w:lang w:val="en-US" w:eastAsia="zh-CN"/>
                    </w:rPr>
                  </w:pPr>
                  <w:r>
                    <w:rPr>
                      <w:rFonts w:hint="eastAsia" w:ascii="Times New Roman" w:hAnsi="Times New Roman" w:eastAsia="宋体" w:cs="Times New Roman"/>
                      <w:b/>
                      <w:bCs/>
                      <w:i w:val="0"/>
                      <w:iCs w:val="0"/>
                      <w:color w:val="FF0000"/>
                      <w:highlight w:val="none"/>
                      <w:lang w:val="en-US" w:eastAsia="zh-CN"/>
                    </w:rPr>
                    <w:t>东</w:t>
                  </w:r>
                </w:p>
              </w:tc>
              <w:tc>
                <w:tcPr>
                  <w:tcW w:w="303" w:type="pct"/>
                  <w:tcBorders>
                    <w:bottom w:val="single" w:color="000000" w:sz="12" w:space="0"/>
                    <w:tl2br w:val="nil"/>
                    <w:tr2bl w:val="nil"/>
                  </w:tcBorders>
                  <w:noWrap w:val="0"/>
                  <w:vAlign w:val="center"/>
                </w:tcPr>
                <w:p w14:paraId="55683FCF">
                  <w:pPr>
                    <w:pStyle w:val="71"/>
                    <w:autoSpaceDE w:val="0"/>
                    <w:autoSpaceDN w:val="0"/>
                    <w:bidi w:val="0"/>
                    <w:jc w:val="center"/>
                    <w:rPr>
                      <w:rFonts w:hint="eastAsia" w:ascii="Times New Roman" w:hAnsi="Times New Roman" w:eastAsia="宋体" w:cs="Times New Roman"/>
                      <w:b/>
                      <w:bCs/>
                      <w:i w:val="0"/>
                      <w:iCs w:val="0"/>
                      <w:color w:val="FF0000"/>
                      <w:highlight w:val="none"/>
                      <w:lang w:val="en-US" w:eastAsia="zh-CN"/>
                    </w:rPr>
                  </w:pPr>
                  <w:r>
                    <w:rPr>
                      <w:rFonts w:hint="eastAsia" w:ascii="Times New Roman" w:hAnsi="Times New Roman" w:eastAsia="宋体" w:cs="Times New Roman"/>
                      <w:b/>
                      <w:bCs/>
                      <w:i w:val="0"/>
                      <w:iCs w:val="0"/>
                      <w:color w:val="FF0000"/>
                      <w:highlight w:val="none"/>
                      <w:lang w:val="en-US" w:eastAsia="zh-CN"/>
                    </w:rPr>
                    <w:t>西</w:t>
                  </w:r>
                </w:p>
              </w:tc>
              <w:tc>
                <w:tcPr>
                  <w:tcW w:w="303" w:type="pct"/>
                  <w:tcBorders>
                    <w:bottom w:val="single" w:color="000000" w:sz="12" w:space="0"/>
                    <w:tl2br w:val="nil"/>
                    <w:tr2bl w:val="nil"/>
                  </w:tcBorders>
                  <w:noWrap w:val="0"/>
                  <w:vAlign w:val="center"/>
                </w:tcPr>
                <w:p w14:paraId="38ED961A">
                  <w:pPr>
                    <w:pStyle w:val="71"/>
                    <w:autoSpaceDE w:val="0"/>
                    <w:autoSpaceDN w:val="0"/>
                    <w:bidi w:val="0"/>
                    <w:jc w:val="center"/>
                    <w:rPr>
                      <w:rFonts w:hint="eastAsia" w:ascii="Times New Roman" w:hAnsi="Times New Roman" w:eastAsia="宋体" w:cs="Times New Roman"/>
                      <w:b/>
                      <w:bCs/>
                      <w:i w:val="0"/>
                      <w:iCs w:val="0"/>
                      <w:color w:val="FF0000"/>
                      <w:highlight w:val="none"/>
                      <w:lang w:val="en-US" w:eastAsia="zh-CN"/>
                    </w:rPr>
                  </w:pPr>
                  <w:r>
                    <w:rPr>
                      <w:rFonts w:hint="eastAsia" w:ascii="Times New Roman" w:hAnsi="Times New Roman" w:eastAsia="宋体" w:cs="Times New Roman"/>
                      <w:b/>
                      <w:bCs/>
                      <w:i w:val="0"/>
                      <w:iCs w:val="0"/>
                      <w:color w:val="FF0000"/>
                      <w:highlight w:val="none"/>
                      <w:lang w:val="en-US" w:eastAsia="zh-CN"/>
                    </w:rPr>
                    <w:t>南</w:t>
                  </w:r>
                </w:p>
              </w:tc>
              <w:tc>
                <w:tcPr>
                  <w:tcW w:w="304" w:type="pct"/>
                  <w:tcBorders>
                    <w:bottom w:val="single" w:color="000000" w:sz="12" w:space="0"/>
                    <w:tl2br w:val="nil"/>
                    <w:tr2bl w:val="nil"/>
                  </w:tcBorders>
                  <w:noWrap w:val="0"/>
                  <w:vAlign w:val="center"/>
                </w:tcPr>
                <w:p w14:paraId="3B70147D">
                  <w:pPr>
                    <w:pStyle w:val="71"/>
                    <w:autoSpaceDE w:val="0"/>
                    <w:autoSpaceDN w:val="0"/>
                    <w:bidi w:val="0"/>
                    <w:jc w:val="center"/>
                    <w:rPr>
                      <w:rFonts w:hint="eastAsia" w:ascii="Times New Roman" w:hAnsi="Times New Roman" w:eastAsia="宋体" w:cs="Times New Roman"/>
                      <w:b/>
                      <w:bCs/>
                      <w:i w:val="0"/>
                      <w:iCs w:val="0"/>
                      <w:color w:val="FF0000"/>
                      <w:highlight w:val="none"/>
                      <w:lang w:val="en-US" w:eastAsia="zh-CN"/>
                    </w:rPr>
                  </w:pPr>
                  <w:r>
                    <w:rPr>
                      <w:rFonts w:hint="eastAsia" w:ascii="Times New Roman" w:hAnsi="Times New Roman" w:eastAsia="宋体" w:cs="Times New Roman"/>
                      <w:b/>
                      <w:bCs/>
                      <w:i w:val="0"/>
                      <w:iCs w:val="0"/>
                      <w:color w:val="FF0000"/>
                      <w:highlight w:val="none"/>
                      <w:lang w:val="en-US" w:eastAsia="zh-CN"/>
                    </w:rPr>
                    <w:t>北</w:t>
                  </w:r>
                </w:p>
              </w:tc>
            </w:tr>
            <w:tr w14:paraId="392138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183" w:type="pct"/>
                  <w:vMerge w:val="restart"/>
                  <w:tcBorders>
                    <w:top w:val="single" w:color="000000" w:sz="12" w:space="0"/>
                  </w:tcBorders>
                  <w:noWrap w:val="0"/>
                  <w:vAlign w:val="center"/>
                </w:tcPr>
                <w:p w14:paraId="7C25706C">
                  <w:pPr>
                    <w:pStyle w:val="71"/>
                    <w:autoSpaceDE w:val="0"/>
                    <w:autoSpaceDN w:val="0"/>
                    <w:bidi w:val="0"/>
                    <w:jc w:val="center"/>
                    <w:rPr>
                      <w:rFonts w:ascii="Times New Roman" w:hAnsi="Times New Roman" w:eastAsia="宋体" w:cs="Times New Roman"/>
                      <w:i w:val="0"/>
                      <w:iCs w:val="0"/>
                      <w:color w:val="FF0000"/>
                      <w:highlight w:val="none"/>
                    </w:rPr>
                  </w:pPr>
                  <w:r>
                    <w:rPr>
                      <w:rFonts w:ascii="Times New Roman" w:hAnsi="Times New Roman" w:eastAsia="宋体" w:cs="Times New Roman"/>
                      <w:i w:val="0"/>
                      <w:iCs w:val="0"/>
                      <w:color w:val="FF0000"/>
                      <w:highlight w:val="none"/>
                    </w:rPr>
                    <w:t>1</w:t>
                  </w:r>
                </w:p>
              </w:tc>
              <w:tc>
                <w:tcPr>
                  <w:tcW w:w="137" w:type="pct"/>
                  <w:vMerge w:val="restart"/>
                  <w:tcBorders>
                    <w:top w:val="single" w:color="000000" w:sz="12" w:space="0"/>
                  </w:tcBorders>
                  <w:noWrap w:val="0"/>
                  <w:vAlign w:val="center"/>
                </w:tcPr>
                <w:p w14:paraId="12FB7FAA">
                  <w:pPr>
                    <w:pStyle w:val="71"/>
                    <w:autoSpaceDE w:val="0"/>
                    <w:autoSpaceDN w:val="0"/>
                    <w:bidi w:val="0"/>
                    <w:jc w:val="center"/>
                    <w:rPr>
                      <w:rFonts w:hint="default" w:ascii="Times New Roman" w:hAnsi="Times New Roman" w:eastAsia="宋体" w:cs="Times New Roman"/>
                      <w:color w:val="FF0000"/>
                      <w:kern w:val="2"/>
                      <w:sz w:val="21"/>
                      <w:szCs w:val="24"/>
                      <w:highlight w:val="none"/>
                      <w:lang w:val="en-US" w:eastAsia="zh-CN" w:bidi="ar-SA"/>
                    </w:rPr>
                  </w:pPr>
                  <w:r>
                    <w:rPr>
                      <w:rFonts w:hint="eastAsia" w:eastAsia="宋体" w:cs="Times New Roman"/>
                      <w:color w:val="FF0000"/>
                      <w:kern w:val="2"/>
                      <w:sz w:val="21"/>
                      <w:szCs w:val="24"/>
                      <w:highlight w:val="none"/>
                      <w:lang w:val="en-US" w:eastAsia="zh-CN" w:bidi="ar-SA"/>
                    </w:rPr>
                    <w:t>生产车间</w:t>
                  </w:r>
                </w:p>
              </w:tc>
              <w:tc>
                <w:tcPr>
                  <w:tcW w:w="486" w:type="pct"/>
                  <w:tcBorders>
                    <w:top w:val="single" w:color="000000" w:sz="12" w:space="0"/>
                  </w:tcBorders>
                  <w:noWrap w:val="0"/>
                  <w:vAlign w:val="center"/>
                </w:tcPr>
                <w:p w14:paraId="18C4F0CA">
                  <w:pPr>
                    <w:autoSpaceDE w:val="0"/>
                    <w:autoSpaceDN w:val="0"/>
                    <w:snapToGrid w:val="0"/>
                    <w:spacing w:line="240" w:lineRule="auto"/>
                    <w:jc w:val="center"/>
                    <w:textAlignment w:val="auto"/>
                    <w:rPr>
                      <w:rFonts w:hint="default" w:ascii="Times New Roman" w:hAnsi="Times New Roman" w:eastAsia="宋体" w:cs="Times New Roman"/>
                      <w:color w:val="FF0000"/>
                      <w:kern w:val="2"/>
                      <w:sz w:val="21"/>
                      <w:szCs w:val="24"/>
                      <w:highlight w:val="none"/>
                      <w:lang w:val="en-US" w:eastAsia="zh-CN" w:bidi="ar-SA"/>
                    </w:rPr>
                  </w:pPr>
                  <w:r>
                    <w:rPr>
                      <w:rFonts w:hint="eastAsia" w:ascii="Times New Roman" w:hAnsi="Times New Roman" w:eastAsia="宋体" w:cs="Times New Roman"/>
                      <w:color w:val="FF0000"/>
                      <w:szCs w:val="19"/>
                      <w:lang w:bidi="ar"/>
                    </w:rPr>
                    <w:t>水凝胶搅拌机</w:t>
                  </w:r>
                </w:p>
              </w:tc>
              <w:tc>
                <w:tcPr>
                  <w:tcW w:w="261" w:type="pct"/>
                  <w:tcBorders>
                    <w:top w:val="single" w:color="000000" w:sz="12" w:space="0"/>
                  </w:tcBorders>
                  <w:noWrap w:val="0"/>
                  <w:vAlign w:val="center"/>
                </w:tcPr>
                <w:p w14:paraId="0BB98C65">
                  <w:pPr>
                    <w:autoSpaceDE w:val="0"/>
                    <w:autoSpaceDN w:val="0"/>
                    <w:jc w:val="center"/>
                    <w:rPr>
                      <w:rFonts w:hint="default" w:ascii="Times New Roman" w:hAnsi="Times New Roman" w:eastAsia="宋体" w:cs="Times New Roman"/>
                      <w:i w:val="0"/>
                      <w:iCs w:val="0"/>
                      <w:color w:val="FF0000"/>
                      <w:highlight w:val="none"/>
                      <w:lang w:val="en-US"/>
                    </w:rPr>
                  </w:pPr>
                  <w:r>
                    <w:rPr>
                      <w:rFonts w:hint="eastAsia" w:ascii="Times New Roman" w:hAnsi="Times New Roman" w:eastAsia="宋体" w:cs="Times New Roman"/>
                      <w:i w:val="0"/>
                      <w:iCs w:val="0"/>
                      <w:color w:val="FF0000"/>
                      <w:highlight w:val="none"/>
                      <w:lang w:val="en-US" w:eastAsia="zh-CN"/>
                    </w:rPr>
                    <w:t>/</w:t>
                  </w:r>
                </w:p>
              </w:tc>
              <w:tc>
                <w:tcPr>
                  <w:tcW w:w="798" w:type="pct"/>
                  <w:tcBorders>
                    <w:top w:val="single" w:color="000000" w:sz="12" w:space="0"/>
                  </w:tcBorders>
                  <w:noWrap w:val="0"/>
                  <w:vAlign w:val="center"/>
                </w:tcPr>
                <w:p w14:paraId="67249915">
                  <w:pPr>
                    <w:pStyle w:val="71"/>
                    <w:autoSpaceDE w:val="0"/>
                    <w:autoSpaceDN w:val="0"/>
                    <w:bidi w:val="0"/>
                    <w:jc w:val="center"/>
                    <w:rPr>
                      <w:rFonts w:hint="eastAsia"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353" w:type="pct"/>
                  <w:tcBorders>
                    <w:top w:val="single" w:color="000000" w:sz="12" w:space="0"/>
                  </w:tcBorders>
                  <w:noWrap w:val="0"/>
                  <w:vAlign w:val="center"/>
                </w:tcPr>
                <w:p w14:paraId="3BC50B30">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60-65</w:t>
                  </w:r>
                </w:p>
              </w:tc>
              <w:tc>
                <w:tcPr>
                  <w:tcW w:w="270" w:type="pct"/>
                  <w:vMerge w:val="restart"/>
                  <w:tcBorders>
                    <w:top w:val="single" w:color="000000" w:sz="12" w:space="0"/>
                  </w:tcBorders>
                  <w:noWrap w:val="0"/>
                  <w:vAlign w:val="center"/>
                </w:tcPr>
                <w:p w14:paraId="1C211518">
                  <w:pPr>
                    <w:pStyle w:val="71"/>
                    <w:autoSpaceDE w:val="0"/>
                    <w:autoSpaceDN w:val="0"/>
                    <w:bidi w:val="0"/>
                    <w:jc w:val="center"/>
                    <w:rPr>
                      <w:rFonts w:hint="eastAsia" w:ascii="Times New Roman" w:hAnsi="Times New Roman" w:eastAsia="宋体" w:cs="Times New Roman"/>
                      <w:i w:val="0"/>
                      <w:iCs w:val="0"/>
                      <w:color w:val="FF0000"/>
                      <w:highlight w:val="none"/>
                    </w:rPr>
                  </w:pPr>
                  <w:r>
                    <w:rPr>
                      <w:rFonts w:hint="eastAsia" w:ascii="Times New Roman" w:hAnsi="Times New Roman" w:eastAsia="宋体" w:cs="Times New Roman"/>
                      <w:i w:val="0"/>
                      <w:iCs w:val="0"/>
                      <w:color w:val="FF0000"/>
                      <w:highlight w:val="none"/>
                    </w:rPr>
                    <w:t>消声减振、距离衰减</w:t>
                  </w:r>
                </w:p>
                <w:p w14:paraId="6DC82431">
                  <w:pPr>
                    <w:pStyle w:val="71"/>
                    <w:autoSpaceDE w:val="0"/>
                    <w:autoSpaceDN w:val="0"/>
                    <w:bidi w:val="0"/>
                    <w:jc w:val="center"/>
                    <w:rPr>
                      <w:rFonts w:ascii="Times New Roman" w:hAnsi="Times New Roman" w:eastAsia="宋体" w:cs="Times New Roman"/>
                      <w:i w:val="0"/>
                      <w:iCs w:val="0"/>
                      <w:color w:val="FF0000"/>
                      <w:highlight w:val="none"/>
                    </w:rPr>
                  </w:pPr>
                </w:p>
              </w:tc>
              <w:tc>
                <w:tcPr>
                  <w:tcW w:w="210" w:type="pct"/>
                  <w:tcBorders>
                    <w:top w:val="single" w:color="000000" w:sz="12" w:space="0"/>
                  </w:tcBorders>
                  <w:noWrap w:val="0"/>
                  <w:vAlign w:val="center"/>
                </w:tcPr>
                <w:p w14:paraId="139F1E04">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23</w:t>
                  </w:r>
                </w:p>
              </w:tc>
              <w:tc>
                <w:tcPr>
                  <w:tcW w:w="153" w:type="pct"/>
                  <w:tcBorders>
                    <w:top w:val="single" w:color="000000" w:sz="12" w:space="0"/>
                  </w:tcBorders>
                  <w:noWrap w:val="0"/>
                  <w:vAlign w:val="center"/>
                </w:tcPr>
                <w:p w14:paraId="03813010">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9</w:t>
                  </w:r>
                </w:p>
              </w:tc>
              <w:tc>
                <w:tcPr>
                  <w:tcW w:w="148" w:type="pct"/>
                  <w:tcBorders>
                    <w:top w:val="single" w:color="000000" w:sz="12" w:space="0"/>
                  </w:tcBorders>
                  <w:noWrap w:val="0"/>
                  <w:vAlign w:val="center"/>
                </w:tcPr>
                <w:p w14:paraId="774F226C">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w:t>
                  </w:r>
                </w:p>
              </w:tc>
              <w:tc>
                <w:tcPr>
                  <w:tcW w:w="182" w:type="pct"/>
                  <w:tcBorders>
                    <w:top w:val="single" w:color="000000" w:sz="12" w:space="0"/>
                  </w:tcBorders>
                  <w:noWrap w:val="0"/>
                  <w:vAlign w:val="center"/>
                </w:tcPr>
                <w:p w14:paraId="0077ABD8">
                  <w:pPr>
                    <w:autoSpaceDE w:val="0"/>
                    <w:autoSpaceDN w:val="0"/>
                    <w:spacing w:before="20" w:after="2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6</w:t>
                  </w:r>
                </w:p>
              </w:tc>
              <w:tc>
                <w:tcPr>
                  <w:tcW w:w="192" w:type="pct"/>
                  <w:tcBorders>
                    <w:top w:val="single" w:color="000000" w:sz="12" w:space="0"/>
                  </w:tcBorders>
                  <w:noWrap w:val="0"/>
                  <w:vAlign w:val="center"/>
                </w:tcPr>
                <w:p w14:paraId="4465F010">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54</w:t>
                  </w:r>
                </w:p>
              </w:tc>
              <w:tc>
                <w:tcPr>
                  <w:tcW w:w="182" w:type="pct"/>
                  <w:tcBorders>
                    <w:top w:val="single" w:color="000000" w:sz="12" w:space="0"/>
                  </w:tcBorders>
                  <w:noWrap w:val="0"/>
                  <w:vAlign w:val="center"/>
                </w:tcPr>
                <w:p w14:paraId="394F9786">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19</w:t>
                  </w:r>
                </w:p>
              </w:tc>
              <w:tc>
                <w:tcPr>
                  <w:tcW w:w="191" w:type="pct"/>
                  <w:tcBorders>
                    <w:top w:val="single" w:color="000000" w:sz="12" w:space="0"/>
                  </w:tcBorders>
                  <w:noWrap w:val="0"/>
                  <w:vAlign w:val="center"/>
                </w:tcPr>
                <w:p w14:paraId="5A45D146">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5</w:t>
                  </w:r>
                </w:p>
              </w:tc>
              <w:tc>
                <w:tcPr>
                  <w:tcW w:w="336" w:type="pct"/>
                  <w:tcBorders>
                    <w:top w:val="single" w:color="000000" w:sz="12" w:space="0"/>
                  </w:tcBorders>
                  <w:noWrap w:val="0"/>
                  <w:vAlign w:val="center"/>
                </w:tcPr>
                <w:p w14:paraId="00AF4193">
                  <w:pPr>
                    <w:autoSpaceDE w:val="0"/>
                    <w:autoSpaceDN w:val="0"/>
                    <w:bidi w:val="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default" w:ascii="Times New Roman" w:hAnsi="Times New Roman" w:eastAsia="宋体" w:cs="Times New Roman"/>
                      <w:i w:val="0"/>
                      <w:iCs w:val="0"/>
                      <w:color w:val="FF0000"/>
                      <w:kern w:val="2"/>
                      <w:sz w:val="21"/>
                      <w:szCs w:val="24"/>
                      <w:highlight w:val="none"/>
                      <w:lang w:val="en-US" w:eastAsia="zh-CN" w:bidi="ar-SA"/>
                    </w:rPr>
                    <w:t>49.43</w:t>
                  </w:r>
                </w:p>
              </w:tc>
              <w:tc>
                <w:tcPr>
                  <w:tcW w:w="303" w:type="pct"/>
                  <w:tcBorders>
                    <w:top w:val="single" w:color="000000" w:sz="12" w:space="0"/>
                  </w:tcBorders>
                  <w:noWrap w:val="0"/>
                  <w:vAlign w:val="center"/>
                </w:tcPr>
                <w:p w14:paraId="234665F5">
                  <w:pPr>
                    <w:pStyle w:val="71"/>
                    <w:autoSpaceDE w:val="0"/>
                    <w:autoSpaceDN w:val="0"/>
                    <w:bidi w:val="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default" w:ascii="Times New Roman" w:hAnsi="Times New Roman" w:eastAsia="宋体" w:cs="Times New Roman"/>
                      <w:i w:val="0"/>
                      <w:iCs w:val="0"/>
                      <w:color w:val="FF0000"/>
                      <w:kern w:val="2"/>
                      <w:sz w:val="21"/>
                      <w:szCs w:val="24"/>
                      <w:highlight w:val="none"/>
                      <w:lang w:val="en-US" w:eastAsia="zh-CN" w:bidi="ar-SA"/>
                    </w:rPr>
                    <w:t>30.35</w:t>
                  </w:r>
                </w:p>
              </w:tc>
              <w:tc>
                <w:tcPr>
                  <w:tcW w:w="303" w:type="pct"/>
                  <w:tcBorders>
                    <w:top w:val="single" w:color="000000" w:sz="12" w:space="0"/>
                  </w:tcBorders>
                  <w:noWrap w:val="0"/>
                  <w:vAlign w:val="center"/>
                </w:tcPr>
                <w:p w14:paraId="468BFA06">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39.42</w:t>
                  </w:r>
                </w:p>
              </w:tc>
              <w:tc>
                <w:tcPr>
                  <w:tcW w:w="304" w:type="pct"/>
                  <w:tcBorders>
                    <w:top w:val="single" w:color="000000" w:sz="12" w:space="0"/>
                  </w:tcBorders>
                  <w:noWrap w:val="0"/>
                  <w:vAlign w:val="center"/>
                </w:tcPr>
                <w:p w14:paraId="53AC3684">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51.02</w:t>
                  </w:r>
                </w:p>
              </w:tc>
            </w:tr>
            <w:tr w14:paraId="5DA1C8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62" w:hRule="atLeast"/>
              </w:trPr>
              <w:tc>
                <w:tcPr>
                  <w:tcW w:w="183" w:type="pct"/>
                  <w:vMerge w:val="continue"/>
                  <w:tcBorders>
                    <w:tl2br w:val="nil"/>
                    <w:tr2bl w:val="nil"/>
                  </w:tcBorders>
                  <w:noWrap w:val="0"/>
                  <w:vAlign w:val="center"/>
                </w:tcPr>
                <w:p w14:paraId="6B1427EF">
                  <w:pPr>
                    <w:pStyle w:val="71"/>
                    <w:autoSpaceDE w:val="0"/>
                    <w:autoSpaceDN w:val="0"/>
                    <w:bidi w:val="0"/>
                    <w:jc w:val="center"/>
                    <w:rPr>
                      <w:rFonts w:ascii="Times New Roman" w:hAnsi="Times New Roman" w:eastAsia="宋体" w:cs="Times New Roman"/>
                      <w:i w:val="0"/>
                      <w:iCs w:val="0"/>
                      <w:color w:val="FF0000"/>
                      <w:highlight w:val="none"/>
                    </w:rPr>
                  </w:pPr>
                </w:p>
              </w:tc>
              <w:tc>
                <w:tcPr>
                  <w:tcW w:w="137" w:type="pct"/>
                  <w:vMerge w:val="continue"/>
                  <w:tcBorders>
                    <w:tl2br w:val="nil"/>
                    <w:tr2bl w:val="nil"/>
                  </w:tcBorders>
                  <w:noWrap w:val="0"/>
                  <w:vAlign w:val="center"/>
                </w:tcPr>
                <w:p w14:paraId="7231790F">
                  <w:pPr>
                    <w:pStyle w:val="71"/>
                    <w:autoSpaceDE w:val="0"/>
                    <w:autoSpaceDN w:val="0"/>
                    <w:bidi w:val="0"/>
                    <w:jc w:val="center"/>
                    <w:rPr>
                      <w:rFonts w:hint="eastAsia" w:ascii="Times New Roman" w:hAnsi="Times New Roman" w:eastAsia="宋体" w:cs="Times New Roman"/>
                      <w:i w:val="0"/>
                      <w:iCs w:val="0"/>
                      <w:color w:val="FF0000"/>
                      <w:highlight w:val="none"/>
                      <w:lang w:val="en-US" w:eastAsia="zh-CN"/>
                    </w:rPr>
                  </w:pPr>
                </w:p>
              </w:tc>
              <w:tc>
                <w:tcPr>
                  <w:tcW w:w="486" w:type="pct"/>
                  <w:tcBorders>
                    <w:tl2br w:val="nil"/>
                    <w:tr2bl w:val="nil"/>
                  </w:tcBorders>
                  <w:noWrap w:val="0"/>
                  <w:vAlign w:val="center"/>
                </w:tcPr>
                <w:p w14:paraId="2DB645EE">
                  <w:pPr>
                    <w:autoSpaceDE w:val="0"/>
                    <w:autoSpaceDN w:val="0"/>
                    <w:snapToGrid w:val="0"/>
                    <w:spacing w:line="240" w:lineRule="auto"/>
                    <w:jc w:val="center"/>
                    <w:textAlignment w:val="auto"/>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color w:val="FF0000"/>
                      <w:szCs w:val="19"/>
                      <w:lang w:bidi="ar"/>
                    </w:rPr>
                    <w:t>水凝胶涂布机</w:t>
                  </w:r>
                </w:p>
              </w:tc>
              <w:tc>
                <w:tcPr>
                  <w:tcW w:w="261" w:type="pct"/>
                  <w:tcBorders>
                    <w:tl2br w:val="nil"/>
                    <w:tr2bl w:val="nil"/>
                  </w:tcBorders>
                  <w:noWrap w:val="0"/>
                  <w:vAlign w:val="center"/>
                </w:tcPr>
                <w:p w14:paraId="0149C1FE">
                  <w:pPr>
                    <w:autoSpaceDE w:val="0"/>
                    <w:autoSpaceDN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798" w:type="pct"/>
                  <w:tcBorders>
                    <w:tl2br w:val="nil"/>
                    <w:tr2bl w:val="nil"/>
                  </w:tcBorders>
                  <w:noWrap w:val="0"/>
                  <w:vAlign w:val="center"/>
                </w:tcPr>
                <w:p w14:paraId="0D343221">
                  <w:pPr>
                    <w:pStyle w:val="71"/>
                    <w:autoSpaceDE w:val="0"/>
                    <w:autoSpaceDN w:val="0"/>
                    <w:bidi w:val="0"/>
                    <w:jc w:val="center"/>
                    <w:rPr>
                      <w:rFonts w:hint="eastAsia"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353" w:type="pct"/>
                  <w:tcBorders>
                    <w:tl2br w:val="nil"/>
                    <w:tr2bl w:val="nil"/>
                  </w:tcBorders>
                  <w:noWrap w:val="0"/>
                  <w:vAlign w:val="center"/>
                </w:tcPr>
                <w:p w14:paraId="114E2AA6">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60-65</w:t>
                  </w:r>
                </w:p>
              </w:tc>
              <w:tc>
                <w:tcPr>
                  <w:tcW w:w="270" w:type="pct"/>
                  <w:vMerge w:val="continue"/>
                  <w:tcBorders>
                    <w:tl2br w:val="nil"/>
                    <w:tr2bl w:val="nil"/>
                  </w:tcBorders>
                  <w:noWrap w:val="0"/>
                  <w:vAlign w:val="center"/>
                </w:tcPr>
                <w:p w14:paraId="1761A448">
                  <w:pPr>
                    <w:pStyle w:val="71"/>
                    <w:autoSpaceDE w:val="0"/>
                    <w:autoSpaceDN w:val="0"/>
                    <w:bidi w:val="0"/>
                    <w:jc w:val="center"/>
                    <w:rPr>
                      <w:rFonts w:hint="eastAsia" w:ascii="Times New Roman" w:hAnsi="Times New Roman" w:eastAsia="宋体" w:cs="Times New Roman"/>
                      <w:i w:val="0"/>
                      <w:iCs w:val="0"/>
                      <w:color w:val="FF0000"/>
                      <w:highlight w:val="none"/>
                    </w:rPr>
                  </w:pPr>
                </w:p>
              </w:tc>
              <w:tc>
                <w:tcPr>
                  <w:tcW w:w="210" w:type="pct"/>
                  <w:tcBorders>
                    <w:tl2br w:val="nil"/>
                    <w:tr2bl w:val="nil"/>
                  </w:tcBorders>
                  <w:noWrap w:val="0"/>
                  <w:vAlign w:val="center"/>
                </w:tcPr>
                <w:p w14:paraId="61170C58">
                  <w:pPr>
                    <w:pStyle w:val="71"/>
                    <w:autoSpaceDE w:val="0"/>
                    <w:autoSpaceDN w:val="0"/>
                    <w:bidi w:val="0"/>
                    <w:ind w:firstLine="0" w:firstLineChars="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highlight w:val="none"/>
                      <w:lang w:val="en-US" w:eastAsia="zh-CN"/>
                    </w:rPr>
                    <w:t>19</w:t>
                  </w:r>
                </w:p>
              </w:tc>
              <w:tc>
                <w:tcPr>
                  <w:tcW w:w="153" w:type="pct"/>
                  <w:tcBorders>
                    <w:tl2br w:val="nil"/>
                    <w:tr2bl w:val="nil"/>
                  </w:tcBorders>
                  <w:noWrap w:val="0"/>
                  <w:vAlign w:val="center"/>
                </w:tcPr>
                <w:p w14:paraId="19E5574F">
                  <w:pPr>
                    <w:pStyle w:val="71"/>
                    <w:autoSpaceDE w:val="0"/>
                    <w:autoSpaceDN w:val="0"/>
                    <w:bidi w:val="0"/>
                    <w:ind w:firstLine="0" w:firstLineChars="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highlight w:val="none"/>
                      <w:lang w:val="en-US" w:eastAsia="zh-CN"/>
                    </w:rPr>
                    <w:t>9</w:t>
                  </w:r>
                </w:p>
              </w:tc>
              <w:tc>
                <w:tcPr>
                  <w:tcW w:w="148" w:type="pct"/>
                  <w:tcBorders>
                    <w:tl2br w:val="nil"/>
                    <w:tr2bl w:val="nil"/>
                  </w:tcBorders>
                  <w:noWrap w:val="0"/>
                  <w:vAlign w:val="center"/>
                </w:tcPr>
                <w:p w14:paraId="6C42F300">
                  <w:pPr>
                    <w:autoSpaceDE w:val="0"/>
                    <w:autoSpaceDN w:val="0"/>
                    <w:bidi w:val="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kern w:val="2"/>
                      <w:sz w:val="21"/>
                      <w:szCs w:val="24"/>
                      <w:highlight w:val="none"/>
                      <w:lang w:val="en-US" w:eastAsia="zh-CN" w:bidi="ar-SA"/>
                    </w:rPr>
                    <w:t>1</w:t>
                  </w:r>
                </w:p>
              </w:tc>
              <w:tc>
                <w:tcPr>
                  <w:tcW w:w="182" w:type="pct"/>
                  <w:tcBorders>
                    <w:tl2br w:val="nil"/>
                    <w:tr2bl w:val="nil"/>
                  </w:tcBorders>
                  <w:noWrap w:val="0"/>
                  <w:vAlign w:val="center"/>
                </w:tcPr>
                <w:p w14:paraId="5FBD40AB">
                  <w:pPr>
                    <w:autoSpaceDE w:val="0"/>
                    <w:autoSpaceDN w:val="0"/>
                    <w:spacing w:before="20" w:after="2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kern w:val="2"/>
                      <w:sz w:val="21"/>
                      <w:szCs w:val="24"/>
                      <w:highlight w:val="none"/>
                      <w:lang w:val="en-US" w:eastAsia="zh-CN" w:bidi="ar-SA"/>
                    </w:rPr>
                    <w:t>10</w:t>
                  </w:r>
                </w:p>
              </w:tc>
              <w:tc>
                <w:tcPr>
                  <w:tcW w:w="192" w:type="pct"/>
                  <w:tcBorders>
                    <w:tl2br w:val="nil"/>
                    <w:tr2bl w:val="nil"/>
                  </w:tcBorders>
                  <w:noWrap w:val="0"/>
                  <w:vAlign w:val="center"/>
                </w:tcPr>
                <w:p w14:paraId="42130960">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50</w:t>
                  </w:r>
                </w:p>
              </w:tc>
              <w:tc>
                <w:tcPr>
                  <w:tcW w:w="182" w:type="pct"/>
                  <w:tcBorders>
                    <w:tl2br w:val="nil"/>
                    <w:tr2bl w:val="nil"/>
                  </w:tcBorders>
                  <w:noWrap w:val="0"/>
                  <w:vAlign w:val="center"/>
                </w:tcPr>
                <w:p w14:paraId="6468A270">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20</w:t>
                  </w:r>
                </w:p>
              </w:tc>
              <w:tc>
                <w:tcPr>
                  <w:tcW w:w="191" w:type="pct"/>
                  <w:tcBorders>
                    <w:tl2br w:val="nil"/>
                    <w:tr2bl w:val="nil"/>
                  </w:tcBorders>
                  <w:noWrap w:val="0"/>
                  <w:vAlign w:val="center"/>
                </w:tcPr>
                <w:p w14:paraId="7B74C656">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5</w:t>
                  </w:r>
                </w:p>
              </w:tc>
              <w:tc>
                <w:tcPr>
                  <w:tcW w:w="336" w:type="pct"/>
                  <w:tcBorders>
                    <w:tl2br w:val="nil"/>
                    <w:tr2bl w:val="nil"/>
                  </w:tcBorders>
                  <w:noWrap w:val="0"/>
                  <w:vAlign w:val="center"/>
                </w:tcPr>
                <w:p w14:paraId="6F576C4C">
                  <w:pPr>
                    <w:autoSpaceDE w:val="0"/>
                    <w:autoSpaceDN w:val="0"/>
                    <w:bidi w:val="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kern w:val="2"/>
                      <w:sz w:val="21"/>
                      <w:szCs w:val="24"/>
                      <w:highlight w:val="none"/>
                      <w:lang w:val="en-US" w:eastAsia="zh-CN" w:bidi="ar-SA"/>
                    </w:rPr>
                    <w:t>45</w:t>
                  </w:r>
                </w:p>
              </w:tc>
              <w:tc>
                <w:tcPr>
                  <w:tcW w:w="303" w:type="pct"/>
                  <w:tcBorders>
                    <w:tl2br w:val="nil"/>
                    <w:tr2bl w:val="nil"/>
                  </w:tcBorders>
                  <w:noWrap w:val="0"/>
                  <w:vAlign w:val="center"/>
                </w:tcPr>
                <w:p w14:paraId="5F46F775">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31.02</w:t>
                  </w:r>
                </w:p>
              </w:tc>
              <w:tc>
                <w:tcPr>
                  <w:tcW w:w="303" w:type="pct"/>
                  <w:tcBorders>
                    <w:tl2br w:val="nil"/>
                    <w:tr2bl w:val="nil"/>
                  </w:tcBorders>
                  <w:noWrap w:val="0"/>
                  <w:vAlign w:val="center"/>
                </w:tcPr>
                <w:p w14:paraId="504F9E57">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38.97</w:t>
                  </w:r>
                </w:p>
              </w:tc>
              <w:tc>
                <w:tcPr>
                  <w:tcW w:w="304" w:type="pct"/>
                  <w:tcBorders>
                    <w:tl2br w:val="nil"/>
                    <w:tr2bl w:val="nil"/>
                  </w:tcBorders>
                  <w:noWrap w:val="0"/>
                  <w:vAlign w:val="center"/>
                </w:tcPr>
                <w:p w14:paraId="010F2F47">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51.02</w:t>
                  </w:r>
                </w:p>
              </w:tc>
            </w:tr>
            <w:tr w14:paraId="14611C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83" w:type="pct"/>
                  <w:vMerge w:val="continue"/>
                  <w:tcBorders>
                    <w:tl2br w:val="nil"/>
                    <w:tr2bl w:val="nil"/>
                  </w:tcBorders>
                  <w:noWrap w:val="0"/>
                  <w:vAlign w:val="center"/>
                </w:tcPr>
                <w:p w14:paraId="528FF8B9">
                  <w:pPr>
                    <w:pStyle w:val="71"/>
                    <w:autoSpaceDE w:val="0"/>
                    <w:autoSpaceDN w:val="0"/>
                    <w:bidi w:val="0"/>
                    <w:jc w:val="center"/>
                    <w:rPr>
                      <w:rFonts w:ascii="Times New Roman" w:hAnsi="Times New Roman" w:eastAsia="宋体" w:cs="Times New Roman"/>
                      <w:i w:val="0"/>
                      <w:iCs w:val="0"/>
                      <w:color w:val="FF0000"/>
                      <w:highlight w:val="none"/>
                    </w:rPr>
                  </w:pPr>
                </w:p>
              </w:tc>
              <w:tc>
                <w:tcPr>
                  <w:tcW w:w="137" w:type="pct"/>
                  <w:vMerge w:val="continue"/>
                  <w:tcBorders>
                    <w:tl2br w:val="nil"/>
                    <w:tr2bl w:val="nil"/>
                  </w:tcBorders>
                  <w:noWrap w:val="0"/>
                  <w:vAlign w:val="center"/>
                </w:tcPr>
                <w:p w14:paraId="758B932C">
                  <w:pPr>
                    <w:pStyle w:val="71"/>
                    <w:autoSpaceDE w:val="0"/>
                    <w:autoSpaceDN w:val="0"/>
                    <w:bidi w:val="0"/>
                    <w:jc w:val="center"/>
                    <w:rPr>
                      <w:rFonts w:ascii="Times New Roman" w:hAnsi="Times New Roman" w:eastAsia="宋体" w:cs="Times New Roman"/>
                      <w:i w:val="0"/>
                      <w:iCs w:val="0"/>
                      <w:color w:val="FF0000"/>
                      <w:highlight w:val="none"/>
                    </w:rPr>
                  </w:pPr>
                </w:p>
              </w:tc>
              <w:tc>
                <w:tcPr>
                  <w:tcW w:w="486" w:type="pct"/>
                  <w:tcBorders>
                    <w:tl2br w:val="nil"/>
                    <w:tr2bl w:val="nil"/>
                  </w:tcBorders>
                  <w:noWrap w:val="0"/>
                  <w:vAlign w:val="center"/>
                </w:tcPr>
                <w:p w14:paraId="30369100">
                  <w:pPr>
                    <w:autoSpaceDE w:val="0"/>
                    <w:autoSpaceDN w:val="0"/>
                    <w:snapToGrid w:val="0"/>
                    <w:spacing w:line="240" w:lineRule="auto"/>
                    <w:jc w:val="center"/>
                    <w:textAlignment w:val="auto"/>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color w:val="FF0000"/>
                      <w:szCs w:val="19"/>
                      <w:lang w:bidi="ar"/>
                    </w:rPr>
                    <w:t>液体配制机</w:t>
                  </w:r>
                </w:p>
              </w:tc>
              <w:tc>
                <w:tcPr>
                  <w:tcW w:w="261" w:type="pct"/>
                  <w:tcBorders>
                    <w:tl2br w:val="nil"/>
                    <w:tr2bl w:val="nil"/>
                  </w:tcBorders>
                  <w:noWrap w:val="0"/>
                  <w:vAlign w:val="center"/>
                </w:tcPr>
                <w:p w14:paraId="276240FD">
                  <w:pPr>
                    <w:autoSpaceDE w:val="0"/>
                    <w:autoSpaceDN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798" w:type="pct"/>
                  <w:tcBorders>
                    <w:tl2br w:val="nil"/>
                    <w:tr2bl w:val="nil"/>
                  </w:tcBorders>
                  <w:noWrap w:val="0"/>
                  <w:vAlign w:val="center"/>
                </w:tcPr>
                <w:p w14:paraId="747E8FC0">
                  <w:pPr>
                    <w:pStyle w:val="71"/>
                    <w:autoSpaceDE w:val="0"/>
                    <w:autoSpaceDN w:val="0"/>
                    <w:bidi w:val="0"/>
                    <w:jc w:val="center"/>
                    <w:rPr>
                      <w:rFonts w:hint="eastAsia"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353" w:type="pct"/>
                  <w:tcBorders>
                    <w:tl2br w:val="nil"/>
                    <w:tr2bl w:val="nil"/>
                  </w:tcBorders>
                  <w:noWrap w:val="0"/>
                  <w:vAlign w:val="center"/>
                </w:tcPr>
                <w:p w14:paraId="5C76B26A">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60-65</w:t>
                  </w:r>
                </w:p>
              </w:tc>
              <w:tc>
                <w:tcPr>
                  <w:tcW w:w="270" w:type="pct"/>
                  <w:vMerge w:val="continue"/>
                  <w:tcBorders>
                    <w:tl2br w:val="nil"/>
                    <w:tr2bl w:val="nil"/>
                  </w:tcBorders>
                  <w:noWrap w:val="0"/>
                  <w:vAlign w:val="center"/>
                </w:tcPr>
                <w:p w14:paraId="4F098E74">
                  <w:pPr>
                    <w:pStyle w:val="71"/>
                    <w:autoSpaceDE w:val="0"/>
                    <w:autoSpaceDN w:val="0"/>
                    <w:bidi w:val="0"/>
                    <w:jc w:val="center"/>
                    <w:rPr>
                      <w:rFonts w:ascii="Times New Roman" w:hAnsi="Times New Roman" w:eastAsia="宋体" w:cs="Times New Roman"/>
                      <w:i w:val="0"/>
                      <w:iCs w:val="0"/>
                      <w:color w:val="FF0000"/>
                      <w:highlight w:val="none"/>
                    </w:rPr>
                  </w:pPr>
                </w:p>
              </w:tc>
              <w:tc>
                <w:tcPr>
                  <w:tcW w:w="210" w:type="pct"/>
                  <w:tcBorders>
                    <w:tl2br w:val="nil"/>
                    <w:tr2bl w:val="nil"/>
                  </w:tcBorders>
                  <w:noWrap w:val="0"/>
                  <w:vAlign w:val="center"/>
                </w:tcPr>
                <w:p w14:paraId="1E4C45DC">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25</w:t>
                  </w:r>
                </w:p>
              </w:tc>
              <w:tc>
                <w:tcPr>
                  <w:tcW w:w="153" w:type="pct"/>
                  <w:tcBorders>
                    <w:tl2br w:val="nil"/>
                    <w:tr2bl w:val="nil"/>
                  </w:tcBorders>
                  <w:noWrap w:val="0"/>
                  <w:vAlign w:val="center"/>
                </w:tcPr>
                <w:p w14:paraId="133EA2D3">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5</w:t>
                  </w:r>
                </w:p>
              </w:tc>
              <w:tc>
                <w:tcPr>
                  <w:tcW w:w="148" w:type="pct"/>
                  <w:tcBorders>
                    <w:tl2br w:val="nil"/>
                    <w:tr2bl w:val="nil"/>
                  </w:tcBorders>
                  <w:noWrap w:val="0"/>
                  <w:vAlign w:val="center"/>
                </w:tcPr>
                <w:p w14:paraId="26829776">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kern w:val="2"/>
                      <w:sz w:val="21"/>
                      <w:szCs w:val="24"/>
                      <w:highlight w:val="none"/>
                      <w:lang w:val="en-US" w:eastAsia="zh-CN" w:bidi="ar-SA"/>
                    </w:rPr>
                    <w:t>1</w:t>
                  </w:r>
                </w:p>
              </w:tc>
              <w:tc>
                <w:tcPr>
                  <w:tcW w:w="182" w:type="pct"/>
                  <w:tcBorders>
                    <w:tl2br w:val="nil"/>
                    <w:tr2bl w:val="nil"/>
                  </w:tcBorders>
                  <w:noWrap w:val="0"/>
                  <w:vAlign w:val="center"/>
                </w:tcPr>
                <w:p w14:paraId="4D0E980B">
                  <w:pPr>
                    <w:autoSpaceDE w:val="0"/>
                    <w:autoSpaceDN w:val="0"/>
                    <w:spacing w:before="20" w:after="2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5</w:t>
                  </w:r>
                </w:p>
              </w:tc>
              <w:tc>
                <w:tcPr>
                  <w:tcW w:w="192" w:type="pct"/>
                  <w:tcBorders>
                    <w:tl2br w:val="nil"/>
                    <w:tr2bl w:val="nil"/>
                  </w:tcBorders>
                  <w:noWrap w:val="0"/>
                  <w:vAlign w:val="center"/>
                </w:tcPr>
                <w:p w14:paraId="07DD7460">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54</w:t>
                  </w:r>
                </w:p>
              </w:tc>
              <w:tc>
                <w:tcPr>
                  <w:tcW w:w="182" w:type="pct"/>
                  <w:tcBorders>
                    <w:tl2br w:val="nil"/>
                    <w:tr2bl w:val="nil"/>
                  </w:tcBorders>
                  <w:noWrap w:val="0"/>
                  <w:vAlign w:val="center"/>
                </w:tcPr>
                <w:p w14:paraId="3BF76AE4">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15</w:t>
                  </w:r>
                </w:p>
              </w:tc>
              <w:tc>
                <w:tcPr>
                  <w:tcW w:w="191" w:type="pct"/>
                  <w:tcBorders>
                    <w:tl2br w:val="nil"/>
                    <w:tr2bl w:val="nil"/>
                  </w:tcBorders>
                  <w:noWrap w:val="0"/>
                  <w:vAlign w:val="center"/>
                </w:tcPr>
                <w:p w14:paraId="0777FEA2">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9</w:t>
                  </w:r>
                </w:p>
              </w:tc>
              <w:tc>
                <w:tcPr>
                  <w:tcW w:w="336" w:type="pct"/>
                  <w:tcBorders>
                    <w:tl2br w:val="nil"/>
                    <w:tr2bl w:val="nil"/>
                  </w:tcBorders>
                  <w:noWrap w:val="0"/>
                  <w:vAlign w:val="center"/>
                </w:tcPr>
                <w:p w14:paraId="2FFB2C7B">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51.02</w:t>
                  </w:r>
                </w:p>
              </w:tc>
              <w:tc>
                <w:tcPr>
                  <w:tcW w:w="303" w:type="pct"/>
                  <w:tcBorders>
                    <w:tl2br w:val="nil"/>
                    <w:tr2bl w:val="nil"/>
                  </w:tcBorders>
                  <w:noWrap w:val="0"/>
                  <w:vAlign w:val="center"/>
                </w:tcPr>
                <w:p w14:paraId="0F5BB055">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30.35</w:t>
                  </w:r>
                </w:p>
              </w:tc>
              <w:tc>
                <w:tcPr>
                  <w:tcW w:w="303" w:type="pct"/>
                  <w:tcBorders>
                    <w:tl2br w:val="nil"/>
                    <w:tr2bl w:val="nil"/>
                  </w:tcBorders>
                  <w:noWrap w:val="0"/>
                  <w:vAlign w:val="center"/>
                </w:tcPr>
                <w:p w14:paraId="1ACC030C">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41.47</w:t>
                  </w:r>
                </w:p>
              </w:tc>
              <w:tc>
                <w:tcPr>
                  <w:tcW w:w="304" w:type="pct"/>
                  <w:tcBorders>
                    <w:tl2br w:val="nil"/>
                    <w:tr2bl w:val="nil"/>
                  </w:tcBorders>
                  <w:noWrap w:val="0"/>
                  <w:vAlign w:val="center"/>
                </w:tcPr>
                <w:p w14:paraId="7755D378">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45.91</w:t>
                  </w:r>
                </w:p>
              </w:tc>
            </w:tr>
            <w:tr w14:paraId="4CAF67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183" w:type="pct"/>
                  <w:vMerge w:val="continue"/>
                  <w:tcBorders>
                    <w:tl2br w:val="nil"/>
                    <w:tr2bl w:val="nil"/>
                  </w:tcBorders>
                  <w:noWrap w:val="0"/>
                  <w:vAlign w:val="center"/>
                </w:tcPr>
                <w:p w14:paraId="475DEF26">
                  <w:pPr>
                    <w:pStyle w:val="71"/>
                    <w:autoSpaceDE w:val="0"/>
                    <w:autoSpaceDN w:val="0"/>
                    <w:bidi w:val="0"/>
                    <w:jc w:val="center"/>
                    <w:rPr>
                      <w:rFonts w:ascii="Times New Roman" w:hAnsi="Times New Roman" w:eastAsia="宋体" w:cs="Times New Roman"/>
                      <w:i w:val="0"/>
                      <w:iCs w:val="0"/>
                      <w:color w:val="FF0000"/>
                      <w:highlight w:val="none"/>
                    </w:rPr>
                  </w:pPr>
                </w:p>
              </w:tc>
              <w:tc>
                <w:tcPr>
                  <w:tcW w:w="137" w:type="pct"/>
                  <w:vMerge w:val="continue"/>
                  <w:tcBorders>
                    <w:tl2br w:val="nil"/>
                    <w:tr2bl w:val="nil"/>
                  </w:tcBorders>
                  <w:noWrap w:val="0"/>
                  <w:vAlign w:val="center"/>
                </w:tcPr>
                <w:p w14:paraId="5FCB551F">
                  <w:pPr>
                    <w:pStyle w:val="71"/>
                    <w:autoSpaceDE w:val="0"/>
                    <w:autoSpaceDN w:val="0"/>
                    <w:bidi w:val="0"/>
                    <w:jc w:val="center"/>
                    <w:rPr>
                      <w:rFonts w:ascii="Times New Roman" w:hAnsi="Times New Roman" w:eastAsia="宋体" w:cs="Times New Roman"/>
                      <w:i w:val="0"/>
                      <w:iCs w:val="0"/>
                      <w:color w:val="FF0000"/>
                      <w:highlight w:val="none"/>
                    </w:rPr>
                  </w:pPr>
                </w:p>
              </w:tc>
              <w:tc>
                <w:tcPr>
                  <w:tcW w:w="486" w:type="pct"/>
                  <w:tcBorders>
                    <w:tl2br w:val="nil"/>
                    <w:tr2bl w:val="nil"/>
                  </w:tcBorders>
                  <w:noWrap w:val="0"/>
                  <w:vAlign w:val="center"/>
                </w:tcPr>
                <w:p w14:paraId="155233D2">
                  <w:pPr>
                    <w:autoSpaceDE w:val="0"/>
                    <w:autoSpaceDN w:val="0"/>
                    <w:snapToGrid w:val="0"/>
                    <w:spacing w:line="240" w:lineRule="auto"/>
                    <w:jc w:val="center"/>
                    <w:textAlignment w:val="auto"/>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color w:val="FF0000"/>
                      <w:szCs w:val="19"/>
                      <w:lang w:bidi="ar"/>
                    </w:rPr>
                    <w:t>喷雾自动灌装机</w:t>
                  </w:r>
                </w:p>
              </w:tc>
              <w:tc>
                <w:tcPr>
                  <w:tcW w:w="261" w:type="pct"/>
                  <w:tcBorders>
                    <w:tl2br w:val="nil"/>
                    <w:tr2bl w:val="nil"/>
                  </w:tcBorders>
                  <w:noWrap w:val="0"/>
                  <w:vAlign w:val="center"/>
                </w:tcPr>
                <w:p w14:paraId="7397D112">
                  <w:pPr>
                    <w:autoSpaceDE w:val="0"/>
                    <w:autoSpaceDN w:val="0"/>
                    <w:jc w:val="center"/>
                    <w:rPr>
                      <w:rFonts w:hint="eastAsia" w:ascii="Times New Roman" w:hAnsi="Times New Roman" w:eastAsia="宋体" w:cs="Times New Roman"/>
                      <w:i w:val="0"/>
                      <w:iCs w:val="0"/>
                      <w:color w:val="FF0000"/>
                      <w:highlight w:val="none"/>
                    </w:rPr>
                  </w:pPr>
                  <w:r>
                    <w:rPr>
                      <w:rFonts w:hint="eastAsia" w:ascii="Times New Roman" w:hAnsi="Times New Roman" w:eastAsia="宋体" w:cs="Times New Roman"/>
                      <w:i w:val="0"/>
                      <w:iCs w:val="0"/>
                      <w:color w:val="FF0000"/>
                      <w:highlight w:val="none"/>
                      <w:lang w:val="en-US" w:eastAsia="zh-CN"/>
                    </w:rPr>
                    <w:t>/</w:t>
                  </w:r>
                </w:p>
              </w:tc>
              <w:tc>
                <w:tcPr>
                  <w:tcW w:w="798" w:type="pct"/>
                  <w:tcBorders>
                    <w:tl2br w:val="nil"/>
                    <w:tr2bl w:val="nil"/>
                  </w:tcBorders>
                  <w:noWrap w:val="0"/>
                  <w:vAlign w:val="center"/>
                </w:tcPr>
                <w:p w14:paraId="6E4361A6">
                  <w:pPr>
                    <w:pStyle w:val="71"/>
                    <w:autoSpaceDE w:val="0"/>
                    <w:autoSpaceDN w:val="0"/>
                    <w:bidi w:val="0"/>
                    <w:jc w:val="center"/>
                    <w:rPr>
                      <w:rFonts w:hint="eastAsia"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353" w:type="pct"/>
                  <w:tcBorders>
                    <w:tl2br w:val="nil"/>
                    <w:tr2bl w:val="nil"/>
                  </w:tcBorders>
                  <w:noWrap w:val="0"/>
                  <w:vAlign w:val="center"/>
                </w:tcPr>
                <w:p w14:paraId="74C786F3">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60-65</w:t>
                  </w:r>
                </w:p>
              </w:tc>
              <w:tc>
                <w:tcPr>
                  <w:tcW w:w="270" w:type="pct"/>
                  <w:vMerge w:val="continue"/>
                  <w:tcBorders>
                    <w:tl2br w:val="nil"/>
                    <w:tr2bl w:val="nil"/>
                  </w:tcBorders>
                  <w:noWrap w:val="0"/>
                  <w:vAlign w:val="center"/>
                </w:tcPr>
                <w:p w14:paraId="2A21091C">
                  <w:pPr>
                    <w:pStyle w:val="71"/>
                    <w:autoSpaceDE w:val="0"/>
                    <w:autoSpaceDN w:val="0"/>
                    <w:bidi w:val="0"/>
                    <w:jc w:val="center"/>
                    <w:rPr>
                      <w:rFonts w:ascii="Times New Roman" w:hAnsi="Times New Roman" w:eastAsia="宋体" w:cs="Times New Roman"/>
                      <w:i w:val="0"/>
                      <w:iCs w:val="0"/>
                      <w:color w:val="FF0000"/>
                      <w:highlight w:val="none"/>
                    </w:rPr>
                  </w:pPr>
                </w:p>
              </w:tc>
              <w:tc>
                <w:tcPr>
                  <w:tcW w:w="210" w:type="pct"/>
                  <w:tcBorders>
                    <w:tl2br w:val="nil"/>
                    <w:tr2bl w:val="nil"/>
                  </w:tcBorders>
                  <w:noWrap w:val="0"/>
                  <w:vAlign w:val="center"/>
                </w:tcPr>
                <w:p w14:paraId="1F2FEBCD">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24</w:t>
                  </w:r>
                </w:p>
              </w:tc>
              <w:tc>
                <w:tcPr>
                  <w:tcW w:w="153" w:type="pct"/>
                  <w:tcBorders>
                    <w:tl2br w:val="nil"/>
                    <w:tr2bl w:val="nil"/>
                  </w:tcBorders>
                  <w:noWrap w:val="0"/>
                  <w:vAlign w:val="center"/>
                </w:tcPr>
                <w:p w14:paraId="081841E2">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0</w:t>
                  </w:r>
                </w:p>
              </w:tc>
              <w:tc>
                <w:tcPr>
                  <w:tcW w:w="148" w:type="pct"/>
                  <w:tcBorders>
                    <w:tl2br w:val="nil"/>
                    <w:tr2bl w:val="nil"/>
                  </w:tcBorders>
                  <w:noWrap w:val="0"/>
                  <w:vAlign w:val="center"/>
                </w:tcPr>
                <w:p w14:paraId="0C5F7BC7">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kern w:val="2"/>
                      <w:sz w:val="21"/>
                      <w:szCs w:val="24"/>
                      <w:highlight w:val="none"/>
                      <w:lang w:val="en-US" w:eastAsia="zh-CN" w:bidi="ar-SA"/>
                    </w:rPr>
                    <w:t>1</w:t>
                  </w:r>
                </w:p>
              </w:tc>
              <w:tc>
                <w:tcPr>
                  <w:tcW w:w="182" w:type="pct"/>
                  <w:tcBorders>
                    <w:tl2br w:val="nil"/>
                    <w:tr2bl w:val="nil"/>
                  </w:tcBorders>
                  <w:noWrap w:val="0"/>
                  <w:vAlign w:val="center"/>
                </w:tcPr>
                <w:p w14:paraId="53A108E9">
                  <w:pPr>
                    <w:autoSpaceDE w:val="0"/>
                    <w:autoSpaceDN w:val="0"/>
                    <w:spacing w:before="20" w:after="2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5</w:t>
                  </w:r>
                </w:p>
              </w:tc>
              <w:tc>
                <w:tcPr>
                  <w:tcW w:w="192" w:type="pct"/>
                  <w:tcBorders>
                    <w:tl2br w:val="nil"/>
                    <w:tr2bl w:val="nil"/>
                  </w:tcBorders>
                  <w:noWrap w:val="0"/>
                  <w:vAlign w:val="center"/>
                </w:tcPr>
                <w:p w14:paraId="787F8A8A">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54</w:t>
                  </w:r>
                </w:p>
              </w:tc>
              <w:tc>
                <w:tcPr>
                  <w:tcW w:w="182" w:type="pct"/>
                  <w:tcBorders>
                    <w:tl2br w:val="nil"/>
                    <w:tr2bl w:val="nil"/>
                  </w:tcBorders>
                  <w:noWrap w:val="0"/>
                  <w:vAlign w:val="center"/>
                </w:tcPr>
                <w:p w14:paraId="6C9F2651">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9</w:t>
                  </w:r>
                </w:p>
              </w:tc>
              <w:tc>
                <w:tcPr>
                  <w:tcW w:w="191" w:type="pct"/>
                  <w:tcBorders>
                    <w:tl2br w:val="nil"/>
                    <w:tr2bl w:val="nil"/>
                  </w:tcBorders>
                  <w:noWrap w:val="0"/>
                  <w:vAlign w:val="center"/>
                </w:tcPr>
                <w:p w14:paraId="4D34CF1F">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15</w:t>
                  </w:r>
                </w:p>
              </w:tc>
              <w:tc>
                <w:tcPr>
                  <w:tcW w:w="336" w:type="pct"/>
                  <w:tcBorders>
                    <w:tl2br w:val="nil"/>
                    <w:tr2bl w:val="nil"/>
                  </w:tcBorders>
                  <w:noWrap w:val="0"/>
                  <w:vAlign w:val="center"/>
                </w:tcPr>
                <w:p w14:paraId="19D9C9C1">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51.02</w:t>
                  </w:r>
                </w:p>
              </w:tc>
              <w:tc>
                <w:tcPr>
                  <w:tcW w:w="303" w:type="pct"/>
                  <w:tcBorders>
                    <w:tl2br w:val="nil"/>
                    <w:tr2bl w:val="nil"/>
                  </w:tcBorders>
                  <w:noWrap w:val="0"/>
                  <w:vAlign w:val="center"/>
                </w:tcPr>
                <w:p w14:paraId="214E55FA">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30.35</w:t>
                  </w:r>
                </w:p>
              </w:tc>
              <w:tc>
                <w:tcPr>
                  <w:tcW w:w="303" w:type="pct"/>
                  <w:tcBorders>
                    <w:tl2br w:val="nil"/>
                    <w:tr2bl w:val="nil"/>
                  </w:tcBorders>
                  <w:noWrap w:val="0"/>
                  <w:vAlign w:val="center"/>
                </w:tcPr>
                <w:p w14:paraId="637FE12F">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45.91</w:t>
                  </w:r>
                </w:p>
              </w:tc>
              <w:tc>
                <w:tcPr>
                  <w:tcW w:w="304" w:type="pct"/>
                  <w:tcBorders>
                    <w:tl2br w:val="nil"/>
                    <w:tr2bl w:val="nil"/>
                  </w:tcBorders>
                  <w:noWrap w:val="0"/>
                  <w:vAlign w:val="center"/>
                </w:tcPr>
                <w:p w14:paraId="7965B55B">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41.47</w:t>
                  </w:r>
                </w:p>
              </w:tc>
            </w:tr>
            <w:tr w14:paraId="697E0D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83" w:type="pct"/>
                  <w:vMerge w:val="continue"/>
                  <w:tcBorders>
                    <w:tl2br w:val="nil"/>
                    <w:tr2bl w:val="nil"/>
                  </w:tcBorders>
                  <w:noWrap w:val="0"/>
                  <w:vAlign w:val="center"/>
                </w:tcPr>
                <w:p w14:paraId="3D5F7E7A">
                  <w:pPr>
                    <w:pStyle w:val="71"/>
                    <w:autoSpaceDE w:val="0"/>
                    <w:autoSpaceDN w:val="0"/>
                    <w:bidi w:val="0"/>
                    <w:jc w:val="center"/>
                    <w:rPr>
                      <w:rFonts w:ascii="Times New Roman" w:hAnsi="Times New Roman" w:eastAsia="宋体" w:cs="Times New Roman"/>
                      <w:i w:val="0"/>
                      <w:iCs w:val="0"/>
                      <w:color w:val="FF0000"/>
                      <w:highlight w:val="none"/>
                    </w:rPr>
                  </w:pPr>
                </w:p>
              </w:tc>
              <w:tc>
                <w:tcPr>
                  <w:tcW w:w="137" w:type="pct"/>
                  <w:vMerge w:val="continue"/>
                  <w:tcBorders>
                    <w:tl2br w:val="nil"/>
                    <w:tr2bl w:val="nil"/>
                  </w:tcBorders>
                  <w:noWrap w:val="0"/>
                  <w:vAlign w:val="center"/>
                </w:tcPr>
                <w:p w14:paraId="023AB2BD">
                  <w:pPr>
                    <w:pStyle w:val="71"/>
                    <w:autoSpaceDE w:val="0"/>
                    <w:autoSpaceDN w:val="0"/>
                    <w:bidi w:val="0"/>
                    <w:jc w:val="center"/>
                    <w:rPr>
                      <w:rFonts w:ascii="Times New Roman" w:hAnsi="Times New Roman" w:eastAsia="宋体" w:cs="Times New Roman"/>
                      <w:i w:val="0"/>
                      <w:iCs w:val="0"/>
                      <w:color w:val="FF0000"/>
                      <w:highlight w:val="none"/>
                    </w:rPr>
                  </w:pPr>
                </w:p>
              </w:tc>
              <w:tc>
                <w:tcPr>
                  <w:tcW w:w="486" w:type="pct"/>
                  <w:tcBorders>
                    <w:tl2br w:val="nil"/>
                    <w:tr2bl w:val="nil"/>
                  </w:tcBorders>
                  <w:noWrap w:val="0"/>
                  <w:vAlign w:val="center"/>
                </w:tcPr>
                <w:p w14:paraId="2AA2C508">
                  <w:pPr>
                    <w:autoSpaceDE w:val="0"/>
                    <w:autoSpaceDN w:val="0"/>
                    <w:snapToGrid w:val="0"/>
                    <w:spacing w:line="240" w:lineRule="auto"/>
                    <w:jc w:val="center"/>
                    <w:textAlignment w:val="auto"/>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color w:val="FF0000"/>
                      <w:szCs w:val="19"/>
                      <w:lang w:bidi="ar"/>
                    </w:rPr>
                    <w:t>乳化机</w:t>
                  </w:r>
                </w:p>
              </w:tc>
              <w:tc>
                <w:tcPr>
                  <w:tcW w:w="261" w:type="pct"/>
                  <w:tcBorders>
                    <w:tl2br w:val="nil"/>
                    <w:tr2bl w:val="nil"/>
                  </w:tcBorders>
                  <w:noWrap w:val="0"/>
                  <w:vAlign w:val="center"/>
                </w:tcPr>
                <w:p w14:paraId="48CE2B45">
                  <w:pPr>
                    <w:autoSpaceDE w:val="0"/>
                    <w:autoSpaceDN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798" w:type="pct"/>
                  <w:tcBorders>
                    <w:tl2br w:val="nil"/>
                    <w:tr2bl w:val="nil"/>
                  </w:tcBorders>
                  <w:noWrap w:val="0"/>
                  <w:vAlign w:val="center"/>
                </w:tcPr>
                <w:p w14:paraId="2B46AA86">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w:t>
                  </w:r>
                </w:p>
              </w:tc>
              <w:tc>
                <w:tcPr>
                  <w:tcW w:w="353" w:type="pct"/>
                  <w:tcBorders>
                    <w:tl2br w:val="nil"/>
                    <w:tr2bl w:val="nil"/>
                  </w:tcBorders>
                  <w:noWrap w:val="0"/>
                  <w:vAlign w:val="center"/>
                </w:tcPr>
                <w:p w14:paraId="60CB8685">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60-65</w:t>
                  </w:r>
                </w:p>
              </w:tc>
              <w:tc>
                <w:tcPr>
                  <w:tcW w:w="270" w:type="pct"/>
                  <w:vMerge w:val="continue"/>
                  <w:tcBorders>
                    <w:tl2br w:val="nil"/>
                    <w:tr2bl w:val="nil"/>
                  </w:tcBorders>
                  <w:noWrap w:val="0"/>
                  <w:vAlign w:val="center"/>
                </w:tcPr>
                <w:p w14:paraId="795934C8">
                  <w:pPr>
                    <w:pStyle w:val="71"/>
                    <w:autoSpaceDE w:val="0"/>
                    <w:autoSpaceDN w:val="0"/>
                    <w:bidi w:val="0"/>
                    <w:jc w:val="center"/>
                    <w:rPr>
                      <w:rFonts w:ascii="Times New Roman" w:hAnsi="Times New Roman" w:eastAsia="宋体" w:cs="Times New Roman"/>
                      <w:i w:val="0"/>
                      <w:iCs w:val="0"/>
                      <w:color w:val="FF0000"/>
                      <w:highlight w:val="none"/>
                    </w:rPr>
                  </w:pPr>
                </w:p>
              </w:tc>
              <w:tc>
                <w:tcPr>
                  <w:tcW w:w="210" w:type="pct"/>
                  <w:tcBorders>
                    <w:tl2br w:val="nil"/>
                    <w:tr2bl w:val="nil"/>
                  </w:tcBorders>
                  <w:noWrap w:val="0"/>
                  <w:vAlign w:val="center"/>
                </w:tcPr>
                <w:p w14:paraId="19EB7AA4">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18</w:t>
                  </w:r>
                </w:p>
              </w:tc>
              <w:tc>
                <w:tcPr>
                  <w:tcW w:w="153" w:type="pct"/>
                  <w:tcBorders>
                    <w:tl2br w:val="nil"/>
                    <w:tr2bl w:val="nil"/>
                  </w:tcBorders>
                  <w:noWrap w:val="0"/>
                  <w:vAlign w:val="center"/>
                </w:tcPr>
                <w:p w14:paraId="1F482DF0">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10</w:t>
                  </w:r>
                </w:p>
              </w:tc>
              <w:tc>
                <w:tcPr>
                  <w:tcW w:w="148" w:type="pct"/>
                  <w:tcBorders>
                    <w:tl2br w:val="nil"/>
                    <w:tr2bl w:val="nil"/>
                  </w:tcBorders>
                  <w:noWrap w:val="0"/>
                  <w:vAlign w:val="center"/>
                </w:tcPr>
                <w:p w14:paraId="648EA48E">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kern w:val="2"/>
                      <w:sz w:val="21"/>
                      <w:szCs w:val="24"/>
                      <w:highlight w:val="none"/>
                      <w:lang w:val="en-US" w:eastAsia="zh-CN" w:bidi="ar-SA"/>
                    </w:rPr>
                    <w:t>1</w:t>
                  </w:r>
                </w:p>
              </w:tc>
              <w:tc>
                <w:tcPr>
                  <w:tcW w:w="182" w:type="pct"/>
                  <w:tcBorders>
                    <w:tl2br w:val="nil"/>
                    <w:tr2bl w:val="nil"/>
                  </w:tcBorders>
                  <w:noWrap w:val="0"/>
                  <w:vAlign w:val="center"/>
                </w:tcPr>
                <w:p w14:paraId="47D1914C">
                  <w:pPr>
                    <w:autoSpaceDE w:val="0"/>
                    <w:autoSpaceDN w:val="0"/>
                    <w:spacing w:before="20" w:after="2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12</w:t>
                  </w:r>
                </w:p>
              </w:tc>
              <w:tc>
                <w:tcPr>
                  <w:tcW w:w="192" w:type="pct"/>
                  <w:tcBorders>
                    <w:tl2br w:val="nil"/>
                    <w:tr2bl w:val="nil"/>
                  </w:tcBorders>
                  <w:noWrap w:val="0"/>
                  <w:vAlign w:val="center"/>
                </w:tcPr>
                <w:p w14:paraId="60C97716">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49</w:t>
                  </w:r>
                </w:p>
              </w:tc>
              <w:tc>
                <w:tcPr>
                  <w:tcW w:w="182" w:type="pct"/>
                  <w:tcBorders>
                    <w:tl2br w:val="nil"/>
                    <w:tr2bl w:val="nil"/>
                  </w:tcBorders>
                  <w:noWrap w:val="0"/>
                  <w:vAlign w:val="center"/>
                </w:tcPr>
                <w:p w14:paraId="27F2F7E2">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20</w:t>
                  </w:r>
                </w:p>
              </w:tc>
              <w:tc>
                <w:tcPr>
                  <w:tcW w:w="191" w:type="pct"/>
                  <w:tcBorders>
                    <w:tl2br w:val="nil"/>
                    <w:tr2bl w:val="nil"/>
                  </w:tcBorders>
                  <w:noWrap w:val="0"/>
                  <w:vAlign w:val="center"/>
                </w:tcPr>
                <w:p w14:paraId="48928887">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5</w:t>
                  </w:r>
                </w:p>
              </w:tc>
              <w:tc>
                <w:tcPr>
                  <w:tcW w:w="336" w:type="pct"/>
                  <w:tcBorders>
                    <w:tl2br w:val="nil"/>
                    <w:tr2bl w:val="nil"/>
                  </w:tcBorders>
                  <w:noWrap w:val="0"/>
                  <w:vAlign w:val="center"/>
                </w:tcPr>
                <w:p w14:paraId="3A387AE4">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43.41</w:t>
                  </w:r>
                </w:p>
              </w:tc>
              <w:tc>
                <w:tcPr>
                  <w:tcW w:w="303" w:type="pct"/>
                  <w:tcBorders>
                    <w:tl2br w:val="nil"/>
                    <w:tr2bl w:val="nil"/>
                  </w:tcBorders>
                  <w:noWrap w:val="0"/>
                  <w:vAlign w:val="center"/>
                </w:tcPr>
                <w:p w14:paraId="4AA5EB64">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31.19</w:t>
                  </w:r>
                </w:p>
              </w:tc>
              <w:tc>
                <w:tcPr>
                  <w:tcW w:w="303" w:type="pct"/>
                  <w:tcBorders>
                    <w:tl2br w:val="nil"/>
                    <w:tr2bl w:val="nil"/>
                  </w:tcBorders>
                  <w:noWrap w:val="0"/>
                  <w:vAlign w:val="center"/>
                </w:tcPr>
                <w:p w14:paraId="35E6A6E9">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38.97</w:t>
                  </w:r>
                </w:p>
              </w:tc>
              <w:tc>
                <w:tcPr>
                  <w:tcW w:w="304" w:type="pct"/>
                  <w:tcBorders>
                    <w:tl2br w:val="nil"/>
                    <w:tr2bl w:val="nil"/>
                  </w:tcBorders>
                  <w:noWrap w:val="0"/>
                  <w:vAlign w:val="center"/>
                </w:tcPr>
                <w:p w14:paraId="77115848">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51.02</w:t>
                  </w:r>
                </w:p>
              </w:tc>
            </w:tr>
            <w:tr w14:paraId="4410CD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183" w:type="pct"/>
                  <w:vMerge w:val="continue"/>
                  <w:tcBorders>
                    <w:tl2br w:val="nil"/>
                    <w:tr2bl w:val="nil"/>
                  </w:tcBorders>
                  <w:noWrap w:val="0"/>
                  <w:vAlign w:val="center"/>
                </w:tcPr>
                <w:p w14:paraId="1A79DCA6">
                  <w:pPr>
                    <w:pStyle w:val="71"/>
                    <w:autoSpaceDE w:val="0"/>
                    <w:autoSpaceDN w:val="0"/>
                    <w:bidi w:val="0"/>
                    <w:jc w:val="center"/>
                    <w:rPr>
                      <w:rFonts w:ascii="Times New Roman" w:hAnsi="Times New Roman" w:eastAsia="宋体" w:cs="Times New Roman"/>
                      <w:i w:val="0"/>
                      <w:iCs w:val="0"/>
                      <w:color w:val="FF0000"/>
                      <w:highlight w:val="none"/>
                    </w:rPr>
                  </w:pPr>
                </w:p>
              </w:tc>
              <w:tc>
                <w:tcPr>
                  <w:tcW w:w="137" w:type="pct"/>
                  <w:vMerge w:val="continue"/>
                  <w:tcBorders>
                    <w:tl2br w:val="nil"/>
                    <w:tr2bl w:val="nil"/>
                  </w:tcBorders>
                  <w:noWrap w:val="0"/>
                  <w:vAlign w:val="center"/>
                </w:tcPr>
                <w:p w14:paraId="7AB23ADE">
                  <w:pPr>
                    <w:pStyle w:val="71"/>
                    <w:autoSpaceDE w:val="0"/>
                    <w:autoSpaceDN w:val="0"/>
                    <w:bidi w:val="0"/>
                    <w:jc w:val="center"/>
                    <w:rPr>
                      <w:rFonts w:ascii="Times New Roman" w:hAnsi="Times New Roman" w:eastAsia="宋体" w:cs="Times New Roman"/>
                      <w:i w:val="0"/>
                      <w:iCs w:val="0"/>
                      <w:color w:val="FF0000"/>
                      <w:highlight w:val="none"/>
                    </w:rPr>
                  </w:pPr>
                </w:p>
              </w:tc>
              <w:tc>
                <w:tcPr>
                  <w:tcW w:w="486" w:type="pct"/>
                  <w:tcBorders>
                    <w:tl2br w:val="nil"/>
                    <w:tr2bl w:val="nil"/>
                  </w:tcBorders>
                  <w:noWrap w:val="0"/>
                  <w:vAlign w:val="center"/>
                </w:tcPr>
                <w:p w14:paraId="147E8428">
                  <w:pPr>
                    <w:autoSpaceDE w:val="0"/>
                    <w:autoSpaceDN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color w:val="FF0000"/>
                      <w:szCs w:val="19"/>
                      <w:lang w:bidi="ar"/>
                    </w:rPr>
                    <w:t>真空均质乳化机组</w:t>
                  </w:r>
                </w:p>
              </w:tc>
              <w:tc>
                <w:tcPr>
                  <w:tcW w:w="261" w:type="pct"/>
                  <w:tcBorders>
                    <w:tl2br w:val="nil"/>
                    <w:tr2bl w:val="nil"/>
                  </w:tcBorders>
                  <w:noWrap w:val="0"/>
                  <w:vAlign w:val="center"/>
                </w:tcPr>
                <w:p w14:paraId="3B74F42C">
                  <w:pPr>
                    <w:autoSpaceDE w:val="0"/>
                    <w:autoSpaceDN w:val="0"/>
                    <w:jc w:val="center"/>
                    <w:rPr>
                      <w:rFonts w:hint="default" w:ascii="Times New Roman" w:hAnsi="Times New Roman" w:eastAsia="宋体" w:cs="Times New Roman"/>
                      <w:i w:val="0"/>
                      <w:iCs w:val="0"/>
                      <w:color w:val="FF0000"/>
                      <w:highlight w:val="none"/>
                    </w:rPr>
                  </w:pPr>
                  <w:r>
                    <w:rPr>
                      <w:rFonts w:hint="eastAsia" w:ascii="Times New Roman" w:hAnsi="Times New Roman" w:eastAsia="宋体" w:cs="Times New Roman"/>
                      <w:i w:val="0"/>
                      <w:iCs w:val="0"/>
                      <w:color w:val="FF0000"/>
                      <w:highlight w:val="none"/>
                      <w:lang w:val="en-US" w:eastAsia="zh-CN"/>
                    </w:rPr>
                    <w:t>/</w:t>
                  </w:r>
                </w:p>
              </w:tc>
              <w:tc>
                <w:tcPr>
                  <w:tcW w:w="798" w:type="pct"/>
                  <w:tcBorders>
                    <w:tl2br w:val="nil"/>
                    <w:tr2bl w:val="nil"/>
                  </w:tcBorders>
                  <w:noWrap w:val="0"/>
                  <w:vAlign w:val="center"/>
                </w:tcPr>
                <w:p w14:paraId="0254EBF4">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w:t>
                  </w:r>
                </w:p>
              </w:tc>
              <w:tc>
                <w:tcPr>
                  <w:tcW w:w="353" w:type="pct"/>
                  <w:tcBorders>
                    <w:tl2br w:val="nil"/>
                    <w:tr2bl w:val="nil"/>
                  </w:tcBorders>
                  <w:noWrap w:val="0"/>
                  <w:vAlign w:val="center"/>
                </w:tcPr>
                <w:p w14:paraId="38935183">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65-70</w:t>
                  </w:r>
                </w:p>
              </w:tc>
              <w:tc>
                <w:tcPr>
                  <w:tcW w:w="270" w:type="pct"/>
                  <w:vMerge w:val="continue"/>
                  <w:tcBorders>
                    <w:tl2br w:val="nil"/>
                    <w:tr2bl w:val="nil"/>
                  </w:tcBorders>
                  <w:noWrap w:val="0"/>
                  <w:vAlign w:val="center"/>
                </w:tcPr>
                <w:p w14:paraId="22607D23">
                  <w:pPr>
                    <w:pStyle w:val="71"/>
                    <w:autoSpaceDE w:val="0"/>
                    <w:autoSpaceDN w:val="0"/>
                    <w:bidi w:val="0"/>
                    <w:jc w:val="center"/>
                    <w:rPr>
                      <w:rFonts w:ascii="Times New Roman" w:hAnsi="Times New Roman" w:eastAsia="宋体" w:cs="Times New Roman"/>
                      <w:i w:val="0"/>
                      <w:iCs w:val="0"/>
                      <w:color w:val="FF0000"/>
                      <w:highlight w:val="none"/>
                    </w:rPr>
                  </w:pPr>
                </w:p>
              </w:tc>
              <w:tc>
                <w:tcPr>
                  <w:tcW w:w="210" w:type="pct"/>
                  <w:tcBorders>
                    <w:tl2br w:val="nil"/>
                    <w:tr2bl w:val="nil"/>
                  </w:tcBorders>
                  <w:noWrap w:val="0"/>
                  <w:vAlign w:val="center"/>
                </w:tcPr>
                <w:p w14:paraId="5A7DFC45">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20</w:t>
                  </w:r>
                </w:p>
              </w:tc>
              <w:tc>
                <w:tcPr>
                  <w:tcW w:w="153" w:type="pct"/>
                  <w:tcBorders>
                    <w:tl2br w:val="nil"/>
                    <w:tr2bl w:val="nil"/>
                  </w:tcBorders>
                  <w:noWrap w:val="0"/>
                  <w:vAlign w:val="center"/>
                </w:tcPr>
                <w:p w14:paraId="14DD82D2">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3</w:t>
                  </w:r>
                </w:p>
              </w:tc>
              <w:tc>
                <w:tcPr>
                  <w:tcW w:w="148" w:type="pct"/>
                  <w:tcBorders>
                    <w:tl2br w:val="nil"/>
                    <w:tr2bl w:val="nil"/>
                  </w:tcBorders>
                  <w:noWrap w:val="0"/>
                  <w:vAlign w:val="center"/>
                </w:tcPr>
                <w:p w14:paraId="29ACEA8C">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kern w:val="2"/>
                      <w:sz w:val="21"/>
                      <w:szCs w:val="24"/>
                      <w:highlight w:val="none"/>
                      <w:lang w:val="en-US" w:eastAsia="zh-CN" w:bidi="ar-SA"/>
                    </w:rPr>
                    <w:t>1</w:t>
                  </w:r>
                </w:p>
              </w:tc>
              <w:tc>
                <w:tcPr>
                  <w:tcW w:w="182" w:type="pct"/>
                  <w:tcBorders>
                    <w:tl2br w:val="nil"/>
                    <w:tr2bl w:val="nil"/>
                  </w:tcBorders>
                  <w:noWrap w:val="0"/>
                  <w:vAlign w:val="center"/>
                </w:tcPr>
                <w:p w14:paraId="3E66CC4B">
                  <w:pPr>
                    <w:autoSpaceDE w:val="0"/>
                    <w:autoSpaceDN w:val="0"/>
                    <w:spacing w:before="20" w:after="2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10</w:t>
                  </w:r>
                </w:p>
              </w:tc>
              <w:tc>
                <w:tcPr>
                  <w:tcW w:w="192" w:type="pct"/>
                  <w:tcBorders>
                    <w:tl2br w:val="nil"/>
                    <w:tr2bl w:val="nil"/>
                  </w:tcBorders>
                  <w:noWrap w:val="0"/>
                  <w:vAlign w:val="center"/>
                </w:tcPr>
                <w:p w14:paraId="2A23AA13">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51</w:t>
                  </w:r>
                </w:p>
              </w:tc>
              <w:tc>
                <w:tcPr>
                  <w:tcW w:w="182" w:type="pct"/>
                  <w:tcBorders>
                    <w:tl2br w:val="nil"/>
                    <w:tr2bl w:val="nil"/>
                  </w:tcBorders>
                  <w:noWrap w:val="0"/>
                  <w:vAlign w:val="center"/>
                </w:tcPr>
                <w:p w14:paraId="7A2C757E">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15</w:t>
                  </w:r>
                </w:p>
              </w:tc>
              <w:tc>
                <w:tcPr>
                  <w:tcW w:w="191" w:type="pct"/>
                  <w:tcBorders>
                    <w:tl2br w:val="nil"/>
                    <w:tr2bl w:val="nil"/>
                  </w:tcBorders>
                  <w:noWrap w:val="0"/>
                  <w:vAlign w:val="center"/>
                </w:tcPr>
                <w:p w14:paraId="71B1E933">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9</w:t>
                  </w:r>
                </w:p>
              </w:tc>
              <w:tc>
                <w:tcPr>
                  <w:tcW w:w="336" w:type="pct"/>
                  <w:tcBorders>
                    <w:tl2br w:val="nil"/>
                    <w:tr2bl w:val="nil"/>
                  </w:tcBorders>
                  <w:noWrap w:val="0"/>
                  <w:vAlign w:val="center"/>
                </w:tcPr>
                <w:p w14:paraId="71EF5123">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50</w:t>
                  </w:r>
                </w:p>
              </w:tc>
              <w:tc>
                <w:tcPr>
                  <w:tcW w:w="303" w:type="pct"/>
                  <w:tcBorders>
                    <w:tl2br w:val="nil"/>
                    <w:tr2bl w:val="nil"/>
                  </w:tcBorders>
                  <w:noWrap w:val="0"/>
                  <w:vAlign w:val="center"/>
                </w:tcPr>
                <w:p w14:paraId="12115817">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35.84</w:t>
                  </w:r>
                </w:p>
              </w:tc>
              <w:tc>
                <w:tcPr>
                  <w:tcW w:w="303" w:type="pct"/>
                  <w:tcBorders>
                    <w:tl2br w:val="nil"/>
                    <w:tr2bl w:val="nil"/>
                  </w:tcBorders>
                  <w:noWrap w:val="0"/>
                  <w:vAlign w:val="center"/>
                </w:tcPr>
                <w:p w14:paraId="7ABA5678">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46.47</w:t>
                  </w:r>
                </w:p>
              </w:tc>
              <w:tc>
                <w:tcPr>
                  <w:tcW w:w="304" w:type="pct"/>
                  <w:tcBorders>
                    <w:tl2br w:val="nil"/>
                    <w:tr2bl w:val="nil"/>
                  </w:tcBorders>
                  <w:noWrap w:val="0"/>
                  <w:vAlign w:val="center"/>
                </w:tcPr>
                <w:p w14:paraId="476039A7">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50.91</w:t>
                  </w:r>
                </w:p>
              </w:tc>
            </w:tr>
            <w:tr w14:paraId="1F0748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183" w:type="pct"/>
                  <w:vMerge w:val="continue"/>
                  <w:tcBorders>
                    <w:tl2br w:val="nil"/>
                    <w:tr2bl w:val="nil"/>
                  </w:tcBorders>
                  <w:noWrap w:val="0"/>
                  <w:vAlign w:val="center"/>
                </w:tcPr>
                <w:p w14:paraId="28ABE5CE">
                  <w:pPr>
                    <w:pStyle w:val="71"/>
                    <w:autoSpaceDE w:val="0"/>
                    <w:autoSpaceDN w:val="0"/>
                    <w:bidi w:val="0"/>
                    <w:jc w:val="center"/>
                    <w:rPr>
                      <w:rFonts w:ascii="Times New Roman" w:hAnsi="Times New Roman" w:eastAsia="宋体" w:cs="Times New Roman"/>
                      <w:i w:val="0"/>
                      <w:iCs w:val="0"/>
                      <w:color w:val="FF0000"/>
                      <w:highlight w:val="none"/>
                    </w:rPr>
                  </w:pPr>
                </w:p>
              </w:tc>
              <w:tc>
                <w:tcPr>
                  <w:tcW w:w="137" w:type="pct"/>
                  <w:vMerge w:val="continue"/>
                  <w:tcBorders>
                    <w:tl2br w:val="nil"/>
                    <w:tr2bl w:val="nil"/>
                  </w:tcBorders>
                  <w:noWrap w:val="0"/>
                  <w:vAlign w:val="center"/>
                </w:tcPr>
                <w:p w14:paraId="3B601A0E">
                  <w:pPr>
                    <w:pStyle w:val="71"/>
                    <w:autoSpaceDE w:val="0"/>
                    <w:autoSpaceDN w:val="0"/>
                    <w:bidi w:val="0"/>
                    <w:jc w:val="center"/>
                    <w:rPr>
                      <w:rFonts w:ascii="Times New Roman" w:hAnsi="Times New Roman" w:eastAsia="宋体" w:cs="Times New Roman"/>
                      <w:i w:val="0"/>
                      <w:iCs w:val="0"/>
                      <w:color w:val="FF0000"/>
                      <w:highlight w:val="none"/>
                    </w:rPr>
                  </w:pPr>
                </w:p>
              </w:tc>
              <w:tc>
                <w:tcPr>
                  <w:tcW w:w="486" w:type="pct"/>
                  <w:tcBorders>
                    <w:tl2br w:val="nil"/>
                    <w:tr2bl w:val="nil"/>
                  </w:tcBorders>
                  <w:noWrap w:val="0"/>
                  <w:vAlign w:val="center"/>
                </w:tcPr>
                <w:p w14:paraId="18DBBBDE">
                  <w:pPr>
                    <w:autoSpaceDE w:val="0"/>
                    <w:autoSpaceDN w:val="0"/>
                    <w:jc w:val="center"/>
                    <w:rPr>
                      <w:rFonts w:ascii="Times New Roman" w:hAnsi="Times New Roman" w:eastAsia="宋体" w:cs="Times New Roman"/>
                      <w:color w:val="FF0000"/>
                      <w:sz w:val="21"/>
                      <w:szCs w:val="21"/>
                      <w:highlight w:val="none"/>
                      <w:lang w:val="en-US" w:eastAsia="zh-CN" w:bidi="ar-SA"/>
                    </w:rPr>
                  </w:pPr>
                  <w:r>
                    <w:rPr>
                      <w:rFonts w:hint="eastAsia" w:ascii="Times New Roman" w:hAnsi="Times New Roman" w:eastAsia="宋体" w:cs="Times New Roman"/>
                      <w:color w:val="FF0000"/>
                      <w:szCs w:val="19"/>
                      <w:lang w:bidi="ar"/>
                    </w:rPr>
                    <w:t>瓶装灌装旋盖机</w:t>
                  </w:r>
                </w:p>
              </w:tc>
              <w:tc>
                <w:tcPr>
                  <w:tcW w:w="261" w:type="pct"/>
                  <w:tcBorders>
                    <w:tl2br w:val="nil"/>
                    <w:tr2bl w:val="nil"/>
                  </w:tcBorders>
                  <w:noWrap w:val="0"/>
                  <w:vAlign w:val="center"/>
                </w:tcPr>
                <w:p w14:paraId="5480BBFC">
                  <w:pPr>
                    <w:autoSpaceDE w:val="0"/>
                    <w:autoSpaceDN w:val="0"/>
                    <w:jc w:val="center"/>
                    <w:rPr>
                      <w:rFonts w:hint="eastAsia" w:ascii="Times New Roman" w:hAnsi="Times New Roman" w:eastAsia="宋体" w:cs="Times New Roman"/>
                      <w:color w:val="FF0000"/>
                      <w:sz w:val="21"/>
                      <w:szCs w:val="21"/>
                      <w:highlight w:val="none"/>
                      <w:lang w:val="en-US" w:eastAsia="zh-CN" w:bidi="ar-SA"/>
                    </w:rPr>
                  </w:pPr>
                  <w:r>
                    <w:rPr>
                      <w:rFonts w:hint="eastAsia" w:ascii="Times New Roman" w:hAnsi="Times New Roman" w:eastAsia="宋体" w:cs="Times New Roman"/>
                      <w:i w:val="0"/>
                      <w:iCs w:val="0"/>
                      <w:color w:val="FF0000"/>
                      <w:highlight w:val="none"/>
                      <w:lang w:val="en-US" w:eastAsia="zh-CN"/>
                    </w:rPr>
                    <w:t>/</w:t>
                  </w:r>
                </w:p>
              </w:tc>
              <w:tc>
                <w:tcPr>
                  <w:tcW w:w="798" w:type="pct"/>
                  <w:tcBorders>
                    <w:tl2br w:val="nil"/>
                    <w:tr2bl w:val="nil"/>
                  </w:tcBorders>
                  <w:noWrap w:val="0"/>
                  <w:vAlign w:val="center"/>
                </w:tcPr>
                <w:p w14:paraId="0962A4ED">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353" w:type="pct"/>
                  <w:tcBorders>
                    <w:tl2br w:val="nil"/>
                    <w:tr2bl w:val="nil"/>
                  </w:tcBorders>
                  <w:noWrap w:val="0"/>
                  <w:vAlign w:val="center"/>
                </w:tcPr>
                <w:p w14:paraId="49376CC2">
                  <w:pPr>
                    <w:autoSpaceDE w:val="0"/>
                    <w:autoSpaceDN w:val="0"/>
                    <w:bidi w:val="0"/>
                    <w:jc w:val="center"/>
                    <w:rPr>
                      <w:rFonts w:hint="eastAsia" w:ascii="Times New Roman" w:hAnsi="Times New Roman" w:eastAsia="宋体" w:cs="Times New Roman"/>
                      <w:i w:val="0"/>
                      <w:iCs w:val="0"/>
                      <w:color w:val="FF0000"/>
                      <w:sz w:val="21"/>
                      <w:szCs w:val="21"/>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60-65</w:t>
                  </w:r>
                </w:p>
              </w:tc>
              <w:tc>
                <w:tcPr>
                  <w:tcW w:w="270" w:type="pct"/>
                  <w:vMerge w:val="continue"/>
                  <w:tcBorders>
                    <w:tl2br w:val="nil"/>
                    <w:tr2bl w:val="nil"/>
                  </w:tcBorders>
                  <w:noWrap w:val="0"/>
                  <w:vAlign w:val="center"/>
                </w:tcPr>
                <w:p w14:paraId="68590DB1">
                  <w:pPr>
                    <w:pStyle w:val="71"/>
                    <w:autoSpaceDE w:val="0"/>
                    <w:autoSpaceDN w:val="0"/>
                    <w:bidi w:val="0"/>
                    <w:jc w:val="center"/>
                    <w:rPr>
                      <w:rFonts w:ascii="Times New Roman" w:hAnsi="Times New Roman" w:eastAsia="宋体" w:cs="Times New Roman"/>
                      <w:i w:val="0"/>
                      <w:iCs w:val="0"/>
                      <w:color w:val="FF0000"/>
                      <w:highlight w:val="none"/>
                    </w:rPr>
                  </w:pPr>
                </w:p>
              </w:tc>
              <w:tc>
                <w:tcPr>
                  <w:tcW w:w="210" w:type="pct"/>
                  <w:tcBorders>
                    <w:tl2br w:val="nil"/>
                    <w:tr2bl w:val="nil"/>
                  </w:tcBorders>
                  <w:noWrap w:val="0"/>
                  <w:vAlign w:val="center"/>
                </w:tcPr>
                <w:p w14:paraId="0AF87F75">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14</w:t>
                  </w:r>
                </w:p>
              </w:tc>
              <w:tc>
                <w:tcPr>
                  <w:tcW w:w="153" w:type="pct"/>
                  <w:tcBorders>
                    <w:tl2br w:val="nil"/>
                    <w:tr2bl w:val="nil"/>
                  </w:tcBorders>
                  <w:noWrap w:val="0"/>
                  <w:vAlign w:val="center"/>
                </w:tcPr>
                <w:p w14:paraId="1BF20644">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4</w:t>
                  </w:r>
                </w:p>
              </w:tc>
              <w:tc>
                <w:tcPr>
                  <w:tcW w:w="148" w:type="pct"/>
                  <w:tcBorders>
                    <w:tl2br w:val="nil"/>
                    <w:tr2bl w:val="nil"/>
                  </w:tcBorders>
                  <w:noWrap w:val="0"/>
                  <w:vAlign w:val="center"/>
                </w:tcPr>
                <w:p w14:paraId="52B0F471">
                  <w:pPr>
                    <w:autoSpaceDE w:val="0"/>
                    <w:autoSpaceDN w:val="0"/>
                    <w:bidi w:val="0"/>
                    <w:jc w:val="center"/>
                    <w:rPr>
                      <w:rFonts w:hint="eastAsia"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kern w:val="2"/>
                      <w:sz w:val="21"/>
                      <w:szCs w:val="24"/>
                      <w:highlight w:val="none"/>
                      <w:lang w:val="en-US" w:eastAsia="zh-CN" w:bidi="ar-SA"/>
                    </w:rPr>
                    <w:t>1</w:t>
                  </w:r>
                </w:p>
              </w:tc>
              <w:tc>
                <w:tcPr>
                  <w:tcW w:w="182" w:type="pct"/>
                  <w:tcBorders>
                    <w:tl2br w:val="nil"/>
                    <w:tr2bl w:val="nil"/>
                  </w:tcBorders>
                  <w:noWrap w:val="0"/>
                  <w:vAlign w:val="center"/>
                </w:tcPr>
                <w:p w14:paraId="5C805F0A">
                  <w:pPr>
                    <w:autoSpaceDE w:val="0"/>
                    <w:autoSpaceDN w:val="0"/>
                    <w:spacing w:before="20" w:after="2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16</w:t>
                  </w:r>
                </w:p>
              </w:tc>
              <w:tc>
                <w:tcPr>
                  <w:tcW w:w="192" w:type="pct"/>
                  <w:tcBorders>
                    <w:tl2br w:val="nil"/>
                    <w:tr2bl w:val="nil"/>
                  </w:tcBorders>
                  <w:noWrap w:val="0"/>
                  <w:vAlign w:val="center"/>
                </w:tcPr>
                <w:p w14:paraId="797C6ED1">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44</w:t>
                  </w:r>
                </w:p>
              </w:tc>
              <w:tc>
                <w:tcPr>
                  <w:tcW w:w="182" w:type="pct"/>
                  <w:tcBorders>
                    <w:tl2br w:val="nil"/>
                    <w:tr2bl w:val="nil"/>
                  </w:tcBorders>
                  <w:noWrap w:val="0"/>
                  <w:vAlign w:val="center"/>
                </w:tcPr>
                <w:p w14:paraId="1287858F">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15</w:t>
                  </w:r>
                </w:p>
              </w:tc>
              <w:tc>
                <w:tcPr>
                  <w:tcW w:w="191" w:type="pct"/>
                  <w:tcBorders>
                    <w:tl2br w:val="nil"/>
                    <w:tr2bl w:val="nil"/>
                  </w:tcBorders>
                  <w:noWrap w:val="0"/>
                  <w:vAlign w:val="center"/>
                </w:tcPr>
                <w:p w14:paraId="354C76C8">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10</w:t>
                  </w:r>
                </w:p>
              </w:tc>
              <w:tc>
                <w:tcPr>
                  <w:tcW w:w="336" w:type="pct"/>
                  <w:tcBorders>
                    <w:tl2br w:val="nil"/>
                    <w:tr2bl w:val="nil"/>
                  </w:tcBorders>
                  <w:noWrap w:val="0"/>
                  <w:vAlign w:val="center"/>
                </w:tcPr>
                <w:p w14:paraId="66243A29">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40.91</w:t>
                  </w:r>
                </w:p>
              </w:tc>
              <w:tc>
                <w:tcPr>
                  <w:tcW w:w="303" w:type="pct"/>
                  <w:tcBorders>
                    <w:tl2br w:val="nil"/>
                    <w:tr2bl w:val="nil"/>
                  </w:tcBorders>
                  <w:noWrap w:val="0"/>
                  <w:vAlign w:val="center"/>
                </w:tcPr>
                <w:p w14:paraId="49D68842">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32.13</w:t>
                  </w:r>
                </w:p>
              </w:tc>
              <w:tc>
                <w:tcPr>
                  <w:tcW w:w="303" w:type="pct"/>
                  <w:tcBorders>
                    <w:tl2br w:val="nil"/>
                    <w:tr2bl w:val="nil"/>
                  </w:tcBorders>
                  <w:noWrap w:val="0"/>
                  <w:vAlign w:val="center"/>
                </w:tcPr>
                <w:p w14:paraId="7DA01112">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41.47</w:t>
                  </w:r>
                </w:p>
              </w:tc>
              <w:tc>
                <w:tcPr>
                  <w:tcW w:w="304" w:type="pct"/>
                  <w:tcBorders>
                    <w:tl2br w:val="nil"/>
                    <w:tr2bl w:val="nil"/>
                  </w:tcBorders>
                  <w:noWrap w:val="0"/>
                  <w:vAlign w:val="center"/>
                </w:tcPr>
                <w:p w14:paraId="7F1411A1">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45</w:t>
                  </w:r>
                </w:p>
              </w:tc>
            </w:tr>
            <w:tr w14:paraId="77D8C5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83" w:type="pct"/>
                  <w:vMerge w:val="continue"/>
                  <w:tcBorders>
                    <w:tl2br w:val="nil"/>
                    <w:tr2bl w:val="nil"/>
                  </w:tcBorders>
                  <w:noWrap w:val="0"/>
                  <w:vAlign w:val="center"/>
                </w:tcPr>
                <w:p w14:paraId="51D2E2DC">
                  <w:pPr>
                    <w:pStyle w:val="71"/>
                    <w:autoSpaceDE w:val="0"/>
                    <w:autoSpaceDN w:val="0"/>
                    <w:bidi w:val="0"/>
                    <w:jc w:val="center"/>
                    <w:rPr>
                      <w:rFonts w:ascii="Times New Roman" w:hAnsi="Times New Roman" w:eastAsia="宋体" w:cs="Times New Roman"/>
                      <w:i w:val="0"/>
                      <w:iCs w:val="0"/>
                      <w:color w:val="FF0000"/>
                      <w:highlight w:val="none"/>
                    </w:rPr>
                  </w:pPr>
                </w:p>
              </w:tc>
              <w:tc>
                <w:tcPr>
                  <w:tcW w:w="137" w:type="pct"/>
                  <w:vMerge w:val="continue"/>
                  <w:tcBorders>
                    <w:tl2br w:val="nil"/>
                    <w:tr2bl w:val="nil"/>
                  </w:tcBorders>
                  <w:noWrap w:val="0"/>
                  <w:vAlign w:val="center"/>
                </w:tcPr>
                <w:p w14:paraId="7AD42ECB">
                  <w:pPr>
                    <w:pStyle w:val="71"/>
                    <w:autoSpaceDE w:val="0"/>
                    <w:autoSpaceDN w:val="0"/>
                    <w:bidi w:val="0"/>
                    <w:jc w:val="center"/>
                    <w:rPr>
                      <w:rFonts w:ascii="Times New Roman" w:hAnsi="Times New Roman" w:eastAsia="宋体" w:cs="Times New Roman"/>
                      <w:i w:val="0"/>
                      <w:iCs w:val="0"/>
                      <w:color w:val="FF0000"/>
                      <w:highlight w:val="none"/>
                    </w:rPr>
                  </w:pPr>
                </w:p>
              </w:tc>
              <w:tc>
                <w:tcPr>
                  <w:tcW w:w="486" w:type="pct"/>
                  <w:tcBorders>
                    <w:tl2br w:val="nil"/>
                    <w:tr2bl w:val="nil"/>
                  </w:tcBorders>
                  <w:noWrap w:val="0"/>
                  <w:vAlign w:val="center"/>
                </w:tcPr>
                <w:p w14:paraId="4FBF33FE">
                  <w:pPr>
                    <w:autoSpaceDE w:val="0"/>
                    <w:autoSpaceDN w:val="0"/>
                    <w:jc w:val="center"/>
                    <w:rPr>
                      <w:rFonts w:ascii="Times New Roman" w:hAnsi="Times New Roman" w:eastAsia="宋体" w:cs="Times New Roman"/>
                      <w:color w:val="FF0000"/>
                      <w:sz w:val="21"/>
                      <w:szCs w:val="21"/>
                      <w:highlight w:val="none"/>
                      <w:lang w:val="en-US" w:eastAsia="zh-CN" w:bidi="ar-SA"/>
                    </w:rPr>
                  </w:pPr>
                  <w:r>
                    <w:rPr>
                      <w:rFonts w:hint="eastAsia" w:ascii="Times New Roman" w:hAnsi="Times New Roman" w:eastAsia="宋体" w:cs="Times New Roman"/>
                      <w:color w:val="FF0000"/>
                      <w:szCs w:val="19"/>
                      <w:lang w:bidi="ar"/>
                    </w:rPr>
                    <w:t>自动封口机</w:t>
                  </w:r>
                </w:p>
              </w:tc>
              <w:tc>
                <w:tcPr>
                  <w:tcW w:w="261" w:type="pct"/>
                  <w:tcBorders>
                    <w:tl2br w:val="nil"/>
                    <w:tr2bl w:val="nil"/>
                  </w:tcBorders>
                  <w:noWrap w:val="0"/>
                  <w:vAlign w:val="center"/>
                </w:tcPr>
                <w:p w14:paraId="6CEC0FD6">
                  <w:pPr>
                    <w:autoSpaceDE w:val="0"/>
                    <w:autoSpaceDN w:val="0"/>
                    <w:jc w:val="center"/>
                    <w:rPr>
                      <w:rFonts w:hint="eastAsia" w:ascii="Times New Roman" w:hAnsi="Times New Roman" w:eastAsia="宋体" w:cs="Times New Roman"/>
                      <w:color w:val="FF0000"/>
                      <w:sz w:val="21"/>
                      <w:szCs w:val="21"/>
                      <w:highlight w:val="none"/>
                      <w:lang w:val="en-US" w:eastAsia="zh-CN" w:bidi="ar-SA"/>
                    </w:rPr>
                  </w:pPr>
                  <w:r>
                    <w:rPr>
                      <w:rFonts w:hint="eastAsia" w:ascii="Times New Roman" w:hAnsi="Times New Roman" w:eastAsia="宋体" w:cs="Times New Roman"/>
                      <w:i w:val="0"/>
                      <w:iCs w:val="0"/>
                      <w:color w:val="FF0000"/>
                      <w:highlight w:val="none"/>
                      <w:lang w:val="en-US" w:eastAsia="zh-CN"/>
                    </w:rPr>
                    <w:t>/</w:t>
                  </w:r>
                </w:p>
              </w:tc>
              <w:tc>
                <w:tcPr>
                  <w:tcW w:w="798" w:type="pct"/>
                  <w:tcBorders>
                    <w:tl2br w:val="nil"/>
                    <w:tr2bl w:val="nil"/>
                  </w:tcBorders>
                  <w:noWrap w:val="0"/>
                  <w:vAlign w:val="center"/>
                </w:tcPr>
                <w:p w14:paraId="6595CC6F">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353" w:type="pct"/>
                  <w:tcBorders>
                    <w:tl2br w:val="nil"/>
                    <w:tr2bl w:val="nil"/>
                  </w:tcBorders>
                  <w:noWrap w:val="0"/>
                  <w:vAlign w:val="center"/>
                </w:tcPr>
                <w:p w14:paraId="58D4992E">
                  <w:pPr>
                    <w:autoSpaceDE w:val="0"/>
                    <w:autoSpaceDN w:val="0"/>
                    <w:bidi w:val="0"/>
                    <w:jc w:val="center"/>
                    <w:rPr>
                      <w:rFonts w:hint="eastAsia" w:ascii="Times New Roman" w:hAnsi="Times New Roman" w:eastAsia="宋体" w:cs="Times New Roman"/>
                      <w:i w:val="0"/>
                      <w:iCs w:val="0"/>
                      <w:color w:val="FF0000"/>
                      <w:sz w:val="21"/>
                      <w:szCs w:val="21"/>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60-65</w:t>
                  </w:r>
                </w:p>
              </w:tc>
              <w:tc>
                <w:tcPr>
                  <w:tcW w:w="270" w:type="pct"/>
                  <w:vMerge w:val="continue"/>
                  <w:tcBorders>
                    <w:tl2br w:val="nil"/>
                    <w:tr2bl w:val="nil"/>
                  </w:tcBorders>
                  <w:noWrap w:val="0"/>
                  <w:vAlign w:val="center"/>
                </w:tcPr>
                <w:p w14:paraId="3B76A5A3">
                  <w:pPr>
                    <w:pStyle w:val="71"/>
                    <w:autoSpaceDE w:val="0"/>
                    <w:autoSpaceDN w:val="0"/>
                    <w:bidi w:val="0"/>
                    <w:jc w:val="center"/>
                    <w:rPr>
                      <w:rFonts w:ascii="Times New Roman" w:hAnsi="Times New Roman" w:eastAsia="宋体" w:cs="Times New Roman"/>
                      <w:i w:val="0"/>
                      <w:iCs w:val="0"/>
                      <w:color w:val="FF0000"/>
                      <w:highlight w:val="none"/>
                    </w:rPr>
                  </w:pPr>
                </w:p>
              </w:tc>
              <w:tc>
                <w:tcPr>
                  <w:tcW w:w="210" w:type="pct"/>
                  <w:tcBorders>
                    <w:tl2br w:val="nil"/>
                    <w:tr2bl w:val="nil"/>
                  </w:tcBorders>
                  <w:noWrap w:val="0"/>
                  <w:vAlign w:val="center"/>
                </w:tcPr>
                <w:p w14:paraId="2B9567D3">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13</w:t>
                  </w:r>
                </w:p>
              </w:tc>
              <w:tc>
                <w:tcPr>
                  <w:tcW w:w="153" w:type="pct"/>
                  <w:tcBorders>
                    <w:tl2br w:val="nil"/>
                    <w:tr2bl w:val="nil"/>
                  </w:tcBorders>
                  <w:noWrap w:val="0"/>
                  <w:vAlign w:val="center"/>
                </w:tcPr>
                <w:p w14:paraId="25098698">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10</w:t>
                  </w:r>
                </w:p>
              </w:tc>
              <w:tc>
                <w:tcPr>
                  <w:tcW w:w="148" w:type="pct"/>
                  <w:tcBorders>
                    <w:tl2br w:val="nil"/>
                    <w:tr2bl w:val="nil"/>
                  </w:tcBorders>
                  <w:noWrap w:val="0"/>
                  <w:vAlign w:val="center"/>
                </w:tcPr>
                <w:p w14:paraId="2A2CA781">
                  <w:pPr>
                    <w:autoSpaceDE w:val="0"/>
                    <w:autoSpaceDN w:val="0"/>
                    <w:bidi w:val="0"/>
                    <w:jc w:val="center"/>
                    <w:rPr>
                      <w:rFonts w:hint="eastAsia"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kern w:val="2"/>
                      <w:sz w:val="21"/>
                      <w:szCs w:val="24"/>
                      <w:highlight w:val="none"/>
                      <w:lang w:val="en-US" w:eastAsia="zh-CN" w:bidi="ar-SA"/>
                    </w:rPr>
                    <w:t>1</w:t>
                  </w:r>
                </w:p>
              </w:tc>
              <w:tc>
                <w:tcPr>
                  <w:tcW w:w="182" w:type="pct"/>
                  <w:tcBorders>
                    <w:tl2br w:val="nil"/>
                    <w:tr2bl w:val="nil"/>
                  </w:tcBorders>
                  <w:noWrap w:val="0"/>
                  <w:vAlign w:val="center"/>
                </w:tcPr>
                <w:p w14:paraId="4F04520A">
                  <w:pPr>
                    <w:autoSpaceDE w:val="0"/>
                    <w:autoSpaceDN w:val="0"/>
                    <w:spacing w:before="20" w:after="2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16</w:t>
                  </w:r>
                </w:p>
              </w:tc>
              <w:tc>
                <w:tcPr>
                  <w:tcW w:w="192" w:type="pct"/>
                  <w:tcBorders>
                    <w:tl2br w:val="nil"/>
                    <w:tr2bl w:val="nil"/>
                  </w:tcBorders>
                  <w:noWrap w:val="0"/>
                  <w:vAlign w:val="center"/>
                </w:tcPr>
                <w:p w14:paraId="43948B19">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43</w:t>
                  </w:r>
                </w:p>
              </w:tc>
              <w:tc>
                <w:tcPr>
                  <w:tcW w:w="182" w:type="pct"/>
                  <w:tcBorders>
                    <w:tl2br w:val="nil"/>
                    <w:tr2bl w:val="nil"/>
                  </w:tcBorders>
                  <w:noWrap w:val="0"/>
                  <w:vAlign w:val="center"/>
                </w:tcPr>
                <w:p w14:paraId="4EC22C50">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20</w:t>
                  </w:r>
                </w:p>
              </w:tc>
              <w:tc>
                <w:tcPr>
                  <w:tcW w:w="191" w:type="pct"/>
                  <w:tcBorders>
                    <w:tl2br w:val="nil"/>
                    <w:tr2bl w:val="nil"/>
                  </w:tcBorders>
                  <w:noWrap w:val="0"/>
                  <w:vAlign w:val="center"/>
                </w:tcPr>
                <w:p w14:paraId="083C266D">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5</w:t>
                  </w:r>
                </w:p>
              </w:tc>
              <w:tc>
                <w:tcPr>
                  <w:tcW w:w="336" w:type="pct"/>
                  <w:tcBorders>
                    <w:tl2br w:val="nil"/>
                    <w:tr2bl w:val="nil"/>
                  </w:tcBorders>
                  <w:noWrap w:val="0"/>
                  <w:vAlign w:val="center"/>
                </w:tcPr>
                <w:p w14:paraId="71C34B19">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40.91</w:t>
                  </w:r>
                </w:p>
              </w:tc>
              <w:tc>
                <w:tcPr>
                  <w:tcW w:w="303" w:type="pct"/>
                  <w:tcBorders>
                    <w:tl2br w:val="nil"/>
                    <w:tr2bl w:val="nil"/>
                  </w:tcBorders>
                  <w:noWrap w:val="0"/>
                  <w:vAlign w:val="center"/>
                </w:tcPr>
                <w:p w14:paraId="3AD55A80">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32.33</w:t>
                  </w:r>
                </w:p>
              </w:tc>
              <w:tc>
                <w:tcPr>
                  <w:tcW w:w="303" w:type="pct"/>
                  <w:tcBorders>
                    <w:tl2br w:val="nil"/>
                    <w:tr2bl w:val="nil"/>
                  </w:tcBorders>
                  <w:noWrap w:val="0"/>
                  <w:vAlign w:val="center"/>
                </w:tcPr>
                <w:p w14:paraId="090EDB97">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38.97</w:t>
                  </w:r>
                </w:p>
              </w:tc>
              <w:tc>
                <w:tcPr>
                  <w:tcW w:w="304" w:type="pct"/>
                  <w:tcBorders>
                    <w:tl2br w:val="nil"/>
                    <w:tr2bl w:val="nil"/>
                  </w:tcBorders>
                  <w:noWrap w:val="0"/>
                  <w:vAlign w:val="center"/>
                </w:tcPr>
                <w:p w14:paraId="4BF62737">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51.02</w:t>
                  </w:r>
                </w:p>
              </w:tc>
            </w:tr>
            <w:tr w14:paraId="32D0CA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83" w:type="pct"/>
                  <w:vMerge w:val="continue"/>
                  <w:tcBorders>
                    <w:tl2br w:val="nil"/>
                    <w:tr2bl w:val="nil"/>
                  </w:tcBorders>
                  <w:noWrap w:val="0"/>
                  <w:vAlign w:val="center"/>
                </w:tcPr>
                <w:p w14:paraId="63620116">
                  <w:pPr>
                    <w:pStyle w:val="71"/>
                    <w:autoSpaceDE w:val="0"/>
                    <w:autoSpaceDN w:val="0"/>
                    <w:bidi w:val="0"/>
                    <w:jc w:val="center"/>
                    <w:rPr>
                      <w:rFonts w:ascii="Times New Roman" w:hAnsi="Times New Roman" w:eastAsia="宋体" w:cs="Times New Roman"/>
                      <w:i w:val="0"/>
                      <w:iCs w:val="0"/>
                      <w:color w:val="FF0000"/>
                      <w:highlight w:val="none"/>
                    </w:rPr>
                  </w:pPr>
                </w:p>
              </w:tc>
              <w:tc>
                <w:tcPr>
                  <w:tcW w:w="137" w:type="pct"/>
                  <w:vMerge w:val="continue"/>
                  <w:tcBorders>
                    <w:tl2br w:val="nil"/>
                    <w:tr2bl w:val="nil"/>
                  </w:tcBorders>
                  <w:noWrap w:val="0"/>
                  <w:vAlign w:val="center"/>
                </w:tcPr>
                <w:p w14:paraId="35E6F896">
                  <w:pPr>
                    <w:pStyle w:val="71"/>
                    <w:autoSpaceDE w:val="0"/>
                    <w:autoSpaceDN w:val="0"/>
                    <w:bidi w:val="0"/>
                    <w:jc w:val="center"/>
                    <w:rPr>
                      <w:rFonts w:ascii="Times New Roman" w:hAnsi="Times New Roman" w:eastAsia="宋体" w:cs="Times New Roman"/>
                      <w:i w:val="0"/>
                      <w:iCs w:val="0"/>
                      <w:color w:val="FF0000"/>
                      <w:highlight w:val="none"/>
                    </w:rPr>
                  </w:pPr>
                </w:p>
              </w:tc>
              <w:tc>
                <w:tcPr>
                  <w:tcW w:w="486" w:type="pct"/>
                  <w:tcBorders>
                    <w:tl2br w:val="nil"/>
                    <w:tr2bl w:val="nil"/>
                  </w:tcBorders>
                  <w:noWrap w:val="0"/>
                  <w:vAlign w:val="center"/>
                </w:tcPr>
                <w:p w14:paraId="47A50C15">
                  <w:pPr>
                    <w:autoSpaceDE w:val="0"/>
                    <w:autoSpaceDN w:val="0"/>
                    <w:jc w:val="center"/>
                    <w:rPr>
                      <w:rFonts w:ascii="Times New Roman" w:hAnsi="Times New Roman" w:eastAsia="宋体" w:cs="Times New Roman"/>
                      <w:color w:val="FF0000"/>
                      <w:sz w:val="21"/>
                      <w:szCs w:val="21"/>
                      <w:highlight w:val="none"/>
                      <w:lang w:val="en-US" w:eastAsia="zh-CN" w:bidi="ar-SA"/>
                    </w:rPr>
                  </w:pPr>
                  <w:r>
                    <w:rPr>
                      <w:rFonts w:hint="eastAsia" w:ascii="Times New Roman" w:hAnsi="Times New Roman" w:eastAsia="宋体" w:cs="Times New Roman"/>
                      <w:color w:val="FF0000"/>
                      <w:szCs w:val="19"/>
                      <w:lang w:bidi="ar"/>
                    </w:rPr>
                    <w:t>热熔胶涂布机</w:t>
                  </w:r>
                </w:p>
              </w:tc>
              <w:tc>
                <w:tcPr>
                  <w:tcW w:w="261" w:type="pct"/>
                  <w:tcBorders>
                    <w:tl2br w:val="nil"/>
                    <w:tr2bl w:val="nil"/>
                  </w:tcBorders>
                  <w:noWrap w:val="0"/>
                  <w:vAlign w:val="center"/>
                </w:tcPr>
                <w:p w14:paraId="699037AB">
                  <w:pPr>
                    <w:autoSpaceDE w:val="0"/>
                    <w:autoSpaceDN w:val="0"/>
                    <w:jc w:val="center"/>
                    <w:rPr>
                      <w:rFonts w:hint="eastAsia" w:ascii="Times New Roman" w:hAnsi="Times New Roman" w:eastAsia="宋体" w:cs="Times New Roman"/>
                      <w:color w:val="FF0000"/>
                      <w:sz w:val="21"/>
                      <w:szCs w:val="21"/>
                      <w:highlight w:val="none"/>
                      <w:lang w:val="en-US" w:eastAsia="zh-CN" w:bidi="ar-SA"/>
                    </w:rPr>
                  </w:pPr>
                  <w:r>
                    <w:rPr>
                      <w:rFonts w:hint="eastAsia" w:ascii="Times New Roman" w:hAnsi="Times New Roman" w:eastAsia="宋体" w:cs="Times New Roman"/>
                      <w:i w:val="0"/>
                      <w:iCs w:val="0"/>
                      <w:color w:val="FF0000"/>
                      <w:highlight w:val="none"/>
                      <w:lang w:val="en-US" w:eastAsia="zh-CN"/>
                    </w:rPr>
                    <w:t>/</w:t>
                  </w:r>
                </w:p>
              </w:tc>
              <w:tc>
                <w:tcPr>
                  <w:tcW w:w="798" w:type="pct"/>
                  <w:tcBorders>
                    <w:tl2br w:val="nil"/>
                    <w:tr2bl w:val="nil"/>
                  </w:tcBorders>
                  <w:noWrap w:val="0"/>
                  <w:vAlign w:val="center"/>
                </w:tcPr>
                <w:p w14:paraId="05D98FC7">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353" w:type="pct"/>
                  <w:tcBorders>
                    <w:tl2br w:val="nil"/>
                    <w:tr2bl w:val="nil"/>
                  </w:tcBorders>
                  <w:noWrap w:val="0"/>
                  <w:vAlign w:val="center"/>
                </w:tcPr>
                <w:p w14:paraId="604B8EE7">
                  <w:pPr>
                    <w:autoSpaceDE w:val="0"/>
                    <w:autoSpaceDN w:val="0"/>
                    <w:bidi w:val="0"/>
                    <w:jc w:val="center"/>
                    <w:rPr>
                      <w:rFonts w:hint="default" w:ascii="Times New Roman" w:hAnsi="Times New Roman" w:eastAsia="宋体" w:cs="Times New Roman"/>
                      <w:i w:val="0"/>
                      <w:iCs w:val="0"/>
                      <w:color w:val="FF0000"/>
                      <w:sz w:val="21"/>
                      <w:szCs w:val="21"/>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65-70</w:t>
                  </w:r>
                </w:p>
              </w:tc>
              <w:tc>
                <w:tcPr>
                  <w:tcW w:w="270" w:type="pct"/>
                  <w:vMerge w:val="continue"/>
                  <w:tcBorders>
                    <w:tl2br w:val="nil"/>
                    <w:tr2bl w:val="nil"/>
                  </w:tcBorders>
                  <w:noWrap w:val="0"/>
                  <w:vAlign w:val="center"/>
                </w:tcPr>
                <w:p w14:paraId="4A76F0C7">
                  <w:pPr>
                    <w:pStyle w:val="71"/>
                    <w:autoSpaceDE w:val="0"/>
                    <w:autoSpaceDN w:val="0"/>
                    <w:bidi w:val="0"/>
                    <w:jc w:val="center"/>
                    <w:rPr>
                      <w:rFonts w:ascii="Times New Roman" w:hAnsi="Times New Roman" w:eastAsia="宋体" w:cs="Times New Roman"/>
                      <w:i w:val="0"/>
                      <w:iCs w:val="0"/>
                      <w:color w:val="FF0000"/>
                      <w:highlight w:val="none"/>
                    </w:rPr>
                  </w:pPr>
                </w:p>
              </w:tc>
              <w:tc>
                <w:tcPr>
                  <w:tcW w:w="210" w:type="pct"/>
                  <w:tcBorders>
                    <w:tl2br w:val="nil"/>
                    <w:tr2bl w:val="nil"/>
                  </w:tcBorders>
                  <w:noWrap w:val="0"/>
                  <w:vAlign w:val="center"/>
                </w:tcPr>
                <w:p w14:paraId="1AF1A196">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14</w:t>
                  </w:r>
                </w:p>
              </w:tc>
              <w:tc>
                <w:tcPr>
                  <w:tcW w:w="153" w:type="pct"/>
                  <w:tcBorders>
                    <w:tl2br w:val="nil"/>
                    <w:tr2bl w:val="nil"/>
                  </w:tcBorders>
                  <w:noWrap w:val="0"/>
                  <w:vAlign w:val="center"/>
                </w:tcPr>
                <w:p w14:paraId="24D77347">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-2</w:t>
                  </w:r>
                </w:p>
              </w:tc>
              <w:tc>
                <w:tcPr>
                  <w:tcW w:w="148" w:type="pct"/>
                  <w:tcBorders>
                    <w:tl2br w:val="nil"/>
                    <w:tr2bl w:val="nil"/>
                  </w:tcBorders>
                  <w:noWrap w:val="0"/>
                  <w:vAlign w:val="center"/>
                </w:tcPr>
                <w:p w14:paraId="0A27AE70">
                  <w:pPr>
                    <w:autoSpaceDE w:val="0"/>
                    <w:autoSpaceDN w:val="0"/>
                    <w:bidi w:val="0"/>
                    <w:jc w:val="center"/>
                    <w:rPr>
                      <w:rFonts w:hint="eastAsia"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kern w:val="2"/>
                      <w:sz w:val="21"/>
                      <w:szCs w:val="24"/>
                      <w:highlight w:val="none"/>
                      <w:lang w:val="en-US" w:eastAsia="zh-CN" w:bidi="ar-SA"/>
                    </w:rPr>
                    <w:t>1</w:t>
                  </w:r>
                </w:p>
              </w:tc>
              <w:tc>
                <w:tcPr>
                  <w:tcW w:w="182" w:type="pct"/>
                  <w:tcBorders>
                    <w:tl2br w:val="nil"/>
                    <w:tr2bl w:val="nil"/>
                  </w:tcBorders>
                  <w:noWrap w:val="0"/>
                  <w:vAlign w:val="center"/>
                </w:tcPr>
                <w:p w14:paraId="63DD6682">
                  <w:pPr>
                    <w:autoSpaceDE w:val="0"/>
                    <w:autoSpaceDN w:val="0"/>
                    <w:spacing w:before="20" w:after="2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16</w:t>
                  </w:r>
                </w:p>
              </w:tc>
              <w:tc>
                <w:tcPr>
                  <w:tcW w:w="192" w:type="pct"/>
                  <w:tcBorders>
                    <w:tl2br w:val="nil"/>
                    <w:tr2bl w:val="nil"/>
                  </w:tcBorders>
                  <w:noWrap w:val="0"/>
                  <w:vAlign w:val="center"/>
                </w:tcPr>
                <w:p w14:paraId="47C82ACB">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44</w:t>
                  </w:r>
                </w:p>
              </w:tc>
              <w:tc>
                <w:tcPr>
                  <w:tcW w:w="182" w:type="pct"/>
                  <w:tcBorders>
                    <w:tl2br w:val="nil"/>
                    <w:tr2bl w:val="nil"/>
                  </w:tcBorders>
                  <w:noWrap w:val="0"/>
                  <w:vAlign w:val="center"/>
                </w:tcPr>
                <w:p w14:paraId="5F4768A4">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8</w:t>
                  </w:r>
                </w:p>
              </w:tc>
              <w:tc>
                <w:tcPr>
                  <w:tcW w:w="191" w:type="pct"/>
                  <w:tcBorders>
                    <w:tl2br w:val="nil"/>
                    <w:tr2bl w:val="nil"/>
                  </w:tcBorders>
                  <w:noWrap w:val="0"/>
                  <w:vAlign w:val="center"/>
                </w:tcPr>
                <w:p w14:paraId="64933388">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15</w:t>
                  </w:r>
                </w:p>
              </w:tc>
              <w:tc>
                <w:tcPr>
                  <w:tcW w:w="336" w:type="pct"/>
                  <w:tcBorders>
                    <w:tl2br w:val="nil"/>
                    <w:tr2bl w:val="nil"/>
                  </w:tcBorders>
                  <w:noWrap w:val="0"/>
                  <w:vAlign w:val="center"/>
                </w:tcPr>
                <w:p w14:paraId="1C8E6D0A">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45.91</w:t>
                  </w:r>
                </w:p>
              </w:tc>
              <w:tc>
                <w:tcPr>
                  <w:tcW w:w="303" w:type="pct"/>
                  <w:tcBorders>
                    <w:tl2br w:val="nil"/>
                    <w:tr2bl w:val="nil"/>
                  </w:tcBorders>
                  <w:noWrap w:val="0"/>
                  <w:vAlign w:val="center"/>
                </w:tcPr>
                <w:p w14:paraId="4637BB28">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37.13</w:t>
                  </w:r>
                </w:p>
              </w:tc>
              <w:tc>
                <w:tcPr>
                  <w:tcW w:w="303" w:type="pct"/>
                  <w:tcBorders>
                    <w:tl2br w:val="nil"/>
                    <w:tr2bl w:val="nil"/>
                  </w:tcBorders>
                  <w:noWrap w:val="0"/>
                  <w:vAlign w:val="center"/>
                </w:tcPr>
                <w:p w14:paraId="3360FBA2">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51.93</w:t>
                  </w:r>
                </w:p>
              </w:tc>
              <w:tc>
                <w:tcPr>
                  <w:tcW w:w="304" w:type="pct"/>
                  <w:tcBorders>
                    <w:tl2br w:val="nil"/>
                    <w:tr2bl w:val="nil"/>
                  </w:tcBorders>
                  <w:noWrap w:val="0"/>
                  <w:vAlign w:val="center"/>
                </w:tcPr>
                <w:p w14:paraId="71A26A57">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46.47</w:t>
                  </w:r>
                </w:p>
              </w:tc>
            </w:tr>
            <w:tr w14:paraId="02B76C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83" w:type="pct"/>
                  <w:vMerge w:val="continue"/>
                  <w:tcBorders>
                    <w:tl2br w:val="nil"/>
                    <w:tr2bl w:val="nil"/>
                  </w:tcBorders>
                  <w:noWrap w:val="0"/>
                  <w:vAlign w:val="center"/>
                </w:tcPr>
                <w:p w14:paraId="7FDBCDCF">
                  <w:pPr>
                    <w:pStyle w:val="71"/>
                    <w:autoSpaceDE w:val="0"/>
                    <w:autoSpaceDN w:val="0"/>
                    <w:bidi w:val="0"/>
                    <w:jc w:val="center"/>
                    <w:rPr>
                      <w:rFonts w:ascii="Times New Roman" w:hAnsi="Times New Roman" w:eastAsia="宋体" w:cs="Times New Roman"/>
                      <w:i w:val="0"/>
                      <w:iCs w:val="0"/>
                      <w:color w:val="FF0000"/>
                      <w:highlight w:val="none"/>
                    </w:rPr>
                  </w:pPr>
                </w:p>
              </w:tc>
              <w:tc>
                <w:tcPr>
                  <w:tcW w:w="137" w:type="pct"/>
                  <w:vMerge w:val="continue"/>
                  <w:tcBorders>
                    <w:tl2br w:val="nil"/>
                    <w:tr2bl w:val="nil"/>
                  </w:tcBorders>
                  <w:noWrap w:val="0"/>
                  <w:vAlign w:val="center"/>
                </w:tcPr>
                <w:p w14:paraId="06D29B5C">
                  <w:pPr>
                    <w:pStyle w:val="71"/>
                    <w:autoSpaceDE w:val="0"/>
                    <w:autoSpaceDN w:val="0"/>
                    <w:bidi w:val="0"/>
                    <w:jc w:val="center"/>
                    <w:rPr>
                      <w:rFonts w:ascii="Times New Roman" w:hAnsi="Times New Roman" w:eastAsia="宋体" w:cs="Times New Roman"/>
                      <w:i w:val="0"/>
                      <w:iCs w:val="0"/>
                      <w:color w:val="FF0000"/>
                      <w:highlight w:val="none"/>
                    </w:rPr>
                  </w:pPr>
                </w:p>
              </w:tc>
              <w:tc>
                <w:tcPr>
                  <w:tcW w:w="486" w:type="pct"/>
                  <w:tcBorders>
                    <w:tl2br w:val="nil"/>
                    <w:tr2bl w:val="nil"/>
                  </w:tcBorders>
                  <w:noWrap w:val="0"/>
                  <w:vAlign w:val="center"/>
                </w:tcPr>
                <w:p w14:paraId="58E718CC">
                  <w:pPr>
                    <w:autoSpaceDE w:val="0"/>
                    <w:autoSpaceDN w:val="0"/>
                    <w:jc w:val="center"/>
                    <w:rPr>
                      <w:rFonts w:ascii="Times New Roman" w:hAnsi="Times New Roman" w:eastAsia="宋体" w:cs="Times New Roman"/>
                      <w:color w:val="FF0000"/>
                      <w:sz w:val="21"/>
                      <w:szCs w:val="21"/>
                      <w:highlight w:val="none"/>
                      <w:lang w:val="en-US" w:eastAsia="zh-CN" w:bidi="ar-SA"/>
                    </w:rPr>
                  </w:pPr>
                  <w:r>
                    <w:rPr>
                      <w:rFonts w:hint="eastAsia" w:ascii="Times New Roman" w:hAnsi="Times New Roman" w:eastAsia="宋体" w:cs="Times New Roman"/>
                      <w:color w:val="FF0000"/>
                      <w:szCs w:val="19"/>
                      <w:lang w:bidi="ar"/>
                    </w:rPr>
                    <w:t>药贴合成机</w:t>
                  </w:r>
                </w:p>
              </w:tc>
              <w:tc>
                <w:tcPr>
                  <w:tcW w:w="261" w:type="pct"/>
                  <w:tcBorders>
                    <w:tl2br w:val="nil"/>
                    <w:tr2bl w:val="nil"/>
                  </w:tcBorders>
                  <w:noWrap w:val="0"/>
                  <w:vAlign w:val="center"/>
                </w:tcPr>
                <w:p w14:paraId="0E4FB92B">
                  <w:pPr>
                    <w:autoSpaceDE w:val="0"/>
                    <w:autoSpaceDN w:val="0"/>
                    <w:jc w:val="center"/>
                    <w:rPr>
                      <w:rFonts w:hint="eastAsia" w:ascii="Times New Roman" w:hAnsi="Times New Roman" w:eastAsia="宋体" w:cs="Times New Roman"/>
                      <w:color w:val="FF0000"/>
                      <w:sz w:val="21"/>
                      <w:szCs w:val="21"/>
                      <w:highlight w:val="none"/>
                      <w:lang w:val="en-US" w:eastAsia="zh-CN" w:bidi="ar-SA"/>
                    </w:rPr>
                  </w:pPr>
                  <w:r>
                    <w:rPr>
                      <w:rFonts w:hint="eastAsia" w:ascii="Times New Roman" w:hAnsi="Times New Roman" w:eastAsia="宋体" w:cs="Times New Roman"/>
                      <w:i w:val="0"/>
                      <w:iCs w:val="0"/>
                      <w:color w:val="FF0000"/>
                      <w:highlight w:val="none"/>
                      <w:lang w:val="en-US" w:eastAsia="zh-CN"/>
                    </w:rPr>
                    <w:t>/</w:t>
                  </w:r>
                </w:p>
              </w:tc>
              <w:tc>
                <w:tcPr>
                  <w:tcW w:w="798" w:type="pct"/>
                  <w:tcBorders>
                    <w:tl2br w:val="nil"/>
                    <w:tr2bl w:val="nil"/>
                  </w:tcBorders>
                  <w:noWrap w:val="0"/>
                  <w:vAlign w:val="center"/>
                </w:tcPr>
                <w:p w14:paraId="52DA52EF">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353" w:type="pct"/>
                  <w:tcBorders>
                    <w:tl2br w:val="nil"/>
                    <w:tr2bl w:val="nil"/>
                  </w:tcBorders>
                  <w:noWrap w:val="0"/>
                  <w:vAlign w:val="center"/>
                </w:tcPr>
                <w:p w14:paraId="0426CFF3">
                  <w:pPr>
                    <w:autoSpaceDE w:val="0"/>
                    <w:autoSpaceDN w:val="0"/>
                    <w:bidi w:val="0"/>
                    <w:jc w:val="center"/>
                    <w:rPr>
                      <w:rFonts w:hint="default" w:ascii="Times New Roman" w:hAnsi="Times New Roman" w:eastAsia="宋体" w:cs="Times New Roman"/>
                      <w:i w:val="0"/>
                      <w:iCs w:val="0"/>
                      <w:color w:val="FF0000"/>
                      <w:sz w:val="21"/>
                      <w:szCs w:val="21"/>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65-70</w:t>
                  </w:r>
                </w:p>
              </w:tc>
              <w:tc>
                <w:tcPr>
                  <w:tcW w:w="270" w:type="pct"/>
                  <w:vMerge w:val="continue"/>
                  <w:tcBorders>
                    <w:tl2br w:val="nil"/>
                    <w:tr2bl w:val="nil"/>
                  </w:tcBorders>
                  <w:noWrap w:val="0"/>
                  <w:vAlign w:val="center"/>
                </w:tcPr>
                <w:p w14:paraId="01AE0998">
                  <w:pPr>
                    <w:pStyle w:val="71"/>
                    <w:autoSpaceDE w:val="0"/>
                    <w:autoSpaceDN w:val="0"/>
                    <w:bidi w:val="0"/>
                    <w:jc w:val="center"/>
                    <w:rPr>
                      <w:rFonts w:ascii="Times New Roman" w:hAnsi="Times New Roman" w:eastAsia="宋体" w:cs="Times New Roman"/>
                      <w:i w:val="0"/>
                      <w:iCs w:val="0"/>
                      <w:color w:val="FF0000"/>
                      <w:highlight w:val="none"/>
                    </w:rPr>
                  </w:pPr>
                </w:p>
              </w:tc>
              <w:tc>
                <w:tcPr>
                  <w:tcW w:w="210" w:type="pct"/>
                  <w:tcBorders>
                    <w:tl2br w:val="nil"/>
                    <w:tr2bl w:val="nil"/>
                  </w:tcBorders>
                  <w:noWrap w:val="0"/>
                  <w:vAlign w:val="center"/>
                </w:tcPr>
                <w:p w14:paraId="3E0C2E02">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8</w:t>
                  </w:r>
                </w:p>
              </w:tc>
              <w:tc>
                <w:tcPr>
                  <w:tcW w:w="153" w:type="pct"/>
                  <w:tcBorders>
                    <w:tl2br w:val="nil"/>
                    <w:tr2bl w:val="nil"/>
                  </w:tcBorders>
                  <w:noWrap w:val="0"/>
                  <w:vAlign w:val="center"/>
                </w:tcPr>
                <w:p w14:paraId="0FF34B02">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10</w:t>
                  </w:r>
                </w:p>
              </w:tc>
              <w:tc>
                <w:tcPr>
                  <w:tcW w:w="148" w:type="pct"/>
                  <w:tcBorders>
                    <w:tl2br w:val="nil"/>
                    <w:tr2bl w:val="nil"/>
                  </w:tcBorders>
                  <w:noWrap w:val="0"/>
                  <w:vAlign w:val="center"/>
                </w:tcPr>
                <w:p w14:paraId="5A64525B">
                  <w:pPr>
                    <w:autoSpaceDE w:val="0"/>
                    <w:autoSpaceDN w:val="0"/>
                    <w:bidi w:val="0"/>
                    <w:jc w:val="center"/>
                    <w:rPr>
                      <w:rFonts w:hint="eastAsia"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kern w:val="2"/>
                      <w:sz w:val="21"/>
                      <w:szCs w:val="24"/>
                      <w:highlight w:val="none"/>
                      <w:lang w:val="en-US" w:eastAsia="zh-CN" w:bidi="ar-SA"/>
                    </w:rPr>
                    <w:t>1</w:t>
                  </w:r>
                </w:p>
              </w:tc>
              <w:tc>
                <w:tcPr>
                  <w:tcW w:w="182" w:type="pct"/>
                  <w:tcBorders>
                    <w:tl2br w:val="nil"/>
                    <w:tr2bl w:val="nil"/>
                  </w:tcBorders>
                  <w:noWrap w:val="0"/>
                  <w:vAlign w:val="center"/>
                </w:tcPr>
                <w:p w14:paraId="462C819E">
                  <w:pPr>
                    <w:autoSpaceDE w:val="0"/>
                    <w:autoSpaceDN w:val="0"/>
                    <w:spacing w:before="20" w:after="2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21</w:t>
                  </w:r>
                </w:p>
              </w:tc>
              <w:tc>
                <w:tcPr>
                  <w:tcW w:w="192" w:type="pct"/>
                  <w:tcBorders>
                    <w:tl2br w:val="nil"/>
                    <w:tr2bl w:val="nil"/>
                  </w:tcBorders>
                  <w:noWrap w:val="0"/>
                  <w:vAlign w:val="center"/>
                </w:tcPr>
                <w:p w14:paraId="6DFF7AA6">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38</w:t>
                  </w:r>
                </w:p>
              </w:tc>
              <w:tc>
                <w:tcPr>
                  <w:tcW w:w="182" w:type="pct"/>
                  <w:tcBorders>
                    <w:tl2br w:val="nil"/>
                    <w:tr2bl w:val="nil"/>
                  </w:tcBorders>
                  <w:noWrap w:val="0"/>
                  <w:vAlign w:val="center"/>
                </w:tcPr>
                <w:p w14:paraId="3740CD83">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21</w:t>
                  </w:r>
                </w:p>
              </w:tc>
              <w:tc>
                <w:tcPr>
                  <w:tcW w:w="191" w:type="pct"/>
                  <w:tcBorders>
                    <w:tl2br w:val="nil"/>
                    <w:tr2bl w:val="nil"/>
                  </w:tcBorders>
                  <w:noWrap w:val="0"/>
                  <w:vAlign w:val="center"/>
                </w:tcPr>
                <w:p w14:paraId="2A289DC3">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3</w:t>
                  </w:r>
                </w:p>
              </w:tc>
              <w:tc>
                <w:tcPr>
                  <w:tcW w:w="336" w:type="pct"/>
                  <w:tcBorders>
                    <w:tl2br w:val="nil"/>
                    <w:tr2bl w:val="nil"/>
                  </w:tcBorders>
                  <w:noWrap w:val="0"/>
                  <w:vAlign w:val="center"/>
                </w:tcPr>
                <w:p w14:paraId="346E45B5">
                  <w:pPr>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43.55</w:t>
                  </w:r>
                </w:p>
              </w:tc>
              <w:tc>
                <w:tcPr>
                  <w:tcW w:w="303" w:type="pct"/>
                  <w:tcBorders>
                    <w:tl2br w:val="nil"/>
                    <w:tr2bl w:val="nil"/>
                  </w:tcBorders>
                  <w:noWrap w:val="0"/>
                  <w:vAlign w:val="center"/>
                </w:tcPr>
                <w:p w14:paraId="4C7E4CF6">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38.40</w:t>
                  </w:r>
                </w:p>
              </w:tc>
              <w:tc>
                <w:tcPr>
                  <w:tcW w:w="303" w:type="pct"/>
                  <w:tcBorders>
                    <w:tl2br w:val="nil"/>
                    <w:tr2bl w:val="nil"/>
                  </w:tcBorders>
                  <w:noWrap w:val="0"/>
                  <w:vAlign w:val="center"/>
                </w:tcPr>
                <w:p w14:paraId="11AC647F">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43.55</w:t>
                  </w:r>
                </w:p>
              </w:tc>
              <w:tc>
                <w:tcPr>
                  <w:tcW w:w="304" w:type="pct"/>
                  <w:tcBorders>
                    <w:tl2br w:val="nil"/>
                    <w:tr2bl w:val="nil"/>
                  </w:tcBorders>
                  <w:noWrap w:val="0"/>
                  <w:vAlign w:val="center"/>
                </w:tcPr>
                <w:p w14:paraId="33BDBF2E">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60.45</w:t>
                  </w:r>
                </w:p>
              </w:tc>
            </w:tr>
            <w:tr w14:paraId="3D43D2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183" w:type="pct"/>
                  <w:vMerge w:val="continue"/>
                  <w:tcBorders>
                    <w:tl2br w:val="nil"/>
                    <w:tr2bl w:val="nil"/>
                  </w:tcBorders>
                  <w:noWrap w:val="0"/>
                  <w:vAlign w:val="center"/>
                </w:tcPr>
                <w:p w14:paraId="37D1CCAF">
                  <w:pPr>
                    <w:pStyle w:val="71"/>
                    <w:autoSpaceDE w:val="0"/>
                    <w:autoSpaceDN w:val="0"/>
                    <w:bidi w:val="0"/>
                    <w:jc w:val="center"/>
                    <w:rPr>
                      <w:rFonts w:ascii="Times New Roman" w:hAnsi="Times New Roman" w:eastAsia="宋体" w:cs="Times New Roman"/>
                      <w:i w:val="0"/>
                      <w:iCs w:val="0"/>
                      <w:color w:val="FF0000"/>
                      <w:highlight w:val="none"/>
                    </w:rPr>
                  </w:pPr>
                </w:p>
              </w:tc>
              <w:tc>
                <w:tcPr>
                  <w:tcW w:w="137" w:type="pct"/>
                  <w:vMerge w:val="continue"/>
                  <w:tcBorders>
                    <w:tl2br w:val="nil"/>
                    <w:tr2bl w:val="nil"/>
                  </w:tcBorders>
                  <w:noWrap w:val="0"/>
                  <w:vAlign w:val="center"/>
                </w:tcPr>
                <w:p w14:paraId="3BCDD01B">
                  <w:pPr>
                    <w:pStyle w:val="71"/>
                    <w:autoSpaceDE w:val="0"/>
                    <w:autoSpaceDN w:val="0"/>
                    <w:bidi w:val="0"/>
                    <w:jc w:val="center"/>
                    <w:rPr>
                      <w:rFonts w:ascii="Times New Roman" w:hAnsi="Times New Roman" w:eastAsia="宋体" w:cs="Times New Roman"/>
                      <w:i w:val="0"/>
                      <w:iCs w:val="0"/>
                      <w:color w:val="FF0000"/>
                      <w:highlight w:val="none"/>
                    </w:rPr>
                  </w:pPr>
                </w:p>
              </w:tc>
              <w:tc>
                <w:tcPr>
                  <w:tcW w:w="486" w:type="pct"/>
                  <w:tcBorders>
                    <w:tl2br w:val="nil"/>
                    <w:tr2bl w:val="nil"/>
                  </w:tcBorders>
                  <w:noWrap w:val="0"/>
                  <w:vAlign w:val="center"/>
                </w:tcPr>
                <w:p w14:paraId="4D7F50FA">
                  <w:pPr>
                    <w:autoSpaceDE w:val="0"/>
                    <w:autoSpaceDN w:val="0"/>
                    <w:jc w:val="center"/>
                    <w:rPr>
                      <w:rFonts w:ascii="Times New Roman" w:hAnsi="Times New Roman" w:eastAsia="宋体" w:cs="Times New Roman"/>
                      <w:color w:val="FF0000"/>
                      <w:sz w:val="21"/>
                      <w:szCs w:val="21"/>
                      <w:highlight w:val="none"/>
                      <w:lang w:val="en-US" w:eastAsia="zh-CN" w:bidi="ar-SA"/>
                    </w:rPr>
                  </w:pPr>
                  <w:r>
                    <w:rPr>
                      <w:rFonts w:hint="eastAsia" w:ascii="Times New Roman" w:hAnsi="Times New Roman" w:eastAsia="宋体" w:cs="Times New Roman"/>
                      <w:color w:val="FF0000"/>
                      <w:szCs w:val="19"/>
                      <w:lang w:bidi="ar"/>
                    </w:rPr>
                    <w:t>滚刀创口贴机纯水机</w:t>
                  </w:r>
                </w:p>
              </w:tc>
              <w:tc>
                <w:tcPr>
                  <w:tcW w:w="261" w:type="pct"/>
                  <w:tcBorders>
                    <w:tl2br w:val="nil"/>
                    <w:tr2bl w:val="nil"/>
                  </w:tcBorders>
                  <w:noWrap w:val="0"/>
                  <w:vAlign w:val="center"/>
                </w:tcPr>
                <w:p w14:paraId="49AAF04D">
                  <w:pPr>
                    <w:autoSpaceDE w:val="0"/>
                    <w:autoSpaceDN w:val="0"/>
                    <w:jc w:val="center"/>
                    <w:rPr>
                      <w:rFonts w:hint="eastAsia" w:ascii="Times New Roman" w:hAnsi="Times New Roman" w:eastAsia="宋体" w:cs="Times New Roman"/>
                      <w:color w:val="FF0000"/>
                      <w:sz w:val="21"/>
                      <w:szCs w:val="21"/>
                      <w:highlight w:val="none"/>
                      <w:lang w:val="en-US" w:eastAsia="zh-CN" w:bidi="ar-SA"/>
                    </w:rPr>
                  </w:pPr>
                  <w:r>
                    <w:rPr>
                      <w:rFonts w:hint="eastAsia" w:ascii="Times New Roman" w:hAnsi="Times New Roman" w:eastAsia="宋体" w:cs="Times New Roman"/>
                      <w:i w:val="0"/>
                      <w:iCs w:val="0"/>
                      <w:color w:val="FF0000"/>
                      <w:highlight w:val="none"/>
                      <w:lang w:val="en-US" w:eastAsia="zh-CN"/>
                    </w:rPr>
                    <w:t>/</w:t>
                  </w:r>
                </w:p>
              </w:tc>
              <w:tc>
                <w:tcPr>
                  <w:tcW w:w="798" w:type="pct"/>
                  <w:tcBorders>
                    <w:tl2br w:val="nil"/>
                    <w:tr2bl w:val="nil"/>
                  </w:tcBorders>
                  <w:noWrap w:val="0"/>
                  <w:vAlign w:val="center"/>
                </w:tcPr>
                <w:p w14:paraId="08737FDF">
                  <w:pPr>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353" w:type="pct"/>
                  <w:tcBorders>
                    <w:tl2br w:val="nil"/>
                    <w:tr2bl w:val="nil"/>
                  </w:tcBorders>
                  <w:noWrap w:val="0"/>
                  <w:vAlign w:val="center"/>
                </w:tcPr>
                <w:p w14:paraId="2A549BCF">
                  <w:pPr>
                    <w:autoSpaceDE w:val="0"/>
                    <w:autoSpaceDN w:val="0"/>
                    <w:bidi w:val="0"/>
                    <w:jc w:val="center"/>
                    <w:rPr>
                      <w:rFonts w:hint="eastAsia" w:ascii="Times New Roman" w:hAnsi="Times New Roman" w:eastAsia="宋体" w:cs="Times New Roman"/>
                      <w:i w:val="0"/>
                      <w:iCs w:val="0"/>
                      <w:color w:val="FF0000"/>
                      <w:sz w:val="21"/>
                      <w:szCs w:val="21"/>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65-70</w:t>
                  </w:r>
                </w:p>
              </w:tc>
              <w:tc>
                <w:tcPr>
                  <w:tcW w:w="270" w:type="pct"/>
                  <w:vMerge w:val="continue"/>
                  <w:tcBorders>
                    <w:tl2br w:val="nil"/>
                    <w:tr2bl w:val="nil"/>
                  </w:tcBorders>
                  <w:noWrap w:val="0"/>
                  <w:vAlign w:val="center"/>
                </w:tcPr>
                <w:p w14:paraId="2E01498C">
                  <w:pPr>
                    <w:pStyle w:val="71"/>
                    <w:autoSpaceDE w:val="0"/>
                    <w:autoSpaceDN w:val="0"/>
                    <w:bidi w:val="0"/>
                    <w:jc w:val="center"/>
                    <w:rPr>
                      <w:rFonts w:ascii="Times New Roman" w:hAnsi="Times New Roman" w:eastAsia="宋体" w:cs="Times New Roman"/>
                      <w:i w:val="0"/>
                      <w:iCs w:val="0"/>
                      <w:color w:val="FF0000"/>
                      <w:highlight w:val="none"/>
                    </w:rPr>
                  </w:pPr>
                </w:p>
              </w:tc>
              <w:tc>
                <w:tcPr>
                  <w:tcW w:w="210" w:type="pct"/>
                  <w:tcBorders>
                    <w:tl2br w:val="nil"/>
                    <w:tr2bl w:val="nil"/>
                  </w:tcBorders>
                  <w:noWrap w:val="0"/>
                  <w:vAlign w:val="center"/>
                </w:tcPr>
                <w:p w14:paraId="1F39AADF">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11</w:t>
                  </w:r>
                </w:p>
              </w:tc>
              <w:tc>
                <w:tcPr>
                  <w:tcW w:w="153" w:type="pct"/>
                  <w:tcBorders>
                    <w:tl2br w:val="nil"/>
                    <w:tr2bl w:val="nil"/>
                  </w:tcBorders>
                  <w:noWrap w:val="0"/>
                  <w:vAlign w:val="center"/>
                </w:tcPr>
                <w:p w14:paraId="4ADD144D">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-5</w:t>
                  </w:r>
                </w:p>
              </w:tc>
              <w:tc>
                <w:tcPr>
                  <w:tcW w:w="148" w:type="pct"/>
                  <w:tcBorders>
                    <w:tl2br w:val="nil"/>
                    <w:tr2bl w:val="nil"/>
                  </w:tcBorders>
                  <w:noWrap w:val="0"/>
                  <w:vAlign w:val="center"/>
                </w:tcPr>
                <w:p w14:paraId="43F25E5B">
                  <w:pPr>
                    <w:autoSpaceDE w:val="0"/>
                    <w:autoSpaceDN w:val="0"/>
                    <w:bidi w:val="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kern w:val="2"/>
                      <w:sz w:val="21"/>
                      <w:szCs w:val="24"/>
                      <w:highlight w:val="none"/>
                      <w:lang w:val="en-US" w:eastAsia="zh-CN" w:bidi="ar-SA"/>
                    </w:rPr>
                    <w:t>1</w:t>
                  </w:r>
                </w:p>
              </w:tc>
              <w:tc>
                <w:tcPr>
                  <w:tcW w:w="182" w:type="pct"/>
                  <w:tcBorders>
                    <w:tl2br w:val="nil"/>
                    <w:tr2bl w:val="nil"/>
                  </w:tcBorders>
                  <w:noWrap w:val="0"/>
                  <w:vAlign w:val="center"/>
                </w:tcPr>
                <w:p w14:paraId="66CBF9A0">
                  <w:pPr>
                    <w:autoSpaceDE w:val="0"/>
                    <w:autoSpaceDN w:val="0"/>
                    <w:spacing w:before="20" w:after="2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19</w:t>
                  </w:r>
                </w:p>
              </w:tc>
              <w:tc>
                <w:tcPr>
                  <w:tcW w:w="192" w:type="pct"/>
                  <w:tcBorders>
                    <w:tl2br w:val="nil"/>
                    <w:tr2bl w:val="nil"/>
                  </w:tcBorders>
                  <w:noWrap w:val="0"/>
                  <w:vAlign w:val="center"/>
                </w:tcPr>
                <w:p w14:paraId="4600CB09">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41</w:t>
                  </w:r>
                </w:p>
              </w:tc>
              <w:tc>
                <w:tcPr>
                  <w:tcW w:w="182" w:type="pct"/>
                  <w:tcBorders>
                    <w:tl2br w:val="nil"/>
                    <w:tr2bl w:val="nil"/>
                  </w:tcBorders>
                  <w:noWrap w:val="0"/>
                  <w:vAlign w:val="center"/>
                </w:tcPr>
                <w:p w14:paraId="5A2B76D3">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5</w:t>
                  </w:r>
                </w:p>
              </w:tc>
              <w:tc>
                <w:tcPr>
                  <w:tcW w:w="191" w:type="pct"/>
                  <w:tcBorders>
                    <w:tl2br w:val="nil"/>
                    <w:tr2bl w:val="nil"/>
                  </w:tcBorders>
                  <w:noWrap w:val="0"/>
                  <w:vAlign w:val="center"/>
                </w:tcPr>
                <w:p w14:paraId="68BC7AFC">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19</w:t>
                  </w:r>
                </w:p>
              </w:tc>
              <w:tc>
                <w:tcPr>
                  <w:tcW w:w="336" w:type="pct"/>
                  <w:tcBorders>
                    <w:tl2br w:val="nil"/>
                    <w:tr2bl w:val="nil"/>
                  </w:tcBorders>
                  <w:noWrap w:val="0"/>
                  <w:vAlign w:val="center"/>
                </w:tcPr>
                <w:p w14:paraId="4B0B0F82">
                  <w:pPr>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44.42</w:t>
                  </w:r>
                </w:p>
              </w:tc>
              <w:tc>
                <w:tcPr>
                  <w:tcW w:w="303" w:type="pct"/>
                  <w:tcBorders>
                    <w:tl2br w:val="nil"/>
                    <w:tr2bl w:val="nil"/>
                  </w:tcBorders>
                  <w:noWrap w:val="0"/>
                  <w:vAlign w:val="center"/>
                </w:tcPr>
                <w:p w14:paraId="2106F7B0">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37.74</w:t>
                  </w:r>
                </w:p>
              </w:tc>
              <w:tc>
                <w:tcPr>
                  <w:tcW w:w="303" w:type="pct"/>
                  <w:tcBorders>
                    <w:tl2br w:val="nil"/>
                    <w:tr2bl w:val="nil"/>
                  </w:tcBorders>
                  <w:noWrap w:val="0"/>
                  <w:vAlign w:val="center"/>
                </w:tcPr>
                <w:p w14:paraId="6BEE1F41">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56.02</w:t>
                  </w:r>
                </w:p>
              </w:tc>
              <w:tc>
                <w:tcPr>
                  <w:tcW w:w="304" w:type="pct"/>
                  <w:tcBorders>
                    <w:tl2br w:val="nil"/>
                    <w:tr2bl w:val="nil"/>
                  </w:tcBorders>
                  <w:noWrap w:val="0"/>
                  <w:vAlign w:val="center"/>
                </w:tcPr>
                <w:p w14:paraId="44BE3C9C">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44.42</w:t>
                  </w:r>
                </w:p>
              </w:tc>
            </w:tr>
            <w:tr w14:paraId="627527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183" w:type="pct"/>
                  <w:vMerge w:val="continue"/>
                  <w:tcBorders>
                    <w:tl2br w:val="nil"/>
                    <w:tr2bl w:val="nil"/>
                  </w:tcBorders>
                  <w:noWrap w:val="0"/>
                  <w:vAlign w:val="center"/>
                </w:tcPr>
                <w:p w14:paraId="1C562DD4">
                  <w:pPr>
                    <w:pStyle w:val="71"/>
                    <w:autoSpaceDE w:val="0"/>
                    <w:autoSpaceDN w:val="0"/>
                    <w:bidi w:val="0"/>
                    <w:jc w:val="center"/>
                    <w:rPr>
                      <w:rFonts w:ascii="Times New Roman" w:hAnsi="Times New Roman" w:eastAsia="宋体" w:cs="Times New Roman"/>
                      <w:i w:val="0"/>
                      <w:iCs w:val="0"/>
                      <w:color w:val="FF0000"/>
                      <w:highlight w:val="none"/>
                    </w:rPr>
                  </w:pPr>
                </w:p>
              </w:tc>
              <w:tc>
                <w:tcPr>
                  <w:tcW w:w="137" w:type="pct"/>
                  <w:vMerge w:val="continue"/>
                  <w:tcBorders>
                    <w:tl2br w:val="nil"/>
                    <w:tr2bl w:val="nil"/>
                  </w:tcBorders>
                  <w:noWrap w:val="0"/>
                  <w:vAlign w:val="center"/>
                </w:tcPr>
                <w:p w14:paraId="7CC7E813">
                  <w:pPr>
                    <w:pStyle w:val="71"/>
                    <w:autoSpaceDE w:val="0"/>
                    <w:autoSpaceDN w:val="0"/>
                    <w:bidi w:val="0"/>
                    <w:jc w:val="center"/>
                    <w:rPr>
                      <w:rFonts w:ascii="Times New Roman" w:hAnsi="Times New Roman" w:eastAsia="宋体" w:cs="Times New Roman"/>
                      <w:i w:val="0"/>
                      <w:iCs w:val="0"/>
                      <w:color w:val="FF0000"/>
                      <w:highlight w:val="none"/>
                    </w:rPr>
                  </w:pPr>
                </w:p>
              </w:tc>
              <w:tc>
                <w:tcPr>
                  <w:tcW w:w="486" w:type="pct"/>
                  <w:tcBorders>
                    <w:tl2br w:val="nil"/>
                    <w:tr2bl w:val="nil"/>
                  </w:tcBorders>
                  <w:noWrap w:val="0"/>
                  <w:vAlign w:val="center"/>
                </w:tcPr>
                <w:p w14:paraId="5DCFDA92">
                  <w:pPr>
                    <w:autoSpaceDE w:val="0"/>
                    <w:autoSpaceDN w:val="0"/>
                    <w:jc w:val="center"/>
                    <w:rPr>
                      <w:rFonts w:hint="eastAsia" w:ascii="Times New Roman" w:hAnsi="Times New Roman" w:eastAsia="宋体" w:cs="Times New Roman"/>
                      <w:color w:val="FF0000"/>
                      <w:szCs w:val="19"/>
                      <w:lang w:bidi="ar"/>
                    </w:rPr>
                  </w:pPr>
                  <w:r>
                    <w:rPr>
                      <w:rFonts w:hint="eastAsia" w:ascii="Times New Roman" w:hAnsi="Times New Roman" w:eastAsia="宋体" w:cs="Times New Roman"/>
                      <w:color w:val="FF0000"/>
                      <w:szCs w:val="19"/>
                      <w:lang w:bidi="ar"/>
                    </w:rPr>
                    <w:t>鼻贴机</w:t>
                  </w:r>
                </w:p>
              </w:tc>
              <w:tc>
                <w:tcPr>
                  <w:tcW w:w="261" w:type="pct"/>
                  <w:tcBorders>
                    <w:tl2br w:val="nil"/>
                    <w:tr2bl w:val="nil"/>
                  </w:tcBorders>
                  <w:noWrap w:val="0"/>
                  <w:vAlign w:val="center"/>
                </w:tcPr>
                <w:p w14:paraId="4D7B6778">
                  <w:pPr>
                    <w:autoSpaceDE w:val="0"/>
                    <w:autoSpaceDN w:val="0"/>
                    <w:jc w:val="center"/>
                    <w:rPr>
                      <w:rFonts w:hint="eastAsia"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798" w:type="pct"/>
                  <w:tcBorders>
                    <w:tl2br w:val="nil"/>
                    <w:tr2bl w:val="nil"/>
                  </w:tcBorders>
                  <w:noWrap w:val="0"/>
                  <w:vAlign w:val="center"/>
                </w:tcPr>
                <w:p w14:paraId="44E77D74">
                  <w:pPr>
                    <w:autoSpaceDE w:val="0"/>
                    <w:autoSpaceDN w:val="0"/>
                    <w:bidi w:val="0"/>
                    <w:jc w:val="center"/>
                    <w:rPr>
                      <w:rFonts w:hint="eastAsia"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353" w:type="pct"/>
                  <w:tcBorders>
                    <w:tl2br w:val="nil"/>
                    <w:tr2bl w:val="nil"/>
                  </w:tcBorders>
                  <w:noWrap w:val="0"/>
                  <w:vAlign w:val="center"/>
                </w:tcPr>
                <w:p w14:paraId="0C790CE1">
                  <w:pPr>
                    <w:autoSpaceDE w:val="0"/>
                    <w:autoSpaceDN w:val="0"/>
                    <w:bidi w:val="0"/>
                    <w:jc w:val="center"/>
                    <w:rPr>
                      <w:rFonts w:hint="eastAsia" w:ascii="Times New Roman" w:hAnsi="Times New Roman" w:eastAsia="宋体" w:cs="Times New Roman"/>
                      <w:i w:val="0"/>
                      <w:iCs w:val="0"/>
                      <w:color w:val="FF0000"/>
                      <w:sz w:val="21"/>
                      <w:szCs w:val="21"/>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65-70</w:t>
                  </w:r>
                </w:p>
              </w:tc>
              <w:tc>
                <w:tcPr>
                  <w:tcW w:w="270" w:type="pct"/>
                  <w:vMerge w:val="continue"/>
                  <w:tcBorders>
                    <w:tl2br w:val="nil"/>
                    <w:tr2bl w:val="nil"/>
                  </w:tcBorders>
                  <w:noWrap w:val="0"/>
                  <w:vAlign w:val="center"/>
                </w:tcPr>
                <w:p w14:paraId="10D42ADD">
                  <w:pPr>
                    <w:pStyle w:val="71"/>
                    <w:autoSpaceDE w:val="0"/>
                    <w:autoSpaceDN w:val="0"/>
                    <w:bidi w:val="0"/>
                    <w:jc w:val="center"/>
                    <w:rPr>
                      <w:rFonts w:ascii="Times New Roman" w:hAnsi="Times New Roman" w:eastAsia="宋体" w:cs="Times New Roman"/>
                      <w:i w:val="0"/>
                      <w:iCs w:val="0"/>
                      <w:color w:val="FF0000"/>
                      <w:highlight w:val="none"/>
                    </w:rPr>
                  </w:pPr>
                </w:p>
              </w:tc>
              <w:tc>
                <w:tcPr>
                  <w:tcW w:w="210" w:type="pct"/>
                  <w:tcBorders>
                    <w:tl2br w:val="nil"/>
                    <w:tr2bl w:val="nil"/>
                  </w:tcBorders>
                  <w:noWrap w:val="0"/>
                  <w:vAlign w:val="center"/>
                </w:tcPr>
                <w:p w14:paraId="2EA1796F">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17</w:t>
                  </w:r>
                </w:p>
              </w:tc>
              <w:tc>
                <w:tcPr>
                  <w:tcW w:w="153" w:type="pct"/>
                  <w:tcBorders>
                    <w:tl2br w:val="nil"/>
                    <w:tr2bl w:val="nil"/>
                  </w:tcBorders>
                  <w:noWrap w:val="0"/>
                  <w:vAlign w:val="center"/>
                </w:tcPr>
                <w:p w14:paraId="6F97AEEB">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5</w:t>
                  </w:r>
                </w:p>
              </w:tc>
              <w:tc>
                <w:tcPr>
                  <w:tcW w:w="148" w:type="pct"/>
                  <w:tcBorders>
                    <w:tl2br w:val="nil"/>
                    <w:tr2bl w:val="nil"/>
                  </w:tcBorders>
                  <w:noWrap w:val="0"/>
                  <w:vAlign w:val="center"/>
                </w:tcPr>
                <w:p w14:paraId="30F264A3">
                  <w:pPr>
                    <w:autoSpaceDE w:val="0"/>
                    <w:autoSpaceDN w:val="0"/>
                    <w:bidi w:val="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kern w:val="2"/>
                      <w:sz w:val="21"/>
                      <w:szCs w:val="24"/>
                      <w:highlight w:val="none"/>
                      <w:lang w:val="en-US" w:eastAsia="zh-CN" w:bidi="ar-SA"/>
                    </w:rPr>
                    <w:t>1</w:t>
                  </w:r>
                </w:p>
              </w:tc>
              <w:tc>
                <w:tcPr>
                  <w:tcW w:w="182" w:type="pct"/>
                  <w:tcBorders>
                    <w:tl2br w:val="nil"/>
                    <w:tr2bl w:val="nil"/>
                  </w:tcBorders>
                  <w:noWrap w:val="0"/>
                  <w:vAlign w:val="center"/>
                </w:tcPr>
                <w:p w14:paraId="7C522034">
                  <w:pPr>
                    <w:autoSpaceDE w:val="0"/>
                    <w:autoSpaceDN w:val="0"/>
                    <w:spacing w:before="20" w:after="2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kern w:val="2"/>
                      <w:sz w:val="21"/>
                      <w:szCs w:val="24"/>
                      <w:highlight w:val="none"/>
                      <w:lang w:val="en-US" w:eastAsia="zh-CN" w:bidi="ar-SA"/>
                    </w:rPr>
                    <w:t>13</w:t>
                  </w:r>
                </w:p>
              </w:tc>
              <w:tc>
                <w:tcPr>
                  <w:tcW w:w="192" w:type="pct"/>
                  <w:tcBorders>
                    <w:tl2br w:val="nil"/>
                    <w:tr2bl w:val="nil"/>
                  </w:tcBorders>
                  <w:noWrap w:val="0"/>
                  <w:vAlign w:val="center"/>
                </w:tcPr>
                <w:p w14:paraId="40D28CCE">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47</w:t>
                  </w:r>
                </w:p>
              </w:tc>
              <w:tc>
                <w:tcPr>
                  <w:tcW w:w="182" w:type="pct"/>
                  <w:tcBorders>
                    <w:tl2br w:val="nil"/>
                    <w:tr2bl w:val="nil"/>
                  </w:tcBorders>
                  <w:noWrap w:val="0"/>
                  <w:vAlign w:val="center"/>
                </w:tcPr>
                <w:p w14:paraId="31C9F293">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4</w:t>
                  </w:r>
                </w:p>
              </w:tc>
              <w:tc>
                <w:tcPr>
                  <w:tcW w:w="191" w:type="pct"/>
                  <w:tcBorders>
                    <w:tl2br w:val="nil"/>
                    <w:tr2bl w:val="nil"/>
                  </w:tcBorders>
                  <w:noWrap w:val="0"/>
                  <w:vAlign w:val="center"/>
                </w:tcPr>
                <w:p w14:paraId="2226695A">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20</w:t>
                  </w:r>
                </w:p>
              </w:tc>
              <w:tc>
                <w:tcPr>
                  <w:tcW w:w="336" w:type="pct"/>
                  <w:tcBorders>
                    <w:tl2br w:val="nil"/>
                    <w:tr2bl w:val="nil"/>
                  </w:tcBorders>
                  <w:noWrap w:val="0"/>
                  <w:vAlign w:val="center"/>
                </w:tcPr>
                <w:p w14:paraId="0A2F9F29">
                  <w:pPr>
                    <w:autoSpaceDE w:val="0"/>
                    <w:autoSpaceDN w:val="0"/>
                    <w:bidi w:val="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default" w:ascii="Times New Roman" w:hAnsi="Times New Roman" w:eastAsia="宋体" w:cs="Times New Roman"/>
                      <w:i w:val="0"/>
                      <w:iCs w:val="0"/>
                      <w:color w:val="FF0000"/>
                      <w:kern w:val="2"/>
                      <w:sz w:val="21"/>
                      <w:szCs w:val="24"/>
                      <w:highlight w:val="none"/>
                      <w:lang w:val="en-US" w:eastAsia="zh-CN" w:bidi="ar-SA"/>
                    </w:rPr>
                    <w:t>47.72</w:t>
                  </w:r>
                </w:p>
              </w:tc>
              <w:tc>
                <w:tcPr>
                  <w:tcW w:w="303" w:type="pct"/>
                  <w:tcBorders>
                    <w:tl2br w:val="nil"/>
                    <w:tr2bl w:val="nil"/>
                  </w:tcBorders>
                  <w:noWrap w:val="0"/>
                  <w:vAlign w:val="center"/>
                </w:tcPr>
                <w:p w14:paraId="42418BD4">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36.55</w:t>
                  </w:r>
                </w:p>
              </w:tc>
              <w:tc>
                <w:tcPr>
                  <w:tcW w:w="303" w:type="pct"/>
                  <w:tcBorders>
                    <w:tl2br w:val="nil"/>
                    <w:tr2bl w:val="nil"/>
                  </w:tcBorders>
                  <w:noWrap w:val="0"/>
                  <w:vAlign w:val="center"/>
                </w:tcPr>
                <w:p w14:paraId="54684AA0">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57.95</w:t>
                  </w:r>
                </w:p>
              </w:tc>
              <w:tc>
                <w:tcPr>
                  <w:tcW w:w="304" w:type="pct"/>
                  <w:tcBorders>
                    <w:tl2br w:val="nil"/>
                    <w:tr2bl w:val="nil"/>
                  </w:tcBorders>
                  <w:noWrap w:val="0"/>
                  <w:vAlign w:val="center"/>
                </w:tcPr>
                <w:p w14:paraId="087C115F">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43.97</w:t>
                  </w:r>
                </w:p>
              </w:tc>
            </w:tr>
            <w:tr w14:paraId="029BEC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183" w:type="pct"/>
                  <w:vMerge w:val="continue"/>
                  <w:tcBorders>
                    <w:tl2br w:val="nil"/>
                    <w:tr2bl w:val="nil"/>
                  </w:tcBorders>
                  <w:noWrap w:val="0"/>
                  <w:vAlign w:val="center"/>
                </w:tcPr>
                <w:p w14:paraId="41010CD1">
                  <w:pPr>
                    <w:pStyle w:val="71"/>
                    <w:autoSpaceDE w:val="0"/>
                    <w:autoSpaceDN w:val="0"/>
                    <w:bidi w:val="0"/>
                    <w:jc w:val="center"/>
                    <w:rPr>
                      <w:rFonts w:ascii="Times New Roman" w:hAnsi="Times New Roman" w:eastAsia="宋体" w:cs="Times New Roman"/>
                      <w:i w:val="0"/>
                      <w:iCs w:val="0"/>
                      <w:color w:val="FF0000"/>
                      <w:highlight w:val="none"/>
                    </w:rPr>
                  </w:pPr>
                </w:p>
              </w:tc>
              <w:tc>
                <w:tcPr>
                  <w:tcW w:w="137" w:type="pct"/>
                  <w:vMerge w:val="continue"/>
                  <w:tcBorders>
                    <w:tl2br w:val="nil"/>
                    <w:tr2bl w:val="nil"/>
                  </w:tcBorders>
                  <w:noWrap w:val="0"/>
                  <w:vAlign w:val="center"/>
                </w:tcPr>
                <w:p w14:paraId="25AE0463">
                  <w:pPr>
                    <w:pStyle w:val="71"/>
                    <w:autoSpaceDE w:val="0"/>
                    <w:autoSpaceDN w:val="0"/>
                    <w:bidi w:val="0"/>
                    <w:jc w:val="center"/>
                    <w:rPr>
                      <w:rFonts w:ascii="Times New Roman" w:hAnsi="Times New Roman" w:eastAsia="宋体" w:cs="Times New Roman"/>
                      <w:i w:val="0"/>
                      <w:iCs w:val="0"/>
                      <w:color w:val="FF0000"/>
                      <w:highlight w:val="none"/>
                    </w:rPr>
                  </w:pPr>
                </w:p>
              </w:tc>
              <w:tc>
                <w:tcPr>
                  <w:tcW w:w="486" w:type="pct"/>
                  <w:tcBorders>
                    <w:tl2br w:val="nil"/>
                    <w:tr2bl w:val="nil"/>
                  </w:tcBorders>
                  <w:noWrap w:val="0"/>
                  <w:vAlign w:val="center"/>
                </w:tcPr>
                <w:p w14:paraId="3CA7DAE7">
                  <w:pPr>
                    <w:autoSpaceDE w:val="0"/>
                    <w:autoSpaceDN w:val="0"/>
                    <w:jc w:val="center"/>
                    <w:rPr>
                      <w:rFonts w:hint="eastAsia" w:ascii="Times New Roman" w:hAnsi="Times New Roman" w:eastAsia="宋体" w:cs="Times New Roman"/>
                      <w:color w:val="FF0000"/>
                      <w:szCs w:val="19"/>
                      <w:lang w:bidi="ar"/>
                    </w:rPr>
                  </w:pPr>
                  <w:r>
                    <w:rPr>
                      <w:rFonts w:hint="eastAsia" w:ascii="Times New Roman" w:hAnsi="Times New Roman" w:eastAsia="宋体" w:cs="Times New Roman"/>
                      <w:color w:val="FF0000"/>
                      <w:szCs w:val="19"/>
                      <w:lang w:bidi="ar"/>
                    </w:rPr>
                    <w:t>纯水机</w:t>
                  </w:r>
                </w:p>
              </w:tc>
              <w:tc>
                <w:tcPr>
                  <w:tcW w:w="261" w:type="pct"/>
                  <w:tcBorders>
                    <w:tl2br w:val="nil"/>
                    <w:tr2bl w:val="nil"/>
                  </w:tcBorders>
                  <w:noWrap w:val="0"/>
                  <w:vAlign w:val="center"/>
                </w:tcPr>
                <w:p w14:paraId="3E6E2216">
                  <w:pPr>
                    <w:autoSpaceDE w:val="0"/>
                    <w:autoSpaceDN w:val="0"/>
                    <w:jc w:val="center"/>
                    <w:rPr>
                      <w:rFonts w:hint="eastAsia"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798" w:type="pct"/>
                  <w:tcBorders>
                    <w:tl2br w:val="nil"/>
                    <w:tr2bl w:val="nil"/>
                  </w:tcBorders>
                  <w:noWrap w:val="0"/>
                  <w:vAlign w:val="center"/>
                </w:tcPr>
                <w:p w14:paraId="20B2E4B0">
                  <w:pPr>
                    <w:autoSpaceDE w:val="0"/>
                    <w:autoSpaceDN w:val="0"/>
                    <w:bidi w:val="0"/>
                    <w:jc w:val="center"/>
                    <w:rPr>
                      <w:rFonts w:hint="eastAsia"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w:t>
                  </w:r>
                </w:p>
              </w:tc>
              <w:tc>
                <w:tcPr>
                  <w:tcW w:w="353" w:type="pct"/>
                  <w:tcBorders>
                    <w:tl2br w:val="nil"/>
                    <w:tr2bl w:val="nil"/>
                  </w:tcBorders>
                  <w:noWrap w:val="0"/>
                  <w:vAlign w:val="center"/>
                </w:tcPr>
                <w:p w14:paraId="4A3C747D">
                  <w:pPr>
                    <w:autoSpaceDE w:val="0"/>
                    <w:autoSpaceDN w:val="0"/>
                    <w:bidi w:val="0"/>
                    <w:jc w:val="center"/>
                    <w:rPr>
                      <w:rFonts w:hint="default" w:ascii="Times New Roman" w:hAnsi="Times New Roman" w:eastAsia="宋体" w:cs="Times New Roman"/>
                      <w:i w:val="0"/>
                      <w:iCs w:val="0"/>
                      <w:color w:val="FF0000"/>
                      <w:sz w:val="21"/>
                      <w:szCs w:val="21"/>
                      <w:highlight w:val="none"/>
                      <w:lang w:val="en-US" w:eastAsia="zh-CN"/>
                    </w:rPr>
                  </w:pPr>
                  <w:r>
                    <w:rPr>
                      <w:rFonts w:hint="eastAsia" w:ascii="Times New Roman" w:hAnsi="Times New Roman" w:eastAsia="宋体" w:cs="Times New Roman"/>
                      <w:i w:val="0"/>
                      <w:iCs w:val="0"/>
                      <w:color w:val="FF0000"/>
                      <w:sz w:val="21"/>
                      <w:szCs w:val="21"/>
                      <w:highlight w:val="none"/>
                      <w:lang w:val="en-US" w:eastAsia="zh-CN"/>
                    </w:rPr>
                    <w:t>60-65</w:t>
                  </w:r>
                </w:p>
              </w:tc>
              <w:tc>
                <w:tcPr>
                  <w:tcW w:w="270" w:type="pct"/>
                  <w:vMerge w:val="continue"/>
                  <w:tcBorders>
                    <w:tl2br w:val="nil"/>
                    <w:tr2bl w:val="nil"/>
                  </w:tcBorders>
                  <w:noWrap w:val="0"/>
                  <w:vAlign w:val="center"/>
                </w:tcPr>
                <w:p w14:paraId="6107B5A8">
                  <w:pPr>
                    <w:pStyle w:val="71"/>
                    <w:autoSpaceDE w:val="0"/>
                    <w:autoSpaceDN w:val="0"/>
                    <w:bidi w:val="0"/>
                    <w:jc w:val="center"/>
                    <w:rPr>
                      <w:rFonts w:ascii="Times New Roman" w:hAnsi="Times New Roman" w:eastAsia="宋体" w:cs="Times New Roman"/>
                      <w:i w:val="0"/>
                      <w:iCs w:val="0"/>
                      <w:color w:val="FF0000"/>
                      <w:highlight w:val="none"/>
                    </w:rPr>
                  </w:pPr>
                </w:p>
              </w:tc>
              <w:tc>
                <w:tcPr>
                  <w:tcW w:w="210" w:type="pct"/>
                  <w:tcBorders>
                    <w:tl2br w:val="nil"/>
                    <w:tr2bl w:val="nil"/>
                  </w:tcBorders>
                  <w:noWrap w:val="0"/>
                  <w:vAlign w:val="center"/>
                </w:tcPr>
                <w:p w14:paraId="33B10FC6">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-22</w:t>
                  </w:r>
                </w:p>
              </w:tc>
              <w:tc>
                <w:tcPr>
                  <w:tcW w:w="153" w:type="pct"/>
                  <w:tcBorders>
                    <w:tl2br w:val="nil"/>
                    <w:tr2bl w:val="nil"/>
                  </w:tcBorders>
                  <w:noWrap w:val="0"/>
                  <w:vAlign w:val="center"/>
                </w:tcPr>
                <w:p w14:paraId="1150FA6F">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-4</w:t>
                  </w:r>
                </w:p>
              </w:tc>
              <w:tc>
                <w:tcPr>
                  <w:tcW w:w="148" w:type="pct"/>
                  <w:tcBorders>
                    <w:tl2br w:val="nil"/>
                    <w:tr2bl w:val="nil"/>
                  </w:tcBorders>
                  <w:noWrap w:val="0"/>
                  <w:vAlign w:val="center"/>
                </w:tcPr>
                <w:p w14:paraId="6AE537B3">
                  <w:pPr>
                    <w:autoSpaceDE w:val="0"/>
                    <w:autoSpaceDN w:val="0"/>
                    <w:bidi w:val="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kern w:val="2"/>
                      <w:sz w:val="21"/>
                      <w:szCs w:val="24"/>
                      <w:highlight w:val="none"/>
                      <w:lang w:val="en-US" w:eastAsia="zh-CN" w:bidi="ar-SA"/>
                    </w:rPr>
                    <w:t>1</w:t>
                  </w:r>
                </w:p>
              </w:tc>
              <w:tc>
                <w:tcPr>
                  <w:tcW w:w="182" w:type="pct"/>
                  <w:tcBorders>
                    <w:tl2br w:val="nil"/>
                    <w:tr2bl w:val="nil"/>
                  </w:tcBorders>
                  <w:noWrap w:val="0"/>
                  <w:vAlign w:val="center"/>
                </w:tcPr>
                <w:p w14:paraId="3070CC6B">
                  <w:pPr>
                    <w:autoSpaceDE w:val="0"/>
                    <w:autoSpaceDN w:val="0"/>
                    <w:spacing w:before="20" w:after="2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eastAsia" w:ascii="Times New Roman" w:hAnsi="Times New Roman" w:eastAsia="宋体" w:cs="Times New Roman"/>
                      <w:i w:val="0"/>
                      <w:iCs w:val="0"/>
                      <w:color w:val="FF0000"/>
                      <w:kern w:val="2"/>
                      <w:sz w:val="21"/>
                      <w:szCs w:val="24"/>
                      <w:highlight w:val="none"/>
                      <w:lang w:val="en-US" w:eastAsia="zh-CN" w:bidi="ar-SA"/>
                    </w:rPr>
                    <w:t>53</w:t>
                  </w:r>
                </w:p>
              </w:tc>
              <w:tc>
                <w:tcPr>
                  <w:tcW w:w="192" w:type="pct"/>
                  <w:tcBorders>
                    <w:tl2br w:val="nil"/>
                    <w:tr2bl w:val="nil"/>
                  </w:tcBorders>
                  <w:noWrap w:val="0"/>
                  <w:vAlign w:val="center"/>
                </w:tcPr>
                <w:p w14:paraId="044AEC95">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eastAsia" w:ascii="Times New Roman" w:hAnsi="Times New Roman" w:eastAsia="宋体" w:cs="Times New Roman"/>
                      <w:i w:val="0"/>
                      <w:iCs w:val="0"/>
                      <w:color w:val="FF0000"/>
                      <w:highlight w:val="none"/>
                      <w:lang w:val="en-US" w:eastAsia="zh-CN"/>
                    </w:rPr>
                    <w:t>8</w:t>
                  </w:r>
                </w:p>
              </w:tc>
              <w:tc>
                <w:tcPr>
                  <w:tcW w:w="182" w:type="pct"/>
                  <w:tcBorders>
                    <w:tl2br w:val="nil"/>
                    <w:tr2bl w:val="nil"/>
                  </w:tcBorders>
                  <w:noWrap w:val="0"/>
                  <w:vAlign w:val="center"/>
                </w:tcPr>
                <w:p w14:paraId="0801443A">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7</w:t>
                  </w:r>
                </w:p>
              </w:tc>
              <w:tc>
                <w:tcPr>
                  <w:tcW w:w="191" w:type="pct"/>
                  <w:tcBorders>
                    <w:tl2br w:val="nil"/>
                    <w:tr2bl w:val="nil"/>
                  </w:tcBorders>
                  <w:noWrap w:val="0"/>
                  <w:vAlign w:val="center"/>
                </w:tcPr>
                <w:p w14:paraId="216719FF">
                  <w:pPr>
                    <w:pStyle w:val="71"/>
                    <w:autoSpaceDE w:val="0"/>
                    <w:autoSpaceDN w:val="0"/>
                    <w:bidi w:val="0"/>
                    <w:jc w:val="center"/>
                    <w:rPr>
                      <w:rFonts w:hint="default" w:cs="Times New Roman"/>
                      <w:i w:val="0"/>
                      <w:iCs w:val="0"/>
                      <w:color w:val="FF0000"/>
                      <w:highlight w:val="none"/>
                      <w:lang w:val="en-US" w:eastAsia="zh-CN"/>
                    </w:rPr>
                  </w:pPr>
                  <w:r>
                    <w:rPr>
                      <w:rFonts w:hint="eastAsia" w:cs="Times New Roman"/>
                      <w:i w:val="0"/>
                      <w:iCs w:val="0"/>
                      <w:color w:val="FF0000"/>
                      <w:highlight w:val="none"/>
                      <w:lang w:val="en-US" w:eastAsia="zh-CN"/>
                    </w:rPr>
                    <w:t>17</w:t>
                  </w:r>
                </w:p>
              </w:tc>
              <w:tc>
                <w:tcPr>
                  <w:tcW w:w="336" w:type="pct"/>
                  <w:tcBorders>
                    <w:tl2br w:val="nil"/>
                    <w:tr2bl w:val="nil"/>
                  </w:tcBorders>
                  <w:noWrap w:val="0"/>
                  <w:vAlign w:val="center"/>
                </w:tcPr>
                <w:p w14:paraId="199182A6">
                  <w:pPr>
                    <w:autoSpaceDE w:val="0"/>
                    <w:autoSpaceDN w:val="0"/>
                    <w:bidi w:val="0"/>
                    <w:jc w:val="center"/>
                    <w:rPr>
                      <w:rFonts w:hint="default" w:ascii="Times New Roman" w:hAnsi="Times New Roman" w:eastAsia="宋体" w:cs="Times New Roman"/>
                      <w:i w:val="0"/>
                      <w:iCs w:val="0"/>
                      <w:color w:val="FF0000"/>
                      <w:kern w:val="2"/>
                      <w:sz w:val="21"/>
                      <w:szCs w:val="24"/>
                      <w:highlight w:val="none"/>
                      <w:lang w:val="en-US" w:eastAsia="zh-CN" w:bidi="ar-SA"/>
                    </w:rPr>
                  </w:pPr>
                  <w:r>
                    <w:rPr>
                      <w:rFonts w:hint="default" w:ascii="Times New Roman" w:hAnsi="Times New Roman" w:eastAsia="宋体" w:cs="Times New Roman"/>
                      <w:i w:val="0"/>
                      <w:iCs w:val="0"/>
                      <w:color w:val="FF0000"/>
                      <w:kern w:val="2"/>
                      <w:sz w:val="21"/>
                      <w:szCs w:val="24"/>
                      <w:highlight w:val="none"/>
                      <w:lang w:val="en-US" w:eastAsia="zh-CN" w:bidi="ar-SA"/>
                    </w:rPr>
                    <w:t>30.51</w:t>
                  </w:r>
                </w:p>
              </w:tc>
              <w:tc>
                <w:tcPr>
                  <w:tcW w:w="303" w:type="pct"/>
                  <w:tcBorders>
                    <w:tl2br w:val="nil"/>
                    <w:tr2bl w:val="nil"/>
                  </w:tcBorders>
                  <w:noWrap w:val="0"/>
                  <w:vAlign w:val="center"/>
                </w:tcPr>
                <w:p w14:paraId="4E2D377A">
                  <w:pPr>
                    <w:pStyle w:val="71"/>
                    <w:autoSpaceDE w:val="0"/>
                    <w:autoSpaceDN w:val="0"/>
                    <w:bidi w:val="0"/>
                    <w:jc w:val="center"/>
                    <w:rPr>
                      <w:rFonts w:hint="default" w:ascii="Times New Roman" w:hAnsi="Times New Roman" w:eastAsia="宋体" w:cs="Times New Roman"/>
                      <w:i w:val="0"/>
                      <w:iCs w:val="0"/>
                      <w:color w:val="FF0000"/>
                      <w:highlight w:val="none"/>
                      <w:lang w:val="en-US" w:eastAsia="zh-CN"/>
                    </w:rPr>
                  </w:pPr>
                  <w:r>
                    <w:rPr>
                      <w:rFonts w:hint="default" w:ascii="Times New Roman" w:hAnsi="Times New Roman" w:eastAsia="宋体" w:cs="Times New Roman"/>
                      <w:i w:val="0"/>
                      <w:iCs w:val="0"/>
                      <w:color w:val="FF0000"/>
                      <w:highlight w:val="none"/>
                      <w:lang w:val="en-US" w:eastAsia="zh-CN"/>
                    </w:rPr>
                    <w:t>46.93</w:t>
                  </w:r>
                </w:p>
              </w:tc>
              <w:tc>
                <w:tcPr>
                  <w:tcW w:w="303" w:type="pct"/>
                  <w:tcBorders>
                    <w:tl2br w:val="nil"/>
                    <w:tr2bl w:val="nil"/>
                  </w:tcBorders>
                  <w:noWrap w:val="0"/>
                  <w:vAlign w:val="center"/>
                </w:tcPr>
                <w:p w14:paraId="32472E7D">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48.09</w:t>
                  </w:r>
                </w:p>
              </w:tc>
              <w:tc>
                <w:tcPr>
                  <w:tcW w:w="304" w:type="pct"/>
                  <w:tcBorders>
                    <w:tl2br w:val="nil"/>
                    <w:tr2bl w:val="nil"/>
                  </w:tcBorders>
                  <w:noWrap w:val="0"/>
                  <w:vAlign w:val="center"/>
                </w:tcPr>
                <w:p w14:paraId="2FFC2028">
                  <w:pPr>
                    <w:pStyle w:val="71"/>
                    <w:autoSpaceDE w:val="0"/>
                    <w:autoSpaceDN w:val="0"/>
                    <w:bidi w:val="0"/>
                    <w:jc w:val="center"/>
                    <w:rPr>
                      <w:rFonts w:hint="eastAsia" w:cs="Times New Roman"/>
                      <w:i w:val="0"/>
                      <w:iCs w:val="0"/>
                      <w:color w:val="FF0000"/>
                      <w:highlight w:val="none"/>
                      <w:lang w:val="en-US" w:eastAsia="zh-CN"/>
                    </w:rPr>
                  </w:pPr>
                  <w:r>
                    <w:rPr>
                      <w:rFonts w:hint="eastAsia" w:cs="Times New Roman"/>
                      <w:i w:val="0"/>
                      <w:iCs w:val="0"/>
                      <w:color w:val="FF0000"/>
                      <w:highlight w:val="none"/>
                      <w:lang w:val="en-US" w:eastAsia="zh-CN"/>
                    </w:rPr>
                    <w:t>40.39</w:t>
                  </w:r>
                </w:p>
              </w:tc>
            </w:tr>
          </w:tbl>
          <w:p w14:paraId="7C30A524">
            <w:pPr>
              <w:keepNext w:val="0"/>
              <w:keepLines w:val="0"/>
              <w:pageBreakBefore w:val="0"/>
              <w:widowControl w:val="0"/>
              <w:kinsoku/>
              <w:wordWrap/>
              <w:overflowPunct/>
              <w:topLinePunct w:val="0"/>
              <w:autoSpaceDE/>
              <w:autoSpaceDN/>
              <w:bidi w:val="0"/>
              <w:adjustRightInd/>
              <w:snapToGrid/>
              <w:spacing w:before="157" w:beforeLines="50" w:line="240" w:lineRule="auto"/>
              <w:ind w:firstLine="422" w:firstLineChars="200"/>
              <w:jc w:val="center"/>
              <w:textAlignment w:val="auto"/>
              <w:rPr>
                <w:rFonts w:hint="eastAsia" w:ascii="宋体" w:hAnsi="宋体" w:eastAsia="宋体" w:cs="宋体"/>
                <w:bCs/>
                <w:color w:val="auto"/>
                <w:spacing w:val="-10"/>
                <w:szCs w:val="21"/>
                <w:highlight w:val="none"/>
                <w:shd w:val="clear" w:color="auto" w:fill="auto"/>
                <w:lang w:eastAsia="zh-CN"/>
              </w:rPr>
            </w:pPr>
            <w:r>
              <w:rPr>
                <w:rFonts w:hint="default" w:ascii="Times New Roman" w:hAnsi="Times New Roman" w:eastAsia="宋体" w:cs="Times New Roman"/>
                <w:b/>
                <w:bCs/>
                <w:i w:val="0"/>
                <w:iCs w:val="0"/>
                <w:color w:val="auto"/>
                <w:highlight w:val="none"/>
              </w:rPr>
              <w:t>表4-</w:t>
            </w:r>
            <w:r>
              <w:rPr>
                <w:rFonts w:hint="eastAsia" w:ascii="Times New Roman" w:hAnsi="Times New Roman" w:eastAsia="宋体" w:cs="Times New Roman"/>
                <w:b/>
                <w:bCs/>
                <w:i w:val="0"/>
                <w:iCs w:val="0"/>
                <w:color w:val="auto"/>
                <w:highlight w:val="none"/>
                <w:lang w:val="en-US" w:eastAsia="zh-CN"/>
              </w:rPr>
              <w:t>1</w:t>
            </w:r>
            <w:r>
              <w:rPr>
                <w:rFonts w:hint="eastAsia" w:cs="Times New Roman"/>
                <w:b/>
                <w:bCs/>
                <w:i w:val="0"/>
                <w:iCs w:val="0"/>
                <w:color w:val="auto"/>
                <w:highlight w:val="none"/>
                <w:lang w:val="en-US" w:eastAsia="zh-CN"/>
              </w:rPr>
              <w:t>5</w:t>
            </w:r>
            <w:r>
              <w:rPr>
                <w:rFonts w:hint="eastAsia" w:ascii="Times New Roman" w:hAnsi="Times New Roman" w:eastAsia="宋体" w:cs="Times New Roman"/>
                <w:b/>
                <w:bCs/>
                <w:i w:val="0"/>
                <w:iCs w:val="0"/>
                <w:color w:val="auto"/>
                <w:highlight w:val="none"/>
                <w:lang w:val="en-US" w:eastAsia="zh-CN"/>
              </w:rPr>
              <w:t xml:space="preserve"> </w:t>
            </w:r>
            <w:r>
              <w:rPr>
                <w:rFonts w:hint="default" w:ascii="Times New Roman" w:hAnsi="Times New Roman" w:eastAsia="宋体" w:cs="Times New Roman"/>
                <w:b/>
                <w:bCs/>
                <w:i w:val="0"/>
                <w:iCs w:val="0"/>
                <w:color w:val="auto"/>
                <w:highlight w:val="none"/>
              </w:rPr>
              <w:t xml:space="preserve"> </w:t>
            </w:r>
            <w:r>
              <w:rPr>
                <w:rFonts w:ascii="Times New Roman" w:hAnsi="Times New Roman" w:eastAsia="宋体" w:cs="Times New Roman"/>
                <w:b/>
                <w:bCs/>
                <w:i w:val="0"/>
                <w:iCs w:val="0"/>
                <w:color w:val="auto"/>
                <w:highlight w:val="none"/>
              </w:rPr>
              <w:t>噪声污染源产生、排放汇总表</w:t>
            </w:r>
            <w:r>
              <w:rPr>
                <w:rFonts w:hint="eastAsia" w:ascii="Times New Roman" w:hAnsi="Times New Roman" w:eastAsia="宋体" w:cs="Times New Roman"/>
                <w:b/>
                <w:bCs/>
                <w:i w:val="0"/>
                <w:iCs w:val="0"/>
                <w:color w:val="auto"/>
                <w:highlight w:val="none"/>
                <w:lang w:eastAsia="zh-CN"/>
              </w:rPr>
              <w:t>（</w:t>
            </w:r>
            <w:r>
              <w:rPr>
                <w:rFonts w:hint="eastAsia" w:ascii="Times New Roman" w:hAnsi="Times New Roman" w:eastAsia="宋体" w:cs="Times New Roman"/>
                <w:b/>
                <w:bCs/>
                <w:i w:val="0"/>
                <w:iCs w:val="0"/>
                <w:color w:val="auto"/>
                <w:highlight w:val="none"/>
                <w:lang w:val="en-US" w:eastAsia="zh-CN"/>
              </w:rPr>
              <w:t>室内声源</w:t>
            </w:r>
            <w:r>
              <w:rPr>
                <w:rFonts w:hint="eastAsia" w:ascii="Times New Roman" w:hAnsi="Times New Roman" w:eastAsia="宋体" w:cs="Times New Roman"/>
                <w:b/>
                <w:bCs/>
                <w:i w:val="0"/>
                <w:iCs w:val="0"/>
                <w:color w:val="auto"/>
                <w:highlight w:val="none"/>
                <w:lang w:eastAsia="zh-CN"/>
              </w:rPr>
              <w:t>）（</w:t>
            </w:r>
            <w:r>
              <w:rPr>
                <w:rFonts w:hint="eastAsia" w:ascii="Times New Roman" w:hAnsi="Times New Roman" w:eastAsia="宋体" w:cs="Times New Roman"/>
                <w:b/>
                <w:bCs/>
                <w:i w:val="0"/>
                <w:iCs w:val="0"/>
                <w:color w:val="auto"/>
                <w:highlight w:val="none"/>
                <w:lang w:val="en-US" w:eastAsia="zh-CN"/>
              </w:rPr>
              <w:t>2</w:t>
            </w:r>
            <w:r>
              <w:rPr>
                <w:rFonts w:hint="eastAsia" w:ascii="Times New Roman" w:hAnsi="Times New Roman" w:eastAsia="宋体" w:cs="Times New Roman"/>
                <w:b/>
                <w:bCs/>
                <w:i w:val="0"/>
                <w:iCs w:val="0"/>
                <w:color w:val="auto"/>
                <w:highlight w:val="none"/>
                <w:lang w:eastAsia="zh-CN"/>
              </w:rPr>
              <w:t>）</w:t>
            </w:r>
          </w:p>
          <w:tbl>
            <w:tblPr>
              <w:tblStyle w:val="2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8"/>
              <w:gridCol w:w="1394"/>
              <w:gridCol w:w="1028"/>
              <w:gridCol w:w="1141"/>
              <w:gridCol w:w="952"/>
              <w:gridCol w:w="843"/>
              <w:gridCol w:w="792"/>
              <w:gridCol w:w="821"/>
              <w:gridCol w:w="918"/>
            </w:tblGrid>
            <w:tr w14:paraId="34476B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385" w:type="pct"/>
                  <w:vMerge w:val="restart"/>
                  <w:tcBorders>
                    <w:tl2br w:val="nil"/>
                    <w:tr2bl w:val="nil"/>
                  </w:tcBorders>
                  <w:noWrap w:val="0"/>
                  <w:vAlign w:val="center"/>
                </w:tcPr>
                <w:p w14:paraId="4745D38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815" w:type="pct"/>
                  <w:vMerge w:val="restart"/>
                  <w:tcBorders>
                    <w:tl2br w:val="nil"/>
                    <w:tr2bl w:val="nil"/>
                  </w:tcBorders>
                  <w:noWrap w:val="0"/>
                  <w:vAlign w:val="center"/>
                </w:tcPr>
                <w:p w14:paraId="786D2D47">
                  <w:pPr>
                    <w:keepNext w:val="0"/>
                    <w:keepLines w:val="0"/>
                    <w:widowControl/>
                    <w:suppressLineNumbers w:val="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建筑物</w:t>
                  </w:r>
                </w:p>
                <w:p w14:paraId="76C5B26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601" w:type="pct"/>
                  <w:vMerge w:val="restart"/>
                  <w:tcBorders>
                    <w:tl2br w:val="nil"/>
                    <w:tr2bl w:val="nil"/>
                  </w:tcBorders>
                  <w:noWrap w:val="0"/>
                  <w:vAlign w:val="center"/>
                </w:tcPr>
                <w:p w14:paraId="6195279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运行时段</w:t>
                  </w:r>
                </w:p>
              </w:tc>
              <w:tc>
                <w:tcPr>
                  <w:tcW w:w="667" w:type="pct"/>
                  <w:vMerge w:val="restart"/>
                  <w:tcBorders>
                    <w:tl2br w:val="nil"/>
                    <w:tr2bl w:val="nil"/>
                  </w:tcBorders>
                  <w:noWrap w:val="0"/>
                  <w:vAlign w:val="center"/>
                </w:tcPr>
                <w:p w14:paraId="0424CBC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建筑物插入损失</w:t>
                  </w:r>
                  <w:r>
                    <w:rPr>
                      <w:rFonts w:hint="default" w:ascii="Times New Roman" w:hAnsi="Times New Roman" w:eastAsia="宋体" w:cs="Times New Roman"/>
                      <w:b/>
                      <w:bCs/>
                      <w:i w:val="0"/>
                      <w:iCs w:val="0"/>
                      <w:color w:val="auto"/>
                      <w:kern w:val="0"/>
                      <w:sz w:val="21"/>
                      <w:szCs w:val="21"/>
                      <w:highlight w:val="none"/>
                      <w:u w:val="none"/>
                      <w:lang w:val="en-US" w:eastAsia="zh-CN" w:bidi="ar"/>
                    </w:rPr>
                    <w:t>/dB(A)</w:t>
                  </w:r>
                </w:p>
              </w:tc>
              <w:tc>
                <w:tcPr>
                  <w:tcW w:w="2530" w:type="pct"/>
                  <w:gridSpan w:val="5"/>
                  <w:tcBorders>
                    <w:tl2br w:val="nil"/>
                    <w:tr2bl w:val="nil"/>
                  </w:tcBorders>
                  <w:noWrap w:val="0"/>
                  <w:vAlign w:val="center"/>
                </w:tcPr>
                <w:p w14:paraId="4E431A0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建筑物外噪声</w:t>
                  </w:r>
                </w:p>
              </w:tc>
            </w:tr>
            <w:tr w14:paraId="7174E4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385" w:type="pct"/>
                  <w:vMerge w:val="continue"/>
                  <w:tcBorders>
                    <w:tl2br w:val="nil"/>
                    <w:tr2bl w:val="nil"/>
                  </w:tcBorders>
                  <w:noWrap w:val="0"/>
                  <w:vAlign w:val="center"/>
                </w:tcPr>
                <w:p w14:paraId="6D7D4073">
                  <w:pPr>
                    <w:jc w:val="center"/>
                    <w:rPr>
                      <w:rFonts w:hint="eastAsia" w:ascii="宋体" w:hAnsi="宋体" w:eastAsia="宋体" w:cs="宋体"/>
                      <w:b/>
                      <w:bCs/>
                      <w:i w:val="0"/>
                      <w:iCs w:val="0"/>
                      <w:color w:val="auto"/>
                      <w:sz w:val="21"/>
                      <w:szCs w:val="21"/>
                      <w:highlight w:val="none"/>
                      <w:u w:val="none"/>
                    </w:rPr>
                  </w:pPr>
                </w:p>
              </w:tc>
              <w:tc>
                <w:tcPr>
                  <w:tcW w:w="815" w:type="pct"/>
                  <w:vMerge w:val="continue"/>
                  <w:tcBorders>
                    <w:tl2br w:val="nil"/>
                    <w:tr2bl w:val="nil"/>
                  </w:tcBorders>
                  <w:noWrap w:val="0"/>
                  <w:vAlign w:val="center"/>
                </w:tcPr>
                <w:p w14:paraId="7E63300D">
                  <w:pPr>
                    <w:jc w:val="center"/>
                    <w:rPr>
                      <w:rFonts w:hint="eastAsia" w:ascii="宋体" w:hAnsi="宋体" w:eastAsia="宋体" w:cs="宋体"/>
                      <w:b/>
                      <w:bCs/>
                      <w:i w:val="0"/>
                      <w:iCs w:val="0"/>
                      <w:color w:val="auto"/>
                      <w:sz w:val="21"/>
                      <w:szCs w:val="21"/>
                      <w:highlight w:val="none"/>
                      <w:u w:val="none"/>
                    </w:rPr>
                  </w:pPr>
                </w:p>
              </w:tc>
              <w:tc>
                <w:tcPr>
                  <w:tcW w:w="601" w:type="pct"/>
                  <w:vMerge w:val="continue"/>
                  <w:tcBorders>
                    <w:tl2br w:val="nil"/>
                    <w:tr2bl w:val="nil"/>
                  </w:tcBorders>
                  <w:noWrap w:val="0"/>
                  <w:vAlign w:val="center"/>
                </w:tcPr>
                <w:p w14:paraId="2D47659C">
                  <w:pPr>
                    <w:jc w:val="center"/>
                    <w:rPr>
                      <w:rFonts w:hint="eastAsia" w:ascii="宋体" w:hAnsi="宋体" w:eastAsia="宋体" w:cs="宋体"/>
                      <w:b/>
                      <w:bCs/>
                      <w:i w:val="0"/>
                      <w:iCs w:val="0"/>
                      <w:color w:val="auto"/>
                      <w:sz w:val="21"/>
                      <w:szCs w:val="21"/>
                      <w:highlight w:val="none"/>
                      <w:u w:val="none"/>
                    </w:rPr>
                  </w:pPr>
                </w:p>
              </w:tc>
              <w:tc>
                <w:tcPr>
                  <w:tcW w:w="667" w:type="pct"/>
                  <w:vMerge w:val="continue"/>
                  <w:tcBorders>
                    <w:tl2br w:val="nil"/>
                    <w:tr2bl w:val="nil"/>
                  </w:tcBorders>
                  <w:noWrap w:val="0"/>
                  <w:vAlign w:val="center"/>
                </w:tcPr>
                <w:p w14:paraId="7C8738F5">
                  <w:pPr>
                    <w:jc w:val="center"/>
                    <w:rPr>
                      <w:rFonts w:hint="eastAsia" w:ascii="宋体" w:hAnsi="宋体" w:eastAsia="宋体" w:cs="宋体"/>
                      <w:b/>
                      <w:bCs/>
                      <w:i w:val="0"/>
                      <w:iCs w:val="0"/>
                      <w:color w:val="auto"/>
                      <w:sz w:val="21"/>
                      <w:szCs w:val="21"/>
                      <w:highlight w:val="none"/>
                      <w:u w:val="none"/>
                    </w:rPr>
                  </w:pPr>
                </w:p>
              </w:tc>
              <w:tc>
                <w:tcPr>
                  <w:tcW w:w="1993" w:type="pct"/>
                  <w:gridSpan w:val="4"/>
                  <w:tcBorders>
                    <w:tl2br w:val="nil"/>
                    <w:tr2bl w:val="nil"/>
                  </w:tcBorders>
                  <w:noWrap w:val="0"/>
                  <w:vAlign w:val="center"/>
                </w:tcPr>
                <w:p w14:paraId="2E32C75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声压级</w:t>
                  </w:r>
                  <w:r>
                    <w:rPr>
                      <w:rFonts w:hint="default" w:ascii="Times New Roman" w:hAnsi="Times New Roman" w:eastAsia="宋体" w:cs="Times New Roman"/>
                      <w:b/>
                      <w:bCs/>
                      <w:i w:val="0"/>
                      <w:iCs w:val="0"/>
                      <w:color w:val="auto"/>
                      <w:kern w:val="0"/>
                      <w:sz w:val="21"/>
                      <w:szCs w:val="21"/>
                      <w:highlight w:val="none"/>
                      <w:u w:val="none"/>
                      <w:lang w:val="en-US" w:eastAsia="zh-CN" w:bidi="ar"/>
                    </w:rPr>
                    <w:t>/dB(A)</w:t>
                  </w:r>
                </w:p>
              </w:tc>
              <w:tc>
                <w:tcPr>
                  <w:tcW w:w="536" w:type="pct"/>
                  <w:vMerge w:val="restart"/>
                  <w:tcBorders>
                    <w:tl2br w:val="nil"/>
                    <w:tr2bl w:val="nil"/>
                  </w:tcBorders>
                  <w:noWrap w:val="0"/>
                  <w:vAlign w:val="center"/>
                </w:tcPr>
                <w:p w14:paraId="45C2D2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建筑物外距离</w:t>
                  </w:r>
                </w:p>
              </w:tc>
            </w:tr>
            <w:tr w14:paraId="5F13C0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85" w:type="pct"/>
                  <w:vMerge w:val="continue"/>
                  <w:tcBorders>
                    <w:bottom w:val="single" w:color="000000" w:sz="12" w:space="0"/>
                    <w:tl2br w:val="nil"/>
                    <w:tr2bl w:val="nil"/>
                  </w:tcBorders>
                  <w:noWrap w:val="0"/>
                  <w:vAlign w:val="center"/>
                </w:tcPr>
                <w:p w14:paraId="2E0DF44A">
                  <w:pPr>
                    <w:jc w:val="center"/>
                    <w:rPr>
                      <w:rFonts w:hint="eastAsia" w:ascii="宋体" w:hAnsi="宋体" w:eastAsia="宋体" w:cs="宋体"/>
                      <w:b/>
                      <w:bCs/>
                      <w:i w:val="0"/>
                      <w:iCs w:val="0"/>
                      <w:color w:val="auto"/>
                      <w:sz w:val="21"/>
                      <w:szCs w:val="21"/>
                      <w:highlight w:val="none"/>
                      <w:u w:val="none"/>
                    </w:rPr>
                  </w:pPr>
                </w:p>
              </w:tc>
              <w:tc>
                <w:tcPr>
                  <w:tcW w:w="815" w:type="pct"/>
                  <w:vMerge w:val="continue"/>
                  <w:tcBorders>
                    <w:bottom w:val="single" w:color="000000" w:sz="12" w:space="0"/>
                    <w:tl2br w:val="nil"/>
                    <w:tr2bl w:val="nil"/>
                  </w:tcBorders>
                  <w:noWrap w:val="0"/>
                  <w:vAlign w:val="center"/>
                </w:tcPr>
                <w:p w14:paraId="6158DFB3">
                  <w:pPr>
                    <w:jc w:val="center"/>
                    <w:rPr>
                      <w:rFonts w:hint="eastAsia" w:ascii="宋体" w:hAnsi="宋体" w:eastAsia="宋体" w:cs="宋体"/>
                      <w:b/>
                      <w:bCs/>
                      <w:i w:val="0"/>
                      <w:iCs w:val="0"/>
                      <w:color w:val="auto"/>
                      <w:sz w:val="21"/>
                      <w:szCs w:val="21"/>
                      <w:highlight w:val="none"/>
                      <w:u w:val="none"/>
                    </w:rPr>
                  </w:pPr>
                </w:p>
              </w:tc>
              <w:tc>
                <w:tcPr>
                  <w:tcW w:w="601" w:type="pct"/>
                  <w:vMerge w:val="continue"/>
                  <w:tcBorders>
                    <w:bottom w:val="single" w:color="000000" w:sz="12" w:space="0"/>
                    <w:tl2br w:val="nil"/>
                    <w:tr2bl w:val="nil"/>
                  </w:tcBorders>
                  <w:noWrap w:val="0"/>
                  <w:vAlign w:val="center"/>
                </w:tcPr>
                <w:p w14:paraId="5167F2EE">
                  <w:pPr>
                    <w:jc w:val="center"/>
                    <w:rPr>
                      <w:rFonts w:hint="eastAsia" w:ascii="宋体" w:hAnsi="宋体" w:eastAsia="宋体" w:cs="宋体"/>
                      <w:b/>
                      <w:bCs/>
                      <w:i w:val="0"/>
                      <w:iCs w:val="0"/>
                      <w:color w:val="auto"/>
                      <w:sz w:val="21"/>
                      <w:szCs w:val="21"/>
                      <w:highlight w:val="none"/>
                      <w:u w:val="none"/>
                    </w:rPr>
                  </w:pPr>
                </w:p>
              </w:tc>
              <w:tc>
                <w:tcPr>
                  <w:tcW w:w="667" w:type="pct"/>
                  <w:vMerge w:val="continue"/>
                  <w:tcBorders>
                    <w:bottom w:val="single" w:color="000000" w:sz="12" w:space="0"/>
                    <w:tl2br w:val="nil"/>
                    <w:tr2bl w:val="nil"/>
                  </w:tcBorders>
                  <w:noWrap w:val="0"/>
                  <w:vAlign w:val="center"/>
                </w:tcPr>
                <w:p w14:paraId="2F3D3A61">
                  <w:pPr>
                    <w:jc w:val="center"/>
                    <w:rPr>
                      <w:rFonts w:hint="eastAsia" w:ascii="宋体" w:hAnsi="宋体" w:eastAsia="宋体" w:cs="宋体"/>
                      <w:b/>
                      <w:bCs/>
                      <w:i w:val="0"/>
                      <w:iCs w:val="0"/>
                      <w:color w:val="auto"/>
                      <w:sz w:val="21"/>
                      <w:szCs w:val="21"/>
                      <w:highlight w:val="none"/>
                      <w:u w:val="none"/>
                    </w:rPr>
                  </w:pPr>
                </w:p>
              </w:tc>
              <w:tc>
                <w:tcPr>
                  <w:tcW w:w="557" w:type="pct"/>
                  <w:tcBorders>
                    <w:bottom w:val="single" w:color="000000" w:sz="12" w:space="0"/>
                    <w:tl2br w:val="nil"/>
                    <w:tr2bl w:val="nil"/>
                  </w:tcBorders>
                  <w:noWrap w:val="0"/>
                  <w:vAlign w:val="center"/>
                </w:tcPr>
                <w:p w14:paraId="79F6975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东</w:t>
                  </w:r>
                </w:p>
              </w:tc>
              <w:tc>
                <w:tcPr>
                  <w:tcW w:w="493" w:type="pct"/>
                  <w:tcBorders>
                    <w:bottom w:val="single" w:color="000000" w:sz="12" w:space="0"/>
                    <w:tl2br w:val="nil"/>
                    <w:tr2bl w:val="nil"/>
                  </w:tcBorders>
                  <w:noWrap w:val="0"/>
                  <w:vAlign w:val="center"/>
                </w:tcPr>
                <w:p w14:paraId="5CDA733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西</w:t>
                  </w:r>
                </w:p>
              </w:tc>
              <w:tc>
                <w:tcPr>
                  <w:tcW w:w="463" w:type="pct"/>
                  <w:tcBorders>
                    <w:bottom w:val="single" w:color="000000" w:sz="12" w:space="0"/>
                    <w:tl2br w:val="nil"/>
                    <w:tr2bl w:val="nil"/>
                  </w:tcBorders>
                  <w:noWrap w:val="0"/>
                  <w:vAlign w:val="center"/>
                </w:tcPr>
                <w:p w14:paraId="6B20CDA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南</w:t>
                  </w:r>
                </w:p>
              </w:tc>
              <w:tc>
                <w:tcPr>
                  <w:tcW w:w="478" w:type="pct"/>
                  <w:tcBorders>
                    <w:bottom w:val="single" w:color="000000" w:sz="12" w:space="0"/>
                    <w:tl2br w:val="nil"/>
                    <w:tr2bl w:val="nil"/>
                  </w:tcBorders>
                  <w:noWrap w:val="0"/>
                  <w:vAlign w:val="center"/>
                </w:tcPr>
                <w:p w14:paraId="301010B4">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北</w:t>
                  </w:r>
                </w:p>
              </w:tc>
              <w:tc>
                <w:tcPr>
                  <w:tcW w:w="536" w:type="pct"/>
                  <w:vMerge w:val="continue"/>
                  <w:tcBorders>
                    <w:bottom w:val="single" w:color="000000" w:sz="12" w:space="0"/>
                    <w:tl2br w:val="nil"/>
                    <w:tr2bl w:val="nil"/>
                  </w:tcBorders>
                  <w:noWrap w:val="0"/>
                  <w:vAlign w:val="center"/>
                </w:tcPr>
                <w:p w14:paraId="045B3BE5">
                  <w:pPr>
                    <w:jc w:val="center"/>
                    <w:rPr>
                      <w:rFonts w:hint="eastAsia" w:ascii="宋体" w:hAnsi="宋体" w:eastAsia="宋体" w:cs="宋体"/>
                      <w:i w:val="0"/>
                      <w:iCs w:val="0"/>
                      <w:color w:val="auto"/>
                      <w:sz w:val="21"/>
                      <w:szCs w:val="21"/>
                      <w:highlight w:val="none"/>
                      <w:u w:val="none"/>
                    </w:rPr>
                  </w:pPr>
                </w:p>
              </w:tc>
            </w:tr>
            <w:tr w14:paraId="6FB60F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2" w:hRule="atLeast"/>
                <w:jc w:val="center"/>
              </w:trPr>
              <w:tc>
                <w:tcPr>
                  <w:tcW w:w="385" w:type="pct"/>
                  <w:tcBorders>
                    <w:top w:val="single" w:color="000000" w:sz="12" w:space="0"/>
                    <w:bottom w:val="single" w:color="000000" w:sz="12" w:space="0"/>
                  </w:tcBorders>
                  <w:noWrap w:val="0"/>
                  <w:vAlign w:val="center"/>
                </w:tcPr>
                <w:p w14:paraId="0AEB26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15" w:type="pct"/>
                  <w:tcBorders>
                    <w:top w:val="single" w:color="000000" w:sz="12" w:space="0"/>
                    <w:bottom w:val="single" w:color="000000" w:sz="12" w:space="0"/>
                  </w:tcBorders>
                  <w:noWrap w:val="0"/>
                  <w:vAlign w:val="center"/>
                </w:tcPr>
                <w:p w14:paraId="6D7E0D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生产车间</w:t>
                  </w:r>
                </w:p>
              </w:tc>
              <w:tc>
                <w:tcPr>
                  <w:tcW w:w="601" w:type="pct"/>
                  <w:tcBorders>
                    <w:top w:val="single" w:color="000000" w:sz="12" w:space="0"/>
                    <w:bottom w:val="single" w:color="000000" w:sz="12" w:space="0"/>
                  </w:tcBorders>
                  <w:noWrap w:val="0"/>
                  <w:vAlign w:val="center"/>
                </w:tcPr>
                <w:p w14:paraId="31F755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全天</w:t>
                  </w:r>
                </w:p>
              </w:tc>
              <w:tc>
                <w:tcPr>
                  <w:tcW w:w="667" w:type="pct"/>
                  <w:tcBorders>
                    <w:top w:val="single" w:color="000000" w:sz="12" w:space="0"/>
                    <w:bottom w:val="single" w:color="000000" w:sz="12" w:space="0"/>
                  </w:tcBorders>
                  <w:noWrap w:val="0"/>
                  <w:vAlign w:val="center"/>
                </w:tcPr>
                <w:p w14:paraId="2F7509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557" w:type="pct"/>
                  <w:tcBorders>
                    <w:top w:val="single" w:color="000000" w:sz="12" w:space="0"/>
                    <w:bottom w:val="single" w:color="000000" w:sz="12" w:space="0"/>
                  </w:tcBorders>
                  <w:noWrap w:val="0"/>
                  <w:vAlign w:val="center"/>
                </w:tcPr>
                <w:p w14:paraId="2C42B565">
                  <w:pPr>
                    <w:pStyle w:val="71"/>
                    <w:bidi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2"/>
                      <w:sz w:val="21"/>
                      <w:szCs w:val="24"/>
                      <w:highlight w:val="none"/>
                      <w:lang w:val="en-US" w:eastAsia="zh-CN" w:bidi="ar-SA"/>
                    </w:rPr>
                    <w:t>38.25</w:t>
                  </w:r>
                </w:p>
              </w:tc>
              <w:tc>
                <w:tcPr>
                  <w:tcW w:w="493" w:type="pct"/>
                  <w:tcBorders>
                    <w:top w:val="single" w:color="000000" w:sz="12" w:space="0"/>
                    <w:bottom w:val="single" w:color="000000" w:sz="12" w:space="0"/>
                  </w:tcBorders>
                  <w:noWrap w:val="0"/>
                  <w:vAlign w:val="center"/>
                </w:tcPr>
                <w:p w14:paraId="7FB73BD1">
                  <w:pPr>
                    <w:pStyle w:val="71"/>
                    <w:bidi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29.29</w:t>
                  </w:r>
                </w:p>
              </w:tc>
              <w:tc>
                <w:tcPr>
                  <w:tcW w:w="463" w:type="pct"/>
                  <w:tcBorders>
                    <w:top w:val="single" w:color="000000" w:sz="12" w:space="0"/>
                    <w:bottom w:val="single" w:color="000000" w:sz="12" w:space="0"/>
                  </w:tcBorders>
                  <w:noWrap w:val="0"/>
                  <w:vAlign w:val="center"/>
                </w:tcPr>
                <w:p w14:paraId="5532D192">
                  <w:pPr>
                    <w:pStyle w:val="71"/>
                    <w:bidi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highlight w:val="none"/>
                      <w:lang w:val="en-US" w:eastAsia="zh-CN"/>
                    </w:rPr>
                    <w:t>41.5</w:t>
                  </w:r>
                </w:p>
              </w:tc>
              <w:tc>
                <w:tcPr>
                  <w:tcW w:w="478" w:type="pct"/>
                  <w:tcBorders>
                    <w:top w:val="single" w:color="000000" w:sz="12" w:space="0"/>
                    <w:bottom w:val="single" w:color="000000" w:sz="12" w:space="0"/>
                  </w:tcBorders>
                  <w:noWrap w:val="0"/>
                  <w:vAlign w:val="center"/>
                </w:tcPr>
                <w:p w14:paraId="2713B6C3">
                  <w:pPr>
                    <w:pStyle w:val="71"/>
                    <w:bidi w:val="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highlight w:val="none"/>
                      <w:lang w:val="en-US" w:eastAsia="zh-CN"/>
                    </w:rPr>
                    <w:t>42.87</w:t>
                  </w:r>
                </w:p>
              </w:tc>
              <w:tc>
                <w:tcPr>
                  <w:tcW w:w="536" w:type="pct"/>
                  <w:tcBorders>
                    <w:top w:val="single" w:color="000000" w:sz="12" w:space="0"/>
                    <w:bottom w:val="single" w:color="000000" w:sz="12" w:space="0"/>
                  </w:tcBorders>
                  <w:noWrap w:val="0"/>
                  <w:vAlign w:val="center"/>
                </w:tcPr>
                <w:p w14:paraId="39F823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bl>
          <w:p w14:paraId="7C5EF18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根据项目设备的噪声排放特点，并结合</w:t>
            </w:r>
            <w:r>
              <w:rPr>
                <w:rFonts w:hint="default" w:ascii="Times New Roman" w:hAnsi="Times New Roman" w:eastAsia="宋体" w:cs="Times New Roman"/>
                <w:i w:val="0"/>
                <w:iCs w:val="0"/>
                <w:color w:val="auto"/>
                <w:spacing w:val="-4"/>
                <w:kern w:val="2"/>
                <w:sz w:val="24"/>
                <w:szCs w:val="24"/>
                <w:highlight w:val="none"/>
              </w:rPr>
              <w:t>《环境影响评价技术导则-声环境》HJ2.4-20</w:t>
            </w:r>
            <w:r>
              <w:rPr>
                <w:rFonts w:hint="eastAsia" w:ascii="Times New Roman" w:hAnsi="Times New Roman" w:eastAsia="宋体" w:cs="Times New Roman"/>
                <w:i w:val="0"/>
                <w:iCs w:val="0"/>
                <w:color w:val="auto"/>
                <w:spacing w:val="-4"/>
                <w:kern w:val="2"/>
                <w:sz w:val="24"/>
                <w:szCs w:val="24"/>
                <w:highlight w:val="none"/>
                <w:lang w:val="en-US" w:eastAsia="zh-CN"/>
              </w:rPr>
              <w:t>21</w:t>
            </w:r>
            <w:r>
              <w:rPr>
                <w:rFonts w:hint="default" w:ascii="Times New Roman" w:hAnsi="Times New Roman" w:eastAsia="宋体" w:cs="Times New Roman"/>
                <w:i w:val="0"/>
                <w:iCs w:val="0"/>
                <w:color w:val="auto"/>
                <w:sz w:val="24"/>
                <w:szCs w:val="24"/>
                <w:highlight w:val="none"/>
              </w:rPr>
              <w:t>的要求，选择点声源预测模式预测噪声源排放噪声随距离的衰减变化规律。</w:t>
            </w:r>
          </w:p>
          <w:p w14:paraId="09C6F901">
            <w:pPr>
              <w:widowControl/>
              <w:overflowPunct w:val="0"/>
              <w:topLinePunct/>
              <w:autoSpaceDE w:val="0"/>
              <w:snapToGrid w:val="0"/>
              <w:spacing w:line="360" w:lineRule="auto"/>
              <w:ind w:firstLine="480" w:firstLineChars="200"/>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（1）预测模式</w:t>
            </w:r>
          </w:p>
          <w:p w14:paraId="010F95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i w:val="0"/>
                <w:iCs w:val="0"/>
                <w:color w:val="auto"/>
                <w:sz w:val="24"/>
                <w:szCs w:val="24"/>
                <w:highlight w:val="none"/>
              </w:rPr>
            </w:pPr>
            <w:r>
              <w:rPr>
                <w:rFonts w:ascii="宋体" w:hAnsi="宋体" w:eastAsia="宋体" w:cs="宋体"/>
                <w:i w:val="0"/>
                <w:iCs w:val="0"/>
                <w:color w:val="auto"/>
                <w:sz w:val="24"/>
                <w:szCs w:val="24"/>
                <w:highlight w:val="none"/>
              </w:rPr>
              <w:t>根据《环境影响评价技术导则—声环境》（</w:t>
            </w:r>
            <w:r>
              <w:rPr>
                <w:rFonts w:hint="default" w:ascii="Times New Roman" w:hAnsi="Times New Roman" w:eastAsia="宋体" w:cs="Times New Roman"/>
                <w:i w:val="0"/>
                <w:iCs w:val="0"/>
                <w:color w:val="auto"/>
                <w:sz w:val="24"/>
                <w:szCs w:val="24"/>
                <w:highlight w:val="none"/>
              </w:rPr>
              <w:t>HJ2.4—2021</w:t>
            </w:r>
            <w:r>
              <w:rPr>
                <w:rFonts w:ascii="宋体" w:hAnsi="宋体" w:eastAsia="宋体" w:cs="宋体"/>
                <w:i w:val="0"/>
                <w:iCs w:val="0"/>
                <w:color w:val="auto"/>
                <w:sz w:val="24"/>
                <w:szCs w:val="24"/>
                <w:highlight w:val="none"/>
              </w:rPr>
              <w:t>），本次评价选用点源的噪声预测模式，点噪声源在传播过程中，受到房间的吸收和屏蔽，又经距离衰减及空气吸收后，到达受声点，其模式为：</w:t>
            </w:r>
          </w:p>
          <w:p w14:paraId="2B7E76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①</w:t>
            </w:r>
            <w:r>
              <w:rPr>
                <w:rFonts w:ascii="宋体" w:hAnsi="宋体" w:eastAsia="宋体" w:cs="宋体"/>
                <w:i w:val="0"/>
                <w:iCs w:val="0"/>
                <w:color w:val="auto"/>
                <w:sz w:val="24"/>
                <w:szCs w:val="24"/>
                <w:highlight w:val="none"/>
              </w:rPr>
              <w:t>单个室外的点声源在预测点产生的声级计算基本公式 如已知声源的倍频带声功率级（从</w:t>
            </w:r>
            <w:r>
              <w:rPr>
                <w:rFonts w:hint="default" w:ascii="Times New Roman" w:hAnsi="Times New Roman" w:eastAsia="宋体" w:cs="Times New Roman"/>
                <w:i w:val="0"/>
                <w:iCs w:val="0"/>
                <w:color w:val="auto"/>
                <w:sz w:val="24"/>
                <w:szCs w:val="24"/>
                <w:highlight w:val="none"/>
              </w:rPr>
              <w:t>63Hz到8KHz</w:t>
            </w:r>
            <w:r>
              <w:rPr>
                <w:rFonts w:ascii="宋体" w:hAnsi="宋体" w:eastAsia="宋体" w:cs="宋体"/>
                <w:i w:val="0"/>
                <w:iCs w:val="0"/>
                <w:color w:val="auto"/>
                <w:sz w:val="24"/>
                <w:szCs w:val="24"/>
                <w:highlight w:val="none"/>
              </w:rPr>
              <w:t>标称频带中心频率的</w:t>
            </w:r>
            <w:r>
              <w:rPr>
                <w:rFonts w:hint="default" w:ascii="Times New Roman" w:hAnsi="Times New Roman" w:eastAsia="宋体" w:cs="Times New Roman"/>
                <w:i w:val="0"/>
                <w:iCs w:val="0"/>
                <w:color w:val="auto"/>
                <w:sz w:val="24"/>
                <w:szCs w:val="24"/>
                <w:highlight w:val="none"/>
              </w:rPr>
              <w:t>8</w:t>
            </w:r>
            <w:r>
              <w:rPr>
                <w:rFonts w:ascii="宋体" w:hAnsi="宋体" w:eastAsia="宋体" w:cs="宋体"/>
                <w:i w:val="0"/>
                <w:iCs w:val="0"/>
                <w:color w:val="auto"/>
                <w:sz w:val="24"/>
                <w:szCs w:val="24"/>
                <w:highlight w:val="none"/>
              </w:rPr>
              <w:t>个倍频带），预测点位置的倍频带声压级可按公式（</w:t>
            </w:r>
            <w:r>
              <w:rPr>
                <w:rFonts w:hint="default" w:ascii="Times New Roman" w:hAnsi="Times New Roman" w:eastAsia="宋体" w:cs="Times New Roman"/>
                <w:i w:val="0"/>
                <w:iCs w:val="0"/>
                <w:color w:val="auto"/>
                <w:sz w:val="24"/>
                <w:szCs w:val="24"/>
                <w:highlight w:val="none"/>
              </w:rPr>
              <w:t>A.1</w:t>
            </w:r>
            <w:r>
              <w:rPr>
                <w:rFonts w:ascii="宋体" w:hAnsi="宋体" w:eastAsia="宋体" w:cs="宋体"/>
                <w:i w:val="0"/>
                <w:iCs w:val="0"/>
                <w:color w:val="auto"/>
                <w:sz w:val="24"/>
                <w:szCs w:val="24"/>
                <w:highlight w:val="none"/>
              </w:rPr>
              <w:t>）计算：</w:t>
            </w:r>
          </w:p>
          <w:p w14:paraId="6ED54536">
            <w:pPr>
              <w:numPr>
                <w:ilvl w:val="0"/>
                <w:numId w:val="0"/>
              </w:numPr>
              <w:spacing w:before="20" w:after="20"/>
              <w:jc w:val="center"/>
              <w:rPr>
                <w:rFonts w:hint="default" w:ascii="Times New Roman" w:hAnsi="Times New Roman" w:eastAsia="宋体" w:cs="Times New Roman"/>
                <w:i w:val="0"/>
                <w:iCs w:val="0"/>
                <w:color w:val="auto"/>
                <w:highlight w:val="none"/>
              </w:rPr>
            </w:pPr>
            <w:r>
              <w:rPr>
                <w:rFonts w:ascii="Times New Roman" w:hAnsi="Times New Roman" w:eastAsia="宋体" w:cs="Times New Roman"/>
                <w:i w:val="0"/>
                <w:iCs w:val="0"/>
                <w:color w:val="auto"/>
                <w:highlight w:val="none"/>
              </w:rPr>
              <w:drawing>
                <wp:inline distT="0" distB="0" distL="114300" distR="114300">
                  <wp:extent cx="2514600" cy="838200"/>
                  <wp:effectExtent l="0" t="0" r="0" b="0"/>
                  <wp:docPr id="1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7"/>
                          <pic:cNvPicPr>
                            <a:picLocks noChangeAspect="1"/>
                          </pic:cNvPicPr>
                        </pic:nvPicPr>
                        <pic:blipFill>
                          <a:blip r:embed="rId74"/>
                          <a:stretch>
                            <a:fillRect/>
                          </a:stretch>
                        </pic:blipFill>
                        <pic:spPr>
                          <a:xfrm>
                            <a:off x="0" y="0"/>
                            <a:ext cx="2514600" cy="838200"/>
                          </a:xfrm>
                          <a:prstGeom prst="rect">
                            <a:avLst/>
                          </a:prstGeom>
                          <a:noFill/>
                          <a:ln>
                            <a:noFill/>
                          </a:ln>
                        </pic:spPr>
                      </pic:pic>
                    </a:graphicData>
                  </a:graphic>
                </wp:inline>
              </w:drawing>
            </w:r>
          </w:p>
          <w:p w14:paraId="74D9CCF7">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式中：Lw—倍频带声功率级，dB；</w:t>
            </w:r>
          </w:p>
          <w:p w14:paraId="37805BF4">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Dc—指向性校正，dB；它描述点声源的等效连续声压级与产生声功率级的全向点声源在规定方向的级的偏差程度。指向性校正等于点声源的指向性指数DI加上计到小于4π球面度（sr）立体角内的声传播指数DΩ。对辐射到自由空间的全向点声源，Dc=0dB。</w:t>
            </w:r>
          </w:p>
          <w:p w14:paraId="7DADD34A">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A—倍频带衰减，dB；</w:t>
            </w:r>
          </w:p>
          <w:p w14:paraId="1047D838">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Adiv—几何发散引起的倍频带衰减，dB；</w:t>
            </w:r>
          </w:p>
          <w:p w14:paraId="3D66708E">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Aatm—大气吸收引起的倍频带衰减，dB；</w:t>
            </w:r>
          </w:p>
          <w:p w14:paraId="6C405381">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Agr—地面效应引起的倍频带衰减，dB；</w:t>
            </w:r>
          </w:p>
          <w:p w14:paraId="3CA3C89C">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Abar—声屏障引起的倍频带衰减，dB；</w:t>
            </w:r>
          </w:p>
          <w:p w14:paraId="477B7699">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Amisc—其他多方面效应引起的倍频带衰减，dB。</w:t>
            </w:r>
          </w:p>
          <w:p w14:paraId="0D9E5BA1">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如已知靠近声源处某点的倍频带声压级Lp</w:t>
            </w:r>
            <w:r>
              <w:rPr>
                <w:rFonts w:hint="eastAsia" w:ascii="Times New Roman" w:hAnsi="Times New Roman" w:eastAsia="宋体" w:cs="Times New Roman"/>
                <w:i w:val="0"/>
                <w:iCs w:val="0"/>
                <w:color w:val="auto"/>
                <w:sz w:val="24"/>
                <w:szCs w:val="24"/>
                <w:highlight w:val="none"/>
                <w:lang w:eastAsia="zh-CN"/>
              </w:rPr>
              <w:t>（r0）</w:t>
            </w:r>
            <w:r>
              <w:rPr>
                <w:rFonts w:hint="default" w:ascii="Times New Roman" w:hAnsi="Times New Roman" w:eastAsia="宋体" w:cs="Times New Roman"/>
                <w:i w:val="0"/>
                <w:iCs w:val="0"/>
                <w:color w:val="auto"/>
                <w:sz w:val="24"/>
                <w:szCs w:val="24"/>
                <w:highlight w:val="none"/>
              </w:rPr>
              <w:t>时，相同方向预测点位置的倍频带声压级Lp(r)可按公式（A.2）计算</w:t>
            </w:r>
          </w:p>
          <w:p w14:paraId="6BAF7A72">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jc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drawing>
                <wp:inline distT="0" distB="0" distL="114300" distR="114300">
                  <wp:extent cx="1623060" cy="419100"/>
                  <wp:effectExtent l="0" t="0" r="15240" b="0"/>
                  <wp:docPr id="1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8"/>
                          <pic:cNvPicPr>
                            <a:picLocks noChangeAspect="1"/>
                          </pic:cNvPicPr>
                        </pic:nvPicPr>
                        <pic:blipFill>
                          <a:blip r:embed="rId75"/>
                          <a:stretch>
                            <a:fillRect/>
                          </a:stretch>
                        </pic:blipFill>
                        <pic:spPr>
                          <a:xfrm>
                            <a:off x="0" y="0"/>
                            <a:ext cx="1623060" cy="419100"/>
                          </a:xfrm>
                          <a:prstGeom prst="rect">
                            <a:avLst/>
                          </a:prstGeom>
                          <a:noFill/>
                          <a:ln>
                            <a:noFill/>
                          </a:ln>
                        </pic:spPr>
                      </pic:pic>
                    </a:graphicData>
                  </a:graphic>
                </wp:inline>
              </w:drawing>
            </w:r>
          </w:p>
          <w:p w14:paraId="04451051">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预测点的A声级LA</w:t>
            </w:r>
            <w:r>
              <w:rPr>
                <w:rFonts w:hint="eastAsia" w:ascii="Times New Roman" w:hAnsi="Times New Roman" w:eastAsia="宋体" w:cs="Times New Roman"/>
                <w:i w:val="0"/>
                <w:iCs w:val="0"/>
                <w:color w:val="auto"/>
                <w:sz w:val="24"/>
                <w:szCs w:val="24"/>
                <w:highlight w:val="none"/>
                <w:lang w:eastAsia="zh-CN"/>
              </w:rPr>
              <w:t>（r）</w:t>
            </w:r>
            <w:r>
              <w:rPr>
                <w:rFonts w:hint="default" w:ascii="Times New Roman" w:hAnsi="Times New Roman" w:eastAsia="宋体" w:cs="Times New Roman"/>
                <w:i w:val="0"/>
                <w:iCs w:val="0"/>
                <w:color w:val="auto"/>
                <w:sz w:val="24"/>
                <w:szCs w:val="24"/>
                <w:highlight w:val="none"/>
              </w:rPr>
              <w:t>，可利用 8 个倍频带的声压级按公式（A.3）计算：</w:t>
            </w:r>
          </w:p>
          <w:p w14:paraId="06CC570D">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jc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drawing>
                <wp:inline distT="0" distB="0" distL="114300" distR="114300">
                  <wp:extent cx="2689860" cy="586740"/>
                  <wp:effectExtent l="0" t="0" r="15240" b="3810"/>
                  <wp:docPr id="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9"/>
                          <pic:cNvPicPr>
                            <a:picLocks noChangeAspect="1"/>
                          </pic:cNvPicPr>
                        </pic:nvPicPr>
                        <pic:blipFill>
                          <a:blip r:embed="rId76"/>
                          <a:stretch>
                            <a:fillRect/>
                          </a:stretch>
                        </pic:blipFill>
                        <pic:spPr>
                          <a:xfrm>
                            <a:off x="0" y="0"/>
                            <a:ext cx="2689860" cy="586740"/>
                          </a:xfrm>
                          <a:prstGeom prst="rect">
                            <a:avLst/>
                          </a:prstGeom>
                          <a:noFill/>
                          <a:ln>
                            <a:noFill/>
                          </a:ln>
                        </pic:spPr>
                      </pic:pic>
                    </a:graphicData>
                  </a:graphic>
                </wp:inline>
              </w:drawing>
            </w:r>
          </w:p>
          <w:p w14:paraId="7BA62EAD">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式中：Lpi</w:t>
            </w:r>
            <w:r>
              <w:rPr>
                <w:rFonts w:hint="eastAsia" w:ascii="Times New Roman" w:hAnsi="Times New Roman" w:eastAsia="宋体" w:cs="Times New Roman"/>
                <w:i w:val="0"/>
                <w:iCs w:val="0"/>
                <w:color w:val="auto"/>
                <w:sz w:val="24"/>
                <w:szCs w:val="24"/>
                <w:highlight w:val="none"/>
                <w:lang w:eastAsia="zh-CN"/>
              </w:rPr>
              <w:t>（r）</w:t>
            </w:r>
            <w:r>
              <w:rPr>
                <w:rFonts w:hint="default" w:ascii="Times New Roman" w:hAnsi="Times New Roman" w:eastAsia="宋体" w:cs="Times New Roman"/>
                <w:i w:val="0"/>
                <w:iCs w:val="0"/>
                <w:color w:val="auto"/>
                <w:sz w:val="24"/>
                <w:szCs w:val="24"/>
                <w:highlight w:val="none"/>
              </w:rPr>
              <w:t>—预测点（r）处，第 i 倍频带声压级，dB；</w:t>
            </w:r>
          </w:p>
          <w:p w14:paraId="116D82C1">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ΔLi—i倍频带A计权网络修正值，dB。</w:t>
            </w:r>
          </w:p>
          <w:p w14:paraId="506186AD">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在不能取得声源倍频带声功率级或倍频带声压级，只能获得 A 声功率级或某点的A声级时，可按公式（A.4）和（A.5）作近似计算：</w:t>
            </w:r>
          </w:p>
          <w:p w14:paraId="0136F7A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center"/>
              <w:textAlignment w:val="auto"/>
              <w:rPr>
                <w:rFonts w:hint="default" w:ascii="Times New Roman" w:hAnsi="Times New Roman" w:eastAsia="宋体" w:cs="Times New Roman"/>
                <w:b/>
                <w:bCs/>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drawing>
                <wp:inline distT="0" distB="0" distL="114300" distR="114300">
                  <wp:extent cx="2423160" cy="990600"/>
                  <wp:effectExtent l="0" t="0" r="15240" b="0"/>
                  <wp:docPr id="1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0"/>
                          <pic:cNvPicPr>
                            <a:picLocks noChangeAspect="1"/>
                          </pic:cNvPicPr>
                        </pic:nvPicPr>
                        <pic:blipFill>
                          <a:blip r:embed="rId77"/>
                          <a:stretch>
                            <a:fillRect/>
                          </a:stretch>
                        </pic:blipFill>
                        <pic:spPr>
                          <a:xfrm>
                            <a:off x="0" y="0"/>
                            <a:ext cx="2423160" cy="990600"/>
                          </a:xfrm>
                          <a:prstGeom prst="rect">
                            <a:avLst/>
                          </a:prstGeom>
                          <a:noFill/>
                          <a:ln>
                            <a:noFill/>
                          </a:ln>
                        </pic:spPr>
                      </pic:pic>
                    </a:graphicData>
                  </a:graphic>
                </wp:inline>
              </w:drawing>
            </w:r>
          </w:p>
          <w:p w14:paraId="16B6C99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jc w:val="left"/>
              <w:textAlignment w:val="auto"/>
              <w:rPr>
                <w:rFonts w:hint="default" w:ascii="Times New Roman" w:hAnsi="Times New Roman" w:eastAsia="宋体" w:cs="Times New Roman"/>
                <w:i w:val="0"/>
                <w:iCs w:val="0"/>
                <w:color w:val="auto"/>
                <w:sz w:val="24"/>
                <w:szCs w:val="24"/>
                <w:highlight w:val="none"/>
              </w:rPr>
            </w:pPr>
            <w:r>
              <w:rPr>
                <w:rFonts w:hint="eastAsia" w:ascii="Times New Roman" w:hAnsi="Times New Roman" w:eastAsia="宋体" w:cs="Times New Roman"/>
                <w:i w:val="0"/>
                <w:iCs w:val="0"/>
                <w:color w:val="auto"/>
                <w:sz w:val="24"/>
                <w:szCs w:val="24"/>
                <w:highlight w:val="none"/>
                <w:lang w:eastAsia="zh-CN"/>
              </w:rPr>
              <w:t>②</w:t>
            </w:r>
            <w:r>
              <w:rPr>
                <w:rFonts w:hint="default" w:ascii="Times New Roman" w:hAnsi="Times New Roman" w:eastAsia="宋体" w:cs="Times New Roman"/>
                <w:i w:val="0"/>
                <w:iCs w:val="0"/>
                <w:color w:val="auto"/>
                <w:sz w:val="24"/>
                <w:szCs w:val="24"/>
                <w:highlight w:val="none"/>
              </w:rPr>
              <w:t>室内声源等效室外声源声功率级计算方法</w:t>
            </w:r>
          </w:p>
          <w:p w14:paraId="684A7DD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宋体" w:cs="Times New Roman"/>
                <w:b/>
                <w:bCs/>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声源位于室内，室内声源可采用等效室外声源声功率级法进行计算。设靠近开口处（或窗户）室内、室外某倍频带的声压级分别为Lp1和Lp2。若声源所在室内声场为近似扩散声场，则室外的倍频带声压级可按公式（A.6）近似求出：</w:t>
            </w:r>
          </w:p>
          <w:p w14:paraId="4DCA7116">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center"/>
              <w:textAlignment w:val="auto"/>
              <w:rPr>
                <w:rFonts w:hint="default" w:ascii="Times New Roman" w:hAnsi="Times New Roman" w:eastAsia="宋体" w:cs="Times New Roman"/>
                <w:b/>
                <w:bCs/>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drawing>
                <wp:inline distT="0" distB="0" distL="114300" distR="114300">
                  <wp:extent cx="2057400" cy="358140"/>
                  <wp:effectExtent l="0" t="0" r="0" b="3810"/>
                  <wp:docPr id="1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1"/>
                          <pic:cNvPicPr>
                            <a:picLocks noChangeAspect="1"/>
                          </pic:cNvPicPr>
                        </pic:nvPicPr>
                        <pic:blipFill>
                          <a:blip r:embed="rId78"/>
                          <a:stretch>
                            <a:fillRect/>
                          </a:stretch>
                        </pic:blipFill>
                        <pic:spPr>
                          <a:xfrm>
                            <a:off x="0" y="0"/>
                            <a:ext cx="2057400" cy="358140"/>
                          </a:xfrm>
                          <a:prstGeom prst="rect">
                            <a:avLst/>
                          </a:prstGeom>
                          <a:noFill/>
                          <a:ln>
                            <a:noFill/>
                          </a:ln>
                        </pic:spPr>
                      </pic:pic>
                    </a:graphicData>
                  </a:graphic>
                </wp:inline>
              </w:drawing>
            </w:r>
          </w:p>
          <w:p w14:paraId="751C7A5C">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式中：TL—隔墙（或窗户）倍频带的隔声量，dB。</w:t>
            </w:r>
          </w:p>
          <w:p w14:paraId="32DBEF5B">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eastAsia="宋体" w:cs="Times New Roman"/>
                <w:b/>
                <w:bCs/>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也可按公式（A.7）计算某一室内声源靠近围护结构处产生的倍频带声压级：</w:t>
            </w:r>
          </w:p>
          <w:p w14:paraId="1FF31320">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center"/>
              <w:textAlignment w:val="auto"/>
              <w:rPr>
                <w:rFonts w:hint="default" w:ascii="Times New Roman" w:hAnsi="Times New Roman" w:eastAsia="宋体" w:cs="Times New Roman"/>
                <w:b/>
                <w:bCs/>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drawing>
                <wp:inline distT="0" distB="0" distL="114300" distR="114300">
                  <wp:extent cx="2987040" cy="647700"/>
                  <wp:effectExtent l="0" t="0" r="3810" b="0"/>
                  <wp:docPr id="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2"/>
                          <pic:cNvPicPr>
                            <a:picLocks noChangeAspect="1"/>
                          </pic:cNvPicPr>
                        </pic:nvPicPr>
                        <pic:blipFill>
                          <a:blip r:embed="rId79"/>
                          <a:stretch>
                            <a:fillRect/>
                          </a:stretch>
                        </pic:blipFill>
                        <pic:spPr>
                          <a:xfrm>
                            <a:off x="0" y="0"/>
                            <a:ext cx="2987040" cy="647700"/>
                          </a:xfrm>
                          <a:prstGeom prst="rect">
                            <a:avLst/>
                          </a:prstGeom>
                          <a:noFill/>
                          <a:ln>
                            <a:noFill/>
                          </a:ln>
                        </pic:spPr>
                      </pic:pic>
                    </a:graphicData>
                  </a:graphic>
                </wp:inline>
              </w:drawing>
            </w:r>
          </w:p>
          <w:p w14:paraId="18550CE7">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式中：Q—指向性因数；通常对无指向性声源，当声源放在房间中心时，Q=1；当放在一面墙的中心时，Q=2；当放在两面墙夹角处时，Q=4；当放在三面墙夹角处时，Q=8。</w:t>
            </w:r>
          </w:p>
          <w:p w14:paraId="7F6D6CFE">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R—房间常数；R=Sα/（1-α），S为房间内表面面积，m</w:t>
            </w:r>
            <w:r>
              <w:rPr>
                <w:rFonts w:hint="default" w:ascii="Times New Roman" w:hAnsi="Times New Roman" w:eastAsia="宋体" w:cs="Times New Roman"/>
                <w:i w:val="0"/>
                <w:iCs w:val="0"/>
                <w:color w:val="auto"/>
                <w:sz w:val="24"/>
                <w:szCs w:val="24"/>
                <w:highlight w:val="none"/>
                <w:vertAlign w:val="superscript"/>
              </w:rPr>
              <w:t>2</w:t>
            </w:r>
            <w:r>
              <w:rPr>
                <w:rFonts w:hint="default" w:ascii="Times New Roman" w:hAnsi="Times New Roman" w:eastAsia="宋体" w:cs="Times New Roman"/>
                <w:i w:val="0"/>
                <w:iCs w:val="0"/>
                <w:color w:val="auto"/>
                <w:sz w:val="24"/>
                <w:szCs w:val="24"/>
                <w:highlight w:val="none"/>
              </w:rPr>
              <w:t>；α为平均吸声系数。</w:t>
            </w:r>
          </w:p>
          <w:p w14:paraId="0FBB2FC4">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r—声源到靠近围护结构某点处的距离，m。</w:t>
            </w:r>
          </w:p>
          <w:p w14:paraId="7AA235C6">
            <w:pPr>
              <w:pStyle w:val="11"/>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b/>
                <w:bCs/>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然后按公式（A.8）计算出所有室内声源在围护结构处产生的 i 倍频带叠加声压级：</w:t>
            </w:r>
          </w:p>
          <w:p w14:paraId="5EDE0991">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jc w:val="center"/>
              <w:rPr>
                <w:rFonts w:hint="default" w:ascii="Times New Roman" w:hAnsi="Times New Roman" w:eastAsia="宋体" w:cs="Times New Roman"/>
                <w:b/>
                <w:bCs/>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drawing>
                <wp:inline distT="0" distB="0" distL="114300" distR="114300">
                  <wp:extent cx="2872740" cy="640080"/>
                  <wp:effectExtent l="0" t="0" r="3810" b="7620"/>
                  <wp:docPr id="1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3"/>
                          <pic:cNvPicPr>
                            <a:picLocks noChangeAspect="1"/>
                          </pic:cNvPicPr>
                        </pic:nvPicPr>
                        <pic:blipFill>
                          <a:blip r:embed="rId80"/>
                          <a:stretch>
                            <a:fillRect/>
                          </a:stretch>
                        </pic:blipFill>
                        <pic:spPr>
                          <a:xfrm>
                            <a:off x="0" y="0"/>
                            <a:ext cx="2872740" cy="640080"/>
                          </a:xfrm>
                          <a:prstGeom prst="rect">
                            <a:avLst/>
                          </a:prstGeom>
                          <a:noFill/>
                          <a:ln>
                            <a:noFill/>
                          </a:ln>
                        </pic:spPr>
                      </pic:pic>
                    </a:graphicData>
                  </a:graphic>
                </wp:inline>
              </w:drawing>
            </w:r>
          </w:p>
          <w:p w14:paraId="1C5F3ACD">
            <w:pPr>
              <w:pStyle w:val="11"/>
              <w:keepNext w:val="0"/>
              <w:keepLines w:val="0"/>
              <w:pageBreakBefore w:val="0"/>
              <w:widowControl w:val="0"/>
              <w:kinsoku/>
              <w:wordWrap/>
              <w:overflowPunct/>
              <w:topLinePunct w:val="0"/>
              <w:autoSpaceDE/>
              <w:autoSpaceDN/>
              <w:bidi w:val="0"/>
              <w:adjustRightInd/>
              <w:spacing w:after="0" w:line="360" w:lineRule="auto"/>
              <w:ind w:left="0" w:leftChars="0" w:firstLine="480" w:firstLineChars="200"/>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式中：Lpli</w:t>
            </w:r>
            <w:r>
              <w:rPr>
                <w:rFonts w:hint="eastAsia" w:ascii="Times New Roman" w:hAnsi="Times New Roman" w:eastAsia="宋体" w:cs="Times New Roman"/>
                <w:i w:val="0"/>
                <w:iCs w:val="0"/>
                <w:color w:val="auto"/>
                <w:sz w:val="24"/>
                <w:szCs w:val="24"/>
                <w:highlight w:val="none"/>
                <w:lang w:eastAsia="zh-CN"/>
              </w:rPr>
              <w:t>（T）</w:t>
            </w:r>
            <w:r>
              <w:rPr>
                <w:rFonts w:hint="default" w:ascii="Times New Roman" w:hAnsi="Times New Roman" w:eastAsia="宋体" w:cs="Times New Roman"/>
                <w:i w:val="0"/>
                <w:iCs w:val="0"/>
                <w:color w:val="auto"/>
                <w:sz w:val="24"/>
                <w:szCs w:val="24"/>
                <w:highlight w:val="none"/>
              </w:rPr>
              <w:t>—靠近围护结构处室内N个声源i倍频带的叠加声压级，dB；</w:t>
            </w:r>
          </w:p>
          <w:p w14:paraId="05D8F01E">
            <w:pPr>
              <w:pStyle w:val="11"/>
              <w:keepNext w:val="0"/>
              <w:keepLines w:val="0"/>
              <w:pageBreakBefore w:val="0"/>
              <w:widowControl w:val="0"/>
              <w:kinsoku/>
              <w:wordWrap/>
              <w:overflowPunct/>
              <w:topLinePunct w:val="0"/>
              <w:autoSpaceDE/>
              <w:autoSpaceDN/>
              <w:bidi w:val="0"/>
              <w:adjustRightInd/>
              <w:spacing w:after="0" w:line="360" w:lineRule="auto"/>
              <w:ind w:left="0" w:leftChars="0" w:firstLine="480" w:firstLineChars="200"/>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Lplij</w:t>
            </w:r>
            <w:r>
              <w:rPr>
                <w:rFonts w:hint="eastAsia" w:ascii="Times New Roman" w:hAnsi="Times New Roman" w:eastAsia="宋体" w:cs="Times New Roman"/>
                <w:i w:val="0"/>
                <w:iCs w:val="0"/>
                <w:color w:val="auto"/>
                <w:sz w:val="24"/>
                <w:szCs w:val="24"/>
                <w:highlight w:val="none"/>
                <w:lang w:eastAsia="zh-CN"/>
              </w:rPr>
              <w:t>（</w:t>
            </w:r>
            <w:r>
              <w:rPr>
                <w:rFonts w:hint="eastAsia" w:ascii="Times New Roman" w:hAnsi="Times New Roman" w:eastAsia="宋体" w:cs="Times New Roman"/>
                <w:i w:val="0"/>
                <w:iCs w:val="0"/>
                <w:color w:val="auto"/>
                <w:sz w:val="24"/>
                <w:szCs w:val="24"/>
                <w:highlight w:val="none"/>
                <w:lang w:val="en-US" w:eastAsia="zh-CN"/>
              </w:rPr>
              <w:t>T</w:t>
            </w:r>
            <w:r>
              <w:rPr>
                <w:rFonts w:hint="eastAsia" w:ascii="Times New Roman" w:hAnsi="Times New Roman" w:eastAsia="宋体" w:cs="Times New Roman"/>
                <w:i w:val="0"/>
                <w:iCs w:val="0"/>
                <w:color w:val="auto"/>
                <w:sz w:val="24"/>
                <w:szCs w:val="24"/>
                <w:highlight w:val="none"/>
                <w:lang w:eastAsia="zh-CN"/>
              </w:rPr>
              <w:t>）</w:t>
            </w:r>
            <w:r>
              <w:rPr>
                <w:rFonts w:hint="default" w:ascii="Times New Roman" w:hAnsi="Times New Roman" w:eastAsia="宋体" w:cs="Times New Roman"/>
                <w:i w:val="0"/>
                <w:iCs w:val="0"/>
                <w:color w:val="auto"/>
                <w:sz w:val="24"/>
                <w:szCs w:val="24"/>
                <w:highlight w:val="none"/>
              </w:rPr>
              <w:t>L—室内j声源i倍频带的声压级，dB；</w:t>
            </w:r>
          </w:p>
          <w:p w14:paraId="61277550">
            <w:pPr>
              <w:pStyle w:val="11"/>
              <w:keepNext w:val="0"/>
              <w:keepLines w:val="0"/>
              <w:pageBreakBefore w:val="0"/>
              <w:widowControl w:val="0"/>
              <w:kinsoku/>
              <w:wordWrap/>
              <w:overflowPunct/>
              <w:topLinePunct w:val="0"/>
              <w:autoSpaceDE/>
              <w:autoSpaceDN/>
              <w:bidi w:val="0"/>
              <w:adjustRightInd/>
              <w:spacing w:after="0" w:line="360" w:lineRule="auto"/>
              <w:ind w:left="0" w:leftChars="0" w:firstLine="480" w:firstLineChars="200"/>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N—室内声源总数。</w:t>
            </w:r>
          </w:p>
          <w:p w14:paraId="70AA8239">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jc w:val="center"/>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drawing>
                <wp:inline distT="0" distB="0" distL="114300" distR="114300">
                  <wp:extent cx="3108960" cy="502920"/>
                  <wp:effectExtent l="0" t="0" r="15240" b="11430"/>
                  <wp:docPr id="1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4"/>
                          <pic:cNvPicPr>
                            <a:picLocks noChangeAspect="1"/>
                          </pic:cNvPicPr>
                        </pic:nvPicPr>
                        <pic:blipFill>
                          <a:blip r:embed="rId81"/>
                          <a:stretch>
                            <a:fillRect/>
                          </a:stretch>
                        </pic:blipFill>
                        <pic:spPr>
                          <a:xfrm>
                            <a:off x="0" y="0"/>
                            <a:ext cx="3108960" cy="502920"/>
                          </a:xfrm>
                          <a:prstGeom prst="rect">
                            <a:avLst/>
                          </a:prstGeom>
                          <a:noFill/>
                          <a:ln>
                            <a:noFill/>
                          </a:ln>
                        </pic:spPr>
                      </pic:pic>
                    </a:graphicData>
                  </a:graphic>
                </wp:inline>
              </w:drawing>
            </w:r>
          </w:p>
          <w:p w14:paraId="4DC4188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在室内近似为扩散声场时，按公式（A.9）计算出靠近室外围护结构处的声压级：</w:t>
            </w:r>
          </w:p>
          <w:p w14:paraId="5DF31F8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式中：Lp2i</w:t>
            </w:r>
            <w:r>
              <w:rPr>
                <w:rFonts w:hint="eastAsia" w:ascii="Times New Roman" w:hAnsi="Times New Roman" w:eastAsia="宋体" w:cs="Times New Roman"/>
                <w:i w:val="0"/>
                <w:iCs w:val="0"/>
                <w:color w:val="auto"/>
                <w:sz w:val="24"/>
                <w:szCs w:val="24"/>
                <w:highlight w:val="none"/>
                <w:lang w:eastAsia="zh-CN"/>
              </w:rPr>
              <w:t>（</w:t>
            </w:r>
            <w:r>
              <w:rPr>
                <w:rFonts w:hint="eastAsia" w:ascii="Times New Roman" w:hAnsi="Times New Roman" w:eastAsia="宋体" w:cs="Times New Roman"/>
                <w:i w:val="0"/>
                <w:iCs w:val="0"/>
                <w:color w:val="auto"/>
                <w:sz w:val="24"/>
                <w:szCs w:val="24"/>
                <w:highlight w:val="none"/>
                <w:lang w:val="en-US" w:eastAsia="zh-CN"/>
              </w:rPr>
              <w:t>T</w:t>
            </w:r>
            <w:r>
              <w:rPr>
                <w:rFonts w:hint="eastAsia" w:ascii="Times New Roman" w:hAnsi="Times New Roman" w:eastAsia="宋体" w:cs="Times New Roman"/>
                <w:i w:val="0"/>
                <w:iCs w:val="0"/>
                <w:color w:val="auto"/>
                <w:sz w:val="24"/>
                <w:szCs w:val="24"/>
                <w:highlight w:val="none"/>
                <w:lang w:eastAsia="zh-CN"/>
              </w:rPr>
              <w:t>）</w:t>
            </w:r>
            <w:r>
              <w:rPr>
                <w:rFonts w:hint="default" w:ascii="Times New Roman" w:hAnsi="Times New Roman" w:eastAsia="宋体" w:cs="Times New Roman"/>
                <w:i w:val="0"/>
                <w:iCs w:val="0"/>
                <w:color w:val="auto"/>
                <w:sz w:val="24"/>
                <w:szCs w:val="24"/>
                <w:highlight w:val="none"/>
              </w:rPr>
              <w:t>—靠近围护结构处室外N个声源i倍频带的叠加声压级，dB；</w:t>
            </w:r>
          </w:p>
          <w:p w14:paraId="47ECEB4B">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TLi—围护结构i倍频带的隔声量，dB。</w:t>
            </w:r>
          </w:p>
          <w:p w14:paraId="48D7180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然后按公式（A.10）将室外声源的声压级和透过面积换算成等效的室外声源，计算出中心位置位于透声面积（S）处的等效声源的倍频 带声功率级。</w:t>
            </w:r>
          </w:p>
          <w:p w14:paraId="0C6F5AD7">
            <w:pPr>
              <w:spacing w:line="348" w:lineRule="auto"/>
              <w:ind w:firstLine="420" w:firstLineChars="200"/>
              <w:jc w:val="center"/>
              <w:textAlignment w:val="center"/>
              <w:rPr>
                <w:rFonts w:hint="default" w:ascii="Times New Roman" w:hAnsi="Times New Roman" w:eastAsia="宋体" w:cs="Times New Roman"/>
                <w:i w:val="0"/>
                <w:iCs w:val="0"/>
                <w:color w:val="auto"/>
                <w:highlight w:val="none"/>
              </w:rPr>
            </w:pPr>
            <w:r>
              <w:rPr>
                <w:rFonts w:ascii="Times New Roman" w:hAnsi="Times New Roman" w:eastAsia="宋体" w:cs="Times New Roman"/>
                <w:i w:val="0"/>
                <w:iCs w:val="0"/>
                <w:color w:val="auto"/>
                <w:highlight w:val="none"/>
              </w:rPr>
              <w:drawing>
                <wp:inline distT="0" distB="0" distL="114300" distR="114300">
                  <wp:extent cx="2263140" cy="541020"/>
                  <wp:effectExtent l="0" t="0" r="3810" b="11430"/>
                  <wp:docPr id="1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5"/>
                          <pic:cNvPicPr>
                            <a:picLocks noChangeAspect="1"/>
                          </pic:cNvPicPr>
                        </pic:nvPicPr>
                        <pic:blipFill>
                          <a:blip r:embed="rId82"/>
                          <a:stretch>
                            <a:fillRect/>
                          </a:stretch>
                        </pic:blipFill>
                        <pic:spPr>
                          <a:xfrm>
                            <a:off x="0" y="0"/>
                            <a:ext cx="2263140" cy="541020"/>
                          </a:xfrm>
                          <a:prstGeom prst="rect">
                            <a:avLst/>
                          </a:prstGeom>
                          <a:noFill/>
                          <a:ln>
                            <a:noFill/>
                          </a:ln>
                        </pic:spPr>
                      </pic:pic>
                    </a:graphicData>
                  </a:graphic>
                </wp:inline>
              </w:drawing>
            </w:r>
          </w:p>
          <w:p w14:paraId="02B25BF5">
            <w:pPr>
              <w:keepNext w:val="0"/>
              <w:keepLines w:val="0"/>
              <w:pageBreakBefore w:val="0"/>
              <w:widowControl w:val="0"/>
              <w:kinsoku/>
              <w:wordWrap/>
              <w:overflowPunct/>
              <w:topLinePunct w:val="0"/>
              <w:autoSpaceDE/>
              <w:autoSpaceDN/>
              <w:bidi w:val="0"/>
              <w:adjustRightInd/>
              <w:snapToGrid w:val="0"/>
              <w:spacing w:before="157" w:beforeLines="50" w:line="240" w:lineRule="auto"/>
              <w:ind w:firstLine="482"/>
              <w:jc w:val="center"/>
              <w:textAlignment w:val="auto"/>
              <w:rPr>
                <w:rFonts w:hint="default" w:ascii="Times New Roman" w:hAnsi="Times New Roman" w:eastAsia="宋体" w:cs="Times New Roman"/>
                <w:b/>
                <w:bCs/>
                <w:i w:val="0"/>
                <w:iCs w:val="0"/>
                <w:color w:val="auto"/>
                <w:highlight w:val="none"/>
              </w:rPr>
            </w:pPr>
            <w:r>
              <w:rPr>
                <w:rFonts w:hint="default" w:ascii="Times New Roman" w:hAnsi="Times New Roman" w:eastAsia="宋体" w:cs="Times New Roman"/>
                <w:b/>
                <w:bCs/>
                <w:i w:val="0"/>
                <w:iCs w:val="0"/>
                <w:color w:val="auto"/>
                <w:highlight w:val="none"/>
              </w:rPr>
              <w:t>表4-</w:t>
            </w:r>
            <w:r>
              <w:rPr>
                <w:rFonts w:hint="eastAsia" w:ascii="Times New Roman" w:hAnsi="Times New Roman" w:eastAsia="宋体" w:cs="Times New Roman"/>
                <w:b/>
                <w:bCs/>
                <w:i w:val="0"/>
                <w:iCs w:val="0"/>
                <w:color w:val="auto"/>
                <w:highlight w:val="none"/>
                <w:lang w:val="en-US" w:eastAsia="zh-CN"/>
              </w:rPr>
              <w:t>1</w:t>
            </w:r>
            <w:r>
              <w:rPr>
                <w:rFonts w:hint="eastAsia" w:cs="Times New Roman"/>
                <w:b/>
                <w:bCs/>
                <w:i w:val="0"/>
                <w:iCs w:val="0"/>
                <w:color w:val="auto"/>
                <w:highlight w:val="none"/>
                <w:lang w:val="en-US" w:eastAsia="zh-CN"/>
              </w:rPr>
              <w:t>6</w:t>
            </w:r>
            <w:r>
              <w:rPr>
                <w:rFonts w:hint="default" w:ascii="Times New Roman" w:hAnsi="Times New Roman" w:eastAsia="宋体" w:cs="Times New Roman"/>
                <w:b/>
                <w:bCs/>
                <w:i w:val="0"/>
                <w:iCs w:val="0"/>
                <w:color w:val="auto"/>
                <w:highlight w:val="none"/>
              </w:rPr>
              <w:t xml:space="preserve">  隔墙等遮挡物引起的A声级衰减表</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23"/>
              <w:gridCol w:w="4225"/>
            </w:tblGrid>
            <w:tr w14:paraId="175BF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2528" w:type="pct"/>
                  <w:tcBorders>
                    <w:bottom w:val="single" w:color="auto" w:sz="12" w:space="0"/>
                  </w:tcBorders>
                  <w:noWrap w:val="0"/>
                  <w:vAlign w:val="center"/>
                </w:tcPr>
                <w:p w14:paraId="52EF6CFB">
                  <w:pPr>
                    <w:snapToGrid w:val="0"/>
                    <w:spacing w:before="20" w:after="20"/>
                    <w:jc w:val="center"/>
                    <w:rPr>
                      <w:rFonts w:hint="default" w:ascii="Times New Roman" w:hAnsi="Times New Roman" w:eastAsia="宋体" w:cs="Times New Roman"/>
                      <w:b w:val="0"/>
                      <w:bCs w:val="0"/>
                      <w:i w:val="0"/>
                      <w:iCs w:val="0"/>
                      <w:color w:val="auto"/>
                      <w:highlight w:val="none"/>
                    </w:rPr>
                  </w:pPr>
                  <w:r>
                    <w:rPr>
                      <w:rFonts w:hint="default" w:ascii="Times New Roman" w:hAnsi="Times New Roman" w:eastAsia="宋体" w:cs="Times New Roman"/>
                      <w:b/>
                      <w:bCs/>
                      <w:i w:val="0"/>
                      <w:iCs w:val="0"/>
                      <w:color w:val="auto"/>
                      <w:highlight w:val="none"/>
                    </w:rPr>
                    <w:t>条件</w:t>
                  </w:r>
                </w:p>
              </w:tc>
              <w:tc>
                <w:tcPr>
                  <w:tcW w:w="2471" w:type="pct"/>
                  <w:tcBorders>
                    <w:bottom w:val="single" w:color="auto" w:sz="12" w:space="0"/>
                  </w:tcBorders>
                  <w:noWrap w:val="0"/>
                  <w:vAlign w:val="center"/>
                </w:tcPr>
                <w:p w14:paraId="69F8B318">
                  <w:pPr>
                    <w:snapToGrid w:val="0"/>
                    <w:spacing w:before="20" w:after="20"/>
                    <w:jc w:val="center"/>
                    <w:rPr>
                      <w:rFonts w:hint="eastAsia" w:ascii="Times New Roman" w:hAnsi="Times New Roman" w:eastAsia="宋体" w:cs="Times New Roman"/>
                      <w:i w:val="0"/>
                      <w:iCs w:val="0"/>
                      <w:color w:val="auto"/>
                      <w:highlight w:val="none"/>
                      <w:lang w:eastAsia="zh-CN"/>
                    </w:rPr>
                  </w:pPr>
                  <w:r>
                    <w:rPr>
                      <w:rFonts w:hint="default" w:ascii="Times New Roman" w:hAnsi="Times New Roman" w:eastAsia="宋体" w:cs="Times New Roman"/>
                      <w:b/>
                      <w:bCs/>
                      <w:i w:val="0"/>
                      <w:iCs w:val="0"/>
                      <w:color w:val="auto"/>
                      <w:highlight w:val="none"/>
                    </w:rPr>
                    <w:drawing>
                      <wp:inline distT="0" distB="0" distL="114300" distR="114300">
                        <wp:extent cx="279400" cy="228600"/>
                        <wp:effectExtent l="0" t="0" r="5715" b="0"/>
                        <wp:docPr id="1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6"/>
                                <pic:cNvPicPr>
                                  <a:picLocks noChangeAspect="1"/>
                                </pic:cNvPicPr>
                              </pic:nvPicPr>
                              <pic:blipFill>
                                <a:blip r:embed="rId83"/>
                                <a:stretch>
                                  <a:fillRect/>
                                </a:stretch>
                              </pic:blipFill>
                              <pic:spPr>
                                <a:xfrm>
                                  <a:off x="0" y="0"/>
                                  <a:ext cx="279400" cy="228600"/>
                                </a:xfrm>
                                <a:prstGeom prst="rect">
                                  <a:avLst/>
                                </a:prstGeom>
                                <a:noFill/>
                                <a:ln>
                                  <a:noFill/>
                                </a:ln>
                              </pic:spPr>
                            </pic:pic>
                          </a:graphicData>
                        </a:graphic>
                      </wp:inline>
                    </w:drawing>
                  </w:r>
                  <w:r>
                    <w:rPr>
                      <w:rFonts w:hint="default" w:ascii="Times New Roman" w:hAnsi="Times New Roman" w:eastAsia="宋体" w:cs="Times New Roman"/>
                      <w:b/>
                      <w:bCs/>
                      <w:i w:val="0"/>
                      <w:iCs w:val="0"/>
                      <w:color w:val="auto"/>
                      <w:highlight w:val="none"/>
                    </w:rPr>
                    <w:t>dB</w:t>
                  </w:r>
                  <w:r>
                    <w:rPr>
                      <w:rFonts w:hint="eastAsia" w:ascii="Times New Roman" w:hAnsi="Times New Roman" w:eastAsia="宋体" w:cs="Times New Roman"/>
                      <w:b/>
                      <w:bCs/>
                      <w:i w:val="0"/>
                      <w:iCs w:val="0"/>
                      <w:color w:val="auto"/>
                      <w:highlight w:val="none"/>
                      <w:lang w:eastAsia="zh-CN"/>
                    </w:rPr>
                    <w:t>（A）</w:t>
                  </w:r>
                </w:p>
              </w:tc>
            </w:tr>
            <w:tr w14:paraId="030318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2528" w:type="pct"/>
                  <w:tcBorders>
                    <w:top w:val="single" w:color="auto" w:sz="12" w:space="0"/>
                  </w:tcBorders>
                  <w:noWrap w:val="0"/>
                  <w:vAlign w:val="center"/>
                </w:tcPr>
                <w:p w14:paraId="0B458CA8">
                  <w:pPr>
                    <w:snapToGrid w:val="0"/>
                    <w:spacing w:before="20" w:after="20"/>
                    <w:jc w:val="center"/>
                    <w:rPr>
                      <w:rFonts w:hint="default" w:ascii="Times New Roman" w:hAnsi="Times New Roman" w:eastAsia="宋体" w:cs="Times New Roman"/>
                      <w:b w:val="0"/>
                      <w:bCs w:val="0"/>
                      <w:i w:val="0"/>
                      <w:iCs w:val="0"/>
                      <w:color w:val="auto"/>
                      <w:highlight w:val="none"/>
                    </w:rPr>
                  </w:pPr>
                  <w:r>
                    <w:rPr>
                      <w:rFonts w:hint="default" w:ascii="Times New Roman" w:hAnsi="Times New Roman" w:eastAsia="宋体" w:cs="Times New Roman"/>
                      <w:b w:val="0"/>
                      <w:bCs w:val="0"/>
                      <w:i w:val="0"/>
                      <w:iCs w:val="0"/>
                      <w:color w:val="auto"/>
                      <w:highlight w:val="none"/>
                    </w:rPr>
                    <w:t>开小窗、密闭，门经隔声处理</w:t>
                  </w:r>
                </w:p>
              </w:tc>
              <w:tc>
                <w:tcPr>
                  <w:tcW w:w="2471" w:type="pct"/>
                  <w:tcBorders>
                    <w:top w:val="single" w:color="auto" w:sz="12" w:space="0"/>
                  </w:tcBorders>
                  <w:noWrap w:val="0"/>
                  <w:vAlign w:val="center"/>
                </w:tcPr>
                <w:p w14:paraId="044327F7">
                  <w:pPr>
                    <w:snapToGrid w:val="0"/>
                    <w:spacing w:before="20" w:after="20"/>
                    <w:jc w:val="center"/>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25</w:t>
                  </w:r>
                </w:p>
              </w:tc>
            </w:tr>
            <w:tr w14:paraId="61316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2528" w:type="pct"/>
                  <w:noWrap w:val="0"/>
                  <w:vAlign w:val="center"/>
                </w:tcPr>
                <w:p w14:paraId="172B3308">
                  <w:pPr>
                    <w:snapToGrid w:val="0"/>
                    <w:spacing w:before="20" w:after="20"/>
                    <w:jc w:val="center"/>
                    <w:rPr>
                      <w:rFonts w:hint="default" w:ascii="Times New Roman" w:hAnsi="Times New Roman" w:eastAsia="宋体" w:cs="Times New Roman"/>
                      <w:b w:val="0"/>
                      <w:bCs w:val="0"/>
                      <w:i w:val="0"/>
                      <w:iCs w:val="0"/>
                      <w:color w:val="auto"/>
                      <w:highlight w:val="none"/>
                    </w:rPr>
                  </w:pPr>
                  <w:r>
                    <w:rPr>
                      <w:rFonts w:hint="default" w:ascii="Times New Roman" w:hAnsi="Times New Roman" w:eastAsia="宋体" w:cs="Times New Roman"/>
                      <w:b w:val="0"/>
                      <w:bCs w:val="0"/>
                      <w:i w:val="0"/>
                      <w:iCs w:val="0"/>
                      <w:color w:val="auto"/>
                      <w:highlight w:val="none"/>
                    </w:rPr>
                    <w:t>开大窗且不密闭，门较密闭</w:t>
                  </w:r>
                </w:p>
              </w:tc>
              <w:tc>
                <w:tcPr>
                  <w:tcW w:w="2471" w:type="pct"/>
                  <w:noWrap w:val="0"/>
                  <w:vAlign w:val="center"/>
                </w:tcPr>
                <w:p w14:paraId="6F12A7D3">
                  <w:pPr>
                    <w:snapToGrid w:val="0"/>
                    <w:spacing w:before="20" w:after="20"/>
                    <w:jc w:val="center"/>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20</w:t>
                  </w:r>
                </w:p>
              </w:tc>
            </w:tr>
            <w:tr w14:paraId="3D2D09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2528" w:type="pct"/>
                  <w:noWrap w:val="0"/>
                  <w:vAlign w:val="center"/>
                </w:tcPr>
                <w:p w14:paraId="5D4865B2">
                  <w:pPr>
                    <w:snapToGrid w:val="0"/>
                    <w:spacing w:before="20" w:after="20"/>
                    <w:jc w:val="center"/>
                    <w:rPr>
                      <w:rFonts w:hint="default" w:ascii="Times New Roman" w:hAnsi="Times New Roman" w:eastAsia="宋体" w:cs="Times New Roman"/>
                      <w:b w:val="0"/>
                      <w:bCs w:val="0"/>
                      <w:i w:val="0"/>
                      <w:iCs w:val="0"/>
                      <w:color w:val="auto"/>
                      <w:highlight w:val="none"/>
                    </w:rPr>
                  </w:pPr>
                  <w:r>
                    <w:rPr>
                      <w:rFonts w:hint="default" w:ascii="Times New Roman" w:hAnsi="Times New Roman" w:eastAsia="宋体" w:cs="Times New Roman"/>
                      <w:b w:val="0"/>
                      <w:bCs w:val="0"/>
                      <w:i w:val="0"/>
                      <w:iCs w:val="0"/>
                      <w:color w:val="auto"/>
                      <w:highlight w:val="none"/>
                    </w:rPr>
                    <w:t>开大窗且不密闭，门不密闭</w:t>
                  </w:r>
                </w:p>
              </w:tc>
              <w:tc>
                <w:tcPr>
                  <w:tcW w:w="2471" w:type="pct"/>
                  <w:noWrap w:val="0"/>
                  <w:vAlign w:val="center"/>
                </w:tcPr>
                <w:p w14:paraId="1393F7F1">
                  <w:pPr>
                    <w:snapToGrid w:val="0"/>
                    <w:spacing w:before="20" w:after="20"/>
                    <w:jc w:val="center"/>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13</w:t>
                  </w:r>
                </w:p>
              </w:tc>
            </w:tr>
            <w:tr w14:paraId="0EA8C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2" w:hRule="atLeast"/>
                <w:jc w:val="center"/>
              </w:trPr>
              <w:tc>
                <w:tcPr>
                  <w:tcW w:w="2528" w:type="pct"/>
                  <w:noWrap w:val="0"/>
                  <w:vAlign w:val="center"/>
                </w:tcPr>
                <w:p w14:paraId="5102E1FA">
                  <w:pPr>
                    <w:snapToGrid w:val="0"/>
                    <w:spacing w:before="20" w:after="20"/>
                    <w:jc w:val="center"/>
                    <w:rPr>
                      <w:rFonts w:hint="default" w:ascii="Times New Roman" w:hAnsi="Times New Roman" w:eastAsia="宋体" w:cs="Times New Roman"/>
                      <w:b w:val="0"/>
                      <w:bCs w:val="0"/>
                      <w:i w:val="0"/>
                      <w:iCs w:val="0"/>
                      <w:color w:val="auto"/>
                      <w:highlight w:val="none"/>
                    </w:rPr>
                  </w:pPr>
                  <w:r>
                    <w:rPr>
                      <w:rFonts w:hint="default" w:ascii="Times New Roman" w:hAnsi="Times New Roman" w:eastAsia="宋体" w:cs="Times New Roman"/>
                      <w:b w:val="0"/>
                      <w:bCs w:val="0"/>
                      <w:i w:val="0"/>
                      <w:iCs w:val="0"/>
                      <w:color w:val="auto"/>
                      <w:highlight w:val="none"/>
                    </w:rPr>
                    <w:t>门与窗全部敞开</w:t>
                  </w:r>
                </w:p>
              </w:tc>
              <w:tc>
                <w:tcPr>
                  <w:tcW w:w="2471" w:type="pct"/>
                  <w:noWrap w:val="0"/>
                  <w:vAlign w:val="center"/>
                </w:tcPr>
                <w:p w14:paraId="470AB1AF">
                  <w:pPr>
                    <w:snapToGrid w:val="0"/>
                    <w:spacing w:before="20" w:after="20"/>
                    <w:jc w:val="center"/>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i w:val="0"/>
                      <w:iCs w:val="0"/>
                      <w:color w:val="auto"/>
                      <w:highlight w:val="none"/>
                    </w:rPr>
                    <w:t>8</w:t>
                  </w:r>
                </w:p>
              </w:tc>
            </w:tr>
          </w:tbl>
          <w:p w14:paraId="34D8F805">
            <w:pPr>
              <w:widowControl/>
              <w:overflowPunct w:val="0"/>
              <w:topLinePunct/>
              <w:autoSpaceDE w:val="0"/>
              <w:snapToGrid w:val="0"/>
              <w:spacing w:before="120" w:beforeLines="50" w:line="360" w:lineRule="auto"/>
              <w:ind w:firstLine="480" w:firstLineChars="200"/>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（2）预测结果及分析</w:t>
            </w:r>
          </w:p>
          <w:p w14:paraId="3977116B">
            <w:pPr>
              <w:spacing w:line="360" w:lineRule="auto"/>
              <w:ind w:firstLine="480" w:firstLineChars="200"/>
              <w:jc w:val="left"/>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项目主要设备噪声对厂界噪声影响预测结果见</w:t>
            </w:r>
            <w:r>
              <w:rPr>
                <w:rFonts w:hint="eastAsia" w:cs="Times New Roman"/>
                <w:i w:val="0"/>
                <w:iCs w:val="0"/>
                <w:color w:val="auto"/>
                <w:sz w:val="24"/>
                <w:szCs w:val="24"/>
                <w:highlight w:val="none"/>
                <w:lang w:val="en-US" w:eastAsia="zh-CN"/>
              </w:rPr>
              <w:t>下</w:t>
            </w:r>
            <w:r>
              <w:rPr>
                <w:rFonts w:hint="default" w:ascii="Times New Roman" w:hAnsi="Times New Roman" w:eastAsia="宋体" w:cs="Times New Roman"/>
                <w:i w:val="0"/>
                <w:iCs w:val="0"/>
                <w:color w:val="auto"/>
                <w:sz w:val="24"/>
                <w:szCs w:val="24"/>
                <w:highlight w:val="none"/>
              </w:rPr>
              <w:t>表。</w:t>
            </w:r>
          </w:p>
          <w:p w14:paraId="2B67BE4E">
            <w:pPr>
              <w:keepNext w:val="0"/>
              <w:keepLines w:val="0"/>
              <w:pageBreakBefore w:val="0"/>
              <w:widowControl w:val="0"/>
              <w:kinsoku/>
              <w:wordWrap/>
              <w:overflowPunct/>
              <w:topLinePunct w:val="0"/>
              <w:autoSpaceDE/>
              <w:autoSpaceDN/>
              <w:bidi w:val="0"/>
              <w:adjustRightInd/>
              <w:snapToGrid w:val="0"/>
              <w:spacing w:before="157" w:beforeLines="50" w:line="240" w:lineRule="auto"/>
              <w:ind w:firstLine="482"/>
              <w:jc w:val="center"/>
              <w:textAlignment w:val="auto"/>
              <w:rPr>
                <w:rFonts w:hint="default" w:ascii="Times New Roman" w:hAnsi="Times New Roman" w:eastAsia="宋体" w:cs="Times New Roman"/>
                <w:i w:val="0"/>
                <w:iCs w:val="0"/>
                <w:color w:val="auto"/>
                <w:highlight w:val="none"/>
              </w:rPr>
            </w:pPr>
            <w:r>
              <w:rPr>
                <w:rFonts w:hint="default" w:ascii="Times New Roman" w:hAnsi="Times New Roman" w:eastAsia="宋体" w:cs="Times New Roman"/>
                <w:b/>
                <w:bCs/>
                <w:i w:val="0"/>
                <w:iCs w:val="0"/>
                <w:color w:val="auto"/>
                <w:highlight w:val="none"/>
              </w:rPr>
              <w:t>表4-</w:t>
            </w:r>
            <w:r>
              <w:rPr>
                <w:rFonts w:hint="eastAsia" w:cs="Times New Roman"/>
                <w:b/>
                <w:bCs/>
                <w:i w:val="0"/>
                <w:iCs w:val="0"/>
                <w:color w:val="auto"/>
                <w:highlight w:val="none"/>
                <w:lang w:val="en-US" w:eastAsia="zh-CN"/>
              </w:rPr>
              <w:t>17</w:t>
            </w:r>
            <w:r>
              <w:rPr>
                <w:rFonts w:hint="eastAsia" w:ascii="Times New Roman" w:hAnsi="Times New Roman" w:eastAsia="宋体" w:cs="Times New Roman"/>
                <w:b/>
                <w:bCs/>
                <w:i w:val="0"/>
                <w:iCs w:val="0"/>
                <w:color w:val="auto"/>
                <w:highlight w:val="none"/>
                <w:lang w:val="en-US" w:eastAsia="zh-CN"/>
              </w:rPr>
              <w:t xml:space="preserve"> </w:t>
            </w:r>
            <w:r>
              <w:rPr>
                <w:rFonts w:hint="default" w:ascii="Times New Roman" w:hAnsi="Times New Roman" w:eastAsia="宋体" w:cs="Times New Roman"/>
                <w:b/>
                <w:bCs/>
                <w:i w:val="0"/>
                <w:iCs w:val="0"/>
                <w:color w:val="auto"/>
                <w:highlight w:val="none"/>
              </w:rPr>
              <w:t xml:space="preserve"> 项目厂界噪声预测结果</w:t>
            </w:r>
          </w:p>
          <w:tbl>
            <w:tblPr>
              <w:tblStyle w:val="24"/>
              <w:tblW w:w="499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611"/>
              <w:gridCol w:w="1524"/>
              <w:gridCol w:w="1283"/>
              <w:gridCol w:w="1325"/>
              <w:gridCol w:w="1619"/>
            </w:tblGrid>
            <w:tr w14:paraId="0F6965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87" w:type="pct"/>
                  <w:tcBorders>
                    <w:bottom w:val="single" w:color="auto" w:sz="12" w:space="0"/>
                  </w:tcBorders>
                  <w:noWrap w:val="0"/>
                  <w:vAlign w:val="center"/>
                </w:tcPr>
                <w:p w14:paraId="5479FDF3">
                  <w:pPr>
                    <w:autoSpaceDE w:val="0"/>
                    <w:autoSpaceDN w:val="0"/>
                    <w:adjustRightInd w:val="0"/>
                    <w:spacing w:line="240" w:lineRule="auto"/>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kern w:val="2"/>
                      <w:sz w:val="21"/>
                      <w:szCs w:val="21"/>
                      <w:highlight w:val="none"/>
                      <w:lang w:val="en-US" w:eastAsia="zh-CN" w:bidi="ar-SA"/>
                    </w:rPr>
                    <w:t>厂界</w:t>
                  </w:r>
                  <w:r>
                    <w:rPr>
                      <w:rFonts w:hint="eastAsia" w:ascii="Times New Roman" w:hAnsi="Times New Roman" w:eastAsia="宋体" w:cs="Times New Roman"/>
                      <w:b/>
                      <w:bCs/>
                      <w:i w:val="0"/>
                      <w:iCs w:val="0"/>
                      <w:color w:val="auto"/>
                      <w:kern w:val="2"/>
                      <w:sz w:val="21"/>
                      <w:szCs w:val="21"/>
                      <w:highlight w:val="none"/>
                      <w:lang w:val="en-US" w:eastAsia="zh-CN" w:bidi="ar-SA"/>
                    </w:rPr>
                    <w:t>距离</w:t>
                  </w:r>
                </w:p>
              </w:tc>
              <w:tc>
                <w:tcPr>
                  <w:tcW w:w="943" w:type="pct"/>
                  <w:tcBorders>
                    <w:bottom w:val="single" w:color="auto" w:sz="12" w:space="0"/>
                  </w:tcBorders>
                  <w:noWrap w:val="0"/>
                  <w:vAlign w:val="center"/>
                </w:tcPr>
                <w:p w14:paraId="1F8CB45D">
                  <w:pPr>
                    <w:autoSpaceDE w:val="0"/>
                    <w:autoSpaceDN w:val="0"/>
                    <w:adjustRightInd w:val="0"/>
                    <w:spacing w:line="240" w:lineRule="auto"/>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kern w:val="2"/>
                      <w:sz w:val="21"/>
                      <w:szCs w:val="21"/>
                      <w:highlight w:val="none"/>
                      <w:lang w:val="en-US" w:eastAsia="zh-CN" w:bidi="ar-SA"/>
                    </w:rPr>
                    <w:t>噪声源</w:t>
                  </w:r>
                </w:p>
              </w:tc>
              <w:tc>
                <w:tcPr>
                  <w:tcW w:w="892" w:type="pct"/>
                  <w:tcBorders>
                    <w:bottom w:val="single" w:color="auto" w:sz="12" w:space="0"/>
                  </w:tcBorders>
                  <w:noWrap w:val="0"/>
                  <w:vAlign w:val="center"/>
                </w:tcPr>
                <w:p w14:paraId="702B8C9A">
                  <w:pPr>
                    <w:autoSpaceDE w:val="0"/>
                    <w:autoSpaceDN w:val="0"/>
                    <w:adjustRightInd w:val="0"/>
                    <w:spacing w:line="240" w:lineRule="auto"/>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eastAsia" w:cs="Times New Roman"/>
                      <w:b/>
                      <w:bCs/>
                      <w:color w:val="auto"/>
                      <w:kern w:val="2"/>
                      <w:highlight w:val="none"/>
                      <w:lang w:val="en-US" w:eastAsia="zh-CN"/>
                    </w:rPr>
                    <w:t>削减后源强</w:t>
                  </w:r>
                  <w:r>
                    <w:rPr>
                      <w:rFonts w:hint="default" w:ascii="Times New Roman" w:hAnsi="Times New Roman" w:eastAsia="宋体" w:cs="Times New Roman"/>
                      <w:color w:val="auto"/>
                      <w:kern w:val="2"/>
                      <w:highlight w:val="none"/>
                    </w:rPr>
                    <w:t>dB(A)</w:t>
                  </w:r>
                  <w:r>
                    <w:rPr>
                      <w:rFonts w:hint="eastAsia" w:cs="Times New Roman"/>
                      <w:b/>
                      <w:bCs/>
                      <w:color w:val="auto"/>
                      <w:kern w:val="2"/>
                      <w:highlight w:val="none"/>
                      <w:lang w:val="en-US" w:eastAsia="zh-CN"/>
                    </w:rPr>
                    <w:t>）</w:t>
                  </w:r>
                </w:p>
              </w:tc>
              <w:tc>
                <w:tcPr>
                  <w:tcW w:w="751" w:type="pct"/>
                  <w:tcBorders>
                    <w:bottom w:val="single" w:color="auto" w:sz="12" w:space="0"/>
                  </w:tcBorders>
                  <w:noWrap w:val="0"/>
                  <w:vAlign w:val="center"/>
                </w:tcPr>
                <w:p w14:paraId="1514812D">
                  <w:pPr>
                    <w:autoSpaceDE w:val="0"/>
                    <w:autoSpaceDN w:val="0"/>
                    <w:adjustRightInd w:val="0"/>
                    <w:spacing w:line="240" w:lineRule="auto"/>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eastAsia" w:ascii="Times New Roman" w:hAnsi="Times New Roman" w:eastAsia="宋体" w:cs="Times New Roman"/>
                      <w:b/>
                      <w:bCs/>
                      <w:i w:val="0"/>
                      <w:iCs w:val="0"/>
                      <w:color w:val="auto"/>
                      <w:kern w:val="2"/>
                      <w:sz w:val="21"/>
                      <w:szCs w:val="21"/>
                      <w:highlight w:val="none"/>
                      <w:lang w:val="en-US" w:eastAsia="zh-CN" w:bidi="ar-SA"/>
                    </w:rPr>
                    <w:t>厂界距离</w:t>
                  </w:r>
                  <w:r>
                    <w:rPr>
                      <w:rFonts w:hint="default" w:ascii="Times New Roman" w:hAnsi="Times New Roman" w:eastAsia="宋体" w:cs="Times New Roman"/>
                      <w:b/>
                      <w:bCs/>
                      <w:i w:val="0"/>
                      <w:iCs w:val="0"/>
                      <w:color w:val="auto"/>
                      <w:kern w:val="2"/>
                      <w:sz w:val="21"/>
                      <w:szCs w:val="21"/>
                      <w:highlight w:val="none"/>
                      <w:lang w:val="en-US" w:eastAsia="zh-CN" w:bidi="ar-SA"/>
                    </w:rPr>
                    <w:t>(</w:t>
                  </w:r>
                  <w:r>
                    <w:rPr>
                      <w:rFonts w:hint="eastAsia" w:ascii="Times New Roman" w:hAnsi="Times New Roman" w:eastAsia="宋体" w:cs="Times New Roman"/>
                      <w:b/>
                      <w:bCs/>
                      <w:i w:val="0"/>
                      <w:iCs w:val="0"/>
                      <w:color w:val="auto"/>
                      <w:kern w:val="2"/>
                      <w:sz w:val="21"/>
                      <w:szCs w:val="21"/>
                      <w:highlight w:val="none"/>
                      <w:lang w:val="en-US" w:eastAsia="zh-CN" w:bidi="ar-SA"/>
                    </w:rPr>
                    <w:t>m</w:t>
                  </w:r>
                  <w:r>
                    <w:rPr>
                      <w:rFonts w:hint="default" w:ascii="Times New Roman" w:hAnsi="Times New Roman" w:eastAsia="宋体" w:cs="Times New Roman"/>
                      <w:b/>
                      <w:bCs/>
                      <w:i w:val="0"/>
                      <w:iCs w:val="0"/>
                      <w:color w:val="auto"/>
                      <w:kern w:val="2"/>
                      <w:sz w:val="21"/>
                      <w:szCs w:val="21"/>
                      <w:highlight w:val="none"/>
                      <w:lang w:val="en-US" w:eastAsia="zh-CN" w:bidi="ar-SA"/>
                    </w:rPr>
                    <w:t>)</w:t>
                  </w:r>
                </w:p>
              </w:tc>
              <w:tc>
                <w:tcPr>
                  <w:tcW w:w="776" w:type="pct"/>
                  <w:tcBorders>
                    <w:bottom w:val="single" w:color="auto" w:sz="12" w:space="0"/>
                  </w:tcBorders>
                  <w:noWrap w:val="0"/>
                  <w:vAlign w:val="center"/>
                </w:tcPr>
                <w:p w14:paraId="084970DC">
                  <w:pPr>
                    <w:autoSpaceDE w:val="0"/>
                    <w:autoSpaceDN w:val="0"/>
                    <w:adjustRightInd w:val="0"/>
                    <w:spacing w:line="240" w:lineRule="auto"/>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eastAsia" w:ascii="Times New Roman" w:hAnsi="Times New Roman" w:eastAsia="宋体" w:cs="Times New Roman"/>
                      <w:b/>
                      <w:bCs/>
                      <w:i w:val="0"/>
                      <w:iCs w:val="0"/>
                      <w:color w:val="auto"/>
                      <w:kern w:val="2"/>
                      <w:sz w:val="21"/>
                      <w:szCs w:val="21"/>
                      <w:highlight w:val="none"/>
                      <w:lang w:val="en-US" w:eastAsia="zh-CN" w:bidi="ar-SA"/>
                    </w:rPr>
                    <w:t>影响</w:t>
                  </w:r>
                  <w:r>
                    <w:rPr>
                      <w:rFonts w:hint="default" w:ascii="Times New Roman" w:hAnsi="Times New Roman" w:eastAsia="宋体" w:cs="Times New Roman"/>
                      <w:b/>
                      <w:bCs/>
                      <w:i w:val="0"/>
                      <w:iCs w:val="0"/>
                      <w:color w:val="auto"/>
                      <w:kern w:val="2"/>
                      <w:sz w:val="21"/>
                      <w:szCs w:val="21"/>
                      <w:highlight w:val="none"/>
                      <w:lang w:val="en-US" w:eastAsia="zh-CN" w:bidi="ar-SA"/>
                    </w:rPr>
                    <w:t>值</w:t>
                  </w:r>
                  <w:r>
                    <w:rPr>
                      <w:rFonts w:hint="default" w:ascii="Times New Roman" w:hAnsi="Times New Roman" w:eastAsia="宋体" w:cs="Times New Roman"/>
                      <w:i w:val="0"/>
                      <w:iCs w:val="0"/>
                      <w:color w:val="auto"/>
                      <w:kern w:val="2"/>
                      <w:sz w:val="21"/>
                      <w:szCs w:val="21"/>
                      <w:highlight w:val="none"/>
                      <w:lang w:val="en-US" w:eastAsia="zh-CN" w:bidi="ar-SA"/>
                    </w:rPr>
                    <w:t>dB(A)</w:t>
                  </w:r>
                </w:p>
              </w:tc>
              <w:tc>
                <w:tcPr>
                  <w:tcW w:w="948" w:type="pct"/>
                  <w:tcBorders>
                    <w:bottom w:val="single" w:color="auto" w:sz="12" w:space="0"/>
                  </w:tcBorders>
                  <w:noWrap w:val="0"/>
                  <w:vAlign w:val="center"/>
                </w:tcPr>
                <w:p w14:paraId="04990B3E">
                  <w:pPr>
                    <w:autoSpaceDE w:val="0"/>
                    <w:autoSpaceDN w:val="0"/>
                    <w:adjustRightInd w:val="0"/>
                    <w:spacing w:line="240" w:lineRule="auto"/>
                    <w:jc w:val="center"/>
                    <w:rPr>
                      <w:rFonts w:hint="default" w:ascii="Times New Roman" w:hAnsi="Times New Roman" w:eastAsia="宋体" w:cs="Times New Roman"/>
                      <w:b/>
                      <w:bCs/>
                      <w:i w:val="0"/>
                      <w:iCs w:val="0"/>
                      <w:color w:val="auto"/>
                      <w:kern w:val="2"/>
                      <w:sz w:val="21"/>
                      <w:szCs w:val="21"/>
                      <w:highlight w:val="none"/>
                      <w:lang w:val="en-US" w:eastAsia="zh-CN" w:bidi="ar-SA"/>
                    </w:rPr>
                  </w:pPr>
                  <w:r>
                    <w:rPr>
                      <w:rFonts w:hint="default" w:ascii="Times New Roman" w:hAnsi="Times New Roman" w:eastAsia="宋体" w:cs="Times New Roman"/>
                      <w:b/>
                      <w:bCs/>
                      <w:i w:val="0"/>
                      <w:iCs w:val="0"/>
                      <w:color w:val="auto"/>
                      <w:kern w:val="2"/>
                      <w:sz w:val="21"/>
                      <w:szCs w:val="21"/>
                      <w:highlight w:val="none"/>
                      <w:lang w:val="en-US" w:eastAsia="zh-CN" w:bidi="ar-SA"/>
                    </w:rPr>
                    <w:t>叠加</w:t>
                  </w:r>
                  <w:r>
                    <w:rPr>
                      <w:rFonts w:hint="eastAsia" w:ascii="Times New Roman" w:hAnsi="Times New Roman" w:eastAsia="宋体" w:cs="Times New Roman"/>
                      <w:b/>
                      <w:bCs/>
                      <w:i w:val="0"/>
                      <w:iCs w:val="0"/>
                      <w:color w:val="auto"/>
                      <w:kern w:val="2"/>
                      <w:sz w:val="21"/>
                      <w:szCs w:val="21"/>
                      <w:highlight w:val="none"/>
                      <w:lang w:val="en-US" w:eastAsia="zh-CN" w:bidi="ar-SA"/>
                    </w:rPr>
                    <w:t>影响</w:t>
                  </w:r>
                  <w:r>
                    <w:rPr>
                      <w:rFonts w:hint="default" w:ascii="Times New Roman" w:hAnsi="Times New Roman" w:eastAsia="宋体" w:cs="Times New Roman"/>
                      <w:b/>
                      <w:bCs/>
                      <w:i w:val="0"/>
                      <w:iCs w:val="0"/>
                      <w:color w:val="auto"/>
                      <w:kern w:val="2"/>
                      <w:sz w:val="21"/>
                      <w:szCs w:val="21"/>
                      <w:highlight w:val="none"/>
                      <w:lang w:val="en-US" w:eastAsia="zh-CN" w:bidi="ar-SA"/>
                    </w:rPr>
                    <w:t>值</w:t>
                  </w:r>
                  <w:r>
                    <w:rPr>
                      <w:rFonts w:hint="default" w:ascii="Times New Roman" w:hAnsi="Times New Roman" w:eastAsia="宋体" w:cs="Times New Roman"/>
                      <w:i w:val="0"/>
                      <w:iCs w:val="0"/>
                      <w:color w:val="auto"/>
                      <w:kern w:val="2"/>
                      <w:sz w:val="21"/>
                      <w:szCs w:val="21"/>
                      <w:highlight w:val="none"/>
                      <w:lang w:val="en-US" w:eastAsia="zh-CN" w:bidi="ar-SA"/>
                    </w:rPr>
                    <w:t>dB(A)</w:t>
                  </w:r>
                </w:p>
              </w:tc>
            </w:tr>
            <w:tr w14:paraId="5FB9F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687" w:type="pct"/>
                  <w:vMerge w:val="restart"/>
                  <w:tcBorders>
                    <w:top w:val="single" w:color="auto" w:sz="12" w:space="0"/>
                    <w:tl2br w:val="nil"/>
                    <w:tr2bl w:val="nil"/>
                  </w:tcBorders>
                  <w:noWrap w:val="0"/>
                  <w:vAlign w:val="center"/>
                </w:tcPr>
                <w:p w14:paraId="15AF1836">
                  <w:pPr>
                    <w:jc w:val="center"/>
                    <w:rPr>
                      <w:rFonts w:hint="default" w:ascii="Times New Roman" w:hAnsi="Times New Roman" w:eastAsia="宋体" w:cs="Times New Roman"/>
                      <w:i w:val="0"/>
                      <w:iCs w:val="0"/>
                      <w:color w:val="auto"/>
                      <w:highlight w:val="none"/>
                      <w:lang w:val="en-US" w:eastAsia="zh-CN"/>
                    </w:rPr>
                  </w:pPr>
                  <w:r>
                    <w:rPr>
                      <w:rFonts w:hint="default" w:ascii="Times New Roman" w:hAnsi="Times New Roman" w:eastAsia="宋体" w:cs="Times New Roman"/>
                      <w:i w:val="0"/>
                      <w:iCs w:val="0"/>
                      <w:color w:val="auto"/>
                      <w:highlight w:val="none"/>
                      <w:lang w:val="en-US" w:eastAsia="zh-CN"/>
                    </w:rPr>
                    <w:t>东</w:t>
                  </w:r>
                </w:p>
              </w:tc>
              <w:tc>
                <w:tcPr>
                  <w:tcW w:w="943" w:type="pct"/>
                  <w:tcBorders>
                    <w:top w:val="single" w:color="auto" w:sz="12" w:space="0"/>
                    <w:bottom w:val="single" w:color="auto" w:sz="4" w:space="0"/>
                  </w:tcBorders>
                  <w:noWrap w:val="0"/>
                  <w:vAlign w:val="center"/>
                </w:tcPr>
                <w:p w14:paraId="78955187">
                  <w:pPr>
                    <w:widowControl w:val="0"/>
                    <w:bidi w:val="0"/>
                    <w:adjustRightInd w:val="0"/>
                    <w:snapToGrid w:val="0"/>
                    <w:jc w:val="center"/>
                    <w:rPr>
                      <w:rFonts w:hint="default" w:ascii="Times New Roman" w:hAnsi="Times New Roman" w:eastAsia="宋体" w:cs="Times New Roman"/>
                      <w:i w:val="0"/>
                      <w:iCs w:val="0"/>
                      <w:color w:val="auto"/>
                      <w:kern w:val="2"/>
                      <w:sz w:val="21"/>
                      <w:szCs w:val="24"/>
                      <w:highlight w:val="none"/>
                      <w:lang w:val="en-US" w:eastAsia="zh-CN" w:bidi="ar-SA"/>
                    </w:rPr>
                  </w:pPr>
                  <w:r>
                    <w:rPr>
                      <w:rFonts w:hint="eastAsia" w:ascii="Times New Roman" w:hAnsi="Times New Roman" w:eastAsia="宋体" w:cs="Times New Roman"/>
                      <w:i w:val="0"/>
                      <w:iCs w:val="0"/>
                      <w:color w:val="auto"/>
                      <w:kern w:val="2"/>
                      <w:sz w:val="21"/>
                      <w:szCs w:val="24"/>
                      <w:highlight w:val="none"/>
                      <w:lang w:val="en-US" w:eastAsia="zh-CN" w:bidi="ar-SA"/>
                    </w:rPr>
                    <w:t>车间</w:t>
                  </w:r>
                </w:p>
              </w:tc>
              <w:tc>
                <w:tcPr>
                  <w:tcW w:w="892" w:type="pct"/>
                  <w:tcBorders>
                    <w:top w:val="single" w:color="auto" w:sz="12" w:space="0"/>
                    <w:bottom w:val="single" w:color="auto" w:sz="4" w:space="0"/>
                  </w:tcBorders>
                  <w:noWrap w:val="0"/>
                  <w:vAlign w:val="center"/>
                </w:tcPr>
                <w:p w14:paraId="4C3AE138">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38.25</w:t>
                  </w:r>
                </w:p>
              </w:tc>
              <w:tc>
                <w:tcPr>
                  <w:tcW w:w="751" w:type="pct"/>
                  <w:tcBorders>
                    <w:top w:val="single" w:color="auto" w:sz="12" w:space="0"/>
                    <w:bottom w:val="single" w:color="auto" w:sz="4" w:space="0"/>
                  </w:tcBorders>
                  <w:noWrap w:val="0"/>
                  <w:vAlign w:val="center"/>
                </w:tcPr>
                <w:p w14:paraId="38CB5965">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6</w:t>
                  </w:r>
                </w:p>
              </w:tc>
              <w:tc>
                <w:tcPr>
                  <w:tcW w:w="776" w:type="pct"/>
                  <w:tcBorders>
                    <w:top w:val="single" w:color="auto" w:sz="12" w:space="0"/>
                    <w:bottom w:val="single" w:color="auto" w:sz="4" w:space="0"/>
                  </w:tcBorders>
                  <w:noWrap w:val="0"/>
                  <w:vAlign w:val="center"/>
                </w:tcPr>
                <w:p w14:paraId="283E9C32">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22.68</w:t>
                  </w:r>
                </w:p>
              </w:tc>
              <w:tc>
                <w:tcPr>
                  <w:tcW w:w="948" w:type="pct"/>
                  <w:vMerge w:val="restart"/>
                  <w:tcBorders>
                    <w:top w:val="single" w:color="auto" w:sz="12" w:space="0"/>
                  </w:tcBorders>
                  <w:noWrap w:val="0"/>
                  <w:vAlign w:val="center"/>
                </w:tcPr>
                <w:p w14:paraId="2A3EE8BC">
                  <w:pPr>
                    <w:jc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37.23</w:t>
                  </w:r>
                </w:p>
              </w:tc>
            </w:tr>
            <w:tr w14:paraId="40EE1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87" w:type="pct"/>
                  <w:vMerge w:val="continue"/>
                  <w:tcBorders>
                    <w:tl2br w:val="nil"/>
                    <w:tr2bl w:val="nil"/>
                  </w:tcBorders>
                  <w:noWrap w:val="0"/>
                  <w:vAlign w:val="center"/>
                </w:tcPr>
                <w:p w14:paraId="2FB90EC6">
                  <w:pPr>
                    <w:jc w:val="center"/>
                    <w:rPr>
                      <w:rFonts w:hint="default" w:ascii="Times New Roman" w:hAnsi="Times New Roman" w:eastAsia="宋体" w:cs="Times New Roman"/>
                      <w:i w:val="0"/>
                      <w:iCs w:val="0"/>
                      <w:color w:val="auto"/>
                      <w:highlight w:val="none"/>
                      <w:lang w:val="en-US" w:eastAsia="zh-CN"/>
                    </w:rPr>
                  </w:pPr>
                </w:p>
              </w:tc>
              <w:tc>
                <w:tcPr>
                  <w:tcW w:w="943" w:type="pct"/>
                  <w:tcBorders>
                    <w:top w:val="single" w:color="auto" w:sz="4" w:space="0"/>
                    <w:bottom w:val="single" w:color="auto" w:sz="4" w:space="0"/>
                  </w:tcBorders>
                  <w:noWrap w:val="0"/>
                  <w:vAlign w:val="center"/>
                </w:tcPr>
                <w:p w14:paraId="241FFD5D">
                  <w:pPr>
                    <w:widowControl w:val="0"/>
                    <w:bidi w:val="0"/>
                    <w:adjustRightInd w:val="0"/>
                    <w:snapToGrid w:val="0"/>
                    <w:jc w:val="center"/>
                    <w:rPr>
                      <w:rFonts w:hint="default" w:ascii="Times New Roman" w:hAnsi="Times New Roman" w:eastAsia="宋体" w:cs="Times New Roman"/>
                      <w:i w:val="0"/>
                      <w:iCs w:val="0"/>
                      <w:color w:val="auto"/>
                      <w:kern w:val="2"/>
                      <w:sz w:val="21"/>
                      <w:szCs w:val="24"/>
                      <w:highlight w:val="none"/>
                      <w:lang w:val="en-US" w:eastAsia="zh-CN" w:bidi="ar-SA"/>
                    </w:rPr>
                  </w:pPr>
                  <w:r>
                    <w:rPr>
                      <w:rFonts w:hint="eastAsia" w:cs="Times New Roman"/>
                      <w:color w:val="auto"/>
                      <w:spacing w:val="0"/>
                      <w:kern w:val="2"/>
                      <w:sz w:val="21"/>
                      <w:szCs w:val="21"/>
                      <w:vertAlign w:val="baseline"/>
                      <w:lang w:eastAsia="zh-CN"/>
                    </w:rPr>
                    <w:t>通风系统风机</w:t>
                  </w:r>
                </w:p>
              </w:tc>
              <w:tc>
                <w:tcPr>
                  <w:tcW w:w="892" w:type="pct"/>
                  <w:tcBorders>
                    <w:top w:val="single" w:color="auto" w:sz="4" w:space="0"/>
                    <w:bottom w:val="single" w:color="auto" w:sz="4" w:space="0"/>
                  </w:tcBorders>
                  <w:noWrap w:val="0"/>
                  <w:vAlign w:val="center"/>
                </w:tcPr>
                <w:p w14:paraId="067E6E91">
                  <w:pPr>
                    <w:widowControl w:val="0"/>
                    <w:bidi w:val="0"/>
                    <w:adjustRightInd w:val="0"/>
                    <w:snapToGrid w:val="0"/>
                    <w:jc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60</w:t>
                  </w:r>
                </w:p>
              </w:tc>
              <w:tc>
                <w:tcPr>
                  <w:tcW w:w="751" w:type="pct"/>
                  <w:tcBorders>
                    <w:top w:val="single" w:color="auto" w:sz="4" w:space="0"/>
                    <w:bottom w:val="single" w:color="auto" w:sz="4" w:space="0"/>
                  </w:tcBorders>
                  <w:noWrap w:val="0"/>
                  <w:vAlign w:val="center"/>
                </w:tcPr>
                <w:p w14:paraId="34B309D8">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14</w:t>
                  </w:r>
                </w:p>
              </w:tc>
              <w:tc>
                <w:tcPr>
                  <w:tcW w:w="776" w:type="pct"/>
                  <w:tcBorders>
                    <w:top w:val="single" w:color="auto" w:sz="4" w:space="0"/>
                    <w:bottom w:val="single" w:color="auto" w:sz="4" w:space="0"/>
                  </w:tcBorders>
                  <w:noWrap w:val="0"/>
                  <w:vAlign w:val="center"/>
                </w:tcPr>
                <w:p w14:paraId="01D887A4">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37.07</w:t>
                  </w:r>
                </w:p>
              </w:tc>
              <w:tc>
                <w:tcPr>
                  <w:tcW w:w="948" w:type="pct"/>
                  <w:vMerge w:val="continue"/>
                  <w:noWrap w:val="0"/>
                  <w:vAlign w:val="center"/>
                </w:tcPr>
                <w:p w14:paraId="3BB02D0F">
                  <w:pPr>
                    <w:jc w:val="center"/>
                    <w:rPr>
                      <w:rFonts w:hint="eastAsia" w:ascii="Times New Roman" w:hAnsi="Times New Roman" w:eastAsia="宋体" w:cs="Times New Roman"/>
                      <w:i w:val="0"/>
                      <w:iCs w:val="0"/>
                      <w:color w:val="auto"/>
                      <w:kern w:val="2"/>
                      <w:highlight w:val="none"/>
                      <w:lang w:val="en-US" w:eastAsia="zh-CN"/>
                    </w:rPr>
                  </w:pPr>
                </w:p>
              </w:tc>
            </w:tr>
            <w:tr w14:paraId="6A565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87" w:type="pct"/>
                  <w:vMerge w:val="restart"/>
                  <w:tcBorders>
                    <w:tl2br w:val="nil"/>
                    <w:tr2bl w:val="nil"/>
                  </w:tcBorders>
                  <w:noWrap w:val="0"/>
                  <w:vAlign w:val="center"/>
                </w:tcPr>
                <w:p w14:paraId="013B0EAD">
                  <w:pPr>
                    <w:jc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西</w:t>
                  </w:r>
                </w:p>
              </w:tc>
              <w:tc>
                <w:tcPr>
                  <w:tcW w:w="943" w:type="pct"/>
                  <w:tcBorders>
                    <w:tl2br w:val="nil"/>
                    <w:tr2bl w:val="nil"/>
                  </w:tcBorders>
                  <w:noWrap w:val="0"/>
                  <w:vAlign w:val="center"/>
                </w:tcPr>
                <w:p w14:paraId="1FC25F05">
                  <w:pPr>
                    <w:widowControl w:val="0"/>
                    <w:bidi w:val="0"/>
                    <w:adjustRightInd w:val="0"/>
                    <w:snapToGrid w:val="0"/>
                    <w:jc w:val="center"/>
                    <w:rPr>
                      <w:rFonts w:hint="default" w:ascii="Times New Roman" w:hAnsi="Times New Roman" w:eastAsia="宋体" w:cs="Times New Roman"/>
                      <w:i w:val="0"/>
                      <w:iCs w:val="0"/>
                      <w:color w:val="auto"/>
                      <w:kern w:val="2"/>
                      <w:sz w:val="21"/>
                      <w:szCs w:val="24"/>
                      <w:highlight w:val="none"/>
                      <w:lang w:val="en-US" w:eastAsia="zh-CN" w:bidi="ar-SA"/>
                    </w:rPr>
                  </w:pPr>
                  <w:r>
                    <w:rPr>
                      <w:rFonts w:hint="eastAsia" w:ascii="Times New Roman" w:hAnsi="Times New Roman" w:eastAsia="宋体" w:cs="Times New Roman"/>
                      <w:i w:val="0"/>
                      <w:iCs w:val="0"/>
                      <w:color w:val="auto"/>
                      <w:kern w:val="2"/>
                      <w:sz w:val="21"/>
                      <w:szCs w:val="24"/>
                      <w:highlight w:val="none"/>
                      <w:lang w:val="en-US" w:eastAsia="zh-CN" w:bidi="ar-SA"/>
                    </w:rPr>
                    <w:t>车间</w:t>
                  </w:r>
                </w:p>
              </w:tc>
              <w:tc>
                <w:tcPr>
                  <w:tcW w:w="892" w:type="pct"/>
                  <w:tcBorders>
                    <w:tl2br w:val="nil"/>
                    <w:tr2bl w:val="nil"/>
                  </w:tcBorders>
                  <w:noWrap w:val="0"/>
                  <w:vAlign w:val="center"/>
                </w:tcPr>
                <w:p w14:paraId="338BEA14">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29.29</w:t>
                  </w:r>
                </w:p>
              </w:tc>
              <w:tc>
                <w:tcPr>
                  <w:tcW w:w="751" w:type="pct"/>
                  <w:tcBorders>
                    <w:tl2br w:val="nil"/>
                    <w:tr2bl w:val="nil"/>
                  </w:tcBorders>
                  <w:noWrap w:val="0"/>
                  <w:vAlign w:val="center"/>
                </w:tcPr>
                <w:p w14:paraId="51F7F4E8">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7</w:t>
                  </w:r>
                </w:p>
              </w:tc>
              <w:tc>
                <w:tcPr>
                  <w:tcW w:w="776" w:type="pct"/>
                  <w:tcBorders>
                    <w:tl2br w:val="nil"/>
                    <w:tr2bl w:val="nil"/>
                  </w:tcBorders>
                  <w:noWrap w:val="0"/>
                  <w:vAlign w:val="center"/>
                </w:tcPr>
                <w:p w14:paraId="7C9ADC4E">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12.38</w:t>
                  </w:r>
                </w:p>
              </w:tc>
              <w:tc>
                <w:tcPr>
                  <w:tcW w:w="948" w:type="pct"/>
                  <w:vMerge w:val="restart"/>
                  <w:tcBorders>
                    <w:tl2br w:val="nil"/>
                    <w:tr2bl w:val="nil"/>
                  </w:tcBorders>
                  <w:noWrap w:val="0"/>
                  <w:vAlign w:val="center"/>
                </w:tcPr>
                <w:p w14:paraId="20FB281B">
                  <w:pPr>
                    <w:jc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24.69</w:t>
                  </w:r>
                </w:p>
              </w:tc>
            </w:tr>
            <w:tr w14:paraId="1E5D6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687" w:type="pct"/>
                  <w:vMerge w:val="continue"/>
                  <w:tcBorders>
                    <w:tl2br w:val="nil"/>
                    <w:tr2bl w:val="nil"/>
                  </w:tcBorders>
                  <w:noWrap w:val="0"/>
                  <w:vAlign w:val="center"/>
                </w:tcPr>
                <w:p w14:paraId="74EAEEE7">
                  <w:pPr>
                    <w:jc w:val="center"/>
                    <w:rPr>
                      <w:rFonts w:hint="default" w:ascii="Times New Roman" w:hAnsi="Times New Roman" w:eastAsia="宋体" w:cs="Times New Roman"/>
                      <w:i w:val="0"/>
                      <w:iCs w:val="0"/>
                      <w:color w:val="auto"/>
                      <w:kern w:val="2"/>
                      <w:highlight w:val="none"/>
                      <w:lang w:val="en-US" w:eastAsia="zh-CN"/>
                    </w:rPr>
                  </w:pPr>
                </w:p>
              </w:tc>
              <w:tc>
                <w:tcPr>
                  <w:tcW w:w="943" w:type="pct"/>
                  <w:tcBorders>
                    <w:tl2br w:val="nil"/>
                    <w:tr2bl w:val="nil"/>
                  </w:tcBorders>
                  <w:noWrap w:val="0"/>
                  <w:vAlign w:val="center"/>
                </w:tcPr>
                <w:p w14:paraId="360DC667">
                  <w:pPr>
                    <w:widowControl w:val="0"/>
                    <w:bidi w:val="0"/>
                    <w:adjustRightInd w:val="0"/>
                    <w:snapToGrid w:val="0"/>
                    <w:jc w:val="center"/>
                    <w:rPr>
                      <w:rFonts w:hint="default" w:ascii="Times New Roman" w:hAnsi="Times New Roman" w:eastAsia="宋体" w:cs="Times New Roman"/>
                      <w:i w:val="0"/>
                      <w:iCs w:val="0"/>
                      <w:color w:val="auto"/>
                      <w:kern w:val="2"/>
                      <w:sz w:val="21"/>
                      <w:szCs w:val="24"/>
                      <w:highlight w:val="none"/>
                      <w:lang w:val="en-US" w:eastAsia="zh-CN" w:bidi="ar-SA"/>
                    </w:rPr>
                  </w:pPr>
                  <w:r>
                    <w:rPr>
                      <w:rFonts w:hint="eastAsia" w:cs="Times New Roman"/>
                      <w:color w:val="auto"/>
                      <w:spacing w:val="0"/>
                      <w:kern w:val="2"/>
                      <w:sz w:val="21"/>
                      <w:szCs w:val="21"/>
                      <w:vertAlign w:val="baseline"/>
                      <w:lang w:eastAsia="zh-CN"/>
                    </w:rPr>
                    <w:t>通风系统风机</w:t>
                  </w:r>
                </w:p>
              </w:tc>
              <w:tc>
                <w:tcPr>
                  <w:tcW w:w="892" w:type="pct"/>
                  <w:tcBorders>
                    <w:tl2br w:val="nil"/>
                    <w:tr2bl w:val="nil"/>
                  </w:tcBorders>
                  <w:noWrap w:val="0"/>
                  <w:vAlign w:val="center"/>
                </w:tcPr>
                <w:p w14:paraId="0A8591C4">
                  <w:pPr>
                    <w:widowControl w:val="0"/>
                    <w:bidi w:val="0"/>
                    <w:adjustRightInd w:val="0"/>
                    <w:snapToGrid w:val="0"/>
                    <w:jc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60</w:t>
                  </w:r>
                </w:p>
              </w:tc>
              <w:tc>
                <w:tcPr>
                  <w:tcW w:w="751" w:type="pct"/>
                  <w:tcBorders>
                    <w:tl2br w:val="nil"/>
                    <w:tr2bl w:val="nil"/>
                  </w:tcBorders>
                  <w:noWrap w:val="0"/>
                  <w:vAlign w:val="center"/>
                </w:tcPr>
                <w:p w14:paraId="5DEA52F9">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60</w:t>
                  </w:r>
                </w:p>
              </w:tc>
              <w:tc>
                <w:tcPr>
                  <w:tcW w:w="776" w:type="pct"/>
                  <w:tcBorders>
                    <w:tl2br w:val="nil"/>
                    <w:tr2bl w:val="nil"/>
                  </w:tcBorders>
                  <w:noWrap w:val="0"/>
                  <w:vAlign w:val="center"/>
                </w:tcPr>
                <w:p w14:paraId="55844A86">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24.43</w:t>
                  </w:r>
                </w:p>
              </w:tc>
              <w:tc>
                <w:tcPr>
                  <w:tcW w:w="948" w:type="pct"/>
                  <w:vMerge w:val="continue"/>
                  <w:tcBorders>
                    <w:tl2br w:val="nil"/>
                    <w:tr2bl w:val="nil"/>
                  </w:tcBorders>
                  <w:noWrap w:val="0"/>
                  <w:vAlign w:val="center"/>
                </w:tcPr>
                <w:p w14:paraId="53CCE121">
                  <w:pPr>
                    <w:jc w:val="center"/>
                    <w:rPr>
                      <w:rFonts w:hint="default" w:ascii="Times New Roman" w:hAnsi="Times New Roman" w:eastAsia="宋体" w:cs="Times New Roman"/>
                      <w:i w:val="0"/>
                      <w:iCs w:val="0"/>
                      <w:color w:val="auto"/>
                      <w:kern w:val="2"/>
                      <w:highlight w:val="none"/>
                      <w:lang w:val="en-US" w:eastAsia="zh-CN"/>
                    </w:rPr>
                  </w:pPr>
                </w:p>
              </w:tc>
            </w:tr>
            <w:tr w14:paraId="3E3FE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87" w:type="pct"/>
                  <w:vMerge w:val="restart"/>
                  <w:tcBorders>
                    <w:tl2br w:val="nil"/>
                    <w:tr2bl w:val="nil"/>
                  </w:tcBorders>
                  <w:noWrap w:val="0"/>
                  <w:vAlign w:val="center"/>
                </w:tcPr>
                <w:p w14:paraId="5EF33AA8">
                  <w:pPr>
                    <w:jc w:val="center"/>
                    <w:rPr>
                      <w:rFonts w:hint="eastAsia"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南</w:t>
                  </w:r>
                </w:p>
              </w:tc>
              <w:tc>
                <w:tcPr>
                  <w:tcW w:w="943" w:type="pct"/>
                  <w:tcBorders>
                    <w:tl2br w:val="nil"/>
                    <w:tr2bl w:val="nil"/>
                  </w:tcBorders>
                  <w:noWrap w:val="0"/>
                  <w:vAlign w:val="center"/>
                </w:tcPr>
                <w:p w14:paraId="57292A54">
                  <w:pPr>
                    <w:widowControl w:val="0"/>
                    <w:bidi w:val="0"/>
                    <w:adjustRightInd w:val="0"/>
                    <w:snapToGrid w:val="0"/>
                    <w:jc w:val="center"/>
                    <w:rPr>
                      <w:rFonts w:hint="eastAsia" w:ascii="Times New Roman" w:hAnsi="Times New Roman" w:eastAsia="宋体" w:cs="Times New Roman"/>
                      <w:i w:val="0"/>
                      <w:iCs w:val="0"/>
                      <w:color w:val="auto"/>
                      <w:kern w:val="2"/>
                      <w:sz w:val="21"/>
                      <w:szCs w:val="24"/>
                      <w:highlight w:val="none"/>
                      <w:lang w:val="en-US" w:eastAsia="zh-CN" w:bidi="ar-SA"/>
                    </w:rPr>
                  </w:pPr>
                  <w:r>
                    <w:rPr>
                      <w:rFonts w:hint="eastAsia" w:ascii="Times New Roman" w:hAnsi="Times New Roman" w:eastAsia="宋体" w:cs="Times New Roman"/>
                      <w:i w:val="0"/>
                      <w:iCs w:val="0"/>
                      <w:color w:val="auto"/>
                      <w:kern w:val="2"/>
                      <w:sz w:val="21"/>
                      <w:szCs w:val="24"/>
                      <w:highlight w:val="none"/>
                      <w:lang w:val="en-US" w:eastAsia="zh-CN" w:bidi="ar-SA"/>
                    </w:rPr>
                    <w:t>车间</w:t>
                  </w:r>
                </w:p>
              </w:tc>
              <w:tc>
                <w:tcPr>
                  <w:tcW w:w="892" w:type="pct"/>
                  <w:tcBorders>
                    <w:tl2br w:val="nil"/>
                    <w:tr2bl w:val="nil"/>
                  </w:tcBorders>
                  <w:noWrap w:val="0"/>
                  <w:vAlign w:val="center"/>
                </w:tcPr>
                <w:p w14:paraId="7F462E67">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41.5</w:t>
                  </w:r>
                </w:p>
              </w:tc>
              <w:tc>
                <w:tcPr>
                  <w:tcW w:w="751" w:type="pct"/>
                  <w:tcBorders>
                    <w:tl2br w:val="nil"/>
                    <w:tr2bl w:val="nil"/>
                  </w:tcBorders>
                  <w:noWrap w:val="0"/>
                  <w:vAlign w:val="center"/>
                </w:tcPr>
                <w:p w14:paraId="594861BD">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3</w:t>
                  </w:r>
                </w:p>
              </w:tc>
              <w:tc>
                <w:tcPr>
                  <w:tcW w:w="776" w:type="pct"/>
                  <w:tcBorders>
                    <w:tl2br w:val="nil"/>
                    <w:tr2bl w:val="nil"/>
                  </w:tcBorders>
                  <w:noWrap w:val="0"/>
                  <w:vAlign w:val="center"/>
                </w:tcPr>
                <w:p w14:paraId="16C14340">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31.95</w:t>
                  </w:r>
                </w:p>
              </w:tc>
              <w:tc>
                <w:tcPr>
                  <w:tcW w:w="948" w:type="pct"/>
                  <w:vMerge w:val="restart"/>
                  <w:tcBorders>
                    <w:tl2br w:val="nil"/>
                    <w:tr2bl w:val="nil"/>
                  </w:tcBorders>
                  <w:noWrap w:val="0"/>
                  <w:vAlign w:val="center"/>
                </w:tcPr>
                <w:p w14:paraId="7EEEF4F2">
                  <w:pPr>
                    <w:jc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34.27</w:t>
                  </w:r>
                </w:p>
              </w:tc>
            </w:tr>
            <w:tr w14:paraId="661AE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87" w:type="pct"/>
                  <w:vMerge w:val="continue"/>
                  <w:tcBorders>
                    <w:tl2br w:val="nil"/>
                    <w:tr2bl w:val="nil"/>
                  </w:tcBorders>
                  <w:noWrap w:val="0"/>
                  <w:vAlign w:val="center"/>
                </w:tcPr>
                <w:p w14:paraId="673685CE">
                  <w:pPr>
                    <w:jc w:val="center"/>
                    <w:rPr>
                      <w:rFonts w:hint="eastAsia" w:ascii="Times New Roman" w:hAnsi="Times New Roman" w:eastAsia="宋体" w:cs="Times New Roman"/>
                      <w:i w:val="0"/>
                      <w:iCs w:val="0"/>
                      <w:color w:val="auto"/>
                      <w:kern w:val="2"/>
                      <w:highlight w:val="none"/>
                      <w:lang w:val="en-US" w:eastAsia="zh-CN"/>
                    </w:rPr>
                  </w:pPr>
                </w:p>
              </w:tc>
              <w:tc>
                <w:tcPr>
                  <w:tcW w:w="943" w:type="pct"/>
                  <w:tcBorders>
                    <w:tl2br w:val="nil"/>
                    <w:tr2bl w:val="nil"/>
                  </w:tcBorders>
                  <w:noWrap w:val="0"/>
                  <w:vAlign w:val="center"/>
                </w:tcPr>
                <w:p w14:paraId="01EF0F2C">
                  <w:pPr>
                    <w:widowControl w:val="0"/>
                    <w:bidi w:val="0"/>
                    <w:adjustRightInd w:val="0"/>
                    <w:snapToGrid w:val="0"/>
                    <w:jc w:val="center"/>
                    <w:rPr>
                      <w:rFonts w:hint="eastAsia" w:ascii="Times New Roman" w:hAnsi="Times New Roman" w:eastAsia="宋体" w:cs="Times New Roman"/>
                      <w:i w:val="0"/>
                      <w:iCs w:val="0"/>
                      <w:color w:val="auto"/>
                      <w:kern w:val="2"/>
                      <w:sz w:val="21"/>
                      <w:szCs w:val="24"/>
                      <w:highlight w:val="none"/>
                      <w:lang w:val="en-US" w:eastAsia="zh-CN" w:bidi="ar-SA"/>
                    </w:rPr>
                  </w:pPr>
                  <w:r>
                    <w:rPr>
                      <w:rFonts w:hint="eastAsia" w:cs="Times New Roman"/>
                      <w:color w:val="auto"/>
                      <w:spacing w:val="0"/>
                      <w:kern w:val="2"/>
                      <w:sz w:val="21"/>
                      <w:szCs w:val="21"/>
                      <w:vertAlign w:val="baseline"/>
                      <w:lang w:eastAsia="zh-CN"/>
                    </w:rPr>
                    <w:t>通风系统风机</w:t>
                  </w:r>
                </w:p>
              </w:tc>
              <w:tc>
                <w:tcPr>
                  <w:tcW w:w="892" w:type="pct"/>
                  <w:tcBorders>
                    <w:tl2br w:val="nil"/>
                    <w:tr2bl w:val="nil"/>
                  </w:tcBorders>
                  <w:noWrap w:val="0"/>
                  <w:vAlign w:val="center"/>
                </w:tcPr>
                <w:p w14:paraId="60FB1A74">
                  <w:pPr>
                    <w:widowControl w:val="0"/>
                    <w:bidi w:val="0"/>
                    <w:adjustRightInd w:val="0"/>
                    <w:snapToGrid w:val="0"/>
                    <w:jc w:val="center"/>
                    <w:rPr>
                      <w:rFonts w:hint="default" w:ascii="Times New Roman" w:hAnsi="Times New Roman" w:eastAsia="宋体" w:cs="Times New Roman"/>
                      <w:b/>
                      <w:bCs/>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60</w:t>
                  </w:r>
                </w:p>
              </w:tc>
              <w:tc>
                <w:tcPr>
                  <w:tcW w:w="751" w:type="pct"/>
                  <w:tcBorders>
                    <w:tl2br w:val="nil"/>
                    <w:tr2bl w:val="nil"/>
                  </w:tcBorders>
                  <w:noWrap w:val="0"/>
                  <w:vAlign w:val="center"/>
                </w:tcPr>
                <w:p w14:paraId="53AFA531">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30</w:t>
                  </w:r>
                </w:p>
              </w:tc>
              <w:tc>
                <w:tcPr>
                  <w:tcW w:w="776" w:type="pct"/>
                  <w:tcBorders>
                    <w:tl2br w:val="nil"/>
                    <w:tr2bl w:val="nil"/>
                  </w:tcBorders>
                  <w:noWrap w:val="0"/>
                  <w:vAlign w:val="center"/>
                </w:tcPr>
                <w:p w14:paraId="5FE5303C">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30.45</w:t>
                  </w:r>
                </w:p>
              </w:tc>
              <w:tc>
                <w:tcPr>
                  <w:tcW w:w="948" w:type="pct"/>
                  <w:vMerge w:val="continue"/>
                  <w:tcBorders>
                    <w:tl2br w:val="nil"/>
                    <w:tr2bl w:val="nil"/>
                  </w:tcBorders>
                  <w:noWrap w:val="0"/>
                  <w:vAlign w:val="center"/>
                </w:tcPr>
                <w:p w14:paraId="6113D51D">
                  <w:pPr>
                    <w:jc w:val="center"/>
                    <w:rPr>
                      <w:rFonts w:hint="eastAsia" w:ascii="Times New Roman" w:hAnsi="Times New Roman" w:eastAsia="宋体" w:cs="Times New Roman"/>
                      <w:i w:val="0"/>
                      <w:iCs w:val="0"/>
                      <w:color w:val="auto"/>
                      <w:kern w:val="2"/>
                      <w:highlight w:val="none"/>
                      <w:lang w:val="en-US" w:eastAsia="zh-CN"/>
                    </w:rPr>
                  </w:pPr>
                </w:p>
              </w:tc>
            </w:tr>
            <w:tr w14:paraId="4B0B3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87" w:type="pct"/>
                  <w:vMerge w:val="restart"/>
                  <w:tcBorders>
                    <w:tl2br w:val="nil"/>
                    <w:tr2bl w:val="nil"/>
                  </w:tcBorders>
                  <w:noWrap w:val="0"/>
                  <w:vAlign w:val="center"/>
                </w:tcPr>
                <w:p w14:paraId="4016F324">
                  <w:pPr>
                    <w:jc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北</w:t>
                  </w:r>
                </w:p>
              </w:tc>
              <w:tc>
                <w:tcPr>
                  <w:tcW w:w="943" w:type="pct"/>
                  <w:tcBorders>
                    <w:tl2br w:val="nil"/>
                    <w:tr2bl w:val="nil"/>
                  </w:tcBorders>
                  <w:noWrap w:val="0"/>
                  <w:vAlign w:val="center"/>
                </w:tcPr>
                <w:p w14:paraId="56DEE7F3">
                  <w:pPr>
                    <w:widowControl w:val="0"/>
                    <w:bidi w:val="0"/>
                    <w:adjustRightInd w:val="0"/>
                    <w:snapToGrid w:val="0"/>
                    <w:jc w:val="center"/>
                    <w:rPr>
                      <w:rFonts w:hint="default" w:ascii="Times New Roman" w:hAnsi="Times New Roman" w:eastAsia="宋体" w:cs="Times New Roman"/>
                      <w:i w:val="0"/>
                      <w:iCs w:val="0"/>
                      <w:color w:val="auto"/>
                      <w:kern w:val="2"/>
                      <w:sz w:val="21"/>
                      <w:szCs w:val="24"/>
                      <w:highlight w:val="none"/>
                      <w:lang w:val="en-US" w:eastAsia="zh-CN" w:bidi="ar-SA"/>
                    </w:rPr>
                  </w:pPr>
                  <w:r>
                    <w:rPr>
                      <w:rFonts w:hint="eastAsia" w:ascii="Times New Roman" w:hAnsi="Times New Roman" w:eastAsia="宋体" w:cs="Times New Roman"/>
                      <w:i w:val="0"/>
                      <w:iCs w:val="0"/>
                      <w:color w:val="auto"/>
                      <w:kern w:val="2"/>
                      <w:sz w:val="21"/>
                      <w:szCs w:val="24"/>
                      <w:highlight w:val="none"/>
                      <w:lang w:val="en-US" w:eastAsia="zh-CN" w:bidi="ar-SA"/>
                    </w:rPr>
                    <w:t>车间</w:t>
                  </w:r>
                </w:p>
              </w:tc>
              <w:tc>
                <w:tcPr>
                  <w:tcW w:w="892" w:type="pct"/>
                  <w:tcBorders>
                    <w:tl2br w:val="nil"/>
                    <w:tr2bl w:val="nil"/>
                  </w:tcBorders>
                  <w:noWrap w:val="0"/>
                  <w:vAlign w:val="center"/>
                </w:tcPr>
                <w:p w14:paraId="35CBC5BB">
                  <w:pPr>
                    <w:widowControl w:val="0"/>
                    <w:bidi w:val="0"/>
                    <w:adjustRightInd w:val="0"/>
                    <w:snapToGrid w:val="0"/>
                    <w:jc w:val="center"/>
                    <w:rPr>
                      <w:rFonts w:hint="default" w:ascii="Times New Roman" w:hAnsi="Times New Roman" w:eastAsia="宋体" w:cs="Times New Roman"/>
                      <w:i w:val="0"/>
                      <w:iCs w:val="0"/>
                      <w:color w:val="auto"/>
                      <w:kern w:val="2"/>
                      <w:sz w:val="21"/>
                      <w:szCs w:val="24"/>
                      <w:highlight w:val="none"/>
                      <w:lang w:val="en-US" w:eastAsia="zh-CN" w:bidi="ar-SA"/>
                    </w:rPr>
                  </w:pPr>
                  <w:r>
                    <w:rPr>
                      <w:rFonts w:hint="eastAsia" w:ascii="Times New Roman" w:hAnsi="Times New Roman" w:eastAsia="宋体" w:cs="Times New Roman"/>
                      <w:i w:val="0"/>
                      <w:iCs w:val="0"/>
                      <w:color w:val="auto"/>
                      <w:kern w:val="2"/>
                      <w:sz w:val="21"/>
                      <w:szCs w:val="24"/>
                      <w:highlight w:val="none"/>
                      <w:lang w:val="en-US" w:eastAsia="zh-CN" w:bidi="ar-SA"/>
                    </w:rPr>
                    <w:t>42.87</w:t>
                  </w:r>
                </w:p>
              </w:tc>
              <w:tc>
                <w:tcPr>
                  <w:tcW w:w="751" w:type="pct"/>
                  <w:tcBorders>
                    <w:tl2br w:val="nil"/>
                    <w:tr2bl w:val="nil"/>
                  </w:tcBorders>
                  <w:noWrap w:val="0"/>
                  <w:vAlign w:val="center"/>
                </w:tcPr>
                <w:p w14:paraId="64DAD516">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7</w:t>
                  </w:r>
                </w:p>
              </w:tc>
              <w:tc>
                <w:tcPr>
                  <w:tcW w:w="776" w:type="pct"/>
                  <w:tcBorders>
                    <w:tl2br w:val="nil"/>
                    <w:tr2bl w:val="nil"/>
                  </w:tcBorders>
                  <w:noWrap w:val="0"/>
                  <w:vAlign w:val="center"/>
                </w:tcPr>
                <w:p w14:paraId="49739E44">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25.96</w:t>
                  </w:r>
                </w:p>
              </w:tc>
              <w:tc>
                <w:tcPr>
                  <w:tcW w:w="948" w:type="pct"/>
                  <w:vMerge w:val="restart"/>
                  <w:tcBorders>
                    <w:tl2br w:val="nil"/>
                    <w:tr2bl w:val="nil"/>
                  </w:tcBorders>
                  <w:noWrap w:val="0"/>
                  <w:vAlign w:val="center"/>
                </w:tcPr>
                <w:p w14:paraId="2F23F354">
                  <w:pPr>
                    <w:jc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34.27</w:t>
                  </w:r>
                </w:p>
              </w:tc>
            </w:tr>
            <w:tr w14:paraId="76857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687" w:type="pct"/>
                  <w:vMerge w:val="continue"/>
                  <w:tcBorders>
                    <w:tl2br w:val="nil"/>
                    <w:tr2bl w:val="nil"/>
                  </w:tcBorders>
                  <w:noWrap w:val="0"/>
                  <w:vAlign w:val="center"/>
                </w:tcPr>
                <w:p w14:paraId="2BAD8955">
                  <w:pPr>
                    <w:jc w:val="center"/>
                    <w:rPr>
                      <w:rFonts w:hint="default" w:ascii="Times New Roman" w:hAnsi="Times New Roman" w:eastAsia="宋体" w:cs="Times New Roman"/>
                      <w:i w:val="0"/>
                      <w:iCs w:val="0"/>
                      <w:color w:val="auto"/>
                      <w:kern w:val="2"/>
                      <w:highlight w:val="none"/>
                      <w:lang w:val="en-US" w:eastAsia="zh-CN"/>
                    </w:rPr>
                  </w:pPr>
                </w:p>
              </w:tc>
              <w:tc>
                <w:tcPr>
                  <w:tcW w:w="943" w:type="pct"/>
                  <w:tcBorders>
                    <w:tl2br w:val="nil"/>
                    <w:tr2bl w:val="nil"/>
                  </w:tcBorders>
                  <w:noWrap w:val="0"/>
                  <w:vAlign w:val="center"/>
                </w:tcPr>
                <w:p w14:paraId="2189D699">
                  <w:pPr>
                    <w:widowControl w:val="0"/>
                    <w:bidi w:val="0"/>
                    <w:adjustRightInd w:val="0"/>
                    <w:snapToGrid w:val="0"/>
                    <w:jc w:val="center"/>
                    <w:rPr>
                      <w:rFonts w:hint="default" w:ascii="Times New Roman" w:hAnsi="Times New Roman" w:eastAsia="宋体" w:cs="Times New Roman"/>
                      <w:i w:val="0"/>
                      <w:iCs w:val="0"/>
                      <w:color w:val="auto"/>
                      <w:kern w:val="18"/>
                      <w:sz w:val="21"/>
                      <w:szCs w:val="21"/>
                      <w:highlight w:val="none"/>
                      <w:lang w:val="en-US" w:eastAsia="zh-CN" w:bidi="ar-SA"/>
                    </w:rPr>
                  </w:pPr>
                  <w:r>
                    <w:rPr>
                      <w:rFonts w:hint="eastAsia" w:cs="Times New Roman"/>
                      <w:color w:val="auto"/>
                      <w:spacing w:val="0"/>
                      <w:kern w:val="2"/>
                      <w:sz w:val="21"/>
                      <w:szCs w:val="21"/>
                      <w:vertAlign w:val="baseline"/>
                      <w:lang w:eastAsia="zh-CN"/>
                    </w:rPr>
                    <w:t>通风系统风机</w:t>
                  </w:r>
                </w:p>
              </w:tc>
              <w:tc>
                <w:tcPr>
                  <w:tcW w:w="892" w:type="pct"/>
                  <w:tcBorders>
                    <w:tl2br w:val="nil"/>
                    <w:tr2bl w:val="nil"/>
                  </w:tcBorders>
                  <w:noWrap w:val="0"/>
                  <w:vAlign w:val="center"/>
                </w:tcPr>
                <w:p w14:paraId="61DF7D63">
                  <w:pPr>
                    <w:widowControl w:val="0"/>
                    <w:bidi w:val="0"/>
                    <w:adjustRightInd w:val="0"/>
                    <w:snapToGrid w:val="0"/>
                    <w:jc w:val="center"/>
                    <w:rPr>
                      <w:rFonts w:hint="default" w:ascii="Times New Roman" w:hAnsi="Times New Roman" w:eastAsia="宋体" w:cs="Times New Roman"/>
                      <w:i w:val="0"/>
                      <w:iCs w:val="0"/>
                      <w:color w:val="auto"/>
                      <w:kern w:val="2"/>
                      <w:sz w:val="21"/>
                      <w:szCs w:val="24"/>
                      <w:highlight w:val="none"/>
                      <w:lang w:val="en-US" w:eastAsia="zh-CN" w:bidi="ar-SA"/>
                    </w:rPr>
                  </w:pPr>
                  <w:r>
                    <w:rPr>
                      <w:rFonts w:hint="eastAsia" w:ascii="Times New Roman" w:hAnsi="Times New Roman" w:eastAsia="宋体" w:cs="Times New Roman"/>
                      <w:i w:val="0"/>
                      <w:iCs w:val="0"/>
                      <w:color w:val="auto"/>
                      <w:kern w:val="2"/>
                      <w:highlight w:val="none"/>
                      <w:lang w:val="en-US" w:eastAsia="zh-CN"/>
                    </w:rPr>
                    <w:t>60</w:t>
                  </w:r>
                </w:p>
              </w:tc>
              <w:tc>
                <w:tcPr>
                  <w:tcW w:w="751" w:type="pct"/>
                  <w:tcBorders>
                    <w:tl2br w:val="nil"/>
                    <w:tr2bl w:val="nil"/>
                  </w:tcBorders>
                  <w:noWrap w:val="0"/>
                  <w:vAlign w:val="center"/>
                </w:tcPr>
                <w:p w14:paraId="67D57B8E">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eastAsia" w:ascii="Times New Roman" w:hAnsi="Times New Roman" w:eastAsia="宋体" w:cs="Times New Roman"/>
                      <w:i w:val="0"/>
                      <w:iCs w:val="0"/>
                      <w:color w:val="auto"/>
                      <w:kern w:val="2"/>
                      <w:highlight w:val="none"/>
                      <w:lang w:val="en-US" w:eastAsia="zh-CN"/>
                    </w:rPr>
                    <w:t>7</w:t>
                  </w:r>
                </w:p>
              </w:tc>
              <w:tc>
                <w:tcPr>
                  <w:tcW w:w="776" w:type="pct"/>
                  <w:tcBorders>
                    <w:tl2br w:val="nil"/>
                    <w:tr2bl w:val="nil"/>
                  </w:tcBorders>
                  <w:noWrap w:val="0"/>
                  <w:vAlign w:val="center"/>
                </w:tcPr>
                <w:p w14:paraId="647BDF8E">
                  <w:pPr>
                    <w:keepNext w:val="0"/>
                    <w:keepLines w:val="0"/>
                    <w:widowControl/>
                    <w:suppressLineNumbers w:val="0"/>
                    <w:jc w:val="center"/>
                    <w:textAlignment w:val="center"/>
                    <w:rPr>
                      <w:rFonts w:hint="default" w:ascii="Times New Roman" w:hAnsi="Times New Roman" w:eastAsia="宋体" w:cs="Times New Roman"/>
                      <w:i w:val="0"/>
                      <w:iCs w:val="0"/>
                      <w:color w:val="auto"/>
                      <w:kern w:val="2"/>
                      <w:highlight w:val="none"/>
                      <w:lang w:val="en-US" w:eastAsia="zh-CN"/>
                    </w:rPr>
                  </w:pPr>
                  <w:r>
                    <w:rPr>
                      <w:rFonts w:hint="default" w:ascii="Times New Roman" w:hAnsi="Times New Roman" w:eastAsia="宋体" w:cs="Times New Roman"/>
                      <w:i w:val="0"/>
                      <w:iCs w:val="0"/>
                      <w:color w:val="auto"/>
                      <w:kern w:val="2"/>
                      <w:highlight w:val="none"/>
                      <w:lang w:val="en-US" w:eastAsia="zh-CN"/>
                    </w:rPr>
                    <w:t>43.09</w:t>
                  </w:r>
                </w:p>
              </w:tc>
              <w:tc>
                <w:tcPr>
                  <w:tcW w:w="948" w:type="pct"/>
                  <w:vMerge w:val="continue"/>
                  <w:tcBorders>
                    <w:tl2br w:val="nil"/>
                    <w:tr2bl w:val="nil"/>
                  </w:tcBorders>
                  <w:noWrap w:val="0"/>
                  <w:vAlign w:val="center"/>
                </w:tcPr>
                <w:p w14:paraId="78F89308">
                  <w:pPr>
                    <w:jc w:val="center"/>
                    <w:rPr>
                      <w:rFonts w:hint="default" w:ascii="Times New Roman" w:hAnsi="Times New Roman" w:eastAsia="宋体" w:cs="Times New Roman"/>
                      <w:i w:val="0"/>
                      <w:iCs w:val="0"/>
                      <w:color w:val="auto"/>
                      <w:kern w:val="2"/>
                      <w:highlight w:val="none"/>
                      <w:lang w:val="en-US" w:eastAsia="zh-CN"/>
                    </w:rPr>
                  </w:pPr>
                </w:p>
              </w:tc>
            </w:tr>
          </w:tbl>
          <w:p w14:paraId="14B3692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由表4-</w:t>
            </w:r>
            <w:r>
              <w:rPr>
                <w:rFonts w:hint="eastAsia" w:ascii="Times New Roman" w:hAnsi="Times New Roman" w:eastAsia="宋体" w:cs="Times New Roman"/>
                <w:i w:val="0"/>
                <w:iCs w:val="0"/>
                <w:color w:val="auto"/>
                <w:sz w:val="24"/>
                <w:szCs w:val="24"/>
                <w:highlight w:val="none"/>
                <w:lang w:val="en-US" w:eastAsia="zh-CN"/>
              </w:rPr>
              <w:t>20</w:t>
            </w:r>
            <w:r>
              <w:rPr>
                <w:rFonts w:hint="default" w:ascii="Times New Roman" w:hAnsi="Times New Roman" w:eastAsia="宋体" w:cs="Times New Roman"/>
                <w:i w:val="0"/>
                <w:iCs w:val="0"/>
                <w:color w:val="auto"/>
                <w:sz w:val="24"/>
                <w:szCs w:val="24"/>
                <w:highlight w:val="none"/>
              </w:rPr>
              <w:t>可以看出，</w:t>
            </w:r>
            <w:r>
              <w:rPr>
                <w:rFonts w:hint="eastAsia" w:ascii="Times New Roman" w:hAnsi="Times New Roman" w:eastAsia="宋体" w:cs="Times New Roman"/>
                <w:i w:val="0"/>
                <w:iCs w:val="0"/>
                <w:color w:val="auto"/>
                <w:sz w:val="24"/>
                <w:szCs w:val="24"/>
                <w:highlight w:val="none"/>
                <w:lang w:eastAsia="zh-CN"/>
              </w:rPr>
              <w:t>本项目噪声经过墙壁和隔声、减振等</w:t>
            </w:r>
            <w:r>
              <w:rPr>
                <w:rFonts w:hint="default" w:ascii="Times New Roman" w:hAnsi="Times New Roman" w:eastAsia="宋体" w:cs="Times New Roman"/>
                <w:i w:val="0"/>
                <w:iCs w:val="0"/>
                <w:color w:val="auto"/>
                <w:sz w:val="24"/>
                <w:szCs w:val="24"/>
                <w:highlight w:val="none"/>
              </w:rPr>
              <w:t>措施后，</w:t>
            </w:r>
            <w:r>
              <w:rPr>
                <w:rFonts w:hint="eastAsia" w:ascii="Times New Roman" w:hAnsi="Times New Roman" w:eastAsia="宋体" w:cs="Times New Roman"/>
                <w:i w:val="0"/>
                <w:iCs w:val="0"/>
                <w:color w:val="auto"/>
                <w:sz w:val="24"/>
                <w:szCs w:val="24"/>
                <w:highlight w:val="none"/>
                <w:lang w:eastAsia="zh-CN"/>
              </w:rPr>
              <w:t>东、南、西、北厂界处与四周生</w:t>
            </w:r>
            <w:r>
              <w:rPr>
                <w:rFonts w:hint="eastAsia" w:cs="Times New Roman"/>
                <w:i w:val="0"/>
                <w:iCs w:val="0"/>
                <w:color w:val="auto"/>
                <w:sz w:val="24"/>
                <w:szCs w:val="24"/>
                <w:highlight w:val="none"/>
                <w:lang w:val="en-US" w:eastAsia="zh-CN"/>
              </w:rPr>
              <w:t>态</w:t>
            </w:r>
            <w:bookmarkStart w:id="94" w:name="_GoBack"/>
            <w:bookmarkEnd w:id="94"/>
            <w:r>
              <w:rPr>
                <w:rFonts w:hint="eastAsia" w:ascii="Times New Roman" w:hAnsi="Times New Roman" w:eastAsia="宋体" w:cs="Times New Roman"/>
                <w:i w:val="0"/>
                <w:iCs w:val="0"/>
                <w:color w:val="auto"/>
                <w:sz w:val="24"/>
                <w:szCs w:val="24"/>
                <w:highlight w:val="none"/>
                <w:lang w:eastAsia="zh-CN"/>
              </w:rPr>
              <w:t>环境保护目标的预测值均能</w:t>
            </w:r>
            <w:r>
              <w:rPr>
                <w:rFonts w:hint="default" w:ascii="Times New Roman" w:hAnsi="Times New Roman" w:eastAsia="宋体" w:cs="Times New Roman"/>
                <w:i w:val="0"/>
                <w:iCs w:val="0"/>
                <w:color w:val="auto"/>
                <w:sz w:val="24"/>
                <w:szCs w:val="24"/>
                <w:highlight w:val="none"/>
              </w:rPr>
              <w:t>满足</w:t>
            </w:r>
            <w:r>
              <w:rPr>
                <w:color w:val="auto"/>
                <w:sz w:val="24"/>
              </w:rPr>
              <w:t>《工业企业厂界环境噪声排放标准》（GB12348-2008）</w:t>
            </w:r>
            <w:r>
              <w:rPr>
                <w:rFonts w:hint="default" w:ascii="Times New Roman" w:hAnsi="Times New Roman" w:eastAsia="宋体" w:cs="Times New Roman"/>
                <w:i w:val="0"/>
                <w:iCs w:val="0"/>
                <w:color w:val="auto"/>
                <w:sz w:val="24"/>
                <w:szCs w:val="24"/>
                <w:highlight w:val="none"/>
              </w:rPr>
              <w:t>中</w:t>
            </w:r>
            <w:r>
              <w:rPr>
                <w:rFonts w:hint="eastAsia" w:ascii="Times New Roman" w:hAnsi="Times New Roman" w:eastAsia="宋体" w:cs="Times New Roman"/>
                <w:i w:val="0"/>
                <w:iCs w:val="0"/>
                <w:color w:val="auto"/>
                <w:sz w:val="24"/>
                <w:szCs w:val="24"/>
                <w:highlight w:val="none"/>
                <w:lang w:val="en-US" w:eastAsia="zh-CN"/>
              </w:rPr>
              <w:t>3</w:t>
            </w:r>
            <w:r>
              <w:rPr>
                <w:rFonts w:hint="default" w:ascii="Times New Roman" w:hAnsi="Times New Roman" w:eastAsia="宋体" w:cs="Times New Roman"/>
                <w:i w:val="0"/>
                <w:iCs w:val="0"/>
                <w:color w:val="auto"/>
                <w:sz w:val="24"/>
                <w:szCs w:val="24"/>
                <w:highlight w:val="none"/>
              </w:rPr>
              <w:t>类标准，对声环境影响较小。</w:t>
            </w:r>
          </w:p>
          <w:p w14:paraId="03400D7A">
            <w:pPr>
              <w:spacing w:line="360" w:lineRule="auto"/>
              <w:ind w:firstLine="480" w:firstLineChars="200"/>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为进一步降低生产噪声带来的环境影响，企业应在合理布置与规划的基础上加强厂区绿化措施，尽量减少工程噪声对周围环境的影响。</w:t>
            </w:r>
          </w:p>
          <w:p w14:paraId="5EDFBEB6">
            <w:pPr>
              <w:keepNext w:val="0"/>
              <w:keepLines w:val="0"/>
              <w:pageBreakBefore w:val="0"/>
              <w:widowControl/>
              <w:kinsoku/>
              <w:wordWrap/>
              <w:overflowPunct w:val="0"/>
              <w:topLinePunct/>
              <w:autoSpaceDE w:val="0"/>
              <w:autoSpaceDN/>
              <w:bidi w:val="0"/>
              <w:adjustRightInd/>
              <w:snapToGrid w:val="0"/>
              <w:spacing w:line="360" w:lineRule="auto"/>
              <w:ind w:firstLine="480" w:firstLineChars="200"/>
              <w:textAlignment w:val="auto"/>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（3）生产设备减噪措施</w:t>
            </w:r>
          </w:p>
          <w:p w14:paraId="76254701">
            <w:pPr>
              <w:widowControl/>
              <w:overflowPunct w:val="0"/>
              <w:topLinePunct/>
              <w:autoSpaceDE w:val="0"/>
              <w:snapToGrid w:val="0"/>
              <w:spacing w:line="360" w:lineRule="auto"/>
              <w:ind w:firstLine="480" w:firstLineChars="200"/>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本项目设备数量较少，噪声源强不大，本报告要求建设单位采取相应的防噪、减噪措施：</w:t>
            </w:r>
          </w:p>
          <w:p w14:paraId="7912DD0D">
            <w:pPr>
              <w:widowControl/>
              <w:overflowPunct w:val="0"/>
              <w:topLinePunct/>
              <w:autoSpaceDE w:val="0"/>
              <w:snapToGrid w:val="0"/>
              <w:spacing w:line="360" w:lineRule="auto"/>
              <w:ind w:firstLine="480" w:firstLineChars="200"/>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1）设备选型时应选用低噪设备；</w:t>
            </w:r>
          </w:p>
          <w:p w14:paraId="77E06376">
            <w:pPr>
              <w:widowControl/>
              <w:overflowPunct w:val="0"/>
              <w:topLinePunct/>
              <w:autoSpaceDE w:val="0"/>
              <w:snapToGrid w:val="0"/>
              <w:spacing w:line="360" w:lineRule="auto"/>
              <w:ind w:firstLine="480" w:firstLineChars="200"/>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2）生产区应合理布局，尽量将高噪声设备布置在远离敏感点位置；</w:t>
            </w:r>
          </w:p>
          <w:p w14:paraId="4586B714">
            <w:pPr>
              <w:widowControl/>
              <w:overflowPunct w:val="0"/>
              <w:topLinePunct/>
              <w:autoSpaceDE w:val="0"/>
              <w:snapToGrid w:val="0"/>
              <w:spacing w:line="360" w:lineRule="auto"/>
              <w:ind w:firstLine="480" w:firstLineChars="200"/>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3）加强治理：对高噪设备应根据设备的自重及振动特性采用合适隔振垫、减振器等；</w:t>
            </w:r>
          </w:p>
          <w:p w14:paraId="3001C787">
            <w:pPr>
              <w:widowControl/>
              <w:overflowPunct w:val="0"/>
              <w:topLinePunct/>
              <w:autoSpaceDE w:val="0"/>
              <w:snapToGrid w:val="0"/>
              <w:spacing w:line="360" w:lineRule="auto"/>
              <w:ind w:firstLine="480" w:firstLineChars="200"/>
              <w:rPr>
                <w:rFonts w:hint="default" w:ascii="Times New Roman" w:hAnsi="Times New Roman" w:eastAsia="宋体" w:cs="Times New Roman"/>
                <w:i w:val="0"/>
                <w:iCs w:val="0"/>
                <w:color w:val="auto"/>
                <w:sz w:val="24"/>
                <w:szCs w:val="24"/>
                <w:highlight w:val="none"/>
              </w:rPr>
            </w:pPr>
            <w:r>
              <w:rPr>
                <w:rFonts w:hint="default" w:ascii="Times New Roman" w:hAnsi="Times New Roman" w:eastAsia="宋体" w:cs="Times New Roman"/>
                <w:i w:val="0"/>
                <w:iCs w:val="0"/>
                <w:color w:val="auto"/>
                <w:sz w:val="24"/>
                <w:szCs w:val="24"/>
                <w:highlight w:val="none"/>
              </w:rPr>
              <w:t>4）加强管理：建立设备定期维护、保养的管理制度，防止设备故障形成的非正常高噪噪声，同时确保环保设施发挥最佳有效功能；加强职工环保意识教育，提倡文明生产，减少人为噪声。</w:t>
            </w:r>
          </w:p>
          <w:p w14:paraId="550EF4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pacing w:val="-10"/>
                <w:szCs w:val="21"/>
                <w:highlight w:val="none"/>
                <w:shd w:val="clear" w:color="auto" w:fill="auto"/>
                <w:lang w:eastAsia="zh-CN"/>
              </w:rPr>
            </w:pPr>
            <w:r>
              <w:rPr>
                <w:rFonts w:hint="default" w:ascii="Times New Roman" w:hAnsi="Times New Roman" w:eastAsia="宋体" w:cs="Times New Roman"/>
                <w:b w:val="0"/>
                <w:bCs w:val="0"/>
                <w:color w:val="auto"/>
                <w:kern w:val="0"/>
                <w:sz w:val="24"/>
                <w:szCs w:val="22"/>
                <w:highlight w:val="none"/>
                <w:lang w:eastAsia="zh-CN"/>
              </w:rPr>
              <w:t>项目生</w:t>
            </w:r>
            <w:r>
              <w:rPr>
                <w:rFonts w:hint="default" w:ascii="Times New Roman" w:hAnsi="Times New Roman" w:eastAsia="宋体" w:cs="Times New Roman"/>
                <w:i w:val="0"/>
                <w:iCs w:val="0"/>
                <w:color w:val="auto"/>
                <w:sz w:val="24"/>
                <w:szCs w:val="24"/>
                <w:highlight w:val="none"/>
              </w:rPr>
              <w:t>产区噪声经过基础减振及距离衰减后对周边环境影响较小。</w:t>
            </w:r>
          </w:p>
          <w:p w14:paraId="435329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highlight w:val="none"/>
                <w:shd w:val="clear" w:color="auto" w:fill="auto"/>
                <w:lang w:val="en-US" w:eastAsia="zh-CN"/>
              </w:rPr>
            </w:pPr>
            <w:commentRangeStart w:id="43"/>
            <w:r>
              <w:rPr>
                <w:rFonts w:hint="default" w:ascii="Times New Roman" w:hAnsi="Times New Roman" w:eastAsia="宋体" w:cs="Times New Roman"/>
                <w:b/>
                <w:bCs/>
                <w:color w:val="FF0000"/>
                <w:sz w:val="21"/>
                <w:szCs w:val="21"/>
                <w:highlight w:val="none"/>
                <w:shd w:val="clear" w:color="auto" w:fill="auto"/>
                <w:lang w:eastAsia="zh-CN"/>
              </w:rPr>
              <w:t>表</w:t>
            </w:r>
            <w:commentRangeEnd w:id="43"/>
            <w:r>
              <w:commentReference w:id="43"/>
            </w:r>
            <w:r>
              <w:rPr>
                <w:rFonts w:hint="eastAsia" w:ascii="Times New Roman" w:hAnsi="Times New Roman" w:eastAsia="宋体" w:cs="Times New Roman"/>
                <w:b/>
                <w:bCs/>
                <w:color w:val="FF0000"/>
                <w:sz w:val="21"/>
                <w:szCs w:val="21"/>
                <w:highlight w:val="none"/>
                <w:shd w:val="clear" w:color="auto" w:fill="auto"/>
                <w:lang w:val="en-US" w:eastAsia="zh-CN"/>
              </w:rPr>
              <w:t>4</w:t>
            </w:r>
            <w:r>
              <w:rPr>
                <w:rFonts w:hint="default" w:ascii="Times New Roman" w:hAnsi="Times New Roman" w:eastAsia="宋体" w:cs="Times New Roman"/>
                <w:b/>
                <w:bCs/>
                <w:color w:val="FF0000"/>
                <w:sz w:val="21"/>
                <w:szCs w:val="21"/>
                <w:highlight w:val="none"/>
                <w:shd w:val="clear" w:color="auto" w:fill="auto"/>
                <w:lang w:val="en-US" w:eastAsia="zh-CN"/>
              </w:rPr>
              <w:t>-</w:t>
            </w:r>
            <w:r>
              <w:rPr>
                <w:rFonts w:hint="eastAsia" w:cs="Times New Roman"/>
                <w:b/>
                <w:bCs/>
                <w:color w:val="FF0000"/>
                <w:sz w:val="21"/>
                <w:szCs w:val="21"/>
                <w:highlight w:val="none"/>
                <w:shd w:val="clear" w:color="auto" w:fill="auto"/>
                <w:lang w:val="en-US" w:eastAsia="zh-CN"/>
              </w:rPr>
              <w:t>18</w:t>
            </w:r>
            <w:r>
              <w:rPr>
                <w:rFonts w:hint="eastAsia" w:ascii="Times New Roman" w:hAnsi="Times New Roman" w:eastAsia="宋体" w:cs="Times New Roman"/>
                <w:b/>
                <w:bCs/>
                <w:color w:val="FF0000"/>
                <w:sz w:val="21"/>
                <w:szCs w:val="21"/>
                <w:highlight w:val="none"/>
                <w:shd w:val="clear" w:color="auto" w:fill="auto"/>
                <w:lang w:val="en-US" w:eastAsia="zh-CN"/>
              </w:rPr>
              <w:t xml:space="preserve"> </w:t>
            </w:r>
            <w:r>
              <w:rPr>
                <w:rFonts w:hint="default" w:ascii="Times New Roman" w:hAnsi="Times New Roman" w:eastAsia="宋体" w:cs="Times New Roman"/>
                <w:b/>
                <w:bCs/>
                <w:color w:val="FF0000"/>
                <w:sz w:val="21"/>
                <w:szCs w:val="21"/>
                <w:highlight w:val="none"/>
                <w:shd w:val="clear" w:color="auto" w:fill="auto"/>
                <w:lang w:val="en-US" w:eastAsia="zh-CN"/>
              </w:rPr>
              <w:t xml:space="preserve"> </w:t>
            </w:r>
            <w:r>
              <w:rPr>
                <w:rFonts w:hint="eastAsia" w:ascii="Times New Roman" w:hAnsi="Times New Roman" w:eastAsia="宋体" w:cs="Times New Roman"/>
                <w:b/>
                <w:bCs/>
                <w:color w:val="FF0000"/>
                <w:sz w:val="21"/>
                <w:szCs w:val="21"/>
                <w:highlight w:val="none"/>
                <w:shd w:val="clear" w:color="auto" w:fill="auto"/>
                <w:lang w:val="en-US" w:eastAsia="zh-CN"/>
              </w:rPr>
              <w:t>声环境</w:t>
            </w:r>
            <w:r>
              <w:rPr>
                <w:rFonts w:hint="default" w:ascii="Times New Roman" w:hAnsi="Times New Roman" w:eastAsia="宋体" w:cs="Times New Roman"/>
                <w:b/>
                <w:bCs/>
                <w:color w:val="FF0000"/>
                <w:sz w:val="21"/>
                <w:szCs w:val="21"/>
                <w:highlight w:val="none"/>
                <w:shd w:val="clear" w:color="auto" w:fill="auto"/>
                <w:lang w:val="en-US" w:eastAsia="zh-CN"/>
              </w:rPr>
              <w:t>监测计划一览表</w:t>
            </w:r>
          </w:p>
          <w:tbl>
            <w:tblPr>
              <w:tblStyle w:val="24"/>
              <w:tblW w:w="4993" w:type="pct"/>
              <w:jc w:val="center"/>
              <w:tblBorders>
                <w:top w:val="single" w:color="000000" w:sz="12" w:space="0"/>
                <w:left w:val="none" w:color="auto" w:sz="0" w:space="0"/>
                <w:bottom w:val="single" w:color="000000" w:sz="12" w:space="0"/>
                <w:right w:val="none" w:color="auto" w:sz="0" w:space="0"/>
                <w:insideH w:val="single" w:color="auto" w:sz="4" w:space="0"/>
                <w:insideV w:val="single" w:color="000000" w:sz="4" w:space="0"/>
              </w:tblBorders>
              <w:tblLayout w:type="autofit"/>
              <w:tblCellMar>
                <w:top w:w="15" w:type="dxa"/>
                <w:left w:w="15" w:type="dxa"/>
                <w:bottom w:w="15" w:type="dxa"/>
                <w:right w:w="15" w:type="dxa"/>
              </w:tblCellMar>
            </w:tblPr>
            <w:tblGrid>
              <w:gridCol w:w="1124"/>
              <w:gridCol w:w="1367"/>
              <w:gridCol w:w="1568"/>
              <w:gridCol w:w="1029"/>
              <w:gridCol w:w="3450"/>
            </w:tblGrid>
            <w:tr w14:paraId="1CBC02B0">
              <w:tblPrEx>
                <w:tblBorders>
                  <w:top w:val="single" w:color="000000" w:sz="12" w:space="0"/>
                  <w:left w:val="none" w:color="auto" w:sz="0" w:space="0"/>
                  <w:bottom w:val="single" w:color="000000" w:sz="12" w:space="0"/>
                  <w:right w:val="none" w:color="auto" w:sz="0" w:space="0"/>
                  <w:insideH w:val="single" w:color="auto" w:sz="4" w:space="0"/>
                  <w:insideV w:val="single" w:color="000000" w:sz="4" w:space="0"/>
                </w:tblBorders>
                <w:tblCellMar>
                  <w:top w:w="15" w:type="dxa"/>
                  <w:left w:w="15" w:type="dxa"/>
                  <w:bottom w:w="15" w:type="dxa"/>
                  <w:right w:w="15" w:type="dxa"/>
                </w:tblCellMar>
              </w:tblPrEx>
              <w:trPr>
                <w:trHeight w:val="460" w:hRule="atLeast"/>
                <w:jc w:val="center"/>
              </w:trPr>
              <w:tc>
                <w:tcPr>
                  <w:tcW w:w="658" w:type="pct"/>
                  <w:tcBorders>
                    <w:bottom w:val="single" w:color="000000" w:sz="12" w:space="0"/>
                  </w:tcBorders>
                  <w:noWrap w:val="0"/>
                  <w:vAlign w:val="center"/>
                </w:tcPr>
                <w:p w14:paraId="1E5DDF60">
                  <w:pPr>
                    <w:widowControl/>
                    <w:jc w:val="center"/>
                    <w:textAlignment w:val="center"/>
                    <w:rPr>
                      <w:rFonts w:hint="default" w:ascii="Times New Roman" w:hAnsi="Times New Roman" w:eastAsia="宋体" w:cs="Times New Roman"/>
                      <w:b/>
                      <w:bCs/>
                      <w:i w:val="0"/>
                      <w:iCs w:val="0"/>
                      <w:color w:val="FF0000"/>
                      <w:highlight w:val="none"/>
                    </w:rPr>
                  </w:pPr>
                  <w:r>
                    <w:rPr>
                      <w:rFonts w:hint="default" w:ascii="Times New Roman" w:hAnsi="Times New Roman" w:eastAsia="宋体" w:cs="Times New Roman"/>
                      <w:b/>
                      <w:bCs/>
                      <w:i w:val="0"/>
                      <w:iCs w:val="0"/>
                      <w:color w:val="FF0000"/>
                      <w:highlight w:val="none"/>
                    </w:rPr>
                    <w:t>污染源</w:t>
                  </w:r>
                </w:p>
              </w:tc>
              <w:tc>
                <w:tcPr>
                  <w:tcW w:w="800" w:type="pct"/>
                  <w:tcBorders>
                    <w:bottom w:val="single" w:color="000000" w:sz="12" w:space="0"/>
                  </w:tcBorders>
                  <w:noWrap w:val="0"/>
                  <w:vAlign w:val="center"/>
                </w:tcPr>
                <w:p w14:paraId="2582B966">
                  <w:pPr>
                    <w:widowControl/>
                    <w:jc w:val="center"/>
                    <w:textAlignment w:val="center"/>
                    <w:rPr>
                      <w:rFonts w:hint="default" w:ascii="Times New Roman" w:hAnsi="Times New Roman" w:eastAsia="宋体" w:cs="Times New Roman"/>
                      <w:b/>
                      <w:bCs/>
                      <w:i w:val="0"/>
                      <w:iCs w:val="0"/>
                      <w:color w:val="FF0000"/>
                      <w:highlight w:val="none"/>
                    </w:rPr>
                  </w:pPr>
                  <w:r>
                    <w:rPr>
                      <w:rFonts w:hint="default" w:ascii="Times New Roman" w:hAnsi="Times New Roman" w:eastAsia="宋体" w:cs="Times New Roman"/>
                      <w:b/>
                      <w:bCs/>
                      <w:i w:val="0"/>
                      <w:iCs w:val="0"/>
                      <w:color w:val="FF0000"/>
                      <w:highlight w:val="none"/>
                    </w:rPr>
                    <w:t>监测点位</w:t>
                  </w:r>
                </w:p>
              </w:tc>
              <w:tc>
                <w:tcPr>
                  <w:tcW w:w="918" w:type="pct"/>
                  <w:tcBorders>
                    <w:bottom w:val="single" w:color="000000" w:sz="12" w:space="0"/>
                  </w:tcBorders>
                  <w:noWrap w:val="0"/>
                  <w:vAlign w:val="center"/>
                </w:tcPr>
                <w:p w14:paraId="3DB95435">
                  <w:pPr>
                    <w:widowControl/>
                    <w:jc w:val="center"/>
                    <w:textAlignment w:val="center"/>
                    <w:rPr>
                      <w:rFonts w:hint="default" w:ascii="Times New Roman" w:hAnsi="Times New Roman" w:eastAsia="宋体" w:cs="Times New Roman"/>
                      <w:b/>
                      <w:bCs/>
                      <w:i w:val="0"/>
                      <w:iCs w:val="0"/>
                      <w:color w:val="FF0000"/>
                      <w:highlight w:val="none"/>
                    </w:rPr>
                  </w:pPr>
                  <w:r>
                    <w:rPr>
                      <w:rFonts w:hint="default" w:ascii="Times New Roman" w:hAnsi="Times New Roman" w:eastAsia="宋体" w:cs="Times New Roman"/>
                      <w:b/>
                      <w:bCs/>
                      <w:i w:val="0"/>
                      <w:iCs w:val="0"/>
                      <w:color w:val="FF0000"/>
                      <w:highlight w:val="none"/>
                    </w:rPr>
                    <w:t>监测指标</w:t>
                  </w:r>
                </w:p>
              </w:tc>
              <w:tc>
                <w:tcPr>
                  <w:tcW w:w="602" w:type="pct"/>
                  <w:tcBorders>
                    <w:bottom w:val="single" w:color="000000" w:sz="12" w:space="0"/>
                  </w:tcBorders>
                  <w:noWrap w:val="0"/>
                  <w:vAlign w:val="center"/>
                </w:tcPr>
                <w:p w14:paraId="79E415CF">
                  <w:pPr>
                    <w:widowControl/>
                    <w:jc w:val="center"/>
                    <w:textAlignment w:val="center"/>
                    <w:rPr>
                      <w:rFonts w:hint="default" w:ascii="Times New Roman" w:hAnsi="Times New Roman" w:eastAsia="宋体" w:cs="Times New Roman"/>
                      <w:b/>
                      <w:bCs/>
                      <w:i w:val="0"/>
                      <w:iCs w:val="0"/>
                      <w:color w:val="FF0000"/>
                      <w:highlight w:val="none"/>
                    </w:rPr>
                  </w:pPr>
                  <w:r>
                    <w:rPr>
                      <w:rFonts w:hint="default" w:ascii="Times New Roman" w:hAnsi="Times New Roman" w:eastAsia="宋体" w:cs="Times New Roman"/>
                      <w:b/>
                      <w:bCs/>
                      <w:i w:val="0"/>
                      <w:iCs w:val="0"/>
                      <w:color w:val="FF0000"/>
                      <w:highlight w:val="none"/>
                    </w:rPr>
                    <w:t>监测频次</w:t>
                  </w:r>
                </w:p>
              </w:tc>
              <w:tc>
                <w:tcPr>
                  <w:tcW w:w="2019" w:type="pct"/>
                  <w:tcBorders>
                    <w:bottom w:val="single" w:color="000000" w:sz="12" w:space="0"/>
                  </w:tcBorders>
                  <w:noWrap w:val="0"/>
                  <w:vAlign w:val="center"/>
                </w:tcPr>
                <w:p w14:paraId="41A729A1">
                  <w:pPr>
                    <w:widowControl/>
                    <w:jc w:val="center"/>
                    <w:textAlignment w:val="center"/>
                    <w:rPr>
                      <w:rFonts w:hint="default" w:ascii="Times New Roman" w:hAnsi="Times New Roman" w:eastAsia="宋体" w:cs="Times New Roman"/>
                      <w:b/>
                      <w:bCs/>
                      <w:i w:val="0"/>
                      <w:iCs w:val="0"/>
                      <w:color w:val="FF0000"/>
                      <w:highlight w:val="none"/>
                    </w:rPr>
                  </w:pPr>
                  <w:r>
                    <w:rPr>
                      <w:rFonts w:hint="default" w:ascii="Times New Roman" w:hAnsi="Times New Roman" w:eastAsia="宋体" w:cs="Times New Roman"/>
                      <w:b/>
                      <w:bCs/>
                      <w:i w:val="0"/>
                      <w:iCs w:val="0"/>
                      <w:color w:val="FF0000"/>
                      <w:highlight w:val="none"/>
                    </w:rPr>
                    <w:t>执行排放标准</w:t>
                  </w:r>
                </w:p>
              </w:tc>
            </w:tr>
            <w:tr w14:paraId="5473E93C">
              <w:tblPrEx>
                <w:tblBorders>
                  <w:top w:val="single" w:color="000000" w:sz="12" w:space="0"/>
                  <w:left w:val="none" w:color="auto" w:sz="0" w:space="0"/>
                  <w:bottom w:val="single" w:color="000000" w:sz="12" w:space="0"/>
                  <w:right w:val="none" w:color="auto" w:sz="0" w:space="0"/>
                  <w:insideH w:val="single" w:color="auto" w:sz="4" w:space="0"/>
                  <w:insideV w:val="single" w:color="000000" w:sz="4" w:space="0"/>
                </w:tblBorders>
                <w:tblCellMar>
                  <w:top w:w="15" w:type="dxa"/>
                  <w:left w:w="15" w:type="dxa"/>
                  <w:bottom w:w="15" w:type="dxa"/>
                  <w:right w:w="15" w:type="dxa"/>
                </w:tblCellMar>
              </w:tblPrEx>
              <w:trPr>
                <w:trHeight w:val="819" w:hRule="atLeast"/>
                <w:jc w:val="center"/>
              </w:trPr>
              <w:tc>
                <w:tcPr>
                  <w:tcW w:w="658" w:type="pct"/>
                  <w:noWrap w:val="0"/>
                  <w:vAlign w:val="center"/>
                </w:tcPr>
                <w:p w14:paraId="3301B02F">
                  <w:pPr>
                    <w:widowControl/>
                    <w:jc w:val="center"/>
                    <w:textAlignment w:val="center"/>
                    <w:rPr>
                      <w:rFonts w:hint="default" w:ascii="Times New Roman" w:hAnsi="Times New Roman" w:eastAsia="宋体" w:cs="Times New Roman"/>
                      <w:i w:val="0"/>
                      <w:iCs w:val="0"/>
                      <w:color w:val="FF0000"/>
                      <w:highlight w:val="none"/>
                    </w:rPr>
                  </w:pPr>
                  <w:r>
                    <w:rPr>
                      <w:rFonts w:ascii="Times New Roman" w:hAnsi="Times New Roman" w:eastAsia="宋体" w:cs="Times New Roman"/>
                      <w:i w:val="0"/>
                      <w:iCs w:val="0"/>
                      <w:color w:val="FF0000"/>
                      <w:kern w:val="0"/>
                      <w:szCs w:val="21"/>
                      <w:highlight w:val="none"/>
                      <w:lang w:bidi="ar"/>
                    </w:rPr>
                    <w:t>噪声</w:t>
                  </w:r>
                </w:p>
              </w:tc>
              <w:tc>
                <w:tcPr>
                  <w:tcW w:w="800" w:type="pct"/>
                  <w:noWrap w:val="0"/>
                  <w:vAlign w:val="center"/>
                </w:tcPr>
                <w:p w14:paraId="2FDA8F5B">
                  <w:pPr>
                    <w:widowControl/>
                    <w:jc w:val="center"/>
                    <w:textAlignment w:val="center"/>
                    <w:rPr>
                      <w:rFonts w:hint="eastAsia" w:ascii="Times New Roman" w:hAnsi="Times New Roman" w:eastAsia="宋体" w:cs="Times New Roman"/>
                      <w:i w:val="0"/>
                      <w:iCs w:val="0"/>
                      <w:color w:val="FF0000"/>
                      <w:highlight w:val="none"/>
                      <w:lang w:eastAsia="zh-CN"/>
                    </w:rPr>
                  </w:pPr>
                  <w:r>
                    <w:rPr>
                      <w:rFonts w:hint="eastAsia" w:ascii="Times New Roman" w:hAnsi="Times New Roman" w:eastAsia="宋体" w:cs="Times New Roman"/>
                      <w:i w:val="0"/>
                      <w:iCs w:val="0"/>
                      <w:color w:val="FF0000"/>
                      <w:kern w:val="0"/>
                      <w:szCs w:val="21"/>
                      <w:highlight w:val="none"/>
                      <w:lang w:val="en-US" w:eastAsia="zh-CN" w:bidi="ar"/>
                    </w:rPr>
                    <w:t>厂界</w:t>
                  </w:r>
                </w:p>
              </w:tc>
              <w:tc>
                <w:tcPr>
                  <w:tcW w:w="918" w:type="pct"/>
                  <w:noWrap w:val="0"/>
                  <w:vAlign w:val="center"/>
                </w:tcPr>
                <w:p w14:paraId="0BFE419F">
                  <w:pPr>
                    <w:widowControl/>
                    <w:jc w:val="center"/>
                    <w:textAlignment w:val="center"/>
                    <w:rPr>
                      <w:rFonts w:hint="default" w:ascii="Times New Roman" w:hAnsi="Times New Roman" w:eastAsia="宋体" w:cs="Times New Roman"/>
                      <w:i w:val="0"/>
                      <w:iCs w:val="0"/>
                      <w:color w:val="FF0000"/>
                      <w:highlight w:val="none"/>
                      <w:lang w:val="en-US" w:eastAsia="zh-CN"/>
                    </w:rPr>
                  </w:pPr>
                  <w:r>
                    <w:rPr>
                      <w:rFonts w:ascii="Times New Roman" w:hAnsi="Times New Roman" w:eastAsia="宋体" w:cs="Times New Roman"/>
                      <w:i w:val="0"/>
                      <w:iCs w:val="0"/>
                      <w:color w:val="FF0000"/>
                      <w:kern w:val="0"/>
                      <w:szCs w:val="21"/>
                      <w:highlight w:val="none"/>
                      <w:lang w:bidi="ar"/>
                    </w:rPr>
                    <w:t>等效连续A声级</w:t>
                  </w:r>
                </w:p>
              </w:tc>
              <w:tc>
                <w:tcPr>
                  <w:tcW w:w="602" w:type="pct"/>
                  <w:noWrap w:val="0"/>
                  <w:vAlign w:val="center"/>
                </w:tcPr>
                <w:p w14:paraId="5D654494">
                  <w:pPr>
                    <w:widowControl/>
                    <w:jc w:val="center"/>
                    <w:textAlignment w:val="center"/>
                    <w:rPr>
                      <w:rFonts w:hint="eastAsia" w:ascii="Times New Roman" w:hAnsi="Times New Roman" w:eastAsia="宋体" w:cs="Times New Roman"/>
                      <w:i w:val="0"/>
                      <w:iCs w:val="0"/>
                      <w:color w:val="FF0000"/>
                      <w:highlight w:val="none"/>
                      <w:lang w:eastAsia="zh-CN"/>
                    </w:rPr>
                  </w:pPr>
                  <w:r>
                    <w:rPr>
                      <w:rFonts w:ascii="Times New Roman" w:hAnsi="Times New Roman" w:eastAsia="宋体" w:cs="Times New Roman"/>
                      <w:i w:val="0"/>
                      <w:iCs w:val="0"/>
                      <w:color w:val="FF0000"/>
                      <w:kern w:val="0"/>
                      <w:szCs w:val="21"/>
                      <w:highlight w:val="none"/>
                      <w:lang w:bidi="ar"/>
                    </w:rPr>
                    <w:t>1次/</w:t>
                  </w:r>
                  <w:r>
                    <w:rPr>
                      <w:rFonts w:hint="eastAsia" w:ascii="Times New Roman" w:hAnsi="Times New Roman" w:eastAsia="宋体" w:cs="Times New Roman"/>
                      <w:i w:val="0"/>
                      <w:iCs w:val="0"/>
                      <w:color w:val="FF0000"/>
                      <w:kern w:val="0"/>
                      <w:szCs w:val="21"/>
                      <w:highlight w:val="none"/>
                      <w:lang w:bidi="ar"/>
                    </w:rPr>
                    <w:t>季度</w:t>
                  </w:r>
                </w:p>
              </w:tc>
              <w:tc>
                <w:tcPr>
                  <w:tcW w:w="2019" w:type="pct"/>
                  <w:noWrap w:val="0"/>
                  <w:vAlign w:val="center"/>
                </w:tcPr>
                <w:p w14:paraId="6B86B61B">
                  <w:pPr>
                    <w:widowControl/>
                    <w:jc w:val="center"/>
                    <w:textAlignment w:val="center"/>
                    <w:rPr>
                      <w:rFonts w:hint="default" w:ascii="Times New Roman" w:hAnsi="Times New Roman" w:eastAsia="宋体" w:cs="Times New Roman"/>
                      <w:i w:val="0"/>
                      <w:iCs w:val="0"/>
                      <w:color w:val="FF0000"/>
                      <w:highlight w:val="none"/>
                    </w:rPr>
                  </w:pPr>
                  <w:r>
                    <w:rPr>
                      <w:rFonts w:ascii="Times New Roman" w:hAnsi="Times New Roman" w:eastAsia="宋体" w:cs="Times New Roman"/>
                      <w:i w:val="0"/>
                      <w:iCs w:val="0"/>
                      <w:color w:val="FF0000"/>
                      <w:kern w:val="0"/>
                      <w:szCs w:val="21"/>
                      <w:highlight w:val="none"/>
                      <w:lang w:bidi="ar"/>
                    </w:rPr>
                    <w:t>《工业企业厂界环境噪声排放标准》</w:t>
                  </w:r>
                  <w:r>
                    <w:rPr>
                      <w:rFonts w:hint="eastAsia" w:ascii="Times New Roman" w:hAnsi="Times New Roman" w:eastAsia="宋体" w:cs="Times New Roman"/>
                      <w:i w:val="0"/>
                      <w:iCs w:val="0"/>
                      <w:color w:val="FF0000"/>
                      <w:kern w:val="0"/>
                      <w:szCs w:val="21"/>
                      <w:highlight w:val="none"/>
                      <w:lang w:eastAsia="zh-CN" w:bidi="ar"/>
                    </w:rPr>
                    <w:t>（GB12348-2008）</w:t>
                  </w:r>
                  <w:r>
                    <w:rPr>
                      <w:rFonts w:ascii="Times New Roman" w:hAnsi="Times New Roman" w:eastAsia="宋体" w:cs="Times New Roman"/>
                      <w:i w:val="0"/>
                      <w:iCs w:val="0"/>
                      <w:color w:val="FF0000"/>
                      <w:kern w:val="0"/>
                      <w:szCs w:val="21"/>
                      <w:highlight w:val="none"/>
                      <w:lang w:bidi="ar"/>
                    </w:rPr>
                    <w:t>标准</w:t>
                  </w:r>
                  <w:r>
                    <w:rPr>
                      <w:rFonts w:hint="eastAsia" w:ascii="Times New Roman" w:hAnsi="Times New Roman" w:eastAsia="宋体" w:cs="Times New Roman"/>
                      <w:i w:val="0"/>
                      <w:iCs w:val="0"/>
                      <w:color w:val="FF0000"/>
                      <w:kern w:val="0"/>
                      <w:szCs w:val="21"/>
                      <w:highlight w:val="none"/>
                      <w:lang w:val="en-US" w:eastAsia="zh-CN" w:bidi="ar"/>
                    </w:rPr>
                    <w:t>3</w:t>
                  </w:r>
                  <w:r>
                    <w:rPr>
                      <w:rFonts w:hint="eastAsia" w:ascii="Times New Roman" w:hAnsi="Times New Roman" w:eastAsia="宋体" w:cs="Times New Roman"/>
                      <w:i w:val="0"/>
                      <w:iCs w:val="0"/>
                      <w:color w:val="FF0000"/>
                      <w:kern w:val="0"/>
                      <w:szCs w:val="21"/>
                      <w:highlight w:val="none"/>
                      <w:lang w:bidi="ar"/>
                    </w:rPr>
                    <w:t>类</w:t>
                  </w:r>
                  <w:r>
                    <w:rPr>
                      <w:rFonts w:ascii="Times New Roman" w:hAnsi="Times New Roman" w:eastAsia="宋体" w:cs="Times New Roman"/>
                      <w:i w:val="0"/>
                      <w:iCs w:val="0"/>
                      <w:color w:val="FF0000"/>
                      <w:kern w:val="0"/>
                      <w:szCs w:val="21"/>
                      <w:highlight w:val="none"/>
                      <w:lang w:bidi="ar"/>
                    </w:rPr>
                    <w:t>标准</w:t>
                  </w:r>
                </w:p>
              </w:tc>
            </w:tr>
          </w:tbl>
          <w:p w14:paraId="1588D2C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ascii="Times New Roman" w:hAnsi="Times New Roman" w:eastAsia="宋体" w:cs="Times New Roman"/>
                <w:b/>
                <w:bCs/>
                <w:snapToGrid w:val="0"/>
                <w:color w:val="FF0000"/>
                <w:spacing w:val="0"/>
                <w:sz w:val="24"/>
                <w:szCs w:val="24"/>
                <w:highlight w:val="none"/>
                <w:lang w:val="en-US" w:eastAsia="zh-CN"/>
              </w:rPr>
            </w:pPr>
            <w:r>
              <w:rPr>
                <w:rFonts w:hint="eastAsia" w:cs="Times New Roman"/>
                <w:b/>
                <w:bCs/>
                <w:snapToGrid w:val="0"/>
                <w:color w:val="FF0000"/>
                <w:spacing w:val="0"/>
                <w:sz w:val="24"/>
                <w:szCs w:val="24"/>
                <w:highlight w:val="none"/>
                <w:lang w:val="en-US" w:eastAsia="zh-CN"/>
              </w:rPr>
              <w:t>四</w:t>
            </w:r>
            <w:r>
              <w:rPr>
                <w:rFonts w:hint="eastAsia" w:ascii="Times New Roman" w:hAnsi="Times New Roman" w:eastAsia="宋体" w:cs="Times New Roman"/>
                <w:b/>
                <w:bCs/>
                <w:snapToGrid w:val="0"/>
                <w:color w:val="FF0000"/>
                <w:spacing w:val="0"/>
                <w:sz w:val="24"/>
                <w:szCs w:val="24"/>
                <w:highlight w:val="none"/>
                <w:lang w:val="en-US" w:eastAsia="zh-CN"/>
              </w:rPr>
              <w:t>、</w:t>
            </w:r>
            <w:commentRangeStart w:id="44"/>
            <w:r>
              <w:rPr>
                <w:rFonts w:hint="eastAsia" w:ascii="Times New Roman" w:hAnsi="Times New Roman" w:eastAsia="宋体" w:cs="Times New Roman"/>
                <w:b/>
                <w:bCs/>
                <w:snapToGrid w:val="0"/>
                <w:color w:val="FF0000"/>
                <w:spacing w:val="0"/>
                <w:sz w:val="24"/>
                <w:szCs w:val="24"/>
                <w:highlight w:val="none"/>
                <w:lang w:val="en-US" w:eastAsia="zh-CN"/>
              </w:rPr>
              <w:t>固体</w:t>
            </w:r>
            <w:commentRangeEnd w:id="44"/>
            <w:r>
              <w:commentReference w:id="44"/>
            </w:r>
            <w:r>
              <w:rPr>
                <w:rFonts w:hint="eastAsia" w:ascii="Times New Roman" w:hAnsi="Times New Roman" w:eastAsia="宋体" w:cs="Times New Roman"/>
                <w:b/>
                <w:bCs/>
                <w:snapToGrid w:val="0"/>
                <w:color w:val="FF0000"/>
                <w:spacing w:val="0"/>
                <w:sz w:val="24"/>
                <w:szCs w:val="24"/>
                <w:highlight w:val="none"/>
                <w:lang w:val="en-US" w:eastAsia="zh-CN"/>
              </w:rPr>
              <w:t>废物环境影响分析</w:t>
            </w:r>
          </w:p>
          <w:p w14:paraId="5DF1965A">
            <w:pPr>
              <w:spacing w:line="360" w:lineRule="auto"/>
              <w:ind w:firstLine="480" w:firstLineChars="200"/>
              <w:rPr>
                <w:rFonts w:hint="default" w:ascii="Times New Roman" w:hAnsi="Times New Roman" w:eastAsia="宋体" w:cs="Times New Roman"/>
                <w:i w:val="0"/>
                <w:iCs w:val="0"/>
                <w:color w:val="FF0000"/>
                <w:sz w:val="24"/>
                <w:szCs w:val="24"/>
                <w:highlight w:val="none"/>
              </w:rPr>
            </w:pPr>
            <w:r>
              <w:rPr>
                <w:rFonts w:hint="default" w:ascii="Times New Roman" w:hAnsi="Times New Roman" w:eastAsia="宋体" w:cs="Times New Roman"/>
                <w:i w:val="0"/>
                <w:iCs w:val="0"/>
                <w:color w:val="FF0000"/>
                <w:sz w:val="24"/>
                <w:szCs w:val="24"/>
                <w:highlight w:val="none"/>
              </w:rPr>
              <w:t>项目运营期间主要的固体废物为一般工业固体废物</w:t>
            </w:r>
            <w:r>
              <w:rPr>
                <w:rFonts w:hint="eastAsia" w:ascii="Times New Roman" w:hAnsi="Times New Roman" w:eastAsia="宋体" w:cs="Times New Roman"/>
                <w:i w:val="0"/>
                <w:iCs w:val="0"/>
                <w:color w:val="FF0000"/>
                <w:sz w:val="24"/>
                <w:szCs w:val="24"/>
                <w:highlight w:val="none"/>
                <w:lang w:eastAsia="zh-CN"/>
              </w:rPr>
              <w:t>、</w:t>
            </w:r>
            <w:r>
              <w:rPr>
                <w:rFonts w:hint="eastAsia" w:ascii="Times New Roman" w:hAnsi="Times New Roman" w:eastAsia="宋体" w:cs="Times New Roman"/>
                <w:i w:val="0"/>
                <w:iCs w:val="0"/>
                <w:color w:val="FF0000"/>
                <w:sz w:val="24"/>
                <w:szCs w:val="24"/>
                <w:highlight w:val="none"/>
                <w:lang w:val="en-US" w:eastAsia="zh-CN"/>
              </w:rPr>
              <w:t>危险废物</w:t>
            </w:r>
            <w:r>
              <w:rPr>
                <w:rFonts w:hint="default" w:ascii="Times New Roman" w:hAnsi="Times New Roman" w:eastAsia="宋体" w:cs="Times New Roman"/>
                <w:i w:val="0"/>
                <w:iCs w:val="0"/>
                <w:color w:val="FF0000"/>
                <w:sz w:val="24"/>
                <w:szCs w:val="24"/>
                <w:highlight w:val="none"/>
              </w:rPr>
              <w:t>。</w:t>
            </w:r>
          </w:p>
          <w:p w14:paraId="57ADB4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FF0000"/>
                <w:spacing w:val="0"/>
                <w:sz w:val="24"/>
                <w:szCs w:val="24"/>
                <w:lang w:val="en-US" w:eastAsia="zh-CN"/>
              </w:rPr>
            </w:pPr>
            <w:r>
              <w:rPr>
                <w:rFonts w:hint="eastAsia" w:ascii="Times New Roman" w:hAnsi="Times New Roman" w:eastAsia="宋体" w:cs="Times New Roman"/>
                <w:b w:val="0"/>
                <w:bCs w:val="0"/>
                <w:color w:val="FF0000"/>
                <w:spacing w:val="0"/>
                <w:sz w:val="24"/>
                <w:szCs w:val="24"/>
                <w:lang w:val="en-US" w:eastAsia="zh-CN"/>
              </w:rPr>
              <w:t>1、生活垃圾</w:t>
            </w:r>
          </w:p>
          <w:p w14:paraId="5F533F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FF0000"/>
                <w:spacing w:val="0"/>
                <w:sz w:val="24"/>
                <w:szCs w:val="24"/>
                <w:lang w:val="en-US" w:eastAsia="zh-CN"/>
              </w:rPr>
            </w:pPr>
            <w:r>
              <w:rPr>
                <w:rFonts w:hint="default" w:ascii="Times New Roman" w:hAnsi="Times New Roman" w:eastAsia="宋体" w:cs="Times New Roman"/>
                <w:b w:val="0"/>
                <w:bCs w:val="0"/>
                <w:color w:val="FF0000"/>
                <w:spacing w:val="0"/>
                <w:sz w:val="24"/>
                <w:szCs w:val="24"/>
                <w:lang w:val="en-US" w:eastAsia="zh-CN"/>
              </w:rPr>
              <w:t>项目共有员工</w:t>
            </w:r>
            <w:r>
              <w:rPr>
                <w:rFonts w:hint="eastAsia" w:ascii="Times New Roman" w:hAnsi="Times New Roman" w:eastAsia="宋体" w:cs="Times New Roman"/>
                <w:b w:val="0"/>
                <w:bCs w:val="0"/>
                <w:color w:val="FF0000"/>
                <w:spacing w:val="0"/>
                <w:sz w:val="24"/>
                <w:szCs w:val="24"/>
                <w:lang w:val="en-US" w:eastAsia="zh-CN"/>
              </w:rPr>
              <w:t>35</w:t>
            </w:r>
            <w:r>
              <w:rPr>
                <w:rFonts w:hint="default" w:ascii="Times New Roman" w:hAnsi="Times New Roman" w:eastAsia="宋体" w:cs="Times New Roman"/>
                <w:b w:val="0"/>
                <w:bCs w:val="0"/>
                <w:color w:val="FF0000"/>
                <w:spacing w:val="0"/>
                <w:sz w:val="24"/>
                <w:szCs w:val="24"/>
                <w:lang w:val="en-US" w:eastAsia="zh-CN"/>
              </w:rPr>
              <w:t>人，均不在厂区内食宿。生活垃圾产生量按0.5kg/人d计算，项目年工作300天，则员工生活垃圾的产生量为</w:t>
            </w:r>
            <w:r>
              <w:rPr>
                <w:rFonts w:hint="eastAsia" w:ascii="Times New Roman" w:hAnsi="Times New Roman" w:eastAsia="宋体" w:cs="Times New Roman"/>
                <w:b w:val="0"/>
                <w:bCs w:val="0"/>
                <w:color w:val="FF0000"/>
                <w:spacing w:val="0"/>
                <w:sz w:val="24"/>
                <w:szCs w:val="24"/>
                <w:lang w:val="en-US" w:eastAsia="zh-CN"/>
              </w:rPr>
              <w:t>5.25</w:t>
            </w:r>
            <w:r>
              <w:rPr>
                <w:rFonts w:hint="default" w:ascii="Times New Roman" w:hAnsi="Times New Roman" w:eastAsia="宋体" w:cs="Times New Roman"/>
                <w:b w:val="0"/>
                <w:bCs w:val="0"/>
                <w:color w:val="FF0000"/>
                <w:spacing w:val="0"/>
                <w:sz w:val="24"/>
                <w:szCs w:val="24"/>
                <w:lang w:val="en-US" w:eastAsia="zh-CN"/>
              </w:rPr>
              <w:t>t/a</w:t>
            </w:r>
            <w:r>
              <w:rPr>
                <w:rFonts w:hint="eastAsia" w:ascii="Times New Roman" w:hAnsi="Times New Roman" w:eastAsia="宋体" w:cs="Times New Roman"/>
                <w:b w:val="0"/>
                <w:bCs w:val="0"/>
                <w:color w:val="FF0000"/>
                <w:spacing w:val="0"/>
                <w:sz w:val="24"/>
                <w:szCs w:val="24"/>
                <w:lang w:val="en-US" w:eastAsia="zh-CN"/>
              </w:rPr>
              <w:t>，</w:t>
            </w:r>
            <w:r>
              <w:rPr>
                <w:color w:val="FF0000"/>
                <w:sz w:val="24"/>
              </w:rPr>
              <w:t>定点分类收集后由当地环卫部门清运</w:t>
            </w:r>
            <w:r>
              <w:rPr>
                <w:rFonts w:hint="eastAsia"/>
                <w:color w:val="FF0000"/>
                <w:sz w:val="24"/>
                <w:lang w:eastAsia="zh-CN"/>
              </w:rPr>
              <w:t>。</w:t>
            </w:r>
          </w:p>
          <w:p w14:paraId="019EE9C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FF0000"/>
                <w:spacing w:val="0"/>
                <w:kern w:val="0"/>
                <w:sz w:val="24"/>
                <w:szCs w:val="24"/>
                <w:lang w:val="en-US" w:eastAsia="zh-CN" w:bidi="ar"/>
              </w:rPr>
            </w:pPr>
            <w:r>
              <w:rPr>
                <w:rFonts w:hint="eastAsia" w:cs="Times New Roman"/>
                <w:color w:val="FF0000"/>
                <w:spacing w:val="0"/>
                <w:kern w:val="0"/>
                <w:sz w:val="24"/>
                <w:szCs w:val="24"/>
                <w:lang w:val="en-US" w:eastAsia="zh-CN" w:bidi="ar"/>
              </w:rPr>
              <w:t>2、</w:t>
            </w:r>
            <w:r>
              <w:rPr>
                <w:rFonts w:hint="eastAsia" w:ascii="Times New Roman" w:hAnsi="Times New Roman" w:eastAsia="宋体" w:cs="Times New Roman"/>
                <w:color w:val="FF0000"/>
                <w:spacing w:val="0"/>
                <w:kern w:val="0"/>
                <w:sz w:val="24"/>
                <w:szCs w:val="24"/>
                <w:lang w:val="en-US" w:eastAsia="zh-CN" w:bidi="ar"/>
              </w:rPr>
              <w:t>一般固体废弃物</w:t>
            </w:r>
          </w:p>
          <w:p w14:paraId="249EBA67">
            <w:pPr>
              <w:keepNext w:val="0"/>
              <w:keepLines w:val="0"/>
              <w:widowControl/>
              <w:suppressLineNumbers w:val="0"/>
              <w:spacing w:line="360" w:lineRule="auto"/>
              <w:ind w:firstLine="480" w:firstLineChars="200"/>
              <w:jc w:val="left"/>
              <w:rPr>
                <w:rFonts w:ascii="Times New Roman" w:hAnsi="Times New Roman" w:eastAsia="宋体" w:cs="Times New Roman"/>
                <w:color w:val="FF0000"/>
                <w:spacing w:val="0"/>
                <w:sz w:val="24"/>
                <w:szCs w:val="24"/>
              </w:rPr>
            </w:pPr>
            <w:r>
              <w:rPr>
                <w:rFonts w:hint="eastAsia" w:cs="Times New Roman"/>
                <w:color w:val="FF0000"/>
                <w:spacing w:val="0"/>
                <w:kern w:val="0"/>
                <w:sz w:val="24"/>
                <w:szCs w:val="24"/>
                <w:lang w:val="en-US" w:eastAsia="zh-CN" w:bidi="ar"/>
              </w:rPr>
              <w:t>1）</w:t>
            </w:r>
            <w:r>
              <w:rPr>
                <w:rFonts w:hint="eastAsia" w:ascii="Times New Roman" w:hAnsi="Times New Roman" w:eastAsia="宋体" w:cs="Times New Roman"/>
                <w:color w:val="FF0000"/>
                <w:spacing w:val="0"/>
                <w:kern w:val="0"/>
                <w:sz w:val="24"/>
                <w:szCs w:val="24"/>
                <w:lang w:val="en-US" w:eastAsia="zh-CN" w:bidi="ar"/>
              </w:rPr>
              <w:t xml:space="preserve">废包装材料 </w:t>
            </w:r>
          </w:p>
          <w:p w14:paraId="500FA65D">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FF0000"/>
                <w:spacing w:val="0"/>
                <w:kern w:val="0"/>
                <w:sz w:val="24"/>
                <w:szCs w:val="24"/>
                <w:lang w:val="en-US" w:eastAsia="zh-CN" w:bidi="ar"/>
              </w:rPr>
            </w:pPr>
            <w:r>
              <w:rPr>
                <w:rFonts w:hint="eastAsia" w:ascii="Times New Roman" w:hAnsi="Times New Roman" w:eastAsia="宋体" w:cs="Times New Roman"/>
                <w:color w:val="FF0000"/>
                <w:spacing w:val="0"/>
                <w:kern w:val="0"/>
                <w:sz w:val="24"/>
                <w:szCs w:val="24"/>
                <w:lang w:val="en-US" w:eastAsia="zh-CN" w:bidi="ar"/>
              </w:rPr>
              <w:t>本项目原材料包装及成品包装过程中会产生一定量的废包装材料，产生量约</w:t>
            </w:r>
            <w:r>
              <w:rPr>
                <w:rFonts w:hint="eastAsia" w:cs="Times New Roman"/>
                <w:color w:val="FF0000"/>
                <w:spacing w:val="0"/>
                <w:kern w:val="0"/>
                <w:sz w:val="24"/>
                <w:szCs w:val="24"/>
                <w:lang w:val="en-US" w:eastAsia="zh-CN" w:bidi="ar"/>
              </w:rPr>
              <w:t>2</w:t>
            </w:r>
            <w:r>
              <w:rPr>
                <w:rFonts w:hint="default" w:ascii="Times New Roman" w:hAnsi="Times New Roman" w:eastAsia="宋体" w:cs="Times New Roman"/>
                <w:color w:val="FF0000"/>
                <w:spacing w:val="0"/>
                <w:kern w:val="0"/>
                <w:sz w:val="24"/>
                <w:szCs w:val="24"/>
                <w:lang w:val="en-US" w:eastAsia="zh-CN" w:bidi="ar"/>
              </w:rPr>
              <w:t>t/a</w:t>
            </w:r>
            <w:r>
              <w:rPr>
                <w:rFonts w:hint="eastAsia" w:ascii="Times New Roman" w:hAnsi="Times New Roman" w:eastAsia="宋体" w:cs="Times New Roman"/>
                <w:color w:val="FF0000"/>
                <w:spacing w:val="0"/>
                <w:kern w:val="0"/>
                <w:sz w:val="24"/>
                <w:szCs w:val="24"/>
                <w:lang w:val="en-US" w:eastAsia="zh-CN" w:bidi="ar"/>
              </w:rPr>
              <w:t>，废包装材料交由物资回收部门回收处理。</w:t>
            </w:r>
          </w:p>
          <w:p w14:paraId="0B059AFC">
            <w:pPr>
              <w:pStyle w:val="85"/>
              <w:spacing w:line="360" w:lineRule="auto"/>
              <w:ind w:firstLine="480" w:firstLineChars="200"/>
              <w:rPr>
                <w:color w:val="FF0000"/>
                <w:lang w:eastAsia="zh-CN"/>
              </w:rPr>
            </w:pPr>
            <w:r>
              <w:rPr>
                <w:rFonts w:ascii="Times New Roman" w:hAnsi="Times New Roman" w:cs="Times New Roman"/>
                <w:color w:val="FF0000"/>
                <w:sz w:val="24"/>
                <w:szCs w:val="24"/>
                <w:lang w:eastAsia="zh-CN"/>
              </w:rPr>
              <w:t>根据</w:t>
            </w:r>
            <w:r>
              <w:rPr>
                <w:rFonts w:hint="eastAsia" w:ascii="Times New Roman" w:hAnsi="Times New Roman" w:cs="Times New Roman"/>
                <w:color w:val="FF0000"/>
                <w:sz w:val="24"/>
                <w:szCs w:val="24"/>
                <w:lang w:eastAsia="zh-CN"/>
              </w:rPr>
              <w:t>《固体废物分类与代码目录》（生态环境部2024第4号）</w:t>
            </w:r>
            <w:r>
              <w:rPr>
                <w:rFonts w:ascii="Times New Roman" w:hAnsi="Times New Roman" w:cs="Times New Roman"/>
                <w:color w:val="FF0000"/>
                <w:sz w:val="24"/>
                <w:szCs w:val="24"/>
                <w:lang w:eastAsia="zh-CN"/>
              </w:rPr>
              <w:t>，</w:t>
            </w:r>
            <w:r>
              <w:rPr>
                <w:rFonts w:hint="eastAsia" w:ascii="Times New Roman" w:hAnsi="Times New Roman" w:eastAsia="宋体" w:cs="Times New Roman"/>
                <w:color w:val="FF0000"/>
                <w:spacing w:val="0"/>
                <w:kern w:val="0"/>
                <w:sz w:val="24"/>
                <w:szCs w:val="24"/>
                <w:lang w:val="en-US" w:eastAsia="zh-CN" w:bidi="ar"/>
              </w:rPr>
              <w:t>废包装材料</w:t>
            </w:r>
            <w:r>
              <w:rPr>
                <w:rFonts w:ascii="Times New Roman" w:hAnsi="Times New Roman" w:eastAsia="宋体" w:cs="Times New Roman"/>
                <w:color w:val="FF0000"/>
                <w:sz w:val="24"/>
                <w:szCs w:val="24"/>
                <w:lang w:eastAsia="zh-CN"/>
              </w:rPr>
              <w:t>属</w:t>
            </w:r>
            <w:r>
              <w:rPr>
                <w:rFonts w:ascii="Times New Roman" w:hAnsi="Times New Roman" w:cs="Times New Roman"/>
                <w:color w:val="FF0000"/>
                <w:sz w:val="24"/>
                <w:szCs w:val="24"/>
                <w:lang w:eastAsia="zh-CN"/>
              </w:rPr>
              <w:t>于</w:t>
            </w:r>
            <w:r>
              <w:rPr>
                <w:rFonts w:hint="eastAsia" w:ascii="Times New Roman" w:hAnsi="Times New Roman" w:cs="Times New Roman"/>
                <w:color w:val="FF0000"/>
                <w:sz w:val="24"/>
                <w:szCs w:val="24"/>
                <w:lang w:val="en-US" w:eastAsia="zh-CN"/>
              </w:rPr>
              <w:t>SW59其他工业固体废物；</w:t>
            </w:r>
            <w:r>
              <w:rPr>
                <w:rFonts w:hint="eastAsia" w:ascii="Times New Roman" w:hAnsi="Times New Roman" w:cs="Times New Roman"/>
                <w:color w:val="FF0000"/>
                <w:sz w:val="24"/>
                <w:szCs w:val="24"/>
                <w:lang w:eastAsia="zh-CN"/>
              </w:rPr>
              <w:t>非特定</w:t>
            </w:r>
            <w:r>
              <w:rPr>
                <w:rFonts w:ascii="Times New Roman" w:hAnsi="Times New Roman" w:cs="Times New Roman"/>
                <w:color w:val="FF0000"/>
                <w:sz w:val="24"/>
                <w:szCs w:val="24"/>
                <w:lang w:eastAsia="zh-CN"/>
              </w:rPr>
              <w:t>行业</w:t>
            </w:r>
            <w:r>
              <w:rPr>
                <w:rFonts w:hint="eastAsia" w:ascii="Times New Roman" w:hAnsi="Times New Roman" w:cs="Times New Roman"/>
                <w:color w:val="FF0000"/>
                <w:sz w:val="24"/>
                <w:szCs w:val="24"/>
                <w:lang w:eastAsia="zh-CN"/>
              </w:rPr>
              <w:t>生产中的</w:t>
            </w:r>
            <w:r>
              <w:rPr>
                <w:rFonts w:ascii="Times New Roman" w:hAnsi="Times New Roman" w:cs="Times New Roman"/>
                <w:color w:val="FF0000"/>
                <w:sz w:val="24"/>
                <w:szCs w:val="24"/>
                <w:lang w:eastAsia="zh-CN"/>
              </w:rPr>
              <w:t>“</w:t>
            </w:r>
            <w:r>
              <w:rPr>
                <w:rFonts w:hint="eastAsia" w:ascii="Times New Roman" w:hAnsi="Times New Roman" w:cs="Times New Roman"/>
                <w:color w:val="FF0000"/>
                <w:sz w:val="24"/>
                <w:szCs w:val="24"/>
                <w:lang w:eastAsia="zh-CN"/>
              </w:rPr>
              <w:t>900-</w:t>
            </w:r>
            <w:r>
              <w:rPr>
                <w:rFonts w:hint="eastAsia" w:ascii="Times New Roman" w:hAnsi="Times New Roman" w:cs="Times New Roman"/>
                <w:color w:val="FF0000"/>
                <w:sz w:val="24"/>
                <w:szCs w:val="24"/>
                <w:lang w:val="en-US" w:eastAsia="zh-CN"/>
              </w:rPr>
              <w:t>0</w:t>
            </w:r>
            <w:r>
              <w:rPr>
                <w:rFonts w:hint="eastAsia" w:ascii="Times New Roman" w:hAnsi="Times New Roman" w:cs="Times New Roman"/>
                <w:color w:val="FF0000"/>
                <w:sz w:val="24"/>
                <w:szCs w:val="24"/>
                <w:lang w:eastAsia="zh-CN"/>
              </w:rPr>
              <w:t>99-</w:t>
            </w:r>
            <w:r>
              <w:rPr>
                <w:rFonts w:hint="eastAsia" w:ascii="Times New Roman" w:hAnsi="Times New Roman" w:cs="Times New Roman"/>
                <w:color w:val="FF0000"/>
                <w:sz w:val="24"/>
                <w:szCs w:val="24"/>
                <w:lang w:val="en-US" w:eastAsia="zh-CN"/>
              </w:rPr>
              <w:t>S5</w:t>
            </w:r>
            <w:r>
              <w:rPr>
                <w:rFonts w:hint="eastAsia" w:ascii="Times New Roman" w:hAnsi="Times New Roman" w:cs="Times New Roman"/>
                <w:color w:val="FF0000"/>
                <w:sz w:val="24"/>
                <w:szCs w:val="24"/>
                <w:lang w:eastAsia="zh-CN"/>
              </w:rPr>
              <w:t>9</w:t>
            </w:r>
            <w:r>
              <w:rPr>
                <w:rFonts w:hint="eastAsia" w:ascii="Times New Roman" w:hAnsi="Times New Roman" w:cs="Times New Roman"/>
                <w:color w:val="FF0000"/>
                <w:sz w:val="24"/>
                <w:szCs w:val="24"/>
                <w:lang w:val="en-US" w:eastAsia="zh-CN"/>
              </w:rPr>
              <w:t>其他工业生产过程中产生的固体废物</w:t>
            </w:r>
            <w:r>
              <w:rPr>
                <w:rFonts w:ascii="Times New Roman" w:hAnsi="Times New Roman" w:cs="Times New Roman"/>
                <w:color w:val="FF0000"/>
                <w:sz w:val="24"/>
                <w:szCs w:val="24"/>
                <w:lang w:eastAsia="zh-CN"/>
              </w:rPr>
              <w:t>”，</w:t>
            </w:r>
            <w:r>
              <w:rPr>
                <w:rFonts w:hint="eastAsia" w:ascii="Times New Roman" w:hAnsi="Times New Roman" w:cs="Times New Roman"/>
                <w:color w:val="FF0000"/>
                <w:sz w:val="24"/>
                <w:szCs w:val="24"/>
                <w:lang w:eastAsia="zh-CN"/>
              </w:rPr>
              <w:t>统一收集后</w:t>
            </w:r>
            <w:r>
              <w:rPr>
                <w:rFonts w:hint="eastAsia" w:ascii="Times New Roman" w:hAnsi="Times New Roman" w:eastAsia="宋体" w:cs="Times New Roman"/>
                <w:color w:val="FF0000"/>
                <w:spacing w:val="0"/>
                <w:kern w:val="0"/>
                <w:sz w:val="24"/>
                <w:szCs w:val="24"/>
                <w:lang w:val="en-US" w:eastAsia="zh-CN" w:bidi="ar"/>
              </w:rPr>
              <w:t>交由物资回收部门回收处理</w:t>
            </w:r>
            <w:r>
              <w:rPr>
                <w:rFonts w:ascii="Times New Roman" w:hAnsi="Times New Roman" w:cs="Times New Roman"/>
                <w:color w:val="FF0000"/>
                <w:sz w:val="24"/>
                <w:szCs w:val="24"/>
                <w:lang w:eastAsia="zh-CN"/>
              </w:rPr>
              <w:t>。</w:t>
            </w:r>
          </w:p>
          <w:p w14:paraId="7BB9AEC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FF0000"/>
                <w:spacing w:val="0"/>
                <w:sz w:val="24"/>
                <w:szCs w:val="24"/>
                <w:lang w:val="en-US"/>
              </w:rPr>
            </w:pPr>
            <w:r>
              <w:rPr>
                <w:rFonts w:hint="eastAsia" w:cs="Times New Roman"/>
                <w:color w:val="FF0000"/>
                <w:spacing w:val="0"/>
                <w:kern w:val="0"/>
                <w:sz w:val="24"/>
                <w:szCs w:val="24"/>
                <w:lang w:val="en-US" w:eastAsia="zh-CN" w:bidi="ar"/>
              </w:rPr>
              <w:t>2）纯水机耗材</w:t>
            </w:r>
          </w:p>
          <w:p w14:paraId="328F3F7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FF0000"/>
                <w:spacing w:val="0"/>
                <w:kern w:val="0"/>
                <w:sz w:val="24"/>
                <w:szCs w:val="24"/>
                <w:lang w:val="en-US" w:eastAsia="zh-CN" w:bidi="ar"/>
              </w:rPr>
            </w:pPr>
            <w:r>
              <w:rPr>
                <w:rFonts w:hint="eastAsia" w:ascii="Times New Roman" w:hAnsi="Times New Roman" w:eastAsia="宋体" w:cs="Times New Roman"/>
                <w:color w:val="FF0000"/>
                <w:spacing w:val="0"/>
                <w:kern w:val="0"/>
                <w:sz w:val="24"/>
                <w:szCs w:val="24"/>
                <w:lang w:val="en-US" w:eastAsia="zh-CN" w:bidi="ar"/>
              </w:rPr>
              <w:t>本项目纯水机制作纯水过程中，耗材需定期进行更换，</w:t>
            </w:r>
            <w:r>
              <w:rPr>
                <w:rFonts w:hint="eastAsia" w:cs="Times New Roman"/>
                <w:color w:val="FF0000"/>
                <w:spacing w:val="0"/>
                <w:kern w:val="0"/>
                <w:sz w:val="24"/>
                <w:szCs w:val="24"/>
                <w:lang w:val="en-US" w:eastAsia="zh-CN" w:bidi="ar"/>
              </w:rPr>
              <w:t>主要为</w:t>
            </w:r>
            <w:r>
              <w:rPr>
                <w:rFonts w:hint="eastAsia" w:ascii="Times New Roman" w:hAnsi="Times New Roman" w:eastAsia="宋体" w:cs="Times New Roman"/>
                <w:color w:val="FF0000"/>
                <w:spacing w:val="0"/>
                <w:kern w:val="0"/>
                <w:sz w:val="24"/>
                <w:szCs w:val="24"/>
                <w:lang w:val="en-US" w:eastAsia="zh-CN" w:bidi="ar"/>
              </w:rPr>
              <w:t>石英砂、活性炭、反渗透膜</w:t>
            </w:r>
            <w:r>
              <w:rPr>
                <w:rFonts w:hint="eastAsia" w:cs="Times New Roman"/>
                <w:color w:val="FF0000"/>
                <w:spacing w:val="0"/>
                <w:kern w:val="0"/>
                <w:sz w:val="24"/>
                <w:szCs w:val="24"/>
                <w:lang w:val="en-US" w:eastAsia="zh-CN" w:bidi="ar"/>
              </w:rPr>
              <w:t>及</w:t>
            </w:r>
            <w:r>
              <w:rPr>
                <w:rFonts w:hint="eastAsia" w:ascii="Times New Roman" w:hAnsi="Times New Roman" w:eastAsia="宋体" w:cs="Times New Roman"/>
                <w:color w:val="FF0000"/>
                <w:spacing w:val="0"/>
                <w:kern w:val="0"/>
                <w:sz w:val="24"/>
                <w:szCs w:val="24"/>
                <w:lang w:val="en-US" w:eastAsia="zh-CN" w:bidi="ar"/>
              </w:rPr>
              <w:t>pp滤芯</w:t>
            </w:r>
            <w:r>
              <w:rPr>
                <w:rFonts w:hint="eastAsia" w:cs="Times New Roman"/>
                <w:color w:val="FF0000"/>
                <w:spacing w:val="0"/>
                <w:kern w:val="0"/>
                <w:sz w:val="24"/>
                <w:szCs w:val="24"/>
                <w:lang w:val="en-US" w:eastAsia="zh-CN" w:bidi="ar"/>
              </w:rPr>
              <w:t>，</w:t>
            </w:r>
            <w:r>
              <w:rPr>
                <w:rFonts w:hint="eastAsia" w:ascii="Times New Roman" w:hAnsi="Times New Roman" w:eastAsia="宋体" w:cs="Times New Roman"/>
                <w:color w:val="FF0000"/>
                <w:spacing w:val="0"/>
                <w:kern w:val="0"/>
                <w:sz w:val="24"/>
                <w:szCs w:val="24"/>
                <w:lang w:val="en-US" w:eastAsia="zh-CN" w:bidi="ar"/>
              </w:rPr>
              <w:t>其中石英砂、活性炭、反渗透膜一年更换一次，pp滤芯三个月更换一次，由于过滤的水为自来水，无有毒、有害物质，对照《危险废物名录》，废碳滤层及反渗透膜不在其危险危险废物名录内，因此不属于危险废物，属于一般工业固体废物，产生量约为</w:t>
            </w:r>
            <w:r>
              <w:rPr>
                <w:rFonts w:hint="eastAsia" w:cs="Times New Roman"/>
                <w:color w:val="FF0000"/>
                <w:spacing w:val="0"/>
                <w:kern w:val="0"/>
                <w:sz w:val="24"/>
                <w:szCs w:val="24"/>
                <w:lang w:val="en-US" w:eastAsia="zh-CN" w:bidi="ar"/>
              </w:rPr>
              <w:t>2</w:t>
            </w:r>
            <w:r>
              <w:rPr>
                <w:rFonts w:hint="default" w:ascii="Times New Roman" w:hAnsi="Times New Roman" w:eastAsia="宋体" w:cs="Times New Roman"/>
                <w:color w:val="FF0000"/>
                <w:spacing w:val="0"/>
                <w:kern w:val="0"/>
                <w:sz w:val="24"/>
                <w:szCs w:val="24"/>
                <w:lang w:val="en-US" w:eastAsia="zh-CN" w:bidi="ar"/>
              </w:rPr>
              <w:t>t/a</w:t>
            </w:r>
            <w:r>
              <w:rPr>
                <w:rFonts w:hint="eastAsia" w:ascii="Times New Roman" w:hAnsi="Times New Roman" w:eastAsia="宋体" w:cs="Times New Roman"/>
                <w:color w:val="FF0000"/>
                <w:spacing w:val="0"/>
                <w:kern w:val="0"/>
                <w:sz w:val="24"/>
                <w:szCs w:val="24"/>
                <w:lang w:val="en-US" w:eastAsia="zh-CN" w:bidi="ar"/>
              </w:rPr>
              <w:t>，经收集后交由原厂家回收。</w:t>
            </w:r>
          </w:p>
          <w:p w14:paraId="2929BAAC">
            <w:pPr>
              <w:pStyle w:val="85"/>
              <w:spacing w:line="360" w:lineRule="auto"/>
              <w:ind w:firstLine="480" w:firstLineChars="200"/>
              <w:rPr>
                <w:color w:val="FF0000"/>
                <w:lang w:eastAsia="zh-CN"/>
              </w:rPr>
            </w:pPr>
            <w:r>
              <w:rPr>
                <w:rFonts w:ascii="Times New Roman" w:hAnsi="Times New Roman" w:cs="Times New Roman"/>
                <w:color w:val="FF0000"/>
                <w:sz w:val="24"/>
                <w:szCs w:val="24"/>
                <w:lang w:eastAsia="zh-CN"/>
              </w:rPr>
              <w:t>根据</w:t>
            </w:r>
            <w:r>
              <w:rPr>
                <w:rFonts w:hint="eastAsia" w:ascii="Times New Roman" w:hAnsi="Times New Roman" w:cs="Times New Roman"/>
                <w:color w:val="FF0000"/>
                <w:sz w:val="24"/>
                <w:szCs w:val="24"/>
                <w:lang w:eastAsia="zh-CN"/>
              </w:rPr>
              <w:t>《固体废物分类与代码目录》（生态环境部2024第4号）</w:t>
            </w:r>
            <w:r>
              <w:rPr>
                <w:rFonts w:ascii="Times New Roman" w:hAnsi="Times New Roman" w:cs="Times New Roman"/>
                <w:color w:val="FF0000"/>
                <w:sz w:val="24"/>
                <w:szCs w:val="24"/>
                <w:lang w:eastAsia="zh-CN"/>
              </w:rPr>
              <w:t>，</w:t>
            </w:r>
            <w:r>
              <w:rPr>
                <w:rFonts w:hint="eastAsia" w:cs="Times New Roman"/>
                <w:color w:val="FF0000"/>
                <w:spacing w:val="0"/>
                <w:kern w:val="0"/>
                <w:sz w:val="24"/>
                <w:szCs w:val="24"/>
                <w:lang w:val="en-US" w:eastAsia="zh-CN" w:bidi="ar"/>
              </w:rPr>
              <w:t>纯水机耗材</w:t>
            </w:r>
            <w:r>
              <w:rPr>
                <w:rFonts w:ascii="Times New Roman" w:hAnsi="Times New Roman" w:eastAsia="宋体" w:cs="Times New Roman"/>
                <w:color w:val="FF0000"/>
                <w:sz w:val="24"/>
                <w:szCs w:val="24"/>
                <w:lang w:eastAsia="zh-CN"/>
              </w:rPr>
              <w:t>属</w:t>
            </w:r>
            <w:r>
              <w:rPr>
                <w:rFonts w:ascii="Times New Roman" w:hAnsi="Times New Roman" w:cs="Times New Roman"/>
                <w:color w:val="FF0000"/>
                <w:sz w:val="24"/>
                <w:szCs w:val="24"/>
                <w:lang w:eastAsia="zh-CN"/>
              </w:rPr>
              <w:t>于</w:t>
            </w:r>
            <w:r>
              <w:rPr>
                <w:rFonts w:hint="eastAsia" w:ascii="Times New Roman" w:hAnsi="Times New Roman" w:cs="Times New Roman"/>
                <w:color w:val="FF0000"/>
                <w:sz w:val="24"/>
                <w:szCs w:val="24"/>
                <w:lang w:val="en-US" w:eastAsia="zh-CN"/>
              </w:rPr>
              <w:t>SW59其他工业固体废物；</w:t>
            </w:r>
            <w:r>
              <w:rPr>
                <w:rFonts w:hint="eastAsia" w:ascii="Times New Roman" w:hAnsi="Times New Roman" w:cs="Times New Roman"/>
                <w:color w:val="FF0000"/>
                <w:sz w:val="24"/>
                <w:szCs w:val="24"/>
                <w:lang w:eastAsia="zh-CN"/>
              </w:rPr>
              <w:t>非特定</w:t>
            </w:r>
            <w:r>
              <w:rPr>
                <w:rFonts w:ascii="Times New Roman" w:hAnsi="Times New Roman" w:cs="Times New Roman"/>
                <w:color w:val="FF0000"/>
                <w:sz w:val="24"/>
                <w:szCs w:val="24"/>
                <w:lang w:eastAsia="zh-CN"/>
              </w:rPr>
              <w:t>行业</w:t>
            </w:r>
            <w:r>
              <w:rPr>
                <w:rFonts w:hint="eastAsia" w:ascii="Times New Roman" w:hAnsi="Times New Roman" w:cs="Times New Roman"/>
                <w:color w:val="FF0000"/>
                <w:sz w:val="24"/>
                <w:szCs w:val="24"/>
                <w:lang w:eastAsia="zh-CN"/>
              </w:rPr>
              <w:t>生产中的</w:t>
            </w:r>
            <w:r>
              <w:rPr>
                <w:rFonts w:ascii="Times New Roman" w:hAnsi="Times New Roman" w:cs="Times New Roman"/>
                <w:color w:val="FF0000"/>
                <w:sz w:val="24"/>
                <w:szCs w:val="24"/>
                <w:lang w:eastAsia="zh-CN"/>
              </w:rPr>
              <w:t>“</w:t>
            </w:r>
            <w:r>
              <w:rPr>
                <w:rFonts w:hint="eastAsia" w:ascii="Times New Roman" w:hAnsi="Times New Roman" w:cs="Times New Roman"/>
                <w:color w:val="FF0000"/>
                <w:sz w:val="24"/>
                <w:szCs w:val="24"/>
                <w:lang w:eastAsia="zh-CN"/>
              </w:rPr>
              <w:t>900-</w:t>
            </w:r>
            <w:r>
              <w:rPr>
                <w:rFonts w:hint="eastAsia" w:ascii="Times New Roman" w:hAnsi="Times New Roman" w:cs="Times New Roman"/>
                <w:color w:val="FF0000"/>
                <w:sz w:val="24"/>
                <w:szCs w:val="24"/>
                <w:lang w:val="en-US" w:eastAsia="zh-CN"/>
              </w:rPr>
              <w:t>0</w:t>
            </w:r>
            <w:r>
              <w:rPr>
                <w:rFonts w:hint="eastAsia" w:ascii="Times New Roman" w:hAnsi="Times New Roman" w:cs="Times New Roman"/>
                <w:color w:val="FF0000"/>
                <w:sz w:val="24"/>
                <w:szCs w:val="24"/>
                <w:lang w:eastAsia="zh-CN"/>
              </w:rPr>
              <w:t>99-</w:t>
            </w:r>
            <w:r>
              <w:rPr>
                <w:rFonts w:hint="eastAsia" w:ascii="Times New Roman" w:hAnsi="Times New Roman" w:cs="Times New Roman"/>
                <w:color w:val="FF0000"/>
                <w:sz w:val="24"/>
                <w:szCs w:val="24"/>
                <w:lang w:val="en-US" w:eastAsia="zh-CN"/>
              </w:rPr>
              <w:t>S5</w:t>
            </w:r>
            <w:r>
              <w:rPr>
                <w:rFonts w:hint="eastAsia" w:ascii="Times New Roman" w:hAnsi="Times New Roman" w:cs="Times New Roman"/>
                <w:color w:val="FF0000"/>
                <w:sz w:val="24"/>
                <w:szCs w:val="24"/>
                <w:lang w:eastAsia="zh-CN"/>
              </w:rPr>
              <w:t>9</w:t>
            </w:r>
            <w:r>
              <w:rPr>
                <w:rFonts w:hint="eastAsia" w:ascii="Times New Roman" w:hAnsi="Times New Roman" w:cs="Times New Roman"/>
                <w:color w:val="FF0000"/>
                <w:sz w:val="24"/>
                <w:szCs w:val="24"/>
                <w:lang w:val="en-US" w:eastAsia="zh-CN"/>
              </w:rPr>
              <w:t>其他工业生产过程中产生的固体废物</w:t>
            </w:r>
            <w:r>
              <w:rPr>
                <w:rFonts w:ascii="Times New Roman" w:hAnsi="Times New Roman" w:cs="Times New Roman"/>
                <w:color w:val="FF0000"/>
                <w:sz w:val="24"/>
                <w:szCs w:val="24"/>
                <w:lang w:eastAsia="zh-CN"/>
              </w:rPr>
              <w:t>”，</w:t>
            </w:r>
            <w:r>
              <w:rPr>
                <w:rFonts w:hint="eastAsia" w:ascii="Times New Roman" w:hAnsi="Times New Roman" w:cs="Times New Roman"/>
                <w:color w:val="FF0000"/>
                <w:sz w:val="24"/>
                <w:szCs w:val="24"/>
                <w:lang w:eastAsia="zh-CN"/>
              </w:rPr>
              <w:t>统一收集后</w:t>
            </w:r>
            <w:r>
              <w:rPr>
                <w:rFonts w:hint="eastAsia" w:ascii="Times New Roman" w:hAnsi="Times New Roman" w:eastAsia="宋体" w:cs="Times New Roman"/>
                <w:color w:val="FF0000"/>
                <w:spacing w:val="0"/>
                <w:kern w:val="0"/>
                <w:sz w:val="24"/>
                <w:szCs w:val="24"/>
                <w:lang w:val="en-US" w:eastAsia="zh-CN" w:bidi="ar"/>
              </w:rPr>
              <w:t>交由原厂家回收</w:t>
            </w:r>
            <w:r>
              <w:rPr>
                <w:rFonts w:ascii="Times New Roman" w:hAnsi="Times New Roman" w:cs="Times New Roman"/>
                <w:color w:val="FF0000"/>
                <w:sz w:val="24"/>
                <w:szCs w:val="24"/>
                <w:lang w:eastAsia="zh-CN"/>
              </w:rPr>
              <w:t>。</w:t>
            </w:r>
          </w:p>
          <w:p w14:paraId="1FDF50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FF0000"/>
                <w:spacing w:val="0"/>
                <w:sz w:val="24"/>
                <w:szCs w:val="24"/>
                <w:lang w:val="en-US" w:eastAsia="zh-CN"/>
              </w:rPr>
            </w:pPr>
            <w:r>
              <w:rPr>
                <w:rFonts w:hint="eastAsia" w:cs="Times New Roman"/>
                <w:b w:val="0"/>
                <w:bCs w:val="0"/>
                <w:color w:val="FF0000"/>
                <w:spacing w:val="0"/>
                <w:sz w:val="24"/>
                <w:szCs w:val="24"/>
                <w:lang w:val="en-US" w:eastAsia="zh-CN"/>
              </w:rPr>
              <w:t>3）</w:t>
            </w:r>
            <w:r>
              <w:rPr>
                <w:rFonts w:hint="eastAsia" w:ascii="Times New Roman" w:hAnsi="Times New Roman" w:eastAsia="宋体" w:cs="Times New Roman"/>
                <w:b w:val="0"/>
                <w:bCs w:val="0"/>
                <w:color w:val="FF0000"/>
                <w:spacing w:val="0"/>
                <w:sz w:val="24"/>
                <w:szCs w:val="24"/>
                <w:lang w:val="en-US" w:eastAsia="zh-CN"/>
              </w:rPr>
              <w:t>不合格品</w:t>
            </w:r>
          </w:p>
          <w:p w14:paraId="57AE9135">
            <w:pPr>
              <w:pStyle w:val="37"/>
              <w:keepNext w:val="0"/>
              <w:keepLines w:val="0"/>
              <w:pageBreakBefore w:val="0"/>
              <w:widowControl w:val="0"/>
              <w:kinsoku/>
              <w:wordWrap/>
              <w:overflowPunct/>
              <w:topLinePunct w:val="0"/>
              <w:bidi w:val="0"/>
              <w:adjustRightInd w:val="0"/>
              <w:spacing w:before="0" w:after="0" w:line="360" w:lineRule="auto"/>
              <w:ind w:firstLine="480" w:firstLineChars="200"/>
              <w:textAlignment w:val="auto"/>
              <w:rPr>
                <w:rFonts w:hint="eastAsia" w:ascii="Times New Roman" w:hAnsi="Times New Roman" w:eastAsia="宋体" w:cs="Times New Roman"/>
                <w:color w:val="FF0000"/>
                <w:spacing w:val="0"/>
                <w:kern w:val="0"/>
                <w:sz w:val="24"/>
                <w:szCs w:val="24"/>
                <w:lang w:val="en-US" w:eastAsia="zh-CN" w:bidi="ar"/>
              </w:rPr>
            </w:pPr>
            <w:r>
              <w:rPr>
                <w:rFonts w:hint="eastAsia" w:ascii="Times New Roman" w:hAnsi="Times New Roman" w:eastAsia="宋体" w:cs="Times New Roman"/>
                <w:b w:val="0"/>
                <w:bCs w:val="0"/>
                <w:color w:val="FF0000"/>
                <w:spacing w:val="0"/>
                <w:sz w:val="24"/>
                <w:szCs w:val="24"/>
                <w:lang w:val="en-US" w:eastAsia="zh-CN"/>
              </w:rPr>
              <w:t>根据物料平衡</w:t>
            </w:r>
            <w:r>
              <w:rPr>
                <w:rFonts w:hint="eastAsia" w:ascii="Times New Roman" w:hAnsi="Times New Roman" w:eastAsia="宋体" w:cs="Times New Roman"/>
                <w:color w:val="FF0000"/>
                <w:spacing w:val="0"/>
                <w:kern w:val="0"/>
                <w:sz w:val="24"/>
                <w:szCs w:val="24"/>
                <w:lang w:val="en-US" w:eastAsia="zh-CN" w:bidi="ar"/>
              </w:rPr>
              <w:t>可知，本项目穴位压力刺激贴不合格品产生量约为0.18t/a、创可贴不合格品产生量约为0.1t/a、通气鼻贴不合格品产生量约为0.2t/a、重组胶原蛋白贴不合格品产生量约为0.27t/a、医用透明质酸钠敷贴不合格品产生量约为0.3t/a、壳聚糖止血粉不合格品产生量约为0.1t/a、三伏贴不合格品产生量约为0.3t/a，合计1.45t/a。因为本</w:t>
            </w:r>
            <w:r>
              <w:rPr>
                <w:rFonts w:hint="eastAsia" w:ascii="Times New Roman" w:hAnsi="Times New Roman" w:eastAsia="宋体" w:cs="Times New Roman"/>
                <w:b w:val="0"/>
                <w:bCs w:val="0"/>
                <w:color w:val="FF0000"/>
                <w:spacing w:val="0"/>
                <w:sz w:val="24"/>
                <w:szCs w:val="24"/>
                <w:lang w:val="en-US" w:eastAsia="zh-CN"/>
              </w:rPr>
              <w:t>项目使用原料皆为食品级，因此不含</w:t>
            </w:r>
            <w:r>
              <w:rPr>
                <w:rFonts w:hint="eastAsia" w:ascii="Times New Roman" w:hAnsi="Times New Roman" w:eastAsia="宋体" w:cs="Times New Roman"/>
                <w:color w:val="FF0000"/>
                <w:spacing w:val="0"/>
                <w:kern w:val="0"/>
                <w:sz w:val="24"/>
                <w:szCs w:val="24"/>
                <w:lang w:val="en-US" w:eastAsia="zh-CN" w:bidi="ar"/>
              </w:rPr>
              <w:t>有毒、有害物质，对照《危险废物名录》，不在其危险危险废物名录内，因此不属于危险废物，属于一般工业固体废物，对于其中可利用的部分，将重新回收使用，不能利用的部分，做报废处理，交由相关单位进行处理。</w:t>
            </w:r>
          </w:p>
          <w:p w14:paraId="53F5D85C">
            <w:pPr>
              <w:pStyle w:val="85"/>
              <w:spacing w:line="360" w:lineRule="auto"/>
              <w:ind w:firstLine="480" w:firstLineChars="200"/>
              <w:rPr>
                <w:rFonts w:hint="default"/>
                <w:color w:val="FF0000"/>
                <w:lang w:val="en-US" w:eastAsia="zh-CN"/>
              </w:rPr>
            </w:pPr>
            <w:r>
              <w:rPr>
                <w:rFonts w:ascii="Times New Roman" w:hAnsi="Times New Roman" w:cs="Times New Roman"/>
                <w:color w:val="FF0000"/>
                <w:sz w:val="24"/>
                <w:szCs w:val="24"/>
                <w:lang w:eastAsia="zh-CN"/>
              </w:rPr>
              <w:t>根据</w:t>
            </w:r>
            <w:r>
              <w:rPr>
                <w:rFonts w:hint="eastAsia" w:ascii="Times New Roman" w:hAnsi="Times New Roman" w:cs="Times New Roman"/>
                <w:color w:val="FF0000"/>
                <w:sz w:val="24"/>
                <w:szCs w:val="24"/>
                <w:lang w:eastAsia="zh-CN"/>
              </w:rPr>
              <w:t>《固体废物分类与代码目录》（生态环境部2024第4号）</w:t>
            </w:r>
            <w:r>
              <w:rPr>
                <w:rFonts w:ascii="Times New Roman" w:hAnsi="Times New Roman" w:cs="Times New Roman"/>
                <w:color w:val="FF0000"/>
                <w:sz w:val="24"/>
                <w:szCs w:val="24"/>
                <w:lang w:eastAsia="zh-CN"/>
              </w:rPr>
              <w:t>，</w:t>
            </w:r>
            <w:r>
              <w:rPr>
                <w:rFonts w:hint="eastAsia" w:ascii="Times New Roman" w:hAnsi="Times New Roman" w:eastAsia="宋体" w:cs="Times New Roman"/>
                <w:b w:val="0"/>
                <w:bCs w:val="0"/>
                <w:color w:val="FF0000"/>
                <w:spacing w:val="0"/>
                <w:sz w:val="24"/>
                <w:szCs w:val="24"/>
                <w:lang w:val="en-US" w:eastAsia="zh-CN"/>
              </w:rPr>
              <w:t>不合格品</w:t>
            </w:r>
            <w:r>
              <w:rPr>
                <w:rFonts w:ascii="Times New Roman" w:hAnsi="Times New Roman" w:eastAsia="宋体" w:cs="Times New Roman"/>
                <w:color w:val="FF0000"/>
                <w:sz w:val="24"/>
                <w:szCs w:val="24"/>
                <w:lang w:eastAsia="zh-CN"/>
              </w:rPr>
              <w:t>属</w:t>
            </w:r>
            <w:r>
              <w:rPr>
                <w:rFonts w:ascii="Times New Roman" w:hAnsi="Times New Roman" w:cs="Times New Roman"/>
                <w:color w:val="FF0000"/>
                <w:sz w:val="24"/>
                <w:szCs w:val="24"/>
                <w:lang w:eastAsia="zh-CN"/>
              </w:rPr>
              <w:t>于</w:t>
            </w:r>
            <w:r>
              <w:rPr>
                <w:rFonts w:hint="eastAsia" w:ascii="Times New Roman" w:hAnsi="Times New Roman" w:cs="Times New Roman"/>
                <w:color w:val="FF0000"/>
                <w:sz w:val="24"/>
                <w:szCs w:val="24"/>
                <w:lang w:val="en-US" w:eastAsia="zh-CN"/>
              </w:rPr>
              <w:t>SW59其他工业固体废物；</w:t>
            </w:r>
            <w:r>
              <w:rPr>
                <w:rFonts w:hint="eastAsia" w:ascii="Times New Roman" w:hAnsi="Times New Roman" w:cs="Times New Roman"/>
                <w:color w:val="FF0000"/>
                <w:sz w:val="24"/>
                <w:szCs w:val="24"/>
                <w:lang w:eastAsia="zh-CN"/>
              </w:rPr>
              <w:t>非特定</w:t>
            </w:r>
            <w:r>
              <w:rPr>
                <w:rFonts w:ascii="Times New Roman" w:hAnsi="Times New Roman" w:cs="Times New Roman"/>
                <w:color w:val="FF0000"/>
                <w:sz w:val="24"/>
                <w:szCs w:val="24"/>
                <w:lang w:eastAsia="zh-CN"/>
              </w:rPr>
              <w:t>行业</w:t>
            </w:r>
            <w:r>
              <w:rPr>
                <w:rFonts w:hint="eastAsia" w:ascii="Times New Roman" w:hAnsi="Times New Roman" w:cs="Times New Roman"/>
                <w:color w:val="FF0000"/>
                <w:sz w:val="24"/>
                <w:szCs w:val="24"/>
                <w:lang w:eastAsia="zh-CN"/>
              </w:rPr>
              <w:t>生产中的</w:t>
            </w:r>
            <w:r>
              <w:rPr>
                <w:rFonts w:ascii="Times New Roman" w:hAnsi="Times New Roman" w:cs="Times New Roman"/>
                <w:color w:val="FF0000"/>
                <w:sz w:val="24"/>
                <w:szCs w:val="24"/>
                <w:lang w:eastAsia="zh-CN"/>
              </w:rPr>
              <w:t>“</w:t>
            </w:r>
            <w:r>
              <w:rPr>
                <w:rFonts w:hint="eastAsia" w:ascii="Times New Roman" w:hAnsi="Times New Roman" w:cs="Times New Roman"/>
                <w:color w:val="FF0000"/>
                <w:sz w:val="24"/>
                <w:szCs w:val="24"/>
                <w:lang w:eastAsia="zh-CN"/>
              </w:rPr>
              <w:t>900-</w:t>
            </w:r>
            <w:r>
              <w:rPr>
                <w:rFonts w:hint="eastAsia" w:ascii="Times New Roman" w:hAnsi="Times New Roman" w:cs="Times New Roman"/>
                <w:color w:val="FF0000"/>
                <w:sz w:val="24"/>
                <w:szCs w:val="24"/>
                <w:lang w:val="en-US" w:eastAsia="zh-CN"/>
              </w:rPr>
              <w:t>0</w:t>
            </w:r>
            <w:r>
              <w:rPr>
                <w:rFonts w:hint="eastAsia" w:ascii="Times New Roman" w:hAnsi="Times New Roman" w:cs="Times New Roman"/>
                <w:color w:val="FF0000"/>
                <w:sz w:val="24"/>
                <w:szCs w:val="24"/>
                <w:lang w:eastAsia="zh-CN"/>
              </w:rPr>
              <w:t>99-</w:t>
            </w:r>
            <w:r>
              <w:rPr>
                <w:rFonts w:hint="eastAsia" w:ascii="Times New Roman" w:hAnsi="Times New Roman" w:cs="Times New Roman"/>
                <w:color w:val="FF0000"/>
                <w:sz w:val="24"/>
                <w:szCs w:val="24"/>
                <w:lang w:val="en-US" w:eastAsia="zh-CN"/>
              </w:rPr>
              <w:t>S5</w:t>
            </w:r>
            <w:r>
              <w:rPr>
                <w:rFonts w:hint="eastAsia" w:ascii="Times New Roman" w:hAnsi="Times New Roman" w:cs="Times New Roman"/>
                <w:color w:val="FF0000"/>
                <w:sz w:val="24"/>
                <w:szCs w:val="24"/>
                <w:lang w:eastAsia="zh-CN"/>
              </w:rPr>
              <w:t>9</w:t>
            </w:r>
            <w:r>
              <w:rPr>
                <w:rFonts w:hint="eastAsia" w:ascii="Times New Roman" w:hAnsi="Times New Roman" w:cs="Times New Roman"/>
                <w:color w:val="FF0000"/>
                <w:sz w:val="24"/>
                <w:szCs w:val="24"/>
                <w:lang w:val="en-US" w:eastAsia="zh-CN"/>
              </w:rPr>
              <w:t>其他工业生产过程中产生的固体废物</w:t>
            </w:r>
            <w:r>
              <w:rPr>
                <w:rFonts w:ascii="Times New Roman" w:hAnsi="Times New Roman" w:cs="Times New Roman"/>
                <w:color w:val="FF0000"/>
                <w:sz w:val="24"/>
                <w:szCs w:val="24"/>
                <w:lang w:eastAsia="zh-CN"/>
              </w:rPr>
              <w:t>”，</w:t>
            </w:r>
            <w:r>
              <w:rPr>
                <w:rFonts w:hint="eastAsia" w:ascii="Times New Roman" w:hAnsi="Times New Roman" w:cs="Times New Roman"/>
                <w:color w:val="FF0000"/>
                <w:sz w:val="24"/>
                <w:szCs w:val="24"/>
                <w:lang w:eastAsia="zh-CN"/>
              </w:rPr>
              <w:t>统一收集后</w:t>
            </w:r>
            <w:r>
              <w:rPr>
                <w:rFonts w:hint="eastAsia" w:ascii="Times New Roman" w:hAnsi="Times New Roman" w:eastAsia="宋体" w:cs="Times New Roman"/>
                <w:color w:val="FF0000"/>
                <w:spacing w:val="0"/>
                <w:kern w:val="0"/>
                <w:sz w:val="24"/>
                <w:szCs w:val="24"/>
                <w:lang w:val="en-US" w:eastAsia="zh-CN" w:bidi="ar"/>
              </w:rPr>
              <w:t>交由相关单位进行处理</w:t>
            </w:r>
            <w:r>
              <w:rPr>
                <w:rFonts w:ascii="Times New Roman" w:hAnsi="Times New Roman" w:cs="Times New Roman"/>
                <w:color w:val="FF0000"/>
                <w:sz w:val="24"/>
                <w:szCs w:val="24"/>
                <w:lang w:eastAsia="zh-CN"/>
              </w:rPr>
              <w:t>。</w:t>
            </w:r>
          </w:p>
          <w:p w14:paraId="2BAB6E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 w:val="0"/>
                <w:bCs w:val="0"/>
                <w:color w:val="FF0000"/>
                <w:spacing w:val="0"/>
                <w:sz w:val="24"/>
                <w:szCs w:val="24"/>
                <w:lang w:val="en-US" w:eastAsia="zh-CN"/>
              </w:rPr>
            </w:pPr>
            <w:r>
              <w:rPr>
                <w:rFonts w:hint="eastAsia" w:cs="Times New Roman"/>
                <w:b w:val="0"/>
                <w:bCs w:val="0"/>
                <w:color w:val="FF0000"/>
                <w:spacing w:val="0"/>
                <w:sz w:val="24"/>
                <w:szCs w:val="24"/>
                <w:lang w:val="en-US" w:eastAsia="zh-CN"/>
              </w:rPr>
              <w:t>4）边角料</w:t>
            </w:r>
          </w:p>
          <w:p w14:paraId="1C17BB16">
            <w:pPr>
              <w:pStyle w:val="8"/>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ascii="Times New Roman" w:hAnsi="Times New Roman" w:eastAsia="宋体" w:cs="Times New Roman"/>
                <w:color w:val="FF0000"/>
                <w:spacing w:val="0"/>
                <w:kern w:val="0"/>
                <w:sz w:val="24"/>
                <w:szCs w:val="24"/>
                <w:lang w:val="en-US" w:eastAsia="zh-CN" w:bidi="ar"/>
              </w:rPr>
            </w:pPr>
            <w:r>
              <w:rPr>
                <w:rFonts w:hint="eastAsia" w:ascii="Times New Roman" w:hAnsi="Times New Roman" w:eastAsia="宋体" w:cs="Times New Roman"/>
                <w:color w:val="FF0000"/>
                <w:spacing w:val="0"/>
                <w:kern w:val="0"/>
                <w:sz w:val="24"/>
                <w:szCs w:val="24"/>
                <w:lang w:val="en-US" w:eastAsia="zh-CN" w:bidi="ar"/>
              </w:rPr>
              <w:t>本项目医用退热贴和冰凉贴分切工序、穴位压力刺激贴和晕车贴裁片工序、创可贴和通气鼻贴复合/冲片工序会产生一定量的边角料，根据物料平衡可知，医用退热贴产生量约为12t/a、冰凉贴产生量约为4t/a、晕车贴产生量约为0.1t/a、创可贴产生量约为0.2</w:t>
            </w:r>
            <w:r>
              <w:rPr>
                <w:rFonts w:hint="eastAsia" w:ascii="Times New Roman" w:hAnsi="Times New Roman"/>
                <w:color w:val="FF0000"/>
                <w:sz w:val="24"/>
                <w:lang w:val="en-US" w:eastAsia="zh-CN"/>
              </w:rPr>
              <w:t>t/a、</w:t>
            </w:r>
            <w:r>
              <w:rPr>
                <w:rFonts w:hint="eastAsia" w:ascii="Times New Roman" w:hAnsi="Times New Roman" w:eastAsia="宋体" w:cs="Times New Roman"/>
                <w:color w:val="FF0000"/>
                <w:spacing w:val="0"/>
                <w:kern w:val="0"/>
                <w:sz w:val="24"/>
                <w:szCs w:val="24"/>
                <w:lang w:val="en-US" w:eastAsia="zh-CN" w:bidi="ar"/>
              </w:rPr>
              <w:t>通气鼻贴</w:t>
            </w:r>
            <w:r>
              <w:rPr>
                <w:rFonts w:hint="eastAsia" w:ascii="Times New Roman" w:hAnsi="Times New Roman"/>
                <w:color w:val="FF0000"/>
                <w:sz w:val="24"/>
                <w:lang w:val="en-US" w:eastAsia="zh-CN"/>
              </w:rPr>
              <w:t>产生量约为0.3t/a，合计16.78t/a。</w:t>
            </w:r>
            <w:r>
              <w:rPr>
                <w:rFonts w:hint="eastAsia" w:ascii="Times New Roman" w:hAnsi="Times New Roman" w:eastAsia="宋体" w:cs="Times New Roman"/>
                <w:color w:val="FF0000"/>
                <w:spacing w:val="0"/>
                <w:kern w:val="0"/>
                <w:sz w:val="24"/>
                <w:szCs w:val="24"/>
                <w:lang w:val="en-US" w:eastAsia="zh-CN" w:bidi="ar"/>
              </w:rPr>
              <w:t>对于其中可利用的部分，将重新回收使用，不能利用的部分，做报废处理，交由相关单位进行处理。</w:t>
            </w:r>
          </w:p>
          <w:p w14:paraId="33B85CA4">
            <w:pPr>
              <w:spacing w:line="360" w:lineRule="auto"/>
              <w:ind w:firstLine="480" w:firstLineChars="200"/>
              <w:rPr>
                <w:rFonts w:hint="eastAsia" w:ascii="Times New Roman" w:hAnsi="Times New Roman" w:eastAsia="宋体" w:cs="Times New Roman"/>
                <w:color w:val="FF0000"/>
                <w:spacing w:val="0"/>
                <w:kern w:val="0"/>
                <w:sz w:val="24"/>
                <w:szCs w:val="24"/>
                <w:lang w:val="en-US" w:eastAsia="zh-CN" w:bidi="ar"/>
              </w:rPr>
            </w:pPr>
            <w:r>
              <w:rPr>
                <w:rFonts w:hint="eastAsia" w:ascii="Times New Roman" w:hAnsi="Times New Roman" w:eastAsia="宋体" w:cs="Times New Roman"/>
                <w:color w:val="FF0000"/>
                <w:spacing w:val="0"/>
                <w:kern w:val="0"/>
                <w:sz w:val="24"/>
                <w:szCs w:val="24"/>
                <w:lang w:val="en-US" w:eastAsia="zh-CN" w:bidi="ar"/>
              </w:rPr>
              <w:t>根据《固体废物分类与代码目录》（生态环境部2024第4号），边角料属于SW59其他工业固体废物；非特定行业生产中的“900-099-S59其他工业生产过程中产生的固体废物”，统一收集后交由相关单位进行处理。</w:t>
            </w:r>
          </w:p>
          <w:p w14:paraId="1BAD41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FF0000"/>
                <w:spacing w:val="0"/>
                <w:sz w:val="24"/>
                <w:szCs w:val="24"/>
                <w:lang w:val="en-US" w:eastAsia="zh-CN"/>
              </w:rPr>
            </w:pPr>
            <w:r>
              <w:rPr>
                <w:rFonts w:hint="eastAsia" w:cs="Times New Roman"/>
                <w:b w:val="0"/>
                <w:bCs w:val="0"/>
                <w:color w:val="FF0000"/>
                <w:spacing w:val="0"/>
                <w:sz w:val="24"/>
                <w:szCs w:val="24"/>
                <w:lang w:val="en-US" w:eastAsia="zh-CN"/>
              </w:rPr>
              <w:t>3、危险废弃物</w:t>
            </w:r>
          </w:p>
          <w:p w14:paraId="5472E96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FF0000"/>
                <w:spacing w:val="0"/>
                <w:sz w:val="24"/>
                <w:szCs w:val="24"/>
                <w:lang w:val="en-US" w:eastAsia="zh-CN"/>
              </w:rPr>
            </w:pPr>
            <w:r>
              <w:rPr>
                <w:rFonts w:hint="eastAsia" w:cs="Times New Roman"/>
                <w:b w:val="0"/>
                <w:bCs w:val="0"/>
                <w:color w:val="FF0000"/>
                <w:spacing w:val="0"/>
                <w:sz w:val="24"/>
                <w:szCs w:val="24"/>
                <w:lang w:val="en-US" w:eastAsia="zh-CN"/>
              </w:rPr>
              <w:t>1）实验废液</w:t>
            </w:r>
          </w:p>
          <w:p w14:paraId="725F75D9">
            <w:pPr>
              <w:pStyle w:val="37"/>
              <w:keepNext w:val="0"/>
              <w:keepLines w:val="0"/>
              <w:pageBreakBefore w:val="0"/>
              <w:widowControl w:val="0"/>
              <w:kinsoku/>
              <w:wordWrap/>
              <w:overflowPunct/>
              <w:topLinePunct w:val="0"/>
              <w:autoSpaceDE w:val="0"/>
              <w:autoSpaceDN w:val="0"/>
              <w:bidi w:val="0"/>
              <w:adjustRightInd w:val="0"/>
              <w:snapToGrid/>
              <w:spacing w:before="0" w:after="0" w:line="360" w:lineRule="auto"/>
              <w:ind w:firstLine="480" w:firstLineChars="200"/>
              <w:textAlignment w:val="auto"/>
              <w:rPr>
                <w:rFonts w:hint="eastAsia" w:ascii="Times New Roman" w:cs="Times New Roman"/>
                <w:color w:val="FF0000"/>
                <w:spacing w:val="0"/>
                <w:lang w:val="en-US" w:eastAsia="zh-CN"/>
              </w:rPr>
            </w:pPr>
            <w:r>
              <w:rPr>
                <w:rFonts w:hint="default" w:ascii="Times New Roman" w:hAnsi="Times New Roman" w:eastAsia="宋体" w:cs="Times New Roman"/>
                <w:color w:val="FF0000"/>
                <w:spacing w:val="0"/>
                <w:lang w:val="en-US" w:eastAsia="zh-CN"/>
              </w:rPr>
              <w:t>项目设置专门的实验室对成品/半成品、样品进行检测，主要检测微生物、理化性质等，实验过程中会产生检测</w:t>
            </w:r>
            <w:r>
              <w:rPr>
                <w:rFonts w:hint="eastAsia" w:ascii="Times New Roman" w:cs="Times New Roman"/>
                <w:color w:val="FF0000"/>
                <w:spacing w:val="0"/>
                <w:lang w:val="en-US" w:eastAsia="zh-CN"/>
              </w:rPr>
              <w:t>废液（主要含有硝酸铅、二乙基二硫代氨基甲酸银等）</w:t>
            </w:r>
            <w:r>
              <w:rPr>
                <w:rFonts w:hint="default" w:ascii="Times New Roman" w:hAnsi="Times New Roman" w:eastAsia="宋体" w:cs="Times New Roman"/>
                <w:color w:val="FF0000"/>
                <w:spacing w:val="0"/>
                <w:lang w:val="en-US" w:eastAsia="zh-CN"/>
              </w:rPr>
              <w:t>，</w:t>
            </w:r>
            <w:r>
              <w:rPr>
                <w:rFonts w:hint="eastAsia" w:ascii="Times New Roman" w:cs="Times New Roman"/>
                <w:color w:val="FF0000"/>
                <w:spacing w:val="0"/>
                <w:lang w:val="en-US" w:eastAsia="zh-CN"/>
              </w:rPr>
              <w:t>产生量约为0.5t/a，属于危险废物HW49，900-047-49，经企业集中收集后暂存于危废暂存间，</w:t>
            </w:r>
            <w:r>
              <w:rPr>
                <w:rFonts w:hint="eastAsia" w:ascii="Times New Roman" w:eastAsia="宋体"/>
                <w:color w:val="FF0000"/>
                <w:sz w:val="24"/>
                <w:szCs w:val="24"/>
                <w:highlight w:val="none"/>
                <w:lang w:val="en-US" w:eastAsia="zh-CN"/>
              </w:rPr>
              <w:t>定期交由有资质的单位处理</w:t>
            </w:r>
            <w:r>
              <w:rPr>
                <w:rFonts w:hint="eastAsia" w:ascii="Times New Roman" w:cs="Times New Roman"/>
                <w:color w:val="FF0000"/>
                <w:spacing w:val="0"/>
                <w:lang w:val="en-US" w:eastAsia="zh-CN"/>
              </w:rPr>
              <w:t>。</w:t>
            </w:r>
          </w:p>
          <w:p w14:paraId="48E672C6">
            <w:pPr>
              <w:pStyle w:val="11"/>
              <w:spacing w:after="0" w:line="360" w:lineRule="auto"/>
              <w:ind w:left="0" w:leftChars="0" w:firstLine="480" w:firstLineChars="200"/>
              <w:jc w:val="left"/>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2）废热熔胶桶</w:t>
            </w:r>
          </w:p>
          <w:p w14:paraId="2CB66DED">
            <w:pPr>
              <w:pStyle w:val="11"/>
              <w:spacing w:after="0" w:line="360" w:lineRule="auto"/>
              <w:ind w:left="0" w:leftChars="0" w:firstLine="480" w:firstLineChars="200"/>
              <w:jc w:val="left"/>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项目制胶过程中使用热熔胶，会产生一定量的废热熔胶桶。根据建设单位提供资料，本项目废热熔胶桶使用量约1.5t/a，塑料桶装，25kg/桶，约60桶，单个空桶重约1kg，则废热熔胶桶产生量约为0.06t/a。</w:t>
            </w:r>
          </w:p>
          <w:p w14:paraId="2E54E215">
            <w:pPr>
              <w:pStyle w:val="11"/>
              <w:spacing w:after="0" w:line="360" w:lineRule="auto"/>
              <w:ind w:left="0" w:leftChars="0" w:firstLine="480" w:firstLineChars="200"/>
              <w:jc w:val="left"/>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根据《国家危险废物目录（2021年版）》可知，废热熔胶桶“HW49 其他废物”中的‘900-041-49含有或沾染毒性、感染性危险废物的废弃包装物、容器、过滤吸附介质’的危废，集中收集至危险废物暂存间，定期交由有资质的单位处理。</w:t>
            </w:r>
          </w:p>
          <w:p w14:paraId="698726C8">
            <w:pPr>
              <w:pStyle w:val="11"/>
              <w:spacing w:after="0" w:line="360" w:lineRule="auto"/>
              <w:ind w:left="0" w:leftChars="0" w:firstLine="480" w:firstLineChars="200"/>
              <w:jc w:val="left"/>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3）废油墨桶</w:t>
            </w:r>
          </w:p>
          <w:p w14:paraId="42C7F31B">
            <w:pPr>
              <w:pStyle w:val="11"/>
              <w:spacing w:after="0" w:line="360" w:lineRule="auto"/>
              <w:ind w:left="0" w:leftChars="0" w:firstLine="480" w:firstLineChars="200"/>
              <w:jc w:val="left"/>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项目外包装喷码过程中使用喷码油墨，会产生一定量的废油墨桶。根据建设单位提供资料，本项目喷码油墨使用量约0.1t/a，塑料桶装，25kg/桶，约4桶，单个空桶重约1kg，则废油墨桶产生量约为0.004t/a。</w:t>
            </w:r>
          </w:p>
          <w:p w14:paraId="3B022C93">
            <w:pPr>
              <w:pStyle w:val="11"/>
              <w:spacing w:after="0" w:line="360" w:lineRule="auto"/>
              <w:ind w:left="0" w:leftChars="0" w:firstLine="480" w:firstLineChars="200"/>
              <w:jc w:val="left"/>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根据《国家危险废物目录（2021年版）》可知，废墨桶</w:t>
            </w:r>
            <w:r>
              <w:rPr>
                <w:rFonts w:hint="eastAsia" w:ascii="Times New Roman" w:eastAsia="宋体"/>
                <w:color w:val="FF0000"/>
                <w:sz w:val="24"/>
                <w:szCs w:val="24"/>
                <w:highlight w:val="none"/>
                <w:lang w:val="en-US" w:eastAsia="zh-CN"/>
              </w:rPr>
              <w:t>“HW49 其他废物”中的‘900-041-49含有或沾染毒性、感染性危险废物的废弃包装物、容器、过滤吸附介质’的危废</w:t>
            </w:r>
            <w:r>
              <w:rPr>
                <w:rFonts w:hint="eastAsia"/>
                <w:color w:val="FF0000"/>
                <w:sz w:val="24"/>
                <w:szCs w:val="24"/>
                <w:highlight w:val="none"/>
                <w:lang w:val="en-US" w:eastAsia="zh-CN"/>
              </w:rPr>
              <w:t>，</w:t>
            </w:r>
            <w:r>
              <w:rPr>
                <w:rFonts w:hint="eastAsia" w:ascii="Times New Roman" w:hAnsi="Times New Roman" w:eastAsia="宋体" w:cs="Times New Roman"/>
                <w:color w:val="FF0000"/>
                <w:highlight w:val="none"/>
                <w:lang w:val="en-US" w:eastAsia="zh-CN"/>
              </w:rPr>
              <w:t>集中收集至危险废物暂存间，定期交由有资质的单位处理。</w:t>
            </w:r>
          </w:p>
          <w:p w14:paraId="5ABF087E">
            <w:pPr>
              <w:pStyle w:val="11"/>
              <w:spacing w:after="0" w:line="360" w:lineRule="auto"/>
              <w:ind w:left="0" w:leftChars="0" w:firstLine="480" w:firstLineChars="200"/>
              <w:jc w:val="left"/>
              <w:rPr>
                <w:rFonts w:hint="default"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sz w:val="24"/>
                <w:szCs w:val="24"/>
                <w:highlight w:val="none"/>
                <w:lang w:val="en-US" w:eastAsia="zh-CN"/>
              </w:rPr>
              <w:t>4）</w:t>
            </w:r>
            <w:r>
              <w:rPr>
                <w:rFonts w:hint="eastAsia" w:ascii="Times New Roman" w:hAnsi="Times New Roman" w:eastAsia="宋体" w:cs="Times New Roman"/>
                <w:color w:val="FF0000"/>
                <w:highlight w:val="none"/>
                <w:lang w:val="en-US" w:eastAsia="zh-CN"/>
              </w:rPr>
              <w:t>废矿物油</w:t>
            </w:r>
          </w:p>
          <w:p w14:paraId="49A34107">
            <w:pPr>
              <w:pStyle w:val="11"/>
              <w:spacing w:after="0" w:line="360" w:lineRule="auto"/>
              <w:ind w:left="0" w:leftChars="0" w:firstLine="480" w:firstLineChars="200"/>
              <w:jc w:val="left"/>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项目设备维护需使用矿物油，根据业主提供的资料，废矿物油的产生量为0.05t/a。</w:t>
            </w:r>
          </w:p>
          <w:p w14:paraId="3CB49F94">
            <w:pPr>
              <w:pStyle w:val="11"/>
              <w:spacing w:after="0" w:line="360" w:lineRule="auto"/>
              <w:ind w:left="0" w:leftChars="0" w:firstLine="480" w:firstLineChars="200"/>
              <w:jc w:val="left"/>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根据《国家危险废物目录（2021年版）》可知，含油废渣属于“HW08 废矿物油与含矿物油废物”中的‘900-214-08 车辆、轮船及其它机械维修过程中产生的废发动机油、制动器油、自动变速器油、齿轮油等废润滑油’的危废，集中收集至危险废物暂存间，定期交由有资质的单位处理。</w:t>
            </w:r>
          </w:p>
          <w:p w14:paraId="66904AF1">
            <w:pPr>
              <w:pStyle w:val="11"/>
              <w:numPr>
                <w:ilvl w:val="0"/>
                <w:numId w:val="0"/>
              </w:numPr>
              <w:spacing w:after="0" w:line="360" w:lineRule="auto"/>
              <w:ind w:left="0" w:leftChars="0" w:firstLine="480" w:firstLineChars="200"/>
              <w:jc w:val="left"/>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kern w:val="0"/>
                <w:sz w:val="24"/>
                <w:szCs w:val="20"/>
                <w:highlight w:val="none"/>
                <w:lang w:val="en-US" w:eastAsia="zh-CN" w:bidi="ar-SA"/>
              </w:rPr>
              <w:t>5）</w:t>
            </w:r>
            <w:r>
              <w:rPr>
                <w:rFonts w:hint="eastAsia" w:ascii="Times New Roman" w:hAnsi="Times New Roman" w:eastAsia="宋体" w:cs="Times New Roman"/>
                <w:color w:val="FF0000"/>
                <w:highlight w:val="none"/>
                <w:lang w:val="en-US" w:eastAsia="zh-CN"/>
              </w:rPr>
              <w:t>废矿物油桶</w:t>
            </w:r>
          </w:p>
          <w:p w14:paraId="1058F60C">
            <w:pPr>
              <w:pStyle w:val="11"/>
              <w:numPr>
                <w:ilvl w:val="0"/>
                <w:numId w:val="0"/>
              </w:numPr>
              <w:spacing w:after="0" w:line="360" w:lineRule="auto"/>
              <w:ind w:left="0" w:leftChars="0" w:firstLine="480" w:firstLineChars="200"/>
              <w:jc w:val="left"/>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设备维护过程中会产生废矿物油桶，根据建设单位资料，废矿物油桶产生量约为0.02t/a。</w:t>
            </w:r>
          </w:p>
          <w:p w14:paraId="4D2BA2E9">
            <w:pPr>
              <w:pStyle w:val="11"/>
              <w:spacing w:after="0" w:line="360" w:lineRule="auto"/>
              <w:ind w:left="0" w:leftChars="0" w:firstLine="480" w:firstLineChars="200"/>
              <w:jc w:val="left"/>
              <w:rPr>
                <w:rFonts w:hint="eastAsia" w:ascii="Times New Roman" w:hAnsi="Times New Roman" w:eastAsia="宋体" w:cs="Times New Roman"/>
                <w:color w:val="FF0000"/>
                <w:highlight w:val="none"/>
                <w:lang w:val="en-US" w:eastAsia="zh-CN"/>
              </w:rPr>
            </w:pPr>
            <w:r>
              <w:rPr>
                <w:rFonts w:hint="eastAsia" w:ascii="Times New Roman" w:hAnsi="Times New Roman" w:eastAsia="宋体" w:cs="Times New Roman"/>
                <w:color w:val="FF0000"/>
                <w:highlight w:val="none"/>
                <w:lang w:val="en-US" w:eastAsia="zh-CN"/>
              </w:rPr>
              <w:t>根据《国家危险废物目录（2021年版）》可知，废矿物油桶属于“HW08 废矿物油与含矿物油废物”中的‘900-249-08 其他生产、销售、使用过程中产生的废矿物油及沾染矿物油的废弃包装物’的危废，集中收集至危险废物暂存间，定期交由有资质的单位处理。</w:t>
            </w:r>
          </w:p>
          <w:p w14:paraId="0DF46461">
            <w:pPr>
              <w:pStyle w:val="11"/>
              <w:spacing w:after="0" w:line="360" w:lineRule="auto"/>
              <w:ind w:left="0" w:leftChars="0" w:firstLine="480" w:firstLineChars="200"/>
              <w:jc w:val="left"/>
              <w:rPr>
                <w:rFonts w:hint="eastAsia" w:ascii="Times New Roman" w:eastAsia="宋体"/>
                <w:color w:val="FF0000"/>
                <w:sz w:val="24"/>
                <w:szCs w:val="24"/>
                <w:highlight w:val="none"/>
                <w:lang w:val="en-US" w:eastAsia="zh-CN"/>
              </w:rPr>
            </w:pPr>
            <w:r>
              <w:rPr>
                <w:rFonts w:hint="eastAsia" w:ascii="Times New Roman" w:eastAsia="宋体"/>
                <w:color w:val="FF0000"/>
                <w:sz w:val="24"/>
                <w:szCs w:val="24"/>
                <w:highlight w:val="none"/>
                <w:lang w:val="en-US" w:eastAsia="zh-CN"/>
              </w:rPr>
              <w:t>6）废含油抹布、手套</w:t>
            </w:r>
          </w:p>
          <w:p w14:paraId="215580B3">
            <w:pPr>
              <w:pStyle w:val="11"/>
              <w:spacing w:after="0" w:line="360" w:lineRule="auto"/>
              <w:ind w:left="0" w:leftChars="0" w:firstLine="480" w:firstLineChars="200"/>
              <w:jc w:val="left"/>
              <w:rPr>
                <w:rFonts w:hint="eastAsia" w:ascii="Times New Roman" w:eastAsia="宋体"/>
                <w:color w:val="FF0000"/>
                <w:sz w:val="24"/>
                <w:szCs w:val="24"/>
                <w:highlight w:val="none"/>
                <w:lang w:val="en-US" w:eastAsia="zh-CN"/>
              </w:rPr>
            </w:pPr>
            <w:r>
              <w:rPr>
                <w:rFonts w:hint="eastAsia" w:ascii="Times New Roman" w:eastAsia="宋体"/>
                <w:color w:val="FF0000"/>
                <w:sz w:val="24"/>
                <w:szCs w:val="24"/>
                <w:highlight w:val="none"/>
                <w:lang w:val="en-US" w:eastAsia="zh-CN"/>
              </w:rPr>
              <w:t>项目设备运行和维修过程会产生少量的废含油抹布、含油手套，约0.02t/a。</w:t>
            </w:r>
          </w:p>
          <w:p w14:paraId="548EBA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FF0000"/>
                <w:sz w:val="24"/>
                <w:szCs w:val="24"/>
                <w:lang w:val="en-US" w:eastAsia="zh-CN"/>
              </w:rPr>
            </w:pPr>
            <w:r>
              <w:rPr>
                <w:rFonts w:hint="eastAsia" w:ascii="Times New Roman" w:eastAsia="宋体"/>
                <w:color w:val="FF0000"/>
                <w:sz w:val="24"/>
                <w:szCs w:val="24"/>
                <w:highlight w:val="none"/>
                <w:lang w:val="en-US" w:eastAsia="zh-CN"/>
              </w:rPr>
              <w:t>根据《国家危险废物目录（2021年版）》可知，废含油抹布、手套属于“HW49 其他废物”中的‘900-041-49含有或沾染毒性、感染性危险废物的废弃包装物、容器、过滤吸附介质’的危废，应收集中收集至危险废物暂存间，定期交由有资质的单位处理。</w:t>
            </w:r>
          </w:p>
          <w:p w14:paraId="703F1B7A">
            <w:pPr>
              <w:spacing w:line="360" w:lineRule="auto"/>
              <w:ind w:firstLine="480" w:firstLineChars="200"/>
              <w:rPr>
                <w:rFonts w:ascii="Times New Roman" w:hAnsi="Times New Roman" w:eastAsia="宋体" w:cs="Times New Roman"/>
                <w:color w:val="FF0000"/>
                <w:kern w:val="0"/>
                <w:sz w:val="24"/>
                <w:highlight w:val="none"/>
              </w:rPr>
            </w:pPr>
            <w:r>
              <w:rPr>
                <w:rFonts w:ascii="Times New Roman" w:hAnsi="Times New Roman" w:eastAsia="宋体" w:cs="Times New Roman"/>
                <w:color w:val="FF0000"/>
                <w:kern w:val="0"/>
                <w:sz w:val="24"/>
                <w:highlight w:val="none"/>
              </w:rPr>
              <w:t>根据以上分析可知，本项目固体废物产生情况见</w:t>
            </w:r>
            <w:r>
              <w:rPr>
                <w:rFonts w:hint="eastAsia" w:ascii="Times New Roman" w:hAnsi="Times New Roman" w:eastAsia="宋体" w:cs="Times New Roman"/>
                <w:color w:val="FF0000"/>
                <w:kern w:val="0"/>
                <w:sz w:val="24"/>
                <w:highlight w:val="none"/>
                <w:lang w:val="en-US" w:eastAsia="zh-CN"/>
              </w:rPr>
              <w:t>下</w:t>
            </w:r>
            <w:r>
              <w:rPr>
                <w:rFonts w:ascii="Times New Roman" w:hAnsi="Times New Roman" w:eastAsia="宋体" w:cs="Times New Roman"/>
                <w:color w:val="FF0000"/>
                <w:kern w:val="0"/>
                <w:sz w:val="24"/>
                <w:highlight w:val="none"/>
              </w:rPr>
              <w:t>表。</w:t>
            </w:r>
          </w:p>
          <w:p w14:paraId="180C5943">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ascii="Times New Roman" w:hAnsi="Times New Roman" w:eastAsia="宋体" w:cs="Times New Roman"/>
                <w:b/>
                <w:bCs/>
                <w:color w:val="FF0000"/>
                <w:sz w:val="21"/>
                <w:szCs w:val="21"/>
                <w:highlight w:val="none"/>
              </w:rPr>
            </w:pPr>
            <w:r>
              <w:rPr>
                <w:rFonts w:ascii="Times New Roman" w:hAnsi="Times New Roman" w:eastAsia="宋体" w:cs="Times New Roman"/>
                <w:b/>
                <w:bCs/>
                <w:color w:val="FF0000"/>
                <w:sz w:val="21"/>
                <w:szCs w:val="21"/>
                <w:highlight w:val="none"/>
              </w:rPr>
              <w:t>表4-</w:t>
            </w:r>
            <w:r>
              <w:rPr>
                <w:rFonts w:hint="eastAsia" w:cs="Times New Roman"/>
                <w:b/>
                <w:bCs/>
                <w:color w:val="FF0000"/>
                <w:sz w:val="21"/>
                <w:szCs w:val="21"/>
                <w:highlight w:val="none"/>
                <w:lang w:val="en-US" w:eastAsia="zh-CN"/>
              </w:rPr>
              <w:t>19</w:t>
            </w:r>
            <w:r>
              <w:rPr>
                <w:rFonts w:ascii="Times New Roman" w:hAnsi="Times New Roman" w:eastAsia="宋体" w:cs="Times New Roman"/>
                <w:b/>
                <w:bCs/>
                <w:color w:val="FF0000"/>
                <w:sz w:val="21"/>
                <w:szCs w:val="21"/>
                <w:highlight w:val="none"/>
              </w:rPr>
              <w:t xml:space="preserve">  项目</w:t>
            </w:r>
            <w:r>
              <w:rPr>
                <w:rFonts w:hint="eastAsia" w:ascii="Times New Roman" w:hAnsi="Times New Roman" w:eastAsia="宋体" w:cs="Times New Roman"/>
                <w:b/>
                <w:bCs/>
                <w:color w:val="FF0000"/>
                <w:sz w:val="21"/>
                <w:szCs w:val="21"/>
                <w:highlight w:val="none"/>
                <w:lang w:val="en-US" w:eastAsia="zh-CN"/>
              </w:rPr>
              <w:t>固废污染源源强核算结果及相关参数一览表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1405"/>
              <w:gridCol w:w="741"/>
              <w:gridCol w:w="1759"/>
              <w:gridCol w:w="1654"/>
              <w:gridCol w:w="1083"/>
              <w:gridCol w:w="1435"/>
            </w:tblGrid>
            <w:tr w14:paraId="7C2FFF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75" w:type="pct"/>
                  <w:tcBorders>
                    <w:bottom w:val="single" w:color="auto" w:sz="12" w:space="0"/>
                  </w:tcBorders>
                  <w:noWrap w:val="0"/>
                  <w:vAlign w:val="center"/>
                </w:tcPr>
                <w:p w14:paraId="4ED8C1E6">
                  <w:pPr>
                    <w:tabs>
                      <w:tab w:val="right" w:pos="7832"/>
                    </w:tabs>
                    <w:jc w:val="center"/>
                    <w:rPr>
                      <w:rFonts w:ascii="Times New Roman" w:hAnsi="Times New Roman" w:eastAsia="宋体" w:cs="Times New Roman"/>
                      <w:b/>
                      <w:bCs/>
                      <w:color w:val="FF0000"/>
                      <w:sz w:val="21"/>
                      <w:szCs w:val="21"/>
                      <w:highlight w:val="none"/>
                    </w:rPr>
                  </w:pPr>
                  <w:r>
                    <w:rPr>
                      <w:rFonts w:ascii="Times New Roman" w:hAnsi="Times New Roman" w:eastAsia="宋体" w:cs="Times New Roman"/>
                      <w:b/>
                      <w:bCs/>
                      <w:color w:val="FF0000"/>
                      <w:sz w:val="21"/>
                      <w:szCs w:val="21"/>
                      <w:highlight w:val="none"/>
                    </w:rPr>
                    <w:t>序号</w:t>
                  </w:r>
                </w:p>
              </w:tc>
              <w:tc>
                <w:tcPr>
                  <w:tcW w:w="821" w:type="pct"/>
                  <w:tcBorders>
                    <w:bottom w:val="single" w:color="auto" w:sz="12" w:space="0"/>
                  </w:tcBorders>
                  <w:noWrap w:val="0"/>
                  <w:vAlign w:val="center"/>
                </w:tcPr>
                <w:p w14:paraId="679FD458">
                  <w:pPr>
                    <w:tabs>
                      <w:tab w:val="right" w:pos="7832"/>
                    </w:tabs>
                    <w:jc w:val="center"/>
                    <w:rPr>
                      <w:rFonts w:ascii="Times New Roman" w:hAnsi="Times New Roman" w:eastAsia="宋体" w:cs="Times New Roman"/>
                      <w:b/>
                      <w:bCs/>
                      <w:color w:val="FF0000"/>
                      <w:sz w:val="21"/>
                      <w:szCs w:val="21"/>
                      <w:highlight w:val="none"/>
                    </w:rPr>
                  </w:pPr>
                  <w:r>
                    <w:rPr>
                      <w:rFonts w:ascii="Times New Roman" w:hAnsi="Times New Roman" w:eastAsia="宋体" w:cs="Times New Roman"/>
                      <w:b/>
                      <w:bCs/>
                      <w:color w:val="FF0000"/>
                      <w:sz w:val="21"/>
                      <w:szCs w:val="21"/>
                      <w:highlight w:val="none"/>
                    </w:rPr>
                    <w:t>污染物</w:t>
                  </w:r>
                </w:p>
                <w:p w14:paraId="15DC8E4B">
                  <w:pPr>
                    <w:tabs>
                      <w:tab w:val="right" w:pos="7832"/>
                    </w:tabs>
                    <w:jc w:val="center"/>
                    <w:rPr>
                      <w:rFonts w:ascii="Times New Roman" w:hAnsi="Times New Roman" w:eastAsia="宋体" w:cs="Times New Roman"/>
                      <w:b/>
                      <w:bCs/>
                      <w:color w:val="FF0000"/>
                      <w:sz w:val="21"/>
                      <w:szCs w:val="21"/>
                      <w:highlight w:val="none"/>
                    </w:rPr>
                  </w:pPr>
                  <w:r>
                    <w:rPr>
                      <w:rFonts w:ascii="Times New Roman" w:hAnsi="Times New Roman" w:eastAsia="宋体" w:cs="Times New Roman"/>
                      <w:b/>
                      <w:bCs/>
                      <w:color w:val="FF0000"/>
                      <w:sz w:val="21"/>
                      <w:szCs w:val="21"/>
                      <w:highlight w:val="none"/>
                    </w:rPr>
                    <w:t>名称</w:t>
                  </w:r>
                </w:p>
              </w:tc>
              <w:tc>
                <w:tcPr>
                  <w:tcW w:w="433" w:type="pct"/>
                  <w:tcBorders>
                    <w:bottom w:val="single" w:color="auto" w:sz="12" w:space="0"/>
                  </w:tcBorders>
                  <w:noWrap w:val="0"/>
                  <w:vAlign w:val="center"/>
                </w:tcPr>
                <w:p w14:paraId="6F18DA20">
                  <w:pPr>
                    <w:tabs>
                      <w:tab w:val="right" w:pos="7832"/>
                    </w:tabs>
                    <w:jc w:val="center"/>
                    <w:rPr>
                      <w:rFonts w:ascii="Times New Roman" w:hAnsi="Times New Roman" w:eastAsia="宋体" w:cs="Times New Roman"/>
                      <w:b/>
                      <w:bCs/>
                      <w:color w:val="FF0000"/>
                      <w:sz w:val="21"/>
                      <w:szCs w:val="21"/>
                      <w:highlight w:val="none"/>
                    </w:rPr>
                  </w:pPr>
                  <w:r>
                    <w:rPr>
                      <w:rFonts w:ascii="Times New Roman" w:hAnsi="Times New Roman" w:eastAsia="宋体" w:cs="Times New Roman"/>
                      <w:b/>
                      <w:bCs/>
                      <w:color w:val="FF0000"/>
                      <w:sz w:val="21"/>
                      <w:szCs w:val="21"/>
                      <w:highlight w:val="none"/>
                    </w:rPr>
                    <w:t>产生环节</w:t>
                  </w:r>
                </w:p>
              </w:tc>
              <w:tc>
                <w:tcPr>
                  <w:tcW w:w="1028" w:type="pct"/>
                  <w:tcBorders>
                    <w:bottom w:val="single" w:color="auto" w:sz="12" w:space="0"/>
                  </w:tcBorders>
                  <w:noWrap w:val="0"/>
                  <w:vAlign w:val="center"/>
                </w:tcPr>
                <w:p w14:paraId="5C5F40FD">
                  <w:pPr>
                    <w:tabs>
                      <w:tab w:val="right" w:pos="7832"/>
                    </w:tabs>
                    <w:jc w:val="center"/>
                    <w:rPr>
                      <w:rFonts w:ascii="Times New Roman" w:hAnsi="Times New Roman" w:eastAsia="宋体" w:cs="Times New Roman"/>
                      <w:b/>
                      <w:bCs/>
                      <w:color w:val="FF0000"/>
                      <w:sz w:val="21"/>
                      <w:szCs w:val="21"/>
                      <w:highlight w:val="none"/>
                    </w:rPr>
                  </w:pPr>
                  <w:r>
                    <w:rPr>
                      <w:rFonts w:ascii="Times New Roman" w:hAnsi="Times New Roman" w:eastAsia="宋体" w:cs="Times New Roman"/>
                      <w:b/>
                      <w:bCs/>
                      <w:color w:val="FF0000"/>
                      <w:sz w:val="21"/>
                      <w:szCs w:val="21"/>
                      <w:highlight w:val="none"/>
                    </w:rPr>
                    <w:t>性质（代码）</w:t>
                  </w:r>
                </w:p>
              </w:tc>
              <w:tc>
                <w:tcPr>
                  <w:tcW w:w="967" w:type="pct"/>
                  <w:tcBorders>
                    <w:bottom w:val="single" w:color="auto" w:sz="12" w:space="0"/>
                  </w:tcBorders>
                  <w:noWrap w:val="0"/>
                  <w:vAlign w:val="center"/>
                </w:tcPr>
                <w:p w14:paraId="16506DD5">
                  <w:pPr>
                    <w:tabs>
                      <w:tab w:val="right" w:pos="7832"/>
                    </w:tabs>
                    <w:jc w:val="center"/>
                    <w:rPr>
                      <w:rFonts w:ascii="Times New Roman" w:hAnsi="Times New Roman" w:eastAsia="宋体" w:cs="Times New Roman"/>
                      <w:b/>
                      <w:bCs/>
                      <w:color w:val="FF0000"/>
                      <w:sz w:val="21"/>
                      <w:szCs w:val="21"/>
                      <w:highlight w:val="none"/>
                    </w:rPr>
                  </w:pPr>
                  <w:r>
                    <w:rPr>
                      <w:rFonts w:ascii="Times New Roman" w:hAnsi="Times New Roman" w:eastAsia="宋体" w:cs="Times New Roman"/>
                      <w:b/>
                      <w:bCs/>
                      <w:color w:val="FF0000"/>
                      <w:sz w:val="21"/>
                      <w:szCs w:val="21"/>
                      <w:highlight w:val="none"/>
                    </w:rPr>
                    <w:t>主要成分</w:t>
                  </w:r>
                </w:p>
              </w:tc>
              <w:tc>
                <w:tcPr>
                  <w:tcW w:w="633" w:type="pct"/>
                  <w:tcBorders>
                    <w:bottom w:val="single" w:color="auto" w:sz="12" w:space="0"/>
                  </w:tcBorders>
                  <w:noWrap w:val="0"/>
                  <w:vAlign w:val="center"/>
                </w:tcPr>
                <w:p w14:paraId="621B2FFF">
                  <w:pPr>
                    <w:tabs>
                      <w:tab w:val="right" w:pos="7832"/>
                    </w:tabs>
                    <w:jc w:val="center"/>
                    <w:rPr>
                      <w:rFonts w:ascii="Times New Roman" w:hAnsi="Times New Roman" w:eastAsia="宋体" w:cs="Times New Roman"/>
                      <w:b/>
                      <w:bCs/>
                      <w:color w:val="FF0000"/>
                      <w:sz w:val="21"/>
                      <w:szCs w:val="21"/>
                      <w:highlight w:val="none"/>
                    </w:rPr>
                  </w:pPr>
                  <w:r>
                    <w:rPr>
                      <w:rFonts w:ascii="Times New Roman" w:hAnsi="Times New Roman" w:eastAsia="宋体" w:cs="Times New Roman"/>
                      <w:b/>
                      <w:bCs/>
                      <w:color w:val="FF0000"/>
                      <w:sz w:val="21"/>
                      <w:szCs w:val="21"/>
                      <w:highlight w:val="none"/>
                    </w:rPr>
                    <w:t>产生量</w:t>
                  </w:r>
                </w:p>
                <w:p w14:paraId="47359E27">
                  <w:pPr>
                    <w:tabs>
                      <w:tab w:val="right" w:pos="7832"/>
                    </w:tabs>
                    <w:jc w:val="center"/>
                    <w:rPr>
                      <w:rFonts w:ascii="Times New Roman" w:hAnsi="Times New Roman" w:eastAsia="宋体" w:cs="Times New Roman"/>
                      <w:b/>
                      <w:bCs/>
                      <w:color w:val="FF0000"/>
                      <w:sz w:val="21"/>
                      <w:szCs w:val="21"/>
                      <w:highlight w:val="none"/>
                    </w:rPr>
                  </w:pPr>
                  <w:r>
                    <w:rPr>
                      <w:rFonts w:ascii="Times New Roman" w:hAnsi="Times New Roman" w:eastAsia="宋体" w:cs="Times New Roman"/>
                      <w:b/>
                      <w:bCs/>
                      <w:color w:val="FF0000"/>
                      <w:sz w:val="21"/>
                      <w:szCs w:val="21"/>
                      <w:highlight w:val="none"/>
                    </w:rPr>
                    <w:t>（t/a）</w:t>
                  </w:r>
                </w:p>
              </w:tc>
              <w:tc>
                <w:tcPr>
                  <w:tcW w:w="839" w:type="pct"/>
                  <w:tcBorders>
                    <w:bottom w:val="single" w:color="auto" w:sz="12" w:space="0"/>
                  </w:tcBorders>
                  <w:noWrap w:val="0"/>
                  <w:vAlign w:val="center"/>
                </w:tcPr>
                <w:p w14:paraId="6B5A0920">
                  <w:pPr>
                    <w:tabs>
                      <w:tab w:val="right" w:pos="7832"/>
                    </w:tabs>
                    <w:jc w:val="center"/>
                    <w:rPr>
                      <w:rFonts w:ascii="Times New Roman" w:hAnsi="Times New Roman" w:eastAsia="宋体" w:cs="Times New Roman"/>
                      <w:b/>
                      <w:bCs/>
                      <w:color w:val="FF0000"/>
                      <w:sz w:val="21"/>
                      <w:szCs w:val="21"/>
                      <w:highlight w:val="none"/>
                    </w:rPr>
                  </w:pPr>
                  <w:r>
                    <w:rPr>
                      <w:rFonts w:ascii="Times New Roman" w:hAnsi="Times New Roman" w:eastAsia="宋体" w:cs="Times New Roman"/>
                      <w:b/>
                      <w:bCs/>
                      <w:color w:val="FF0000"/>
                      <w:sz w:val="21"/>
                      <w:szCs w:val="21"/>
                      <w:highlight w:val="none"/>
                    </w:rPr>
                    <w:t>处置措施</w:t>
                  </w:r>
                </w:p>
              </w:tc>
            </w:tr>
            <w:tr w14:paraId="75844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275" w:type="pct"/>
                  <w:tcBorders>
                    <w:top w:val="single" w:color="auto" w:sz="12" w:space="0"/>
                    <w:tl2br w:val="nil"/>
                    <w:tr2bl w:val="nil"/>
                  </w:tcBorders>
                  <w:noWrap w:val="0"/>
                  <w:vAlign w:val="center"/>
                </w:tcPr>
                <w:p w14:paraId="19B1B37C">
                  <w:pPr>
                    <w:tabs>
                      <w:tab w:val="right" w:pos="7832"/>
                    </w:tabs>
                    <w:jc w:val="center"/>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1</w:t>
                  </w:r>
                </w:p>
              </w:tc>
              <w:tc>
                <w:tcPr>
                  <w:tcW w:w="821" w:type="pct"/>
                  <w:tcBorders>
                    <w:top w:val="single" w:color="auto" w:sz="12" w:space="0"/>
                    <w:tl2br w:val="nil"/>
                    <w:tr2bl w:val="nil"/>
                  </w:tcBorders>
                  <w:noWrap w:val="0"/>
                  <w:vAlign w:val="center"/>
                </w:tcPr>
                <w:p w14:paraId="5067FCCE">
                  <w:pPr>
                    <w:adjustRightInd w:val="0"/>
                    <w:snapToGrid w:val="0"/>
                    <w:spacing w:line="240" w:lineRule="atLeast"/>
                    <w:jc w:val="center"/>
                    <w:rPr>
                      <w:rFonts w:ascii="Times New Roman" w:hAnsi="Times New Roman" w:eastAsia="宋体" w:cs="Times New Roman"/>
                      <w:color w:val="FF0000"/>
                      <w:sz w:val="21"/>
                      <w:szCs w:val="21"/>
                      <w:highlight w:val="none"/>
                    </w:rPr>
                  </w:pPr>
                  <w:r>
                    <w:rPr>
                      <w:rFonts w:hint="eastAsia" w:ascii="Times New Roman" w:hAnsi="Times New Roman" w:eastAsia="宋体" w:cs="Times New Roman"/>
                      <w:b w:val="0"/>
                      <w:bCs w:val="0"/>
                      <w:color w:val="FF0000"/>
                      <w:sz w:val="21"/>
                      <w:szCs w:val="21"/>
                      <w:highlight w:val="none"/>
                      <w:lang w:val="en-US" w:eastAsia="zh-CN"/>
                    </w:rPr>
                    <w:t>废包装材料</w:t>
                  </w:r>
                </w:p>
              </w:tc>
              <w:tc>
                <w:tcPr>
                  <w:tcW w:w="433" w:type="pct"/>
                  <w:tcBorders>
                    <w:top w:val="single" w:color="auto" w:sz="12" w:space="0"/>
                    <w:tl2br w:val="nil"/>
                    <w:tr2bl w:val="nil"/>
                  </w:tcBorders>
                  <w:noWrap w:val="0"/>
                  <w:vAlign w:val="center"/>
                </w:tcPr>
                <w:p w14:paraId="1A8D8C05">
                  <w:pPr>
                    <w:tabs>
                      <w:tab w:val="right" w:pos="7832"/>
                    </w:tabs>
                    <w:jc w:val="center"/>
                    <w:rPr>
                      <w:rFonts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包装</w:t>
                  </w:r>
                  <w:r>
                    <w:rPr>
                      <w:rFonts w:hint="eastAsia" w:ascii="Times New Roman" w:hAnsi="Times New Roman" w:eastAsia="宋体" w:cs="Times New Roman"/>
                      <w:color w:val="FF0000"/>
                      <w:sz w:val="21"/>
                      <w:szCs w:val="21"/>
                      <w:highlight w:val="none"/>
                      <w:lang w:eastAsia="zh-CN"/>
                    </w:rPr>
                    <w:t>工序</w:t>
                  </w:r>
                </w:p>
              </w:tc>
              <w:tc>
                <w:tcPr>
                  <w:tcW w:w="1028" w:type="pct"/>
                  <w:tcBorders>
                    <w:top w:val="single" w:color="auto" w:sz="12" w:space="0"/>
                    <w:tl2br w:val="nil"/>
                    <w:tr2bl w:val="nil"/>
                  </w:tcBorders>
                  <w:noWrap w:val="0"/>
                  <w:vAlign w:val="center"/>
                </w:tcPr>
                <w:p w14:paraId="4DC3821B">
                  <w:pPr>
                    <w:tabs>
                      <w:tab w:val="right" w:pos="7832"/>
                    </w:tabs>
                    <w:jc w:val="center"/>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一般固废</w:t>
                  </w:r>
                </w:p>
                <w:p w14:paraId="20E8444B">
                  <w:pPr>
                    <w:tabs>
                      <w:tab w:val="right" w:pos="7832"/>
                    </w:tabs>
                    <w:jc w:val="center"/>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w:t>
                  </w:r>
                  <w:r>
                    <w:rPr>
                      <w:rFonts w:hint="eastAsia" w:ascii="Times New Roman" w:hAnsi="Times New Roman" w:eastAsia="宋体" w:cs="Times New Roman"/>
                      <w:color w:val="FF0000"/>
                      <w:sz w:val="21"/>
                      <w:szCs w:val="21"/>
                      <w:highlight w:val="none"/>
                      <w:lang w:eastAsia="zh-CN"/>
                    </w:rPr>
                    <w:t>900-</w:t>
                  </w:r>
                  <w:r>
                    <w:rPr>
                      <w:rFonts w:hint="eastAsia" w:ascii="Times New Roman" w:hAnsi="Times New Roman" w:eastAsia="宋体" w:cs="Times New Roman"/>
                      <w:color w:val="FF0000"/>
                      <w:sz w:val="21"/>
                      <w:szCs w:val="21"/>
                      <w:highlight w:val="none"/>
                      <w:lang w:val="en-US" w:eastAsia="zh-CN"/>
                    </w:rPr>
                    <w:t>001</w:t>
                  </w:r>
                  <w:r>
                    <w:rPr>
                      <w:rFonts w:hint="eastAsia" w:ascii="Times New Roman" w:hAnsi="Times New Roman" w:eastAsia="宋体" w:cs="Times New Roman"/>
                      <w:color w:val="FF0000"/>
                      <w:sz w:val="21"/>
                      <w:szCs w:val="21"/>
                      <w:highlight w:val="none"/>
                      <w:lang w:eastAsia="zh-CN"/>
                    </w:rPr>
                    <w:t>-</w:t>
                  </w:r>
                  <w:r>
                    <w:rPr>
                      <w:rFonts w:hint="eastAsia" w:ascii="Times New Roman" w:hAnsi="Times New Roman" w:eastAsia="宋体" w:cs="Times New Roman"/>
                      <w:color w:val="FF0000"/>
                      <w:sz w:val="21"/>
                      <w:szCs w:val="21"/>
                      <w:highlight w:val="none"/>
                      <w:lang w:val="en-US" w:eastAsia="zh-CN"/>
                    </w:rPr>
                    <w:t>S5</w:t>
                  </w:r>
                  <w:r>
                    <w:rPr>
                      <w:rFonts w:hint="eastAsia" w:ascii="Times New Roman" w:hAnsi="Times New Roman" w:eastAsia="宋体" w:cs="Times New Roman"/>
                      <w:color w:val="FF0000"/>
                      <w:sz w:val="21"/>
                      <w:szCs w:val="21"/>
                      <w:highlight w:val="none"/>
                      <w:lang w:eastAsia="zh-CN"/>
                    </w:rPr>
                    <w:t>9</w:t>
                  </w:r>
                  <w:r>
                    <w:rPr>
                      <w:rFonts w:ascii="Times New Roman" w:hAnsi="Times New Roman" w:eastAsia="宋体" w:cs="Times New Roman"/>
                      <w:color w:val="FF0000"/>
                      <w:sz w:val="21"/>
                      <w:szCs w:val="21"/>
                      <w:highlight w:val="none"/>
                    </w:rPr>
                    <w:t>）</w:t>
                  </w:r>
                </w:p>
              </w:tc>
              <w:tc>
                <w:tcPr>
                  <w:tcW w:w="967" w:type="pct"/>
                  <w:tcBorders>
                    <w:top w:val="single" w:color="auto" w:sz="12" w:space="0"/>
                    <w:tl2br w:val="nil"/>
                    <w:tr2bl w:val="nil"/>
                  </w:tcBorders>
                  <w:noWrap w:val="0"/>
                  <w:vAlign w:val="center"/>
                </w:tcPr>
                <w:p w14:paraId="42011F6A">
                  <w:pPr>
                    <w:tabs>
                      <w:tab w:val="right" w:pos="7832"/>
                    </w:tabs>
                    <w:jc w:val="center"/>
                    <w:rPr>
                      <w:rFonts w:hint="default" w:ascii="Times New Roman" w:hAnsi="Times New Roman" w:eastAsia="宋体" w:cs="Times New Roman"/>
                      <w:color w:val="FF0000"/>
                      <w:sz w:val="21"/>
                      <w:szCs w:val="21"/>
                      <w:highlight w:val="none"/>
                      <w:lang w:val="en-US" w:eastAsia="zh-CN"/>
                    </w:rPr>
                  </w:pPr>
                  <w:r>
                    <w:rPr>
                      <w:rFonts w:ascii="Times New Roman" w:hAnsi="Times New Roman" w:eastAsia="宋体" w:cs="Times New Roman"/>
                      <w:color w:val="FF0000"/>
                      <w:sz w:val="21"/>
                      <w:szCs w:val="21"/>
                      <w:highlight w:val="none"/>
                    </w:rPr>
                    <w:t>废纸、废塑料</w:t>
                  </w:r>
                  <w:r>
                    <w:rPr>
                      <w:rFonts w:hint="eastAsia" w:ascii="Times New Roman" w:hAnsi="Times New Roman" w:eastAsia="宋体" w:cs="Times New Roman"/>
                      <w:color w:val="FF0000"/>
                      <w:sz w:val="21"/>
                      <w:szCs w:val="21"/>
                      <w:highlight w:val="none"/>
                      <w:lang w:val="en-US" w:eastAsia="zh-CN"/>
                    </w:rPr>
                    <w:t>袋</w:t>
                  </w:r>
                </w:p>
              </w:tc>
              <w:tc>
                <w:tcPr>
                  <w:tcW w:w="633" w:type="pct"/>
                  <w:tcBorders>
                    <w:top w:val="single" w:color="auto" w:sz="12" w:space="0"/>
                    <w:tl2br w:val="nil"/>
                    <w:tr2bl w:val="nil"/>
                  </w:tcBorders>
                  <w:noWrap w:val="0"/>
                  <w:vAlign w:val="center"/>
                </w:tcPr>
                <w:p w14:paraId="74B09273">
                  <w:pPr>
                    <w:pStyle w:val="71"/>
                    <w:ind w:firstLine="0" w:firstLineChars="0"/>
                    <w:rPr>
                      <w:rFonts w:hint="default" w:eastAsia="宋体"/>
                      <w:color w:val="FF0000"/>
                      <w:sz w:val="21"/>
                      <w:szCs w:val="21"/>
                      <w:highlight w:val="none"/>
                      <w:lang w:val="en-US" w:eastAsia="zh-CN"/>
                    </w:rPr>
                  </w:pPr>
                  <w:r>
                    <w:rPr>
                      <w:rFonts w:hint="eastAsia"/>
                      <w:b w:val="0"/>
                      <w:bCs w:val="0"/>
                      <w:color w:val="FF0000"/>
                      <w:sz w:val="21"/>
                      <w:szCs w:val="21"/>
                      <w:highlight w:val="none"/>
                      <w:lang w:val="en-US" w:eastAsia="zh-CN"/>
                    </w:rPr>
                    <w:t>2</w:t>
                  </w:r>
                </w:p>
              </w:tc>
              <w:tc>
                <w:tcPr>
                  <w:tcW w:w="839" w:type="pct"/>
                  <w:tcBorders>
                    <w:top w:val="single" w:color="auto" w:sz="12" w:space="0"/>
                    <w:tl2br w:val="nil"/>
                    <w:tr2bl w:val="nil"/>
                  </w:tcBorders>
                  <w:noWrap w:val="0"/>
                  <w:vAlign w:val="center"/>
                </w:tcPr>
                <w:p w14:paraId="2A289C7E">
                  <w:pPr>
                    <w:tabs>
                      <w:tab w:val="right" w:pos="7832"/>
                    </w:tabs>
                    <w:jc w:val="center"/>
                    <w:rPr>
                      <w:rFonts w:hint="eastAsia" w:ascii="Times New Roman" w:hAnsi="Times New Roman" w:eastAsia="宋体" w:cs="Times New Roman"/>
                      <w:color w:val="FF0000"/>
                      <w:sz w:val="21"/>
                      <w:szCs w:val="21"/>
                      <w:highlight w:val="none"/>
                      <w:lang w:eastAsia="zh-CN"/>
                    </w:rPr>
                  </w:pPr>
                  <w:r>
                    <w:rPr>
                      <w:rFonts w:hint="eastAsia" w:ascii="Times New Roman" w:hAnsi="Times New Roman" w:eastAsia="宋体" w:cs="Times New Roman"/>
                      <w:color w:val="FF0000"/>
                      <w:spacing w:val="0"/>
                      <w:kern w:val="0"/>
                      <w:sz w:val="21"/>
                      <w:szCs w:val="21"/>
                      <w:lang w:val="en-US" w:eastAsia="zh-CN" w:bidi="ar"/>
                    </w:rPr>
                    <w:t>交由物资回收部门</w:t>
                  </w:r>
                </w:p>
              </w:tc>
            </w:tr>
            <w:tr w14:paraId="4B36C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75" w:type="pct"/>
                  <w:tcBorders>
                    <w:tl2br w:val="nil"/>
                    <w:tr2bl w:val="nil"/>
                  </w:tcBorders>
                  <w:noWrap w:val="0"/>
                  <w:vAlign w:val="center"/>
                </w:tcPr>
                <w:p w14:paraId="5B58CEDD">
                  <w:pPr>
                    <w:tabs>
                      <w:tab w:val="right" w:pos="7832"/>
                    </w:tabs>
                    <w:jc w:val="center"/>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2</w:t>
                  </w:r>
                </w:p>
              </w:tc>
              <w:tc>
                <w:tcPr>
                  <w:tcW w:w="821" w:type="pct"/>
                  <w:tcBorders>
                    <w:tl2br w:val="nil"/>
                    <w:tr2bl w:val="nil"/>
                  </w:tcBorders>
                  <w:noWrap w:val="0"/>
                  <w:vAlign w:val="center"/>
                </w:tcPr>
                <w:p w14:paraId="2C928AD1">
                  <w:pPr>
                    <w:adjustRightInd w:val="0"/>
                    <w:snapToGrid w:val="0"/>
                    <w:spacing w:line="240" w:lineRule="atLeast"/>
                    <w:jc w:val="center"/>
                    <w:rPr>
                      <w:rFonts w:ascii="Times New Roman" w:hAnsi="Times New Roman" w:eastAsia="宋体" w:cs="Times New Roman"/>
                      <w:color w:val="FF0000"/>
                      <w:sz w:val="21"/>
                      <w:szCs w:val="21"/>
                      <w:highlight w:val="none"/>
                    </w:rPr>
                  </w:pPr>
                  <w:r>
                    <w:rPr>
                      <w:rFonts w:hint="eastAsia" w:ascii="Times New Roman" w:hAnsi="Times New Roman" w:eastAsia="宋体" w:cs="Times New Roman"/>
                      <w:b w:val="0"/>
                      <w:bCs w:val="0"/>
                      <w:color w:val="FF0000"/>
                      <w:sz w:val="21"/>
                      <w:szCs w:val="21"/>
                      <w:highlight w:val="none"/>
                      <w:lang w:val="en-US" w:eastAsia="zh-CN"/>
                    </w:rPr>
                    <w:t>纯水机耗材</w:t>
                  </w:r>
                </w:p>
              </w:tc>
              <w:tc>
                <w:tcPr>
                  <w:tcW w:w="433" w:type="pct"/>
                  <w:tcBorders>
                    <w:tl2br w:val="nil"/>
                    <w:tr2bl w:val="nil"/>
                  </w:tcBorders>
                  <w:noWrap w:val="0"/>
                  <w:vAlign w:val="center"/>
                </w:tcPr>
                <w:p w14:paraId="20042353">
                  <w:pPr>
                    <w:tabs>
                      <w:tab w:val="right" w:pos="7832"/>
                    </w:tabs>
                    <w:jc w:val="center"/>
                    <w:rPr>
                      <w:rFonts w:hint="eastAsia" w:ascii="Times New Roman" w:hAnsi="Times New Roman" w:eastAsia="宋体" w:cs="Times New Roman"/>
                      <w:color w:val="FF0000"/>
                      <w:sz w:val="21"/>
                      <w:szCs w:val="21"/>
                      <w:highlight w:val="none"/>
                      <w:lang w:eastAsia="zh-CN"/>
                    </w:rPr>
                  </w:pPr>
                  <w:r>
                    <w:rPr>
                      <w:rFonts w:hint="eastAsia" w:ascii="Times New Roman" w:hAnsi="Times New Roman" w:eastAsia="宋体" w:cs="Times New Roman"/>
                      <w:color w:val="FF0000"/>
                      <w:sz w:val="21"/>
                      <w:szCs w:val="21"/>
                      <w:highlight w:val="none"/>
                      <w:lang w:val="en-US" w:eastAsia="zh-CN"/>
                    </w:rPr>
                    <w:t>纯水制备</w:t>
                  </w:r>
                </w:p>
              </w:tc>
              <w:tc>
                <w:tcPr>
                  <w:tcW w:w="1028" w:type="pct"/>
                  <w:tcBorders>
                    <w:tl2br w:val="nil"/>
                    <w:tr2bl w:val="nil"/>
                  </w:tcBorders>
                  <w:noWrap w:val="0"/>
                  <w:vAlign w:val="center"/>
                </w:tcPr>
                <w:p w14:paraId="10544B5F">
                  <w:pPr>
                    <w:tabs>
                      <w:tab w:val="right" w:pos="7832"/>
                    </w:tabs>
                    <w:jc w:val="center"/>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一般固废</w:t>
                  </w:r>
                </w:p>
                <w:p w14:paraId="33C2E4E2">
                  <w:pPr>
                    <w:tabs>
                      <w:tab w:val="right" w:pos="7832"/>
                    </w:tabs>
                    <w:jc w:val="center"/>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w:t>
                  </w:r>
                  <w:r>
                    <w:rPr>
                      <w:rFonts w:hint="eastAsia" w:ascii="Times New Roman" w:hAnsi="Times New Roman" w:eastAsia="宋体" w:cs="Times New Roman"/>
                      <w:color w:val="FF0000"/>
                      <w:sz w:val="21"/>
                      <w:szCs w:val="21"/>
                      <w:highlight w:val="none"/>
                      <w:lang w:eastAsia="zh-CN"/>
                    </w:rPr>
                    <w:t>900-</w:t>
                  </w:r>
                  <w:r>
                    <w:rPr>
                      <w:rFonts w:hint="eastAsia" w:ascii="Times New Roman" w:hAnsi="Times New Roman" w:eastAsia="宋体" w:cs="Times New Roman"/>
                      <w:color w:val="FF0000"/>
                      <w:sz w:val="21"/>
                      <w:szCs w:val="21"/>
                      <w:highlight w:val="none"/>
                      <w:lang w:val="en-US" w:eastAsia="zh-CN"/>
                    </w:rPr>
                    <w:t>002</w:t>
                  </w:r>
                  <w:r>
                    <w:rPr>
                      <w:rFonts w:hint="eastAsia" w:ascii="Times New Roman" w:hAnsi="Times New Roman" w:eastAsia="宋体" w:cs="Times New Roman"/>
                      <w:color w:val="FF0000"/>
                      <w:sz w:val="21"/>
                      <w:szCs w:val="21"/>
                      <w:highlight w:val="none"/>
                      <w:lang w:eastAsia="zh-CN"/>
                    </w:rPr>
                    <w:t>-</w:t>
                  </w:r>
                  <w:r>
                    <w:rPr>
                      <w:rFonts w:hint="eastAsia" w:ascii="Times New Roman" w:hAnsi="Times New Roman" w:eastAsia="宋体" w:cs="Times New Roman"/>
                      <w:color w:val="FF0000"/>
                      <w:sz w:val="21"/>
                      <w:szCs w:val="21"/>
                      <w:highlight w:val="none"/>
                      <w:lang w:val="en-US" w:eastAsia="zh-CN"/>
                    </w:rPr>
                    <w:t>S5</w:t>
                  </w:r>
                  <w:r>
                    <w:rPr>
                      <w:rFonts w:hint="eastAsia" w:ascii="Times New Roman" w:hAnsi="Times New Roman" w:eastAsia="宋体" w:cs="Times New Roman"/>
                      <w:color w:val="FF0000"/>
                      <w:sz w:val="21"/>
                      <w:szCs w:val="21"/>
                      <w:highlight w:val="none"/>
                      <w:lang w:eastAsia="zh-CN"/>
                    </w:rPr>
                    <w:t>9</w:t>
                  </w:r>
                  <w:r>
                    <w:rPr>
                      <w:rFonts w:ascii="Times New Roman" w:hAnsi="Times New Roman" w:eastAsia="宋体" w:cs="Times New Roman"/>
                      <w:color w:val="FF0000"/>
                      <w:sz w:val="21"/>
                      <w:szCs w:val="21"/>
                      <w:highlight w:val="none"/>
                    </w:rPr>
                    <w:t>）</w:t>
                  </w:r>
                </w:p>
              </w:tc>
              <w:tc>
                <w:tcPr>
                  <w:tcW w:w="967" w:type="pct"/>
                  <w:tcBorders>
                    <w:tl2br w:val="nil"/>
                    <w:tr2bl w:val="nil"/>
                  </w:tcBorders>
                  <w:noWrap w:val="0"/>
                  <w:vAlign w:val="center"/>
                </w:tcPr>
                <w:p w14:paraId="76B33C06">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石英砂、活性炭、反渗透膜及pp滤芯</w:t>
                  </w:r>
                </w:p>
              </w:tc>
              <w:tc>
                <w:tcPr>
                  <w:tcW w:w="633" w:type="pct"/>
                  <w:tcBorders>
                    <w:tl2br w:val="nil"/>
                    <w:tr2bl w:val="nil"/>
                  </w:tcBorders>
                  <w:noWrap w:val="0"/>
                  <w:vAlign w:val="center"/>
                </w:tcPr>
                <w:p w14:paraId="778AC933">
                  <w:pPr>
                    <w:pStyle w:val="71"/>
                    <w:rPr>
                      <w:color w:val="FF0000"/>
                      <w:sz w:val="21"/>
                      <w:szCs w:val="21"/>
                      <w:highlight w:val="none"/>
                    </w:rPr>
                  </w:pPr>
                  <w:r>
                    <w:rPr>
                      <w:rFonts w:hint="eastAsia"/>
                      <w:b w:val="0"/>
                      <w:bCs w:val="0"/>
                      <w:color w:val="FF0000"/>
                      <w:sz w:val="21"/>
                      <w:szCs w:val="21"/>
                      <w:highlight w:val="none"/>
                      <w:lang w:val="en-US" w:eastAsia="zh-CN"/>
                    </w:rPr>
                    <w:t>2</w:t>
                  </w:r>
                </w:p>
              </w:tc>
              <w:tc>
                <w:tcPr>
                  <w:tcW w:w="839" w:type="pct"/>
                  <w:tcBorders>
                    <w:tl2br w:val="nil"/>
                    <w:tr2bl w:val="nil"/>
                  </w:tcBorders>
                  <w:noWrap w:val="0"/>
                  <w:vAlign w:val="center"/>
                </w:tcPr>
                <w:p w14:paraId="6E0C0493">
                  <w:pPr>
                    <w:tabs>
                      <w:tab w:val="right" w:pos="7832"/>
                    </w:tabs>
                    <w:jc w:val="center"/>
                    <w:rPr>
                      <w:rFonts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pacing w:val="0"/>
                      <w:kern w:val="0"/>
                      <w:sz w:val="21"/>
                      <w:szCs w:val="21"/>
                      <w:lang w:val="en-US" w:eastAsia="zh-CN" w:bidi="ar"/>
                    </w:rPr>
                    <w:t>厂家回收</w:t>
                  </w:r>
                </w:p>
              </w:tc>
            </w:tr>
            <w:tr w14:paraId="26CC1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75" w:type="pct"/>
                  <w:tcBorders>
                    <w:tl2br w:val="nil"/>
                    <w:tr2bl w:val="nil"/>
                  </w:tcBorders>
                  <w:noWrap w:val="0"/>
                  <w:vAlign w:val="center"/>
                </w:tcPr>
                <w:p w14:paraId="32F38FF4">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3</w:t>
                  </w:r>
                </w:p>
              </w:tc>
              <w:tc>
                <w:tcPr>
                  <w:tcW w:w="821" w:type="pct"/>
                  <w:tcBorders>
                    <w:tl2br w:val="nil"/>
                    <w:tr2bl w:val="nil"/>
                  </w:tcBorders>
                  <w:noWrap w:val="0"/>
                  <w:vAlign w:val="center"/>
                </w:tcPr>
                <w:p w14:paraId="2122149B">
                  <w:pPr>
                    <w:adjustRightInd w:val="0"/>
                    <w:snapToGrid w:val="0"/>
                    <w:spacing w:line="240" w:lineRule="atLeast"/>
                    <w:jc w:val="center"/>
                    <w:rPr>
                      <w:rFonts w:hint="eastAsia"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pacing w:val="0"/>
                      <w:sz w:val="21"/>
                      <w:szCs w:val="21"/>
                      <w:lang w:val="en-US" w:eastAsia="zh-CN"/>
                    </w:rPr>
                    <w:t>不合格品</w:t>
                  </w:r>
                </w:p>
              </w:tc>
              <w:tc>
                <w:tcPr>
                  <w:tcW w:w="433" w:type="pct"/>
                  <w:tcBorders>
                    <w:tl2br w:val="nil"/>
                    <w:tr2bl w:val="nil"/>
                  </w:tcBorders>
                  <w:noWrap w:val="0"/>
                  <w:vAlign w:val="center"/>
                </w:tcPr>
                <w:p w14:paraId="7AF38129">
                  <w:pPr>
                    <w:tabs>
                      <w:tab w:val="right" w:pos="7832"/>
                    </w:tabs>
                    <w:jc w:val="center"/>
                    <w:rPr>
                      <w:rFonts w:hint="eastAsia" w:ascii="Times New Roman" w:hAnsi="Times New Roman" w:eastAsia="宋体" w:cs="Times New Roman"/>
                      <w:color w:val="FF0000"/>
                      <w:sz w:val="21"/>
                      <w:szCs w:val="21"/>
                      <w:highlight w:val="none"/>
                      <w:lang w:eastAsia="zh-CN"/>
                    </w:rPr>
                  </w:pPr>
                  <w:r>
                    <w:rPr>
                      <w:rFonts w:hint="eastAsia" w:ascii="Times New Roman" w:hAnsi="Times New Roman" w:eastAsia="宋体" w:cs="Times New Roman"/>
                      <w:color w:val="FF0000"/>
                      <w:sz w:val="21"/>
                      <w:szCs w:val="21"/>
                      <w:highlight w:val="none"/>
                      <w:lang w:val="en-US" w:eastAsia="zh-CN"/>
                    </w:rPr>
                    <w:t>生产工序</w:t>
                  </w:r>
                </w:p>
              </w:tc>
              <w:tc>
                <w:tcPr>
                  <w:tcW w:w="1028" w:type="pct"/>
                  <w:tcBorders>
                    <w:tl2br w:val="nil"/>
                    <w:tr2bl w:val="nil"/>
                  </w:tcBorders>
                  <w:noWrap w:val="0"/>
                  <w:vAlign w:val="center"/>
                </w:tcPr>
                <w:p w14:paraId="3F539535">
                  <w:pPr>
                    <w:tabs>
                      <w:tab w:val="right" w:pos="7832"/>
                    </w:tabs>
                    <w:jc w:val="center"/>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一般固废（</w:t>
                  </w:r>
                  <w:r>
                    <w:rPr>
                      <w:rFonts w:hint="eastAsia" w:ascii="Times New Roman" w:hAnsi="Times New Roman" w:eastAsia="宋体" w:cs="Times New Roman"/>
                      <w:color w:val="FF0000"/>
                      <w:sz w:val="21"/>
                      <w:szCs w:val="21"/>
                      <w:highlight w:val="none"/>
                      <w:lang w:eastAsia="zh-CN"/>
                    </w:rPr>
                    <w:t>900-</w:t>
                  </w:r>
                  <w:r>
                    <w:rPr>
                      <w:rFonts w:hint="eastAsia" w:ascii="Times New Roman" w:hAnsi="Times New Roman" w:eastAsia="宋体" w:cs="Times New Roman"/>
                      <w:color w:val="FF0000"/>
                      <w:sz w:val="21"/>
                      <w:szCs w:val="21"/>
                      <w:highlight w:val="none"/>
                      <w:lang w:val="en-US" w:eastAsia="zh-CN"/>
                    </w:rPr>
                    <w:t>003</w:t>
                  </w:r>
                  <w:r>
                    <w:rPr>
                      <w:rFonts w:hint="eastAsia" w:ascii="Times New Roman" w:hAnsi="Times New Roman" w:eastAsia="宋体" w:cs="Times New Roman"/>
                      <w:color w:val="FF0000"/>
                      <w:sz w:val="21"/>
                      <w:szCs w:val="21"/>
                      <w:highlight w:val="none"/>
                      <w:lang w:eastAsia="zh-CN"/>
                    </w:rPr>
                    <w:t>-</w:t>
                  </w:r>
                  <w:r>
                    <w:rPr>
                      <w:rFonts w:hint="eastAsia" w:ascii="Times New Roman" w:hAnsi="Times New Roman" w:eastAsia="宋体" w:cs="Times New Roman"/>
                      <w:color w:val="FF0000"/>
                      <w:sz w:val="21"/>
                      <w:szCs w:val="21"/>
                      <w:highlight w:val="none"/>
                      <w:lang w:val="en-US" w:eastAsia="zh-CN"/>
                    </w:rPr>
                    <w:t>S5</w:t>
                  </w:r>
                  <w:r>
                    <w:rPr>
                      <w:rFonts w:hint="eastAsia" w:ascii="Times New Roman" w:hAnsi="Times New Roman" w:eastAsia="宋体" w:cs="Times New Roman"/>
                      <w:color w:val="FF0000"/>
                      <w:sz w:val="21"/>
                      <w:szCs w:val="21"/>
                      <w:highlight w:val="none"/>
                      <w:lang w:eastAsia="zh-CN"/>
                    </w:rPr>
                    <w:t>9</w:t>
                  </w:r>
                  <w:r>
                    <w:rPr>
                      <w:rFonts w:ascii="Times New Roman" w:hAnsi="Times New Roman" w:eastAsia="宋体" w:cs="Times New Roman"/>
                      <w:color w:val="FF0000"/>
                      <w:sz w:val="21"/>
                      <w:szCs w:val="21"/>
                      <w:highlight w:val="none"/>
                    </w:rPr>
                    <w:t>）</w:t>
                  </w:r>
                </w:p>
              </w:tc>
              <w:tc>
                <w:tcPr>
                  <w:tcW w:w="967" w:type="pct"/>
                  <w:tcBorders>
                    <w:tl2br w:val="nil"/>
                    <w:tr2bl w:val="nil"/>
                  </w:tcBorders>
                  <w:noWrap w:val="0"/>
                  <w:vAlign w:val="center"/>
                </w:tcPr>
                <w:p w14:paraId="403FE6A2">
                  <w:pPr>
                    <w:tabs>
                      <w:tab w:val="right" w:pos="7832"/>
                    </w:tabs>
                    <w:jc w:val="center"/>
                    <w:rPr>
                      <w:rFonts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w:t>
                  </w:r>
                </w:p>
              </w:tc>
              <w:tc>
                <w:tcPr>
                  <w:tcW w:w="633" w:type="pct"/>
                  <w:tcBorders>
                    <w:tl2br w:val="nil"/>
                    <w:tr2bl w:val="nil"/>
                  </w:tcBorders>
                  <w:noWrap w:val="0"/>
                  <w:vAlign w:val="center"/>
                </w:tcPr>
                <w:p w14:paraId="516C96B8">
                  <w:pPr>
                    <w:pStyle w:val="71"/>
                    <w:rPr>
                      <w:rFonts w:hint="default"/>
                      <w:b w:val="0"/>
                      <w:bCs w:val="0"/>
                      <w:color w:val="FF0000"/>
                      <w:sz w:val="21"/>
                      <w:szCs w:val="21"/>
                      <w:highlight w:val="none"/>
                      <w:lang w:val="en-US" w:eastAsia="zh-CN"/>
                    </w:rPr>
                  </w:pPr>
                  <w:r>
                    <w:rPr>
                      <w:rFonts w:hint="eastAsia"/>
                      <w:b w:val="0"/>
                      <w:bCs w:val="0"/>
                      <w:color w:val="FF0000"/>
                      <w:sz w:val="21"/>
                      <w:szCs w:val="21"/>
                      <w:highlight w:val="none"/>
                      <w:lang w:val="en-US" w:eastAsia="zh-CN"/>
                    </w:rPr>
                    <w:t>1.45</w:t>
                  </w:r>
                </w:p>
              </w:tc>
              <w:tc>
                <w:tcPr>
                  <w:tcW w:w="839" w:type="pct"/>
                  <w:vMerge w:val="restart"/>
                  <w:tcBorders>
                    <w:tl2br w:val="nil"/>
                    <w:tr2bl w:val="nil"/>
                  </w:tcBorders>
                  <w:noWrap w:val="0"/>
                  <w:vAlign w:val="center"/>
                </w:tcPr>
                <w:p w14:paraId="448B5CC3">
                  <w:pPr>
                    <w:tabs>
                      <w:tab w:val="right" w:pos="7832"/>
                    </w:tabs>
                    <w:jc w:val="center"/>
                    <w:rPr>
                      <w:rFonts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pacing w:val="0"/>
                      <w:kern w:val="0"/>
                      <w:sz w:val="21"/>
                      <w:szCs w:val="21"/>
                      <w:lang w:val="en-US" w:eastAsia="zh-CN" w:bidi="ar"/>
                    </w:rPr>
                    <w:t>交由相关单位进行处理</w:t>
                  </w:r>
                </w:p>
              </w:tc>
            </w:tr>
            <w:tr w14:paraId="7FCFE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64" w:type="dxa"/>
                  <w:tcBorders>
                    <w:tl2br w:val="nil"/>
                    <w:tr2bl w:val="nil"/>
                  </w:tcBorders>
                  <w:noWrap w:val="0"/>
                  <w:vAlign w:val="center"/>
                </w:tcPr>
                <w:p w14:paraId="662FCE58">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4</w:t>
                  </w:r>
                </w:p>
              </w:tc>
              <w:tc>
                <w:tcPr>
                  <w:tcW w:w="821" w:type="pct"/>
                  <w:tcBorders>
                    <w:tl2br w:val="nil"/>
                    <w:tr2bl w:val="nil"/>
                  </w:tcBorders>
                  <w:noWrap w:val="0"/>
                  <w:vAlign w:val="center"/>
                </w:tcPr>
                <w:p w14:paraId="18840BAB">
                  <w:pPr>
                    <w:adjustRightInd w:val="0"/>
                    <w:snapToGrid w:val="0"/>
                    <w:spacing w:line="240" w:lineRule="atLeast"/>
                    <w:jc w:val="center"/>
                    <w:rPr>
                      <w:rFonts w:hint="eastAsia" w:ascii="Times New Roman" w:hAnsi="Times New Roman" w:eastAsia="宋体" w:cs="Times New Roman"/>
                      <w:b w:val="0"/>
                      <w:bCs w:val="0"/>
                      <w:color w:val="FF0000"/>
                      <w:spacing w:val="0"/>
                      <w:sz w:val="21"/>
                      <w:szCs w:val="21"/>
                      <w:lang w:val="en-US" w:eastAsia="zh-CN"/>
                    </w:rPr>
                  </w:pPr>
                  <w:r>
                    <w:rPr>
                      <w:rFonts w:hint="eastAsia" w:cs="Times New Roman"/>
                      <w:b w:val="0"/>
                      <w:bCs w:val="0"/>
                      <w:color w:val="FF0000"/>
                      <w:spacing w:val="0"/>
                      <w:sz w:val="21"/>
                      <w:szCs w:val="21"/>
                      <w:lang w:val="en-US" w:eastAsia="zh-CN"/>
                    </w:rPr>
                    <w:t>边角料</w:t>
                  </w:r>
                </w:p>
              </w:tc>
              <w:tc>
                <w:tcPr>
                  <w:tcW w:w="433" w:type="pct"/>
                  <w:tcBorders>
                    <w:tl2br w:val="nil"/>
                    <w:tr2bl w:val="nil"/>
                  </w:tcBorders>
                  <w:noWrap w:val="0"/>
                  <w:vAlign w:val="center"/>
                </w:tcPr>
                <w:p w14:paraId="6FED03CE">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生产工序</w:t>
                  </w:r>
                </w:p>
              </w:tc>
              <w:tc>
                <w:tcPr>
                  <w:tcW w:w="1028" w:type="pct"/>
                  <w:tcBorders>
                    <w:tl2br w:val="nil"/>
                    <w:tr2bl w:val="nil"/>
                  </w:tcBorders>
                  <w:noWrap w:val="0"/>
                  <w:vAlign w:val="center"/>
                </w:tcPr>
                <w:p w14:paraId="7D8346AA">
                  <w:pPr>
                    <w:jc w:val="center"/>
                    <w:rPr>
                      <w:rFonts w:ascii="Times New Roman" w:hAnsi="Times New Roman" w:eastAsia="宋体" w:cs="Times New Roman"/>
                      <w:color w:val="FF0000"/>
                      <w:sz w:val="21"/>
                      <w:szCs w:val="21"/>
                      <w:highlight w:val="none"/>
                    </w:rPr>
                  </w:pPr>
                  <w:r>
                    <w:rPr>
                      <w:rFonts w:ascii="Times New Roman" w:hAnsi="Times New Roman" w:eastAsia="宋体" w:cs="Times New Roman"/>
                      <w:color w:val="FF0000"/>
                      <w:sz w:val="21"/>
                      <w:szCs w:val="21"/>
                      <w:highlight w:val="none"/>
                    </w:rPr>
                    <w:t>一般固废（</w:t>
                  </w:r>
                  <w:r>
                    <w:rPr>
                      <w:rFonts w:hint="eastAsia" w:ascii="Times New Roman" w:hAnsi="Times New Roman" w:eastAsia="宋体" w:cs="Times New Roman"/>
                      <w:color w:val="FF0000"/>
                      <w:sz w:val="21"/>
                      <w:szCs w:val="21"/>
                      <w:highlight w:val="none"/>
                      <w:lang w:eastAsia="zh-CN"/>
                    </w:rPr>
                    <w:t>900-</w:t>
                  </w:r>
                  <w:r>
                    <w:rPr>
                      <w:rFonts w:hint="eastAsia" w:ascii="Times New Roman" w:hAnsi="Times New Roman" w:eastAsia="宋体" w:cs="Times New Roman"/>
                      <w:color w:val="FF0000"/>
                      <w:sz w:val="21"/>
                      <w:szCs w:val="21"/>
                      <w:highlight w:val="none"/>
                      <w:lang w:val="en-US" w:eastAsia="zh-CN"/>
                    </w:rPr>
                    <w:t>004</w:t>
                  </w:r>
                  <w:r>
                    <w:rPr>
                      <w:rFonts w:hint="eastAsia" w:ascii="Times New Roman" w:hAnsi="Times New Roman" w:eastAsia="宋体" w:cs="Times New Roman"/>
                      <w:color w:val="FF0000"/>
                      <w:sz w:val="21"/>
                      <w:szCs w:val="21"/>
                      <w:highlight w:val="none"/>
                      <w:lang w:eastAsia="zh-CN"/>
                    </w:rPr>
                    <w:t>-</w:t>
                  </w:r>
                  <w:r>
                    <w:rPr>
                      <w:rFonts w:hint="eastAsia" w:ascii="Times New Roman" w:hAnsi="Times New Roman" w:eastAsia="宋体" w:cs="Times New Roman"/>
                      <w:color w:val="FF0000"/>
                      <w:sz w:val="21"/>
                      <w:szCs w:val="21"/>
                      <w:highlight w:val="none"/>
                      <w:lang w:val="en-US" w:eastAsia="zh-CN"/>
                    </w:rPr>
                    <w:t>S5</w:t>
                  </w:r>
                  <w:r>
                    <w:rPr>
                      <w:rFonts w:hint="eastAsia" w:ascii="Times New Roman" w:hAnsi="Times New Roman" w:eastAsia="宋体" w:cs="Times New Roman"/>
                      <w:color w:val="FF0000"/>
                      <w:sz w:val="21"/>
                      <w:szCs w:val="21"/>
                      <w:highlight w:val="none"/>
                      <w:lang w:eastAsia="zh-CN"/>
                    </w:rPr>
                    <w:t>9</w:t>
                  </w:r>
                  <w:r>
                    <w:rPr>
                      <w:rFonts w:ascii="Times New Roman" w:hAnsi="Times New Roman" w:eastAsia="宋体" w:cs="Times New Roman"/>
                      <w:color w:val="FF0000"/>
                      <w:sz w:val="21"/>
                      <w:szCs w:val="21"/>
                      <w:highlight w:val="none"/>
                    </w:rPr>
                    <w:t>）</w:t>
                  </w:r>
                </w:p>
              </w:tc>
              <w:tc>
                <w:tcPr>
                  <w:tcW w:w="967" w:type="pct"/>
                  <w:tcBorders>
                    <w:tl2br w:val="nil"/>
                    <w:tr2bl w:val="nil"/>
                  </w:tcBorders>
                  <w:noWrap w:val="0"/>
                  <w:vAlign w:val="center"/>
                </w:tcPr>
                <w:p w14:paraId="7F9BA045">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633" w:type="pct"/>
                  <w:tcBorders>
                    <w:tl2br w:val="nil"/>
                    <w:tr2bl w:val="nil"/>
                  </w:tcBorders>
                  <w:noWrap w:val="0"/>
                  <w:vAlign w:val="center"/>
                </w:tcPr>
                <w:p w14:paraId="67A1D793">
                  <w:pPr>
                    <w:pStyle w:val="71"/>
                    <w:rPr>
                      <w:rFonts w:hint="default"/>
                      <w:b w:val="0"/>
                      <w:bCs w:val="0"/>
                      <w:color w:val="FF0000"/>
                      <w:sz w:val="21"/>
                      <w:szCs w:val="21"/>
                      <w:highlight w:val="none"/>
                      <w:lang w:val="en-US" w:eastAsia="zh-CN"/>
                    </w:rPr>
                  </w:pPr>
                  <w:r>
                    <w:rPr>
                      <w:rFonts w:hint="eastAsia"/>
                      <w:b w:val="0"/>
                      <w:bCs w:val="0"/>
                      <w:color w:val="FF0000"/>
                      <w:sz w:val="21"/>
                      <w:szCs w:val="21"/>
                      <w:highlight w:val="none"/>
                      <w:lang w:val="en-US" w:eastAsia="zh-CN"/>
                    </w:rPr>
                    <w:t>16.78</w:t>
                  </w:r>
                </w:p>
              </w:tc>
              <w:tc>
                <w:tcPr>
                  <w:tcW w:w="839" w:type="pct"/>
                  <w:vMerge w:val="continue"/>
                  <w:tcBorders>
                    <w:tl2br w:val="nil"/>
                    <w:tr2bl w:val="nil"/>
                  </w:tcBorders>
                  <w:noWrap w:val="0"/>
                  <w:vAlign w:val="center"/>
                </w:tcPr>
                <w:p w14:paraId="3A281A38">
                  <w:pPr>
                    <w:tabs>
                      <w:tab w:val="right" w:pos="7832"/>
                    </w:tabs>
                    <w:jc w:val="center"/>
                    <w:rPr>
                      <w:rFonts w:ascii="Times New Roman" w:hAnsi="Times New Roman" w:eastAsia="宋体" w:cs="Times New Roman"/>
                      <w:color w:val="FF0000"/>
                      <w:sz w:val="21"/>
                      <w:szCs w:val="21"/>
                      <w:highlight w:val="none"/>
                    </w:rPr>
                  </w:pPr>
                </w:p>
              </w:tc>
            </w:tr>
            <w:tr w14:paraId="30B8F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64" w:type="dxa"/>
                  <w:tcBorders>
                    <w:tl2br w:val="nil"/>
                    <w:tr2bl w:val="nil"/>
                  </w:tcBorders>
                  <w:noWrap w:val="0"/>
                  <w:vAlign w:val="center"/>
                </w:tcPr>
                <w:p w14:paraId="7CF80420">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5</w:t>
                  </w:r>
                </w:p>
              </w:tc>
              <w:tc>
                <w:tcPr>
                  <w:tcW w:w="821" w:type="pct"/>
                  <w:tcBorders>
                    <w:tl2br w:val="nil"/>
                    <w:tr2bl w:val="nil"/>
                  </w:tcBorders>
                  <w:noWrap w:val="0"/>
                  <w:vAlign w:val="center"/>
                </w:tcPr>
                <w:p w14:paraId="6FE58CF9">
                  <w:pPr>
                    <w:adjustRightInd w:val="0"/>
                    <w:snapToGrid w:val="0"/>
                    <w:spacing w:line="240" w:lineRule="atLeast"/>
                    <w:jc w:val="center"/>
                    <w:rPr>
                      <w:rFonts w:hint="eastAsia" w:ascii="Times New Roman" w:hAnsi="Times New Roman" w:eastAsia="宋体" w:cs="Times New Roman"/>
                      <w:b w:val="0"/>
                      <w:bCs w:val="0"/>
                      <w:color w:val="FF0000"/>
                      <w:sz w:val="21"/>
                      <w:szCs w:val="21"/>
                      <w:highlight w:val="none"/>
                      <w:lang w:val="en-US" w:eastAsia="zh-CN"/>
                    </w:rPr>
                  </w:pPr>
                  <w:r>
                    <w:rPr>
                      <w:rFonts w:hint="eastAsia" w:cs="Times New Roman"/>
                      <w:b w:val="0"/>
                      <w:bCs w:val="0"/>
                      <w:color w:val="FF0000"/>
                      <w:spacing w:val="0"/>
                      <w:sz w:val="21"/>
                      <w:szCs w:val="21"/>
                      <w:lang w:val="en-US" w:eastAsia="zh-CN"/>
                    </w:rPr>
                    <w:t>实验废液</w:t>
                  </w:r>
                </w:p>
              </w:tc>
              <w:tc>
                <w:tcPr>
                  <w:tcW w:w="433" w:type="pct"/>
                  <w:tcBorders>
                    <w:tl2br w:val="nil"/>
                    <w:tr2bl w:val="nil"/>
                  </w:tcBorders>
                  <w:noWrap w:val="0"/>
                  <w:vAlign w:val="center"/>
                </w:tcPr>
                <w:p w14:paraId="1D52EBBE">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cs="Times New Roman"/>
                      <w:b w:val="0"/>
                      <w:bCs w:val="0"/>
                      <w:color w:val="FF0000"/>
                      <w:sz w:val="21"/>
                      <w:szCs w:val="21"/>
                      <w:vertAlign w:val="baseline"/>
                      <w:lang w:val="en-US" w:eastAsia="zh-CN"/>
                    </w:rPr>
                    <w:t>实验</w:t>
                  </w:r>
                </w:p>
              </w:tc>
              <w:tc>
                <w:tcPr>
                  <w:tcW w:w="1028" w:type="pct"/>
                  <w:tcBorders>
                    <w:tl2br w:val="nil"/>
                    <w:tr2bl w:val="nil"/>
                  </w:tcBorders>
                  <w:noWrap w:val="0"/>
                  <w:vAlign w:val="center"/>
                </w:tcPr>
                <w:p w14:paraId="650AB448">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危险废物（</w:t>
                  </w:r>
                  <w:r>
                    <w:rPr>
                      <w:rFonts w:hint="eastAsia" w:ascii="Times New Roman" w:cs="Times New Roman"/>
                      <w:color w:val="FF0000"/>
                      <w:spacing w:val="0"/>
                      <w:sz w:val="21"/>
                      <w:szCs w:val="21"/>
                      <w:lang w:val="en-US" w:eastAsia="zh-CN"/>
                    </w:rPr>
                    <w:t>900-047-49</w:t>
                  </w:r>
                  <w:r>
                    <w:rPr>
                      <w:rFonts w:hint="eastAsia" w:ascii="Times New Roman" w:hAnsi="Times New Roman" w:eastAsia="宋体" w:cs="Times New Roman"/>
                      <w:color w:val="FF0000"/>
                      <w:sz w:val="21"/>
                      <w:szCs w:val="21"/>
                      <w:highlight w:val="none"/>
                      <w:lang w:val="en-US" w:eastAsia="zh-CN"/>
                    </w:rPr>
                    <w:t>）</w:t>
                  </w:r>
                </w:p>
              </w:tc>
              <w:tc>
                <w:tcPr>
                  <w:tcW w:w="967" w:type="pct"/>
                  <w:tcBorders>
                    <w:tl2br w:val="nil"/>
                    <w:tr2bl w:val="nil"/>
                  </w:tcBorders>
                  <w:noWrap w:val="0"/>
                  <w:vAlign w:val="center"/>
                </w:tcPr>
                <w:p w14:paraId="7DFC4E36">
                  <w:pPr>
                    <w:tabs>
                      <w:tab w:val="right" w:pos="7832"/>
                    </w:tabs>
                    <w:jc w:val="center"/>
                    <w:rPr>
                      <w:rFonts w:hint="eastAsia"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w:t>
                  </w:r>
                </w:p>
              </w:tc>
              <w:tc>
                <w:tcPr>
                  <w:tcW w:w="633" w:type="pct"/>
                  <w:tcBorders>
                    <w:tl2br w:val="nil"/>
                    <w:tr2bl w:val="nil"/>
                  </w:tcBorders>
                  <w:noWrap w:val="0"/>
                  <w:vAlign w:val="center"/>
                </w:tcPr>
                <w:p w14:paraId="13B5712B">
                  <w:pPr>
                    <w:pStyle w:val="71"/>
                    <w:rPr>
                      <w:rFonts w:hint="default"/>
                      <w:b w:val="0"/>
                      <w:bCs w:val="0"/>
                      <w:color w:val="FF0000"/>
                      <w:sz w:val="21"/>
                      <w:szCs w:val="21"/>
                      <w:highlight w:val="none"/>
                      <w:lang w:val="en-US" w:eastAsia="zh-CN"/>
                    </w:rPr>
                  </w:pPr>
                  <w:r>
                    <w:rPr>
                      <w:rFonts w:hint="eastAsia"/>
                      <w:b w:val="0"/>
                      <w:bCs w:val="0"/>
                      <w:color w:val="FF0000"/>
                      <w:sz w:val="21"/>
                      <w:szCs w:val="21"/>
                      <w:highlight w:val="none"/>
                      <w:lang w:val="en-US" w:eastAsia="zh-CN"/>
                    </w:rPr>
                    <w:t>0.5</w:t>
                  </w:r>
                </w:p>
              </w:tc>
              <w:tc>
                <w:tcPr>
                  <w:tcW w:w="839" w:type="pct"/>
                  <w:vMerge w:val="restart"/>
                  <w:tcBorders>
                    <w:tl2br w:val="nil"/>
                    <w:tr2bl w:val="nil"/>
                  </w:tcBorders>
                  <w:noWrap w:val="0"/>
                  <w:vAlign w:val="center"/>
                </w:tcPr>
                <w:p w14:paraId="4CB37414">
                  <w:pPr>
                    <w:tabs>
                      <w:tab w:val="right" w:pos="7832"/>
                    </w:tabs>
                    <w:jc w:val="center"/>
                    <w:rPr>
                      <w:rFonts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eastAsia="zh-CN"/>
                    </w:rPr>
                    <w:t>交由有资质单位处理</w:t>
                  </w:r>
                </w:p>
              </w:tc>
            </w:tr>
            <w:tr w14:paraId="6D27E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64" w:type="dxa"/>
                  <w:tcBorders>
                    <w:tl2br w:val="nil"/>
                    <w:tr2bl w:val="nil"/>
                  </w:tcBorders>
                  <w:noWrap w:val="0"/>
                  <w:vAlign w:val="center"/>
                </w:tcPr>
                <w:p w14:paraId="68612A9F">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6</w:t>
                  </w:r>
                </w:p>
              </w:tc>
              <w:tc>
                <w:tcPr>
                  <w:tcW w:w="821" w:type="pct"/>
                  <w:tcBorders>
                    <w:tl2br w:val="nil"/>
                    <w:tr2bl w:val="nil"/>
                  </w:tcBorders>
                  <w:noWrap w:val="0"/>
                  <w:vAlign w:val="center"/>
                </w:tcPr>
                <w:p w14:paraId="482C8D8F">
                  <w:pPr>
                    <w:adjustRightInd w:val="0"/>
                    <w:snapToGrid w:val="0"/>
                    <w:spacing w:line="240" w:lineRule="atLeast"/>
                    <w:jc w:val="center"/>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废油墨桶</w:t>
                  </w:r>
                </w:p>
              </w:tc>
              <w:tc>
                <w:tcPr>
                  <w:tcW w:w="433" w:type="pct"/>
                  <w:tcBorders>
                    <w:tl2br w:val="nil"/>
                    <w:tr2bl w:val="nil"/>
                  </w:tcBorders>
                  <w:noWrap w:val="0"/>
                  <w:vAlign w:val="center"/>
                </w:tcPr>
                <w:p w14:paraId="3472A84D">
                  <w:pPr>
                    <w:tabs>
                      <w:tab w:val="right" w:pos="7832"/>
                    </w:tabs>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生产工序</w:t>
                  </w:r>
                </w:p>
              </w:tc>
              <w:tc>
                <w:tcPr>
                  <w:tcW w:w="1028" w:type="pct"/>
                  <w:tcBorders>
                    <w:tl2br w:val="nil"/>
                    <w:tr2bl w:val="nil"/>
                  </w:tcBorders>
                  <w:noWrap w:val="0"/>
                  <w:vAlign w:val="center"/>
                </w:tcPr>
                <w:p w14:paraId="54070245">
                  <w:pPr>
                    <w:tabs>
                      <w:tab w:val="right" w:pos="7832"/>
                    </w:tabs>
                    <w:jc w:val="center"/>
                    <w:rPr>
                      <w:rFonts w:hint="eastAsia" w:ascii="Times New Roman" w:hAnsi="Times New Roman" w:eastAsia="宋体" w:cs="Times New Roman"/>
                      <w:color w:val="FF0000"/>
                      <w:sz w:val="21"/>
                      <w:szCs w:val="21"/>
                      <w:highlight w:val="none"/>
                      <w:lang w:eastAsia="zh-CN"/>
                    </w:rPr>
                  </w:pPr>
                  <w:r>
                    <w:rPr>
                      <w:rFonts w:hint="eastAsia" w:ascii="Times New Roman" w:hAnsi="Times New Roman" w:eastAsia="宋体" w:cs="Times New Roman"/>
                      <w:color w:val="FF0000"/>
                      <w:sz w:val="21"/>
                      <w:szCs w:val="21"/>
                      <w:highlight w:val="none"/>
                      <w:lang w:val="en-US" w:eastAsia="zh-CN"/>
                    </w:rPr>
                    <w:t>危险废物（900-041-49）</w:t>
                  </w:r>
                </w:p>
              </w:tc>
              <w:tc>
                <w:tcPr>
                  <w:tcW w:w="967" w:type="pct"/>
                  <w:tcBorders>
                    <w:tl2br w:val="nil"/>
                    <w:tr2bl w:val="nil"/>
                  </w:tcBorders>
                  <w:noWrap w:val="0"/>
                  <w:vAlign w:val="center"/>
                </w:tcPr>
                <w:p w14:paraId="42BA4670">
                  <w:pPr>
                    <w:tabs>
                      <w:tab w:val="right" w:pos="7832"/>
                    </w:tabs>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废油墨桶</w:t>
                  </w:r>
                </w:p>
              </w:tc>
              <w:tc>
                <w:tcPr>
                  <w:tcW w:w="633" w:type="pct"/>
                  <w:tcBorders>
                    <w:tl2br w:val="nil"/>
                    <w:tr2bl w:val="nil"/>
                  </w:tcBorders>
                  <w:noWrap w:val="0"/>
                  <w:vAlign w:val="center"/>
                </w:tcPr>
                <w:p w14:paraId="525F77F2">
                  <w:pPr>
                    <w:pStyle w:val="71"/>
                    <w:rPr>
                      <w:rFonts w:hint="default"/>
                      <w:b w:val="0"/>
                      <w:bCs w:val="0"/>
                      <w:color w:val="FF0000"/>
                      <w:sz w:val="21"/>
                      <w:szCs w:val="21"/>
                      <w:highlight w:val="none"/>
                      <w:lang w:val="en-US" w:eastAsia="zh-CN"/>
                    </w:rPr>
                  </w:pPr>
                  <w:r>
                    <w:rPr>
                      <w:rFonts w:hint="eastAsia"/>
                      <w:b w:val="0"/>
                      <w:bCs w:val="0"/>
                      <w:color w:val="FF0000"/>
                      <w:sz w:val="21"/>
                      <w:szCs w:val="21"/>
                      <w:highlight w:val="none"/>
                      <w:lang w:val="en-US" w:eastAsia="zh-CN"/>
                    </w:rPr>
                    <w:t>0.004</w:t>
                  </w:r>
                </w:p>
              </w:tc>
              <w:tc>
                <w:tcPr>
                  <w:tcW w:w="839" w:type="pct"/>
                  <w:vMerge w:val="continue"/>
                  <w:tcBorders>
                    <w:tl2br w:val="nil"/>
                    <w:tr2bl w:val="nil"/>
                  </w:tcBorders>
                  <w:noWrap w:val="0"/>
                  <w:vAlign w:val="center"/>
                </w:tcPr>
                <w:p w14:paraId="59C5983C">
                  <w:pPr>
                    <w:tabs>
                      <w:tab w:val="right" w:pos="7832"/>
                    </w:tabs>
                    <w:jc w:val="center"/>
                    <w:rPr>
                      <w:rFonts w:ascii="Times New Roman" w:hAnsi="Times New Roman" w:eastAsia="宋体" w:cs="Times New Roman"/>
                      <w:color w:val="FF0000"/>
                      <w:sz w:val="21"/>
                      <w:szCs w:val="21"/>
                      <w:highlight w:val="none"/>
                    </w:rPr>
                  </w:pPr>
                </w:p>
              </w:tc>
            </w:tr>
            <w:tr w14:paraId="37B03C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64" w:type="dxa"/>
                  <w:tcBorders>
                    <w:tl2br w:val="nil"/>
                    <w:tr2bl w:val="nil"/>
                  </w:tcBorders>
                  <w:noWrap w:val="0"/>
                  <w:vAlign w:val="center"/>
                </w:tcPr>
                <w:p w14:paraId="198400DA">
                  <w:pPr>
                    <w:tabs>
                      <w:tab w:val="right" w:pos="7832"/>
                    </w:tabs>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7</w:t>
                  </w:r>
                </w:p>
              </w:tc>
              <w:tc>
                <w:tcPr>
                  <w:tcW w:w="821" w:type="pct"/>
                  <w:tcBorders>
                    <w:tl2br w:val="nil"/>
                    <w:tr2bl w:val="nil"/>
                  </w:tcBorders>
                  <w:noWrap w:val="0"/>
                  <w:vAlign w:val="center"/>
                </w:tcPr>
                <w:p w14:paraId="32FD85B0">
                  <w:pPr>
                    <w:adjustRightInd w:val="0"/>
                    <w:snapToGrid w:val="0"/>
                    <w:spacing w:line="240" w:lineRule="atLeast"/>
                    <w:jc w:val="center"/>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废热熔胶桶</w:t>
                  </w:r>
                </w:p>
              </w:tc>
              <w:tc>
                <w:tcPr>
                  <w:tcW w:w="433" w:type="pct"/>
                  <w:tcBorders>
                    <w:tl2br w:val="nil"/>
                    <w:tr2bl w:val="nil"/>
                  </w:tcBorders>
                  <w:noWrap w:val="0"/>
                  <w:vAlign w:val="center"/>
                </w:tcPr>
                <w:p w14:paraId="1FA7548E">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生产工序</w:t>
                  </w:r>
                </w:p>
              </w:tc>
              <w:tc>
                <w:tcPr>
                  <w:tcW w:w="1028" w:type="pct"/>
                  <w:tcBorders>
                    <w:tl2br w:val="nil"/>
                    <w:tr2bl w:val="nil"/>
                  </w:tcBorders>
                  <w:noWrap w:val="0"/>
                  <w:vAlign w:val="center"/>
                </w:tcPr>
                <w:p w14:paraId="2FCE7ABB">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危险废物（900-041-49）</w:t>
                  </w:r>
                </w:p>
              </w:tc>
              <w:tc>
                <w:tcPr>
                  <w:tcW w:w="967" w:type="pct"/>
                  <w:tcBorders>
                    <w:tl2br w:val="nil"/>
                    <w:tr2bl w:val="nil"/>
                  </w:tcBorders>
                  <w:noWrap w:val="0"/>
                  <w:vAlign w:val="center"/>
                </w:tcPr>
                <w:p w14:paraId="26227E3C">
                  <w:pPr>
                    <w:tabs>
                      <w:tab w:val="right" w:pos="7832"/>
                    </w:tabs>
                    <w:jc w:val="center"/>
                    <w:rPr>
                      <w:rFonts w:hint="eastAsia"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废热熔胶桶</w:t>
                  </w:r>
                </w:p>
              </w:tc>
              <w:tc>
                <w:tcPr>
                  <w:tcW w:w="633" w:type="pct"/>
                  <w:tcBorders>
                    <w:tl2br w:val="nil"/>
                    <w:tr2bl w:val="nil"/>
                  </w:tcBorders>
                  <w:noWrap w:val="0"/>
                  <w:vAlign w:val="center"/>
                </w:tcPr>
                <w:p w14:paraId="7972A6B8">
                  <w:pPr>
                    <w:pStyle w:val="71"/>
                    <w:rPr>
                      <w:rFonts w:hint="default"/>
                      <w:b w:val="0"/>
                      <w:bCs w:val="0"/>
                      <w:color w:val="FF0000"/>
                      <w:sz w:val="21"/>
                      <w:szCs w:val="21"/>
                      <w:highlight w:val="none"/>
                      <w:lang w:val="en-US" w:eastAsia="zh-CN"/>
                    </w:rPr>
                  </w:pPr>
                  <w:r>
                    <w:rPr>
                      <w:rFonts w:hint="eastAsia"/>
                      <w:b w:val="0"/>
                      <w:bCs w:val="0"/>
                      <w:color w:val="FF0000"/>
                      <w:sz w:val="21"/>
                      <w:szCs w:val="21"/>
                      <w:highlight w:val="none"/>
                      <w:lang w:val="en-US" w:eastAsia="zh-CN"/>
                    </w:rPr>
                    <w:t>0.06</w:t>
                  </w:r>
                </w:p>
              </w:tc>
              <w:tc>
                <w:tcPr>
                  <w:tcW w:w="839" w:type="pct"/>
                  <w:vMerge w:val="continue"/>
                  <w:tcBorders>
                    <w:tl2br w:val="nil"/>
                    <w:tr2bl w:val="nil"/>
                  </w:tcBorders>
                  <w:noWrap w:val="0"/>
                  <w:vAlign w:val="center"/>
                </w:tcPr>
                <w:p w14:paraId="0BD6364B">
                  <w:pPr>
                    <w:tabs>
                      <w:tab w:val="right" w:pos="7832"/>
                    </w:tabs>
                    <w:jc w:val="center"/>
                    <w:rPr>
                      <w:rFonts w:hint="eastAsia" w:ascii="Times New Roman" w:hAnsi="Times New Roman" w:eastAsia="宋体" w:cs="Times New Roman"/>
                      <w:color w:val="FF0000"/>
                      <w:sz w:val="21"/>
                      <w:szCs w:val="21"/>
                      <w:highlight w:val="none"/>
                      <w:lang w:eastAsia="zh-CN"/>
                    </w:rPr>
                  </w:pPr>
                </w:p>
              </w:tc>
            </w:tr>
            <w:tr w14:paraId="5886B0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64" w:type="dxa"/>
                  <w:tcBorders>
                    <w:tl2br w:val="nil"/>
                    <w:tr2bl w:val="nil"/>
                  </w:tcBorders>
                  <w:noWrap w:val="0"/>
                  <w:vAlign w:val="center"/>
                </w:tcPr>
                <w:p w14:paraId="63620BA4">
                  <w:pPr>
                    <w:tabs>
                      <w:tab w:val="right" w:pos="7832"/>
                    </w:tabs>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8</w:t>
                  </w:r>
                </w:p>
              </w:tc>
              <w:tc>
                <w:tcPr>
                  <w:tcW w:w="821" w:type="pct"/>
                  <w:tcBorders>
                    <w:tl2br w:val="nil"/>
                    <w:tr2bl w:val="nil"/>
                  </w:tcBorders>
                  <w:noWrap w:val="0"/>
                  <w:vAlign w:val="center"/>
                </w:tcPr>
                <w:p w14:paraId="50870941">
                  <w:pPr>
                    <w:adjustRightInd w:val="0"/>
                    <w:snapToGrid w:val="0"/>
                    <w:spacing w:line="240" w:lineRule="atLeast"/>
                    <w:jc w:val="center"/>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废矿物油</w:t>
                  </w:r>
                </w:p>
              </w:tc>
              <w:tc>
                <w:tcPr>
                  <w:tcW w:w="433" w:type="pct"/>
                  <w:tcBorders>
                    <w:tl2br w:val="nil"/>
                    <w:tr2bl w:val="nil"/>
                  </w:tcBorders>
                  <w:noWrap w:val="0"/>
                  <w:vAlign w:val="center"/>
                </w:tcPr>
                <w:p w14:paraId="7A791DBF">
                  <w:pPr>
                    <w:tabs>
                      <w:tab w:val="right" w:pos="7832"/>
                    </w:tabs>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设备维修</w:t>
                  </w:r>
                </w:p>
              </w:tc>
              <w:tc>
                <w:tcPr>
                  <w:tcW w:w="1028" w:type="pct"/>
                  <w:tcBorders>
                    <w:tl2br w:val="nil"/>
                    <w:tr2bl w:val="nil"/>
                  </w:tcBorders>
                  <w:noWrap w:val="0"/>
                  <w:vAlign w:val="center"/>
                </w:tcPr>
                <w:p w14:paraId="73F5912B">
                  <w:pPr>
                    <w:tabs>
                      <w:tab w:val="right" w:pos="7832"/>
                    </w:tabs>
                    <w:jc w:val="center"/>
                    <w:rPr>
                      <w:rFonts w:hint="eastAsia" w:ascii="Times New Roman" w:hAnsi="Times New Roman" w:eastAsia="宋体" w:cs="Times New Roman"/>
                      <w:color w:val="FF0000"/>
                      <w:sz w:val="21"/>
                      <w:szCs w:val="21"/>
                      <w:highlight w:val="none"/>
                      <w:lang w:eastAsia="zh-CN"/>
                    </w:rPr>
                  </w:pPr>
                  <w:r>
                    <w:rPr>
                      <w:rFonts w:hint="eastAsia" w:ascii="Times New Roman" w:hAnsi="Times New Roman" w:eastAsia="宋体" w:cs="Times New Roman"/>
                      <w:color w:val="FF0000"/>
                      <w:sz w:val="21"/>
                      <w:szCs w:val="21"/>
                      <w:highlight w:val="none"/>
                      <w:lang w:eastAsia="zh-CN"/>
                    </w:rPr>
                    <w:t>危险废物</w:t>
                  </w:r>
                </w:p>
                <w:p w14:paraId="4591A55E">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eastAsia="zh-CN"/>
                    </w:rPr>
                    <w:t>（</w:t>
                  </w:r>
                  <w:r>
                    <w:rPr>
                      <w:rFonts w:hint="eastAsia" w:ascii="Times New Roman" w:hAnsi="Times New Roman" w:eastAsia="宋体" w:cs="Times New Roman"/>
                      <w:color w:val="FF0000"/>
                      <w:sz w:val="21"/>
                      <w:szCs w:val="21"/>
                      <w:highlight w:val="none"/>
                      <w:lang w:val="en-US" w:eastAsia="zh-CN"/>
                    </w:rPr>
                    <w:t>900-214-08</w:t>
                  </w:r>
                  <w:r>
                    <w:rPr>
                      <w:rFonts w:hint="eastAsia" w:ascii="Times New Roman" w:hAnsi="Times New Roman" w:eastAsia="宋体" w:cs="Times New Roman"/>
                      <w:color w:val="FF0000"/>
                      <w:sz w:val="21"/>
                      <w:szCs w:val="21"/>
                      <w:highlight w:val="none"/>
                      <w:lang w:eastAsia="zh-CN"/>
                    </w:rPr>
                    <w:t>）</w:t>
                  </w:r>
                </w:p>
              </w:tc>
              <w:tc>
                <w:tcPr>
                  <w:tcW w:w="967" w:type="pct"/>
                  <w:tcBorders>
                    <w:tl2br w:val="nil"/>
                    <w:tr2bl w:val="nil"/>
                  </w:tcBorders>
                  <w:noWrap w:val="0"/>
                  <w:vAlign w:val="center"/>
                </w:tcPr>
                <w:p w14:paraId="5E05CB16">
                  <w:pPr>
                    <w:tabs>
                      <w:tab w:val="right" w:pos="7832"/>
                    </w:tabs>
                    <w:jc w:val="center"/>
                    <w:rPr>
                      <w:rFonts w:hint="eastAsia"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矿物油</w:t>
                  </w:r>
                </w:p>
              </w:tc>
              <w:tc>
                <w:tcPr>
                  <w:tcW w:w="633" w:type="pct"/>
                  <w:tcBorders>
                    <w:tl2br w:val="nil"/>
                    <w:tr2bl w:val="nil"/>
                  </w:tcBorders>
                  <w:noWrap w:val="0"/>
                  <w:vAlign w:val="center"/>
                </w:tcPr>
                <w:p w14:paraId="3E0908AC">
                  <w:pPr>
                    <w:pStyle w:val="71"/>
                    <w:rPr>
                      <w:rFonts w:hint="default"/>
                      <w:b w:val="0"/>
                      <w:bCs w:val="0"/>
                      <w:color w:val="FF0000"/>
                      <w:sz w:val="21"/>
                      <w:szCs w:val="21"/>
                      <w:highlight w:val="none"/>
                      <w:lang w:val="en-US" w:eastAsia="zh-CN"/>
                    </w:rPr>
                  </w:pPr>
                  <w:r>
                    <w:rPr>
                      <w:rFonts w:hint="eastAsia"/>
                      <w:b w:val="0"/>
                      <w:bCs w:val="0"/>
                      <w:color w:val="FF0000"/>
                      <w:sz w:val="21"/>
                      <w:szCs w:val="21"/>
                      <w:highlight w:val="none"/>
                      <w:lang w:val="en-US" w:eastAsia="zh-CN"/>
                    </w:rPr>
                    <w:t>0.05</w:t>
                  </w:r>
                </w:p>
              </w:tc>
              <w:tc>
                <w:tcPr>
                  <w:tcW w:w="839" w:type="pct"/>
                  <w:vMerge w:val="continue"/>
                  <w:tcBorders>
                    <w:tl2br w:val="nil"/>
                    <w:tr2bl w:val="nil"/>
                  </w:tcBorders>
                  <w:noWrap w:val="0"/>
                  <w:vAlign w:val="center"/>
                </w:tcPr>
                <w:p w14:paraId="5BAE07F9">
                  <w:pPr>
                    <w:tabs>
                      <w:tab w:val="right" w:pos="7832"/>
                    </w:tabs>
                    <w:jc w:val="center"/>
                    <w:rPr>
                      <w:rFonts w:hint="eastAsia" w:ascii="Times New Roman" w:hAnsi="Times New Roman" w:eastAsia="宋体" w:cs="Times New Roman"/>
                      <w:color w:val="FF0000"/>
                      <w:sz w:val="21"/>
                      <w:szCs w:val="21"/>
                      <w:highlight w:val="none"/>
                      <w:lang w:val="en-US" w:eastAsia="zh-CN"/>
                    </w:rPr>
                  </w:pPr>
                </w:p>
              </w:tc>
            </w:tr>
            <w:tr w14:paraId="2E158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64" w:type="dxa"/>
                  <w:tcBorders>
                    <w:tl2br w:val="nil"/>
                    <w:tr2bl w:val="nil"/>
                  </w:tcBorders>
                  <w:noWrap w:val="0"/>
                  <w:vAlign w:val="center"/>
                </w:tcPr>
                <w:p w14:paraId="4169DC36">
                  <w:pPr>
                    <w:tabs>
                      <w:tab w:val="right" w:pos="7832"/>
                    </w:tabs>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9</w:t>
                  </w:r>
                </w:p>
              </w:tc>
              <w:tc>
                <w:tcPr>
                  <w:tcW w:w="821" w:type="pct"/>
                  <w:tcBorders>
                    <w:tl2br w:val="nil"/>
                    <w:tr2bl w:val="nil"/>
                  </w:tcBorders>
                  <w:noWrap w:val="0"/>
                  <w:vAlign w:val="center"/>
                </w:tcPr>
                <w:p w14:paraId="57A634C3">
                  <w:pPr>
                    <w:adjustRightInd w:val="0"/>
                    <w:snapToGrid w:val="0"/>
                    <w:spacing w:line="240" w:lineRule="atLeast"/>
                    <w:jc w:val="center"/>
                    <w:rPr>
                      <w:rFonts w:hint="default"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废矿物油桶</w:t>
                  </w:r>
                </w:p>
              </w:tc>
              <w:tc>
                <w:tcPr>
                  <w:tcW w:w="433" w:type="pct"/>
                  <w:tcBorders>
                    <w:tl2br w:val="nil"/>
                    <w:tr2bl w:val="nil"/>
                  </w:tcBorders>
                  <w:noWrap w:val="0"/>
                  <w:vAlign w:val="center"/>
                </w:tcPr>
                <w:p w14:paraId="031498B2">
                  <w:pPr>
                    <w:tabs>
                      <w:tab w:val="right" w:pos="7832"/>
                    </w:tabs>
                    <w:jc w:val="center"/>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设备维修</w:t>
                  </w:r>
                </w:p>
              </w:tc>
              <w:tc>
                <w:tcPr>
                  <w:tcW w:w="1028" w:type="pct"/>
                  <w:tcBorders>
                    <w:tl2br w:val="nil"/>
                    <w:tr2bl w:val="nil"/>
                  </w:tcBorders>
                  <w:noWrap w:val="0"/>
                  <w:vAlign w:val="center"/>
                </w:tcPr>
                <w:p w14:paraId="23BE33D2">
                  <w:pPr>
                    <w:tabs>
                      <w:tab w:val="right" w:pos="7832"/>
                    </w:tabs>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危险废物（900-249-08）</w:t>
                  </w:r>
                </w:p>
              </w:tc>
              <w:tc>
                <w:tcPr>
                  <w:tcW w:w="967" w:type="pct"/>
                  <w:tcBorders>
                    <w:tl2br w:val="nil"/>
                    <w:tr2bl w:val="nil"/>
                  </w:tcBorders>
                  <w:noWrap w:val="0"/>
                  <w:vAlign w:val="center"/>
                </w:tcPr>
                <w:p w14:paraId="18A0BF7B">
                  <w:pPr>
                    <w:tabs>
                      <w:tab w:val="right" w:pos="7832"/>
                    </w:tabs>
                    <w:jc w:val="center"/>
                    <w:rPr>
                      <w:rFonts w:hint="eastAsia" w:ascii="Times New Roman" w:hAnsi="Times New Roman" w:eastAsia="宋体" w:cs="Times New Roman"/>
                      <w:b w:val="0"/>
                      <w:bCs w:val="0"/>
                      <w:color w:val="FF0000"/>
                      <w:sz w:val="21"/>
                      <w:szCs w:val="21"/>
                      <w:highlight w:val="none"/>
                      <w:lang w:val="en-US" w:eastAsia="zh-CN"/>
                    </w:rPr>
                  </w:pPr>
                  <w:r>
                    <w:rPr>
                      <w:rFonts w:hint="eastAsia" w:ascii="Times New Roman" w:hAnsi="Times New Roman" w:eastAsia="宋体" w:cs="Times New Roman"/>
                      <w:b w:val="0"/>
                      <w:bCs w:val="0"/>
                      <w:color w:val="FF0000"/>
                      <w:sz w:val="21"/>
                      <w:szCs w:val="21"/>
                      <w:highlight w:val="none"/>
                      <w:lang w:val="en-US" w:eastAsia="zh-CN"/>
                    </w:rPr>
                    <w:t>废油墨桶</w:t>
                  </w:r>
                </w:p>
              </w:tc>
              <w:tc>
                <w:tcPr>
                  <w:tcW w:w="633" w:type="pct"/>
                  <w:tcBorders>
                    <w:tl2br w:val="nil"/>
                    <w:tr2bl w:val="nil"/>
                  </w:tcBorders>
                  <w:noWrap w:val="0"/>
                  <w:vAlign w:val="center"/>
                </w:tcPr>
                <w:p w14:paraId="761EDB0B">
                  <w:pPr>
                    <w:pStyle w:val="71"/>
                    <w:rPr>
                      <w:rFonts w:hint="default"/>
                      <w:b w:val="0"/>
                      <w:bCs w:val="0"/>
                      <w:color w:val="FF0000"/>
                      <w:sz w:val="21"/>
                      <w:szCs w:val="21"/>
                      <w:highlight w:val="none"/>
                      <w:lang w:val="en-US" w:eastAsia="zh-CN"/>
                    </w:rPr>
                  </w:pPr>
                  <w:r>
                    <w:rPr>
                      <w:rFonts w:hint="eastAsia"/>
                      <w:b w:val="0"/>
                      <w:bCs w:val="0"/>
                      <w:color w:val="FF0000"/>
                      <w:sz w:val="21"/>
                      <w:szCs w:val="21"/>
                      <w:highlight w:val="none"/>
                      <w:lang w:val="en-US" w:eastAsia="zh-CN"/>
                    </w:rPr>
                    <w:t>0.1</w:t>
                  </w:r>
                </w:p>
              </w:tc>
              <w:tc>
                <w:tcPr>
                  <w:tcW w:w="839" w:type="pct"/>
                  <w:vMerge w:val="continue"/>
                  <w:tcBorders>
                    <w:tl2br w:val="nil"/>
                    <w:tr2bl w:val="nil"/>
                  </w:tcBorders>
                  <w:noWrap w:val="0"/>
                  <w:vAlign w:val="center"/>
                </w:tcPr>
                <w:p w14:paraId="6EF9D01B">
                  <w:pPr>
                    <w:tabs>
                      <w:tab w:val="right" w:pos="7832"/>
                    </w:tabs>
                    <w:jc w:val="center"/>
                    <w:rPr>
                      <w:rFonts w:hint="eastAsia" w:ascii="Times New Roman" w:hAnsi="Times New Roman" w:eastAsia="宋体" w:cs="Times New Roman"/>
                      <w:color w:val="FF0000"/>
                      <w:sz w:val="21"/>
                      <w:szCs w:val="21"/>
                      <w:highlight w:val="none"/>
                      <w:lang w:val="en-US" w:eastAsia="zh-CN"/>
                    </w:rPr>
                  </w:pPr>
                </w:p>
              </w:tc>
            </w:tr>
            <w:tr w14:paraId="4C529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275" w:type="pct"/>
                  <w:tcBorders>
                    <w:tl2br w:val="nil"/>
                    <w:tr2bl w:val="nil"/>
                  </w:tcBorders>
                  <w:noWrap w:val="0"/>
                  <w:vAlign w:val="center"/>
                </w:tcPr>
                <w:p w14:paraId="65BDA59E">
                  <w:pPr>
                    <w:tabs>
                      <w:tab w:val="right" w:pos="7832"/>
                    </w:tabs>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10</w:t>
                  </w:r>
                </w:p>
              </w:tc>
              <w:tc>
                <w:tcPr>
                  <w:tcW w:w="821" w:type="pct"/>
                  <w:tcBorders>
                    <w:tl2br w:val="nil"/>
                    <w:tr2bl w:val="nil"/>
                  </w:tcBorders>
                  <w:noWrap w:val="0"/>
                  <w:vAlign w:val="center"/>
                </w:tcPr>
                <w:p w14:paraId="164A6DCE">
                  <w:pPr>
                    <w:adjustRightInd w:val="0"/>
                    <w:snapToGrid w:val="0"/>
                    <w:spacing w:line="240" w:lineRule="atLeast"/>
                    <w:jc w:val="center"/>
                    <w:rPr>
                      <w:rFonts w:ascii="Times New Roman" w:hAnsi="Times New Roman" w:eastAsia="宋体" w:cs="Times New Roman"/>
                      <w:color w:val="FF0000"/>
                      <w:sz w:val="21"/>
                      <w:szCs w:val="21"/>
                      <w:highlight w:val="none"/>
                    </w:rPr>
                  </w:pPr>
                  <w:r>
                    <w:rPr>
                      <w:rFonts w:hint="eastAsia" w:ascii="Times New Roman" w:hAnsi="Times New Roman" w:eastAsia="宋体" w:cs="Times New Roman"/>
                      <w:b w:val="0"/>
                      <w:bCs w:val="0"/>
                      <w:color w:val="FF0000"/>
                      <w:sz w:val="21"/>
                      <w:szCs w:val="21"/>
                      <w:highlight w:val="none"/>
                      <w:lang w:val="en-US" w:eastAsia="zh-CN"/>
                    </w:rPr>
                    <w:t>废含油抹布、手套</w:t>
                  </w:r>
                </w:p>
              </w:tc>
              <w:tc>
                <w:tcPr>
                  <w:tcW w:w="433" w:type="pct"/>
                  <w:tcBorders>
                    <w:tl2br w:val="nil"/>
                    <w:tr2bl w:val="nil"/>
                  </w:tcBorders>
                  <w:noWrap w:val="0"/>
                  <w:vAlign w:val="center"/>
                </w:tcPr>
                <w:p w14:paraId="53FDAC85">
                  <w:pPr>
                    <w:tabs>
                      <w:tab w:val="right" w:pos="7832"/>
                    </w:tabs>
                    <w:jc w:val="center"/>
                    <w:rPr>
                      <w:rFonts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eastAsia="zh-CN"/>
                    </w:rPr>
                    <w:t>废气治理</w:t>
                  </w:r>
                </w:p>
              </w:tc>
              <w:tc>
                <w:tcPr>
                  <w:tcW w:w="1028" w:type="pct"/>
                  <w:tcBorders>
                    <w:tl2br w:val="nil"/>
                    <w:tr2bl w:val="nil"/>
                  </w:tcBorders>
                  <w:noWrap w:val="0"/>
                  <w:vAlign w:val="center"/>
                </w:tcPr>
                <w:p w14:paraId="2712691F">
                  <w:pPr>
                    <w:tabs>
                      <w:tab w:val="right" w:pos="7832"/>
                    </w:tabs>
                    <w:jc w:val="center"/>
                    <w:rPr>
                      <w:rFonts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eastAsia="zh-CN"/>
                    </w:rPr>
                    <w:t>（</w:t>
                  </w:r>
                  <w:r>
                    <w:rPr>
                      <w:rFonts w:hint="eastAsia" w:ascii="Times New Roman" w:hAnsi="Times New Roman" w:eastAsia="宋体" w:cs="Times New Roman"/>
                      <w:color w:val="FF0000"/>
                      <w:sz w:val="21"/>
                      <w:szCs w:val="21"/>
                      <w:highlight w:val="none"/>
                      <w:lang w:val="en-US" w:eastAsia="zh-CN"/>
                    </w:rPr>
                    <w:t>危险废物（900-041-49）</w:t>
                  </w:r>
                </w:p>
              </w:tc>
              <w:tc>
                <w:tcPr>
                  <w:tcW w:w="967" w:type="pct"/>
                  <w:tcBorders>
                    <w:tl2br w:val="nil"/>
                    <w:tr2bl w:val="nil"/>
                  </w:tcBorders>
                  <w:noWrap w:val="0"/>
                  <w:vAlign w:val="center"/>
                </w:tcPr>
                <w:p w14:paraId="7A5B4B49">
                  <w:pPr>
                    <w:tabs>
                      <w:tab w:val="right" w:pos="7832"/>
                    </w:tabs>
                    <w:jc w:val="center"/>
                    <w:rPr>
                      <w:rFonts w:ascii="Times New Roman" w:hAnsi="Times New Roman" w:eastAsia="宋体" w:cs="Times New Roman"/>
                      <w:color w:val="FF0000"/>
                      <w:sz w:val="21"/>
                      <w:szCs w:val="21"/>
                      <w:highlight w:val="none"/>
                    </w:rPr>
                  </w:pPr>
                  <w:r>
                    <w:rPr>
                      <w:rFonts w:hint="eastAsia" w:ascii="Times New Roman" w:hAnsi="Times New Roman" w:eastAsia="宋体" w:cs="Times New Roman"/>
                      <w:color w:val="FF0000"/>
                      <w:sz w:val="21"/>
                      <w:szCs w:val="21"/>
                      <w:highlight w:val="none"/>
                      <w:lang w:val="en-US" w:eastAsia="zh-CN"/>
                    </w:rPr>
                    <w:t>棉布、矿物油</w:t>
                  </w:r>
                </w:p>
              </w:tc>
              <w:tc>
                <w:tcPr>
                  <w:tcW w:w="633" w:type="pct"/>
                  <w:tcBorders>
                    <w:tl2br w:val="nil"/>
                    <w:tr2bl w:val="nil"/>
                  </w:tcBorders>
                  <w:noWrap w:val="0"/>
                  <w:vAlign w:val="center"/>
                </w:tcPr>
                <w:p w14:paraId="44AA2AE6">
                  <w:pPr>
                    <w:tabs>
                      <w:tab w:val="right" w:pos="7832"/>
                    </w:tabs>
                    <w:jc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0.02</w:t>
                  </w:r>
                </w:p>
              </w:tc>
              <w:tc>
                <w:tcPr>
                  <w:tcW w:w="839" w:type="pct"/>
                  <w:vMerge w:val="continue"/>
                  <w:tcBorders>
                    <w:tl2br w:val="nil"/>
                    <w:tr2bl w:val="nil"/>
                  </w:tcBorders>
                  <w:noWrap w:val="0"/>
                  <w:vAlign w:val="center"/>
                </w:tcPr>
                <w:p w14:paraId="5B3628AA">
                  <w:pPr>
                    <w:tabs>
                      <w:tab w:val="right" w:pos="7832"/>
                    </w:tabs>
                    <w:jc w:val="center"/>
                    <w:rPr>
                      <w:rFonts w:ascii="Times New Roman" w:hAnsi="Times New Roman" w:eastAsia="宋体" w:cs="Times New Roman"/>
                      <w:color w:val="FF0000"/>
                      <w:sz w:val="21"/>
                      <w:szCs w:val="21"/>
                      <w:highlight w:val="none"/>
                    </w:rPr>
                  </w:pPr>
                </w:p>
              </w:tc>
            </w:tr>
          </w:tbl>
          <w:p w14:paraId="3EEEEC09">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表4-</w:t>
            </w:r>
            <w:r>
              <w:rPr>
                <w:rFonts w:hint="eastAsia" w:cs="Times New Roman"/>
                <w:b/>
                <w:bCs/>
                <w:color w:val="auto"/>
                <w:sz w:val="21"/>
                <w:szCs w:val="21"/>
                <w:highlight w:val="none"/>
                <w:lang w:val="en-US" w:eastAsia="zh-CN"/>
              </w:rPr>
              <w:t>20</w:t>
            </w:r>
            <w:r>
              <w:rPr>
                <w:rFonts w:ascii="Times New Roman" w:hAnsi="Times New Roman" w:eastAsia="宋体" w:cs="Times New Roman"/>
                <w:b/>
                <w:bCs/>
                <w:color w:val="auto"/>
                <w:sz w:val="21"/>
                <w:szCs w:val="21"/>
                <w:highlight w:val="none"/>
              </w:rPr>
              <w:t xml:space="preserve">  项目危险废物汇总表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108" w:type="dxa"/>
                <w:bottom w:w="0" w:type="dxa"/>
                <w:right w:w="108" w:type="dxa"/>
              </w:tblCellMar>
            </w:tblPr>
            <w:tblGrid>
              <w:gridCol w:w="433"/>
              <w:gridCol w:w="729"/>
              <w:gridCol w:w="786"/>
              <w:gridCol w:w="1212"/>
              <w:gridCol w:w="883"/>
              <w:gridCol w:w="608"/>
              <w:gridCol w:w="433"/>
              <w:gridCol w:w="606"/>
              <w:gridCol w:w="663"/>
              <w:gridCol w:w="616"/>
              <w:gridCol w:w="882"/>
              <w:gridCol w:w="699"/>
            </w:tblGrid>
            <w:tr w14:paraId="177FB0B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111" w:hRule="atLeast"/>
                <w:jc w:val="center"/>
              </w:trPr>
              <w:tc>
                <w:tcPr>
                  <w:tcW w:w="253" w:type="pct"/>
                  <w:tcBorders>
                    <w:bottom w:val="single" w:color="auto" w:sz="12" w:space="0"/>
                  </w:tcBorders>
                  <w:noWrap w:val="0"/>
                  <w:vAlign w:val="center"/>
                </w:tcPr>
                <w:p w14:paraId="0E94C76A">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序号</w:t>
                  </w:r>
                </w:p>
              </w:tc>
              <w:tc>
                <w:tcPr>
                  <w:tcW w:w="426" w:type="pct"/>
                  <w:tcBorders>
                    <w:bottom w:val="single" w:color="auto" w:sz="12" w:space="0"/>
                  </w:tcBorders>
                  <w:noWrap w:val="0"/>
                  <w:vAlign w:val="center"/>
                </w:tcPr>
                <w:p w14:paraId="6C71ACB3">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危险废物名称</w:t>
                  </w:r>
                </w:p>
              </w:tc>
              <w:tc>
                <w:tcPr>
                  <w:tcW w:w="459" w:type="pct"/>
                  <w:tcBorders>
                    <w:bottom w:val="single" w:color="auto" w:sz="12" w:space="0"/>
                  </w:tcBorders>
                  <w:noWrap w:val="0"/>
                  <w:vAlign w:val="center"/>
                </w:tcPr>
                <w:p w14:paraId="0FFEF768">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危险</w:t>
                  </w:r>
                </w:p>
                <w:p w14:paraId="2FBA053F">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废物</w:t>
                  </w:r>
                </w:p>
                <w:p w14:paraId="01D94861">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类别</w:t>
                  </w:r>
                </w:p>
              </w:tc>
              <w:tc>
                <w:tcPr>
                  <w:tcW w:w="708" w:type="pct"/>
                  <w:tcBorders>
                    <w:bottom w:val="single" w:color="auto" w:sz="12" w:space="0"/>
                  </w:tcBorders>
                  <w:noWrap w:val="0"/>
                  <w:vAlign w:val="center"/>
                </w:tcPr>
                <w:p w14:paraId="1B544041">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危险废物代码</w:t>
                  </w:r>
                </w:p>
              </w:tc>
              <w:tc>
                <w:tcPr>
                  <w:tcW w:w="516" w:type="pct"/>
                  <w:tcBorders>
                    <w:bottom w:val="single" w:color="auto" w:sz="12" w:space="0"/>
                  </w:tcBorders>
                  <w:noWrap w:val="0"/>
                  <w:vAlign w:val="center"/>
                </w:tcPr>
                <w:p w14:paraId="2C428BE0">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产生量</w:t>
                  </w:r>
                </w:p>
                <w:p w14:paraId="50782C7A">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（t/a）</w:t>
                  </w:r>
                </w:p>
              </w:tc>
              <w:tc>
                <w:tcPr>
                  <w:tcW w:w="355" w:type="pct"/>
                  <w:tcBorders>
                    <w:bottom w:val="single" w:color="auto" w:sz="12" w:space="0"/>
                  </w:tcBorders>
                  <w:noWrap w:val="0"/>
                  <w:vAlign w:val="center"/>
                </w:tcPr>
                <w:p w14:paraId="3055F0DB">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产生</w:t>
                  </w:r>
                </w:p>
                <w:p w14:paraId="25845337">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工序</w:t>
                  </w:r>
                </w:p>
              </w:tc>
              <w:tc>
                <w:tcPr>
                  <w:tcW w:w="253" w:type="pct"/>
                  <w:tcBorders>
                    <w:bottom w:val="single" w:color="auto" w:sz="12" w:space="0"/>
                  </w:tcBorders>
                  <w:noWrap w:val="0"/>
                  <w:vAlign w:val="center"/>
                </w:tcPr>
                <w:p w14:paraId="4EEAEDFF">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形态</w:t>
                  </w:r>
                </w:p>
              </w:tc>
              <w:tc>
                <w:tcPr>
                  <w:tcW w:w="354" w:type="pct"/>
                  <w:tcBorders>
                    <w:bottom w:val="single" w:color="auto" w:sz="12" w:space="0"/>
                  </w:tcBorders>
                  <w:noWrap w:val="0"/>
                  <w:vAlign w:val="center"/>
                </w:tcPr>
                <w:p w14:paraId="1CD8D49C">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主要</w:t>
                  </w:r>
                </w:p>
                <w:p w14:paraId="68539221">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成分</w:t>
                  </w:r>
                </w:p>
              </w:tc>
              <w:tc>
                <w:tcPr>
                  <w:tcW w:w="387" w:type="pct"/>
                  <w:tcBorders>
                    <w:bottom w:val="single" w:color="auto" w:sz="12" w:space="0"/>
                  </w:tcBorders>
                  <w:noWrap w:val="0"/>
                  <w:vAlign w:val="center"/>
                </w:tcPr>
                <w:p w14:paraId="655271F4">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有害</w:t>
                  </w:r>
                </w:p>
                <w:p w14:paraId="31EAE704">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成分</w:t>
                  </w:r>
                </w:p>
              </w:tc>
              <w:tc>
                <w:tcPr>
                  <w:tcW w:w="360" w:type="pct"/>
                  <w:tcBorders>
                    <w:bottom w:val="single" w:color="auto" w:sz="12" w:space="0"/>
                  </w:tcBorders>
                  <w:noWrap w:val="0"/>
                  <w:vAlign w:val="center"/>
                </w:tcPr>
                <w:p w14:paraId="16CE1E63">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产废</w:t>
                  </w:r>
                </w:p>
                <w:p w14:paraId="246BFF31">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周期</w:t>
                  </w:r>
                </w:p>
              </w:tc>
              <w:tc>
                <w:tcPr>
                  <w:tcW w:w="515" w:type="pct"/>
                  <w:tcBorders>
                    <w:bottom w:val="single" w:color="auto" w:sz="12" w:space="0"/>
                  </w:tcBorders>
                  <w:noWrap w:val="0"/>
                  <w:vAlign w:val="center"/>
                </w:tcPr>
                <w:p w14:paraId="2696AAF0">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危险</w:t>
                  </w:r>
                </w:p>
                <w:p w14:paraId="6B938FDB">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特性</w:t>
                  </w:r>
                </w:p>
              </w:tc>
              <w:tc>
                <w:tcPr>
                  <w:tcW w:w="408" w:type="pct"/>
                  <w:tcBorders>
                    <w:bottom w:val="single" w:color="auto" w:sz="12" w:space="0"/>
                  </w:tcBorders>
                  <w:noWrap w:val="0"/>
                  <w:vAlign w:val="center"/>
                </w:tcPr>
                <w:p w14:paraId="4B5BAC28">
                  <w:pPr>
                    <w:tabs>
                      <w:tab w:val="right" w:pos="7832"/>
                    </w:tabs>
                    <w:jc w:val="center"/>
                    <w:rPr>
                      <w:rFonts w:ascii="Times New Roman" w:hAnsi="Times New Roman" w:eastAsia="宋体" w:cs="Times New Roman"/>
                      <w:b/>
                      <w:bCs/>
                      <w:color w:val="auto"/>
                      <w:sz w:val="21"/>
                      <w:szCs w:val="21"/>
                      <w:highlight w:val="none"/>
                    </w:rPr>
                  </w:pPr>
                  <w:r>
                    <w:rPr>
                      <w:rFonts w:ascii="Times New Roman" w:hAnsi="Times New Roman" w:eastAsia="宋体" w:cs="Times New Roman"/>
                      <w:b/>
                      <w:bCs/>
                      <w:color w:val="auto"/>
                      <w:sz w:val="21"/>
                      <w:szCs w:val="21"/>
                      <w:highlight w:val="none"/>
                    </w:rPr>
                    <w:t>污染防治措施</w:t>
                  </w:r>
                </w:p>
              </w:tc>
            </w:tr>
            <w:tr w14:paraId="4706D4E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111" w:hRule="atLeast"/>
                <w:jc w:val="center"/>
              </w:trPr>
              <w:tc>
                <w:tcPr>
                  <w:tcW w:w="253" w:type="pct"/>
                  <w:tcBorders>
                    <w:tl2br w:val="nil"/>
                    <w:tr2bl w:val="nil"/>
                  </w:tcBorders>
                  <w:noWrap w:val="0"/>
                  <w:vAlign w:val="center"/>
                </w:tcPr>
                <w:p w14:paraId="49C172E0">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426" w:type="pct"/>
                  <w:tcBorders>
                    <w:tl2br w:val="nil"/>
                    <w:tr2bl w:val="nil"/>
                  </w:tcBorders>
                  <w:noWrap w:val="0"/>
                  <w:vAlign w:val="center"/>
                </w:tcPr>
                <w:p w14:paraId="46519763">
                  <w:pPr>
                    <w:adjustRightInd w:val="0"/>
                    <w:snapToGrid w:val="0"/>
                    <w:spacing w:line="240" w:lineRule="atLeast"/>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pacing w:val="0"/>
                      <w:sz w:val="21"/>
                      <w:szCs w:val="21"/>
                      <w:lang w:val="en-US" w:eastAsia="zh-CN"/>
                    </w:rPr>
                    <w:t>实验废液</w:t>
                  </w:r>
                </w:p>
              </w:tc>
              <w:tc>
                <w:tcPr>
                  <w:tcW w:w="459" w:type="pct"/>
                  <w:tcBorders>
                    <w:tl2br w:val="nil"/>
                    <w:tr2bl w:val="nil"/>
                  </w:tcBorders>
                  <w:noWrap w:val="0"/>
                  <w:vAlign w:val="center"/>
                </w:tcPr>
                <w:p w14:paraId="0E8C65FB">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pacing w:val="0"/>
                      <w:lang w:val="en-US" w:eastAsia="zh-CN"/>
                    </w:rPr>
                    <w:t>HW49</w:t>
                  </w:r>
                </w:p>
              </w:tc>
              <w:tc>
                <w:tcPr>
                  <w:tcW w:w="708" w:type="pct"/>
                  <w:tcBorders>
                    <w:tl2br w:val="nil"/>
                    <w:tr2bl w:val="nil"/>
                  </w:tcBorders>
                  <w:noWrap w:val="0"/>
                  <w:vAlign w:val="center"/>
                </w:tcPr>
                <w:p w14:paraId="159336C5">
                  <w:pPr>
                    <w:tabs>
                      <w:tab w:val="right" w:pos="7832"/>
                    </w:tabs>
                    <w:jc w:val="center"/>
                    <w:rPr>
                      <w:rFonts w:hint="eastAsia" w:ascii="Times New Roman" w:hAnsi="Times New Roman" w:eastAsia="宋体" w:cs="Times New Roman"/>
                      <w:color w:val="auto"/>
                      <w:szCs w:val="21"/>
                      <w:highlight w:val="none"/>
                      <w:lang w:val="en-US" w:eastAsia="zh-CN"/>
                    </w:rPr>
                  </w:pPr>
                  <w:r>
                    <w:rPr>
                      <w:rFonts w:hint="eastAsia" w:ascii="Times New Roman" w:cs="Times New Roman"/>
                      <w:color w:val="auto"/>
                      <w:spacing w:val="0"/>
                      <w:sz w:val="21"/>
                      <w:szCs w:val="21"/>
                      <w:lang w:val="en-US" w:eastAsia="zh-CN"/>
                    </w:rPr>
                    <w:t>900-047-49</w:t>
                  </w:r>
                </w:p>
              </w:tc>
              <w:tc>
                <w:tcPr>
                  <w:tcW w:w="516" w:type="pct"/>
                  <w:tcBorders>
                    <w:tl2br w:val="nil"/>
                    <w:tr2bl w:val="nil"/>
                  </w:tcBorders>
                  <w:noWrap w:val="0"/>
                  <w:vAlign w:val="center"/>
                </w:tcPr>
                <w:p w14:paraId="6ADAA87A">
                  <w:pPr>
                    <w:pStyle w:val="71"/>
                    <w:rPr>
                      <w:rFonts w:hint="default"/>
                      <w:b w:val="0"/>
                      <w:bCs w:val="0"/>
                      <w:color w:val="auto"/>
                      <w:sz w:val="21"/>
                      <w:szCs w:val="21"/>
                      <w:highlight w:val="none"/>
                      <w:lang w:val="en-US" w:eastAsia="zh-CN"/>
                    </w:rPr>
                  </w:pPr>
                  <w:r>
                    <w:rPr>
                      <w:rFonts w:hint="eastAsia"/>
                      <w:b w:val="0"/>
                      <w:bCs w:val="0"/>
                      <w:color w:val="auto"/>
                      <w:sz w:val="21"/>
                      <w:szCs w:val="21"/>
                      <w:highlight w:val="none"/>
                      <w:lang w:val="en-US" w:eastAsia="zh-CN"/>
                    </w:rPr>
                    <w:t>0.5</w:t>
                  </w:r>
                </w:p>
              </w:tc>
              <w:tc>
                <w:tcPr>
                  <w:tcW w:w="355" w:type="pct"/>
                  <w:tcBorders>
                    <w:tl2br w:val="nil"/>
                    <w:tr2bl w:val="nil"/>
                  </w:tcBorders>
                  <w:noWrap w:val="0"/>
                  <w:vAlign w:val="center"/>
                </w:tcPr>
                <w:p w14:paraId="27ABE749">
                  <w:pPr>
                    <w:tabs>
                      <w:tab w:val="right" w:pos="7832"/>
                    </w:tabs>
                    <w:jc w:val="center"/>
                    <w:rPr>
                      <w:rFonts w:hint="default" w:ascii="Times New Roman" w:hAnsi="Times New Roman" w:eastAsia="宋体" w:cs="Times New Roman"/>
                      <w:color w:val="auto"/>
                      <w:szCs w:val="21"/>
                      <w:highlight w:val="none"/>
                      <w:lang w:val="en-US" w:eastAsia="zh-CN"/>
                    </w:rPr>
                  </w:pPr>
                  <w:r>
                    <w:rPr>
                      <w:rFonts w:hint="eastAsia" w:cs="Times New Roman"/>
                      <w:b w:val="0"/>
                      <w:bCs w:val="0"/>
                      <w:color w:val="auto"/>
                      <w:spacing w:val="0"/>
                      <w:sz w:val="21"/>
                      <w:szCs w:val="21"/>
                      <w:lang w:val="en-US" w:eastAsia="zh-CN"/>
                    </w:rPr>
                    <w:t>实验</w:t>
                  </w:r>
                </w:p>
              </w:tc>
              <w:tc>
                <w:tcPr>
                  <w:tcW w:w="253" w:type="pct"/>
                  <w:tcBorders>
                    <w:tl2br w:val="nil"/>
                    <w:tr2bl w:val="nil"/>
                  </w:tcBorders>
                  <w:noWrap w:val="0"/>
                  <w:vAlign w:val="center"/>
                </w:tcPr>
                <w:p w14:paraId="74C70F51">
                  <w:pPr>
                    <w:tabs>
                      <w:tab w:val="right" w:pos="7832"/>
                    </w:tabs>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液态</w:t>
                  </w:r>
                </w:p>
              </w:tc>
              <w:tc>
                <w:tcPr>
                  <w:tcW w:w="354" w:type="pct"/>
                  <w:tcBorders>
                    <w:tl2br w:val="nil"/>
                    <w:tr2bl w:val="nil"/>
                  </w:tcBorders>
                  <w:noWrap w:val="0"/>
                  <w:vAlign w:val="center"/>
                </w:tcPr>
                <w:p w14:paraId="16E0D6B0">
                  <w:pPr>
                    <w:tabs>
                      <w:tab w:val="right" w:pos="7832"/>
                    </w:tabs>
                    <w:jc w:val="center"/>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pacing w:val="0"/>
                      <w:sz w:val="21"/>
                      <w:szCs w:val="21"/>
                      <w:lang w:val="en-US" w:eastAsia="zh-CN"/>
                    </w:rPr>
                    <w:t>实验废液</w:t>
                  </w:r>
                </w:p>
              </w:tc>
              <w:tc>
                <w:tcPr>
                  <w:tcW w:w="387" w:type="pct"/>
                  <w:tcBorders>
                    <w:tl2br w:val="nil"/>
                    <w:tr2bl w:val="nil"/>
                  </w:tcBorders>
                  <w:noWrap w:val="0"/>
                  <w:vAlign w:val="center"/>
                </w:tcPr>
                <w:p w14:paraId="0B39C4BD">
                  <w:pPr>
                    <w:tabs>
                      <w:tab w:val="right" w:pos="7832"/>
                    </w:tabs>
                    <w:jc w:val="center"/>
                    <w:rPr>
                      <w:rFonts w:hint="default" w:ascii="Times New Roman" w:hAnsi="Times New Roman" w:eastAsia="宋体" w:cs="Times New Roman"/>
                      <w:color w:val="auto"/>
                      <w:szCs w:val="21"/>
                      <w:highlight w:val="none"/>
                      <w:lang w:val="en-US" w:eastAsia="zh-CN"/>
                    </w:rPr>
                  </w:pPr>
                  <w:r>
                    <w:rPr>
                      <w:rFonts w:hint="eastAsia" w:cs="Times New Roman"/>
                      <w:b w:val="0"/>
                      <w:bCs w:val="0"/>
                      <w:color w:val="auto"/>
                      <w:spacing w:val="0"/>
                      <w:sz w:val="21"/>
                      <w:szCs w:val="21"/>
                      <w:lang w:val="en-US" w:eastAsia="zh-CN"/>
                    </w:rPr>
                    <w:t>实验废液</w:t>
                  </w:r>
                </w:p>
              </w:tc>
              <w:tc>
                <w:tcPr>
                  <w:tcW w:w="360" w:type="pct"/>
                  <w:tcBorders>
                    <w:tl2br w:val="nil"/>
                    <w:tr2bl w:val="nil"/>
                  </w:tcBorders>
                  <w:noWrap w:val="0"/>
                  <w:vAlign w:val="center"/>
                </w:tcPr>
                <w:p w14:paraId="5BD7C356">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1次/月</w:t>
                  </w:r>
                </w:p>
              </w:tc>
              <w:tc>
                <w:tcPr>
                  <w:tcW w:w="515" w:type="pct"/>
                  <w:tcBorders>
                    <w:tl2br w:val="nil"/>
                    <w:tr2bl w:val="nil"/>
                  </w:tcBorders>
                  <w:noWrap w:val="0"/>
                  <w:vAlign w:val="center"/>
                </w:tcPr>
                <w:p w14:paraId="3AE59B13">
                  <w:pPr>
                    <w:tabs>
                      <w:tab w:val="right" w:pos="7832"/>
                    </w:tabs>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T/C/I/R</w:t>
                  </w:r>
                </w:p>
              </w:tc>
              <w:tc>
                <w:tcPr>
                  <w:tcW w:w="408" w:type="pct"/>
                  <w:vMerge w:val="restart"/>
                  <w:tcBorders>
                    <w:tl2br w:val="nil"/>
                    <w:tr2bl w:val="nil"/>
                  </w:tcBorders>
                  <w:noWrap w:val="0"/>
                  <w:vAlign w:val="center"/>
                </w:tcPr>
                <w:p w14:paraId="2604793D">
                  <w:pPr>
                    <w:tabs>
                      <w:tab w:val="right" w:pos="7832"/>
                    </w:tabs>
                    <w:jc w:val="both"/>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暂存于危废暂存</w:t>
                  </w:r>
                  <w:r>
                    <w:rPr>
                      <w:rFonts w:hint="eastAsia" w:ascii="Times New Roman" w:hAnsi="Times New Roman" w:eastAsia="宋体" w:cs="Times New Roman"/>
                      <w:color w:val="auto"/>
                      <w:sz w:val="21"/>
                      <w:szCs w:val="21"/>
                      <w:highlight w:val="none"/>
                    </w:rPr>
                    <w:t>间</w:t>
                  </w:r>
                  <w:r>
                    <w:rPr>
                      <w:rFonts w:ascii="Times New Roman" w:hAnsi="Times New Roman" w:eastAsia="宋体" w:cs="Times New Roman"/>
                      <w:color w:val="auto"/>
                      <w:sz w:val="21"/>
                      <w:szCs w:val="21"/>
                      <w:highlight w:val="none"/>
                    </w:rPr>
                    <w:t>，定期交由有资质单位处置</w:t>
                  </w:r>
                </w:p>
              </w:tc>
            </w:tr>
            <w:tr w14:paraId="6D32448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111" w:hRule="atLeast"/>
                <w:jc w:val="center"/>
              </w:trPr>
              <w:tc>
                <w:tcPr>
                  <w:tcW w:w="253" w:type="pct"/>
                  <w:tcBorders>
                    <w:tl2br w:val="nil"/>
                    <w:tr2bl w:val="nil"/>
                  </w:tcBorders>
                  <w:noWrap w:val="0"/>
                  <w:vAlign w:val="center"/>
                </w:tcPr>
                <w:p w14:paraId="4F9971CC">
                  <w:pPr>
                    <w:tabs>
                      <w:tab w:val="right" w:pos="7832"/>
                    </w:tabs>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426" w:type="pct"/>
                  <w:tcBorders>
                    <w:tl2br w:val="nil"/>
                    <w:tr2bl w:val="nil"/>
                  </w:tcBorders>
                  <w:noWrap w:val="0"/>
                  <w:vAlign w:val="center"/>
                </w:tcPr>
                <w:p w14:paraId="0B1CE2DB">
                  <w:pPr>
                    <w:adjustRightInd w:val="0"/>
                    <w:snapToGrid w:val="0"/>
                    <w:spacing w:line="240" w:lineRule="atLeast"/>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废油墨桶</w:t>
                  </w:r>
                </w:p>
              </w:tc>
              <w:tc>
                <w:tcPr>
                  <w:tcW w:w="459" w:type="pct"/>
                  <w:tcBorders>
                    <w:tl2br w:val="nil"/>
                    <w:tr2bl w:val="nil"/>
                  </w:tcBorders>
                  <w:noWrap w:val="0"/>
                  <w:vAlign w:val="center"/>
                </w:tcPr>
                <w:p w14:paraId="1DEFF4D2">
                  <w:pPr>
                    <w:tabs>
                      <w:tab w:val="right" w:pos="7832"/>
                    </w:tabs>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tc>
              <w:tc>
                <w:tcPr>
                  <w:tcW w:w="708" w:type="pct"/>
                  <w:tcBorders>
                    <w:tl2br w:val="nil"/>
                    <w:tr2bl w:val="nil"/>
                  </w:tcBorders>
                  <w:noWrap w:val="0"/>
                  <w:vAlign w:val="center"/>
                </w:tcPr>
                <w:p w14:paraId="749B5E4C">
                  <w:pPr>
                    <w:tabs>
                      <w:tab w:val="right" w:pos="7832"/>
                    </w:tabs>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900-041-49</w:t>
                  </w:r>
                </w:p>
              </w:tc>
              <w:tc>
                <w:tcPr>
                  <w:tcW w:w="516" w:type="pct"/>
                  <w:tcBorders>
                    <w:tl2br w:val="nil"/>
                    <w:tr2bl w:val="nil"/>
                  </w:tcBorders>
                  <w:noWrap w:val="0"/>
                  <w:vAlign w:val="center"/>
                </w:tcPr>
                <w:p w14:paraId="6463CFA2">
                  <w:pPr>
                    <w:pStyle w:val="71"/>
                    <w:rPr>
                      <w:rFonts w:hint="default" w:ascii="Times New Roman" w:hAnsi="Times New Roman" w:eastAsia="宋体" w:cs="Times New Roman"/>
                      <w:color w:val="auto"/>
                      <w:szCs w:val="21"/>
                      <w:highlight w:val="none"/>
                      <w:lang w:val="en-US" w:eastAsia="zh-CN"/>
                    </w:rPr>
                  </w:pPr>
                  <w:r>
                    <w:rPr>
                      <w:rFonts w:hint="eastAsia"/>
                      <w:b w:val="0"/>
                      <w:bCs w:val="0"/>
                      <w:color w:val="auto"/>
                      <w:sz w:val="21"/>
                      <w:szCs w:val="21"/>
                      <w:highlight w:val="none"/>
                      <w:lang w:val="en-US" w:eastAsia="zh-CN"/>
                    </w:rPr>
                    <w:t>0.004</w:t>
                  </w:r>
                </w:p>
              </w:tc>
              <w:tc>
                <w:tcPr>
                  <w:tcW w:w="355" w:type="pct"/>
                  <w:tcBorders>
                    <w:tl2br w:val="nil"/>
                    <w:tr2bl w:val="nil"/>
                  </w:tcBorders>
                  <w:noWrap w:val="0"/>
                  <w:vAlign w:val="center"/>
                </w:tcPr>
                <w:p w14:paraId="2C58B96E">
                  <w:pPr>
                    <w:tabs>
                      <w:tab w:val="right" w:pos="7832"/>
                    </w:tabs>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生产工序</w:t>
                  </w:r>
                </w:p>
              </w:tc>
              <w:tc>
                <w:tcPr>
                  <w:tcW w:w="253" w:type="pct"/>
                  <w:tcBorders>
                    <w:tl2br w:val="nil"/>
                    <w:tr2bl w:val="nil"/>
                  </w:tcBorders>
                  <w:noWrap w:val="0"/>
                  <w:vAlign w:val="center"/>
                </w:tcPr>
                <w:p w14:paraId="219105CD">
                  <w:pPr>
                    <w:tabs>
                      <w:tab w:val="right" w:pos="7832"/>
                    </w:tabs>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固态</w:t>
                  </w:r>
                </w:p>
              </w:tc>
              <w:tc>
                <w:tcPr>
                  <w:tcW w:w="354" w:type="pct"/>
                  <w:tcBorders>
                    <w:tl2br w:val="nil"/>
                    <w:tr2bl w:val="nil"/>
                  </w:tcBorders>
                  <w:noWrap w:val="0"/>
                  <w:vAlign w:val="center"/>
                </w:tcPr>
                <w:p w14:paraId="26DA4078">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废油墨桶</w:t>
                  </w:r>
                </w:p>
              </w:tc>
              <w:tc>
                <w:tcPr>
                  <w:tcW w:w="387" w:type="pct"/>
                  <w:tcBorders>
                    <w:tl2br w:val="nil"/>
                    <w:tr2bl w:val="nil"/>
                  </w:tcBorders>
                  <w:noWrap w:val="0"/>
                  <w:vAlign w:val="center"/>
                </w:tcPr>
                <w:p w14:paraId="72B2C9B9">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粘有残留的油墨</w:t>
                  </w:r>
                </w:p>
              </w:tc>
              <w:tc>
                <w:tcPr>
                  <w:tcW w:w="360" w:type="pct"/>
                  <w:tcBorders>
                    <w:tl2br w:val="nil"/>
                    <w:tr2bl w:val="nil"/>
                  </w:tcBorders>
                  <w:noWrap w:val="0"/>
                  <w:vAlign w:val="center"/>
                </w:tcPr>
                <w:p w14:paraId="27EE7200">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1次/月</w:t>
                  </w:r>
                </w:p>
              </w:tc>
              <w:tc>
                <w:tcPr>
                  <w:tcW w:w="515" w:type="pct"/>
                  <w:tcBorders>
                    <w:tl2br w:val="nil"/>
                    <w:tr2bl w:val="nil"/>
                  </w:tcBorders>
                  <w:noWrap w:val="0"/>
                  <w:vAlign w:val="center"/>
                </w:tcPr>
                <w:p w14:paraId="3649FC2E">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T/In</w:t>
                  </w:r>
                </w:p>
              </w:tc>
              <w:tc>
                <w:tcPr>
                  <w:tcW w:w="408" w:type="pct"/>
                  <w:vMerge w:val="continue"/>
                  <w:tcBorders>
                    <w:tl2br w:val="nil"/>
                    <w:tr2bl w:val="nil"/>
                  </w:tcBorders>
                  <w:noWrap w:val="0"/>
                  <w:vAlign w:val="center"/>
                </w:tcPr>
                <w:p w14:paraId="6BA59995">
                  <w:pPr>
                    <w:tabs>
                      <w:tab w:val="right" w:pos="7832"/>
                    </w:tabs>
                    <w:jc w:val="both"/>
                    <w:rPr>
                      <w:rFonts w:ascii="Times New Roman" w:hAnsi="Times New Roman" w:eastAsia="宋体" w:cs="Times New Roman"/>
                      <w:color w:val="auto"/>
                      <w:sz w:val="21"/>
                      <w:szCs w:val="21"/>
                      <w:highlight w:val="none"/>
                    </w:rPr>
                  </w:pPr>
                </w:p>
              </w:tc>
            </w:tr>
            <w:tr w14:paraId="245A8F49">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063" w:hRule="atLeast"/>
                <w:jc w:val="center"/>
              </w:trPr>
              <w:tc>
                <w:tcPr>
                  <w:tcW w:w="253" w:type="pct"/>
                  <w:tcBorders>
                    <w:tl2br w:val="nil"/>
                    <w:tr2bl w:val="nil"/>
                  </w:tcBorders>
                  <w:noWrap w:val="0"/>
                  <w:vAlign w:val="center"/>
                </w:tcPr>
                <w:p w14:paraId="66ABECEF">
                  <w:pPr>
                    <w:tabs>
                      <w:tab w:val="right" w:pos="7832"/>
                    </w:tabs>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426" w:type="pct"/>
                  <w:tcBorders>
                    <w:tl2br w:val="nil"/>
                    <w:tr2bl w:val="nil"/>
                  </w:tcBorders>
                  <w:noWrap w:val="0"/>
                  <w:vAlign w:val="center"/>
                </w:tcPr>
                <w:p w14:paraId="6DB3F92E">
                  <w:pPr>
                    <w:adjustRightInd w:val="0"/>
                    <w:snapToGrid w:val="0"/>
                    <w:spacing w:line="240" w:lineRule="atLeast"/>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废热熔胶桶</w:t>
                  </w:r>
                </w:p>
              </w:tc>
              <w:tc>
                <w:tcPr>
                  <w:tcW w:w="459" w:type="pct"/>
                  <w:tcBorders>
                    <w:tl2br w:val="nil"/>
                    <w:tr2bl w:val="nil"/>
                  </w:tcBorders>
                  <w:noWrap w:val="0"/>
                  <w:vAlign w:val="center"/>
                </w:tcPr>
                <w:p w14:paraId="504F39AE">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tc>
              <w:tc>
                <w:tcPr>
                  <w:tcW w:w="708" w:type="pct"/>
                  <w:tcBorders>
                    <w:tl2br w:val="nil"/>
                    <w:tr2bl w:val="nil"/>
                  </w:tcBorders>
                  <w:noWrap w:val="0"/>
                  <w:vAlign w:val="center"/>
                </w:tcPr>
                <w:p w14:paraId="0DF80377">
                  <w:pPr>
                    <w:tabs>
                      <w:tab w:val="right" w:pos="7832"/>
                    </w:tabs>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900-041-49</w:t>
                  </w:r>
                </w:p>
              </w:tc>
              <w:tc>
                <w:tcPr>
                  <w:tcW w:w="516" w:type="pct"/>
                  <w:tcBorders>
                    <w:tl2br w:val="nil"/>
                    <w:tr2bl w:val="nil"/>
                  </w:tcBorders>
                  <w:noWrap w:val="0"/>
                  <w:vAlign w:val="center"/>
                </w:tcPr>
                <w:p w14:paraId="06F51E25">
                  <w:pPr>
                    <w:pStyle w:val="71"/>
                    <w:rPr>
                      <w:rFonts w:hint="default" w:ascii="Times New Roman" w:hAnsi="Times New Roman" w:eastAsia="宋体" w:cs="Times New Roman"/>
                      <w:color w:val="auto"/>
                      <w:szCs w:val="21"/>
                      <w:highlight w:val="none"/>
                      <w:lang w:val="en-US" w:eastAsia="zh-CN"/>
                    </w:rPr>
                  </w:pPr>
                  <w:r>
                    <w:rPr>
                      <w:rFonts w:hint="eastAsia"/>
                      <w:b w:val="0"/>
                      <w:bCs w:val="0"/>
                      <w:color w:val="auto"/>
                      <w:sz w:val="21"/>
                      <w:szCs w:val="21"/>
                      <w:highlight w:val="none"/>
                      <w:lang w:val="en-US" w:eastAsia="zh-CN"/>
                    </w:rPr>
                    <w:t>0.06</w:t>
                  </w:r>
                </w:p>
              </w:tc>
              <w:tc>
                <w:tcPr>
                  <w:tcW w:w="355" w:type="pct"/>
                  <w:tcBorders>
                    <w:tl2br w:val="nil"/>
                    <w:tr2bl w:val="nil"/>
                  </w:tcBorders>
                  <w:noWrap w:val="0"/>
                  <w:vAlign w:val="center"/>
                </w:tcPr>
                <w:p w14:paraId="6A41BED0">
                  <w:pPr>
                    <w:tabs>
                      <w:tab w:val="right" w:pos="7832"/>
                    </w:tabs>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生产工序</w:t>
                  </w:r>
                </w:p>
              </w:tc>
              <w:tc>
                <w:tcPr>
                  <w:tcW w:w="253" w:type="pct"/>
                  <w:tcBorders>
                    <w:tl2br w:val="nil"/>
                    <w:tr2bl w:val="nil"/>
                  </w:tcBorders>
                  <w:noWrap w:val="0"/>
                  <w:vAlign w:val="center"/>
                </w:tcPr>
                <w:p w14:paraId="7344294E">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固态</w:t>
                  </w:r>
                </w:p>
              </w:tc>
              <w:tc>
                <w:tcPr>
                  <w:tcW w:w="354" w:type="pct"/>
                  <w:tcBorders>
                    <w:tl2br w:val="nil"/>
                    <w:tr2bl w:val="nil"/>
                  </w:tcBorders>
                  <w:noWrap w:val="0"/>
                  <w:vAlign w:val="center"/>
                </w:tcPr>
                <w:p w14:paraId="33D0F892">
                  <w:pPr>
                    <w:tabs>
                      <w:tab w:val="right" w:pos="7832"/>
                    </w:tabs>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废热熔胶桶</w:t>
                  </w:r>
                </w:p>
              </w:tc>
              <w:tc>
                <w:tcPr>
                  <w:tcW w:w="387" w:type="pct"/>
                  <w:tcBorders>
                    <w:tl2br w:val="nil"/>
                    <w:tr2bl w:val="nil"/>
                  </w:tcBorders>
                  <w:noWrap w:val="0"/>
                  <w:vAlign w:val="center"/>
                </w:tcPr>
                <w:p w14:paraId="06C0DC9C">
                  <w:pPr>
                    <w:tabs>
                      <w:tab w:val="right" w:pos="7832"/>
                    </w:tabs>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粘有残留的</w:t>
                  </w:r>
                  <w:r>
                    <w:rPr>
                      <w:rFonts w:hint="eastAsia" w:ascii="Times New Roman" w:hAnsi="Times New Roman" w:eastAsia="宋体" w:cs="Times New Roman"/>
                      <w:color w:val="auto"/>
                      <w:szCs w:val="21"/>
                      <w:highlight w:val="none"/>
                      <w:lang w:val="en-US" w:eastAsia="zh-CN"/>
                    </w:rPr>
                    <w:t>热熔胶</w:t>
                  </w:r>
                </w:p>
              </w:tc>
              <w:tc>
                <w:tcPr>
                  <w:tcW w:w="360" w:type="pct"/>
                  <w:tcBorders>
                    <w:tl2br w:val="nil"/>
                    <w:tr2bl w:val="nil"/>
                  </w:tcBorders>
                  <w:noWrap w:val="0"/>
                  <w:vAlign w:val="center"/>
                </w:tcPr>
                <w:p w14:paraId="33BF1667">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1次/月</w:t>
                  </w:r>
                </w:p>
              </w:tc>
              <w:tc>
                <w:tcPr>
                  <w:tcW w:w="515" w:type="pct"/>
                  <w:tcBorders>
                    <w:tl2br w:val="nil"/>
                    <w:tr2bl w:val="nil"/>
                  </w:tcBorders>
                  <w:noWrap w:val="0"/>
                  <w:vAlign w:val="center"/>
                </w:tcPr>
                <w:p w14:paraId="4B658D5C">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T/In</w:t>
                  </w:r>
                </w:p>
              </w:tc>
              <w:tc>
                <w:tcPr>
                  <w:tcW w:w="408" w:type="pct"/>
                  <w:vMerge w:val="continue"/>
                  <w:tcBorders>
                    <w:tl2br w:val="nil"/>
                    <w:tr2bl w:val="nil"/>
                  </w:tcBorders>
                  <w:noWrap w:val="0"/>
                  <w:vAlign w:val="center"/>
                </w:tcPr>
                <w:p w14:paraId="3FAB0AA8">
                  <w:pPr>
                    <w:tabs>
                      <w:tab w:val="right" w:pos="7832"/>
                    </w:tabs>
                    <w:jc w:val="both"/>
                    <w:rPr>
                      <w:rFonts w:ascii="Times New Roman" w:hAnsi="Times New Roman" w:eastAsia="宋体" w:cs="Times New Roman"/>
                      <w:color w:val="auto"/>
                      <w:sz w:val="21"/>
                      <w:szCs w:val="21"/>
                      <w:highlight w:val="none"/>
                    </w:rPr>
                  </w:pPr>
                </w:p>
              </w:tc>
            </w:tr>
            <w:tr w14:paraId="47B5E55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063" w:hRule="atLeast"/>
                <w:jc w:val="center"/>
              </w:trPr>
              <w:tc>
                <w:tcPr>
                  <w:tcW w:w="253" w:type="pct"/>
                  <w:tcBorders>
                    <w:tl2br w:val="nil"/>
                    <w:tr2bl w:val="nil"/>
                  </w:tcBorders>
                  <w:noWrap w:val="0"/>
                  <w:vAlign w:val="center"/>
                </w:tcPr>
                <w:p w14:paraId="1F4A4D03">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426" w:type="pct"/>
                  <w:tcBorders>
                    <w:tl2br w:val="nil"/>
                    <w:tr2bl w:val="nil"/>
                  </w:tcBorders>
                  <w:noWrap w:val="0"/>
                  <w:vAlign w:val="center"/>
                </w:tcPr>
                <w:p w14:paraId="468F5666">
                  <w:pPr>
                    <w:adjustRightInd w:val="0"/>
                    <w:snapToGrid w:val="0"/>
                    <w:spacing w:line="240" w:lineRule="atLeas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废矿物油</w:t>
                  </w:r>
                </w:p>
              </w:tc>
              <w:tc>
                <w:tcPr>
                  <w:tcW w:w="459" w:type="pct"/>
                  <w:tcBorders>
                    <w:tl2br w:val="nil"/>
                    <w:tr2bl w:val="nil"/>
                  </w:tcBorders>
                  <w:noWrap w:val="0"/>
                  <w:vAlign w:val="center"/>
                </w:tcPr>
                <w:p w14:paraId="4AD8CDAF">
                  <w:pPr>
                    <w:tabs>
                      <w:tab w:val="right" w:pos="7832"/>
                    </w:tabs>
                    <w:jc w:val="center"/>
                    <w:rPr>
                      <w:rFonts w:hint="eastAsia"/>
                      <w:color w:val="auto"/>
                      <w:sz w:val="21"/>
                      <w:szCs w:val="21"/>
                      <w:highlight w:val="none"/>
                      <w:lang w:val="en-US" w:eastAsia="zh-CN"/>
                    </w:rPr>
                  </w:pPr>
                  <w:r>
                    <w:rPr>
                      <w:rFonts w:hint="eastAsia"/>
                      <w:color w:val="auto"/>
                      <w:sz w:val="21"/>
                      <w:szCs w:val="21"/>
                      <w:highlight w:val="none"/>
                      <w:lang w:val="en-US" w:eastAsia="zh-CN"/>
                    </w:rPr>
                    <w:t>HW08</w:t>
                  </w:r>
                </w:p>
              </w:tc>
              <w:tc>
                <w:tcPr>
                  <w:tcW w:w="708" w:type="pct"/>
                  <w:tcBorders>
                    <w:tl2br w:val="nil"/>
                    <w:tr2bl w:val="nil"/>
                  </w:tcBorders>
                  <w:noWrap w:val="0"/>
                  <w:vAlign w:val="center"/>
                </w:tcPr>
                <w:p w14:paraId="6C2E1655">
                  <w:pPr>
                    <w:tabs>
                      <w:tab w:val="right" w:pos="7832"/>
                    </w:tabs>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900-214-08</w:t>
                  </w:r>
                </w:p>
              </w:tc>
              <w:tc>
                <w:tcPr>
                  <w:tcW w:w="516" w:type="pct"/>
                  <w:tcBorders>
                    <w:tl2br w:val="nil"/>
                    <w:tr2bl w:val="nil"/>
                  </w:tcBorders>
                  <w:noWrap w:val="0"/>
                  <w:vAlign w:val="center"/>
                </w:tcPr>
                <w:p w14:paraId="3CEC0EE9">
                  <w:pPr>
                    <w:pStyle w:val="71"/>
                    <w:rPr>
                      <w:rFonts w:hint="default" w:ascii="Times New Roman" w:hAnsi="Times New Roman" w:eastAsia="宋体" w:cs="Times New Roman"/>
                      <w:color w:val="auto"/>
                      <w:szCs w:val="21"/>
                      <w:highlight w:val="none"/>
                      <w:lang w:val="en-US" w:eastAsia="zh-CN"/>
                    </w:rPr>
                  </w:pPr>
                  <w:r>
                    <w:rPr>
                      <w:rFonts w:hint="eastAsia"/>
                      <w:b w:val="0"/>
                      <w:bCs w:val="0"/>
                      <w:color w:val="auto"/>
                      <w:sz w:val="21"/>
                      <w:szCs w:val="21"/>
                      <w:highlight w:val="none"/>
                      <w:lang w:val="en-US" w:eastAsia="zh-CN"/>
                    </w:rPr>
                    <w:t>0.05</w:t>
                  </w:r>
                </w:p>
              </w:tc>
              <w:tc>
                <w:tcPr>
                  <w:tcW w:w="355" w:type="pct"/>
                  <w:tcBorders>
                    <w:tl2br w:val="nil"/>
                    <w:tr2bl w:val="nil"/>
                  </w:tcBorders>
                  <w:noWrap w:val="0"/>
                  <w:vAlign w:val="center"/>
                </w:tcPr>
                <w:p w14:paraId="5FA3FBAE">
                  <w:pPr>
                    <w:tabs>
                      <w:tab w:val="right" w:pos="7832"/>
                    </w:tabs>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生产工序</w:t>
                  </w:r>
                </w:p>
              </w:tc>
              <w:tc>
                <w:tcPr>
                  <w:tcW w:w="253" w:type="pct"/>
                  <w:tcBorders>
                    <w:tl2br w:val="nil"/>
                    <w:tr2bl w:val="nil"/>
                  </w:tcBorders>
                  <w:noWrap w:val="0"/>
                  <w:vAlign w:val="center"/>
                </w:tcPr>
                <w:p w14:paraId="0490F2A0">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固态</w:t>
                  </w:r>
                </w:p>
              </w:tc>
              <w:tc>
                <w:tcPr>
                  <w:tcW w:w="354" w:type="pct"/>
                  <w:tcBorders>
                    <w:tl2br w:val="nil"/>
                    <w:tr2bl w:val="nil"/>
                  </w:tcBorders>
                  <w:noWrap w:val="0"/>
                  <w:vAlign w:val="center"/>
                </w:tcPr>
                <w:p w14:paraId="2924ED07">
                  <w:pPr>
                    <w:tabs>
                      <w:tab w:val="right" w:pos="7832"/>
                    </w:tabs>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矿物油</w:t>
                  </w:r>
                </w:p>
              </w:tc>
              <w:tc>
                <w:tcPr>
                  <w:tcW w:w="387" w:type="pct"/>
                  <w:tcBorders>
                    <w:tl2br w:val="nil"/>
                    <w:tr2bl w:val="nil"/>
                  </w:tcBorders>
                  <w:noWrap w:val="0"/>
                  <w:vAlign w:val="center"/>
                </w:tcPr>
                <w:p w14:paraId="3B3AD907">
                  <w:pPr>
                    <w:tabs>
                      <w:tab w:val="right" w:pos="7832"/>
                    </w:tabs>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矿物油</w:t>
                  </w:r>
                </w:p>
              </w:tc>
              <w:tc>
                <w:tcPr>
                  <w:tcW w:w="360" w:type="pct"/>
                  <w:tcBorders>
                    <w:tl2br w:val="nil"/>
                    <w:tr2bl w:val="nil"/>
                  </w:tcBorders>
                  <w:noWrap w:val="0"/>
                  <w:vAlign w:val="center"/>
                </w:tcPr>
                <w:p w14:paraId="639E104F">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1次/月</w:t>
                  </w:r>
                </w:p>
              </w:tc>
              <w:tc>
                <w:tcPr>
                  <w:tcW w:w="515" w:type="pct"/>
                  <w:tcBorders>
                    <w:tl2br w:val="nil"/>
                    <w:tr2bl w:val="nil"/>
                  </w:tcBorders>
                  <w:noWrap w:val="0"/>
                  <w:vAlign w:val="center"/>
                </w:tcPr>
                <w:p w14:paraId="2BC53623">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T，I</w:t>
                  </w:r>
                </w:p>
              </w:tc>
              <w:tc>
                <w:tcPr>
                  <w:tcW w:w="408" w:type="pct"/>
                  <w:vMerge w:val="continue"/>
                  <w:tcBorders>
                    <w:tl2br w:val="nil"/>
                    <w:tr2bl w:val="nil"/>
                  </w:tcBorders>
                  <w:noWrap w:val="0"/>
                  <w:vAlign w:val="center"/>
                </w:tcPr>
                <w:p w14:paraId="54AC9037">
                  <w:pPr>
                    <w:tabs>
                      <w:tab w:val="right" w:pos="7832"/>
                    </w:tabs>
                    <w:jc w:val="center"/>
                    <w:rPr>
                      <w:rFonts w:ascii="Times New Roman" w:hAnsi="Times New Roman" w:eastAsia="宋体" w:cs="Times New Roman"/>
                      <w:color w:val="auto"/>
                      <w:sz w:val="21"/>
                      <w:szCs w:val="21"/>
                      <w:highlight w:val="none"/>
                    </w:rPr>
                  </w:pPr>
                </w:p>
              </w:tc>
            </w:tr>
            <w:tr w14:paraId="29C0A3E6">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063" w:hRule="atLeast"/>
                <w:jc w:val="center"/>
              </w:trPr>
              <w:tc>
                <w:tcPr>
                  <w:tcW w:w="253" w:type="pct"/>
                  <w:tcBorders>
                    <w:tl2br w:val="nil"/>
                    <w:tr2bl w:val="nil"/>
                  </w:tcBorders>
                  <w:noWrap w:val="0"/>
                  <w:vAlign w:val="center"/>
                </w:tcPr>
                <w:p w14:paraId="0C4EFE09">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426" w:type="pct"/>
                  <w:tcBorders>
                    <w:tl2br w:val="nil"/>
                    <w:tr2bl w:val="nil"/>
                  </w:tcBorders>
                  <w:noWrap w:val="0"/>
                  <w:vAlign w:val="center"/>
                </w:tcPr>
                <w:p w14:paraId="7ACF2A69">
                  <w:pPr>
                    <w:adjustRightInd w:val="0"/>
                    <w:snapToGrid w:val="0"/>
                    <w:spacing w:line="240" w:lineRule="atLeast"/>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废矿物油桶</w:t>
                  </w:r>
                </w:p>
              </w:tc>
              <w:tc>
                <w:tcPr>
                  <w:tcW w:w="459" w:type="pct"/>
                  <w:tcBorders>
                    <w:tl2br w:val="nil"/>
                    <w:tr2bl w:val="nil"/>
                  </w:tcBorders>
                  <w:noWrap w:val="0"/>
                  <w:vAlign w:val="center"/>
                </w:tcPr>
                <w:p w14:paraId="6B9FC117">
                  <w:pPr>
                    <w:tabs>
                      <w:tab w:val="right" w:pos="7832"/>
                    </w:tabs>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HW49</w:t>
                  </w:r>
                </w:p>
              </w:tc>
              <w:tc>
                <w:tcPr>
                  <w:tcW w:w="708" w:type="pct"/>
                  <w:tcBorders>
                    <w:tl2br w:val="nil"/>
                    <w:tr2bl w:val="nil"/>
                  </w:tcBorders>
                  <w:noWrap w:val="0"/>
                  <w:vAlign w:val="center"/>
                </w:tcPr>
                <w:p w14:paraId="0CC964A7">
                  <w:pPr>
                    <w:tabs>
                      <w:tab w:val="right" w:pos="7832"/>
                    </w:tabs>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900-249-08</w:t>
                  </w:r>
                </w:p>
              </w:tc>
              <w:tc>
                <w:tcPr>
                  <w:tcW w:w="516" w:type="pct"/>
                  <w:tcBorders>
                    <w:tl2br w:val="nil"/>
                    <w:tr2bl w:val="nil"/>
                  </w:tcBorders>
                  <w:noWrap w:val="0"/>
                  <w:vAlign w:val="center"/>
                </w:tcPr>
                <w:p w14:paraId="43554330">
                  <w:pPr>
                    <w:pStyle w:val="71"/>
                    <w:rPr>
                      <w:rFonts w:hint="default" w:ascii="Times New Roman" w:hAnsi="Times New Roman" w:eastAsia="宋体" w:cs="Times New Roman"/>
                      <w:color w:val="auto"/>
                      <w:szCs w:val="21"/>
                      <w:highlight w:val="none"/>
                      <w:lang w:val="en-US" w:eastAsia="zh-CN"/>
                    </w:rPr>
                  </w:pPr>
                  <w:r>
                    <w:rPr>
                      <w:rFonts w:hint="eastAsia"/>
                      <w:b w:val="0"/>
                      <w:bCs w:val="0"/>
                      <w:color w:val="auto"/>
                      <w:sz w:val="21"/>
                      <w:szCs w:val="21"/>
                      <w:highlight w:val="none"/>
                      <w:lang w:val="en-US" w:eastAsia="zh-CN"/>
                    </w:rPr>
                    <w:t>0.02</w:t>
                  </w:r>
                </w:p>
              </w:tc>
              <w:tc>
                <w:tcPr>
                  <w:tcW w:w="355" w:type="pct"/>
                  <w:tcBorders>
                    <w:tl2br w:val="nil"/>
                    <w:tr2bl w:val="nil"/>
                  </w:tcBorders>
                  <w:noWrap w:val="0"/>
                  <w:vAlign w:val="center"/>
                </w:tcPr>
                <w:p w14:paraId="717D3399">
                  <w:pPr>
                    <w:tabs>
                      <w:tab w:val="right" w:pos="7832"/>
                    </w:tabs>
                    <w:jc w:val="cente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val="en-US" w:eastAsia="zh-CN"/>
                    </w:rPr>
                    <w:t>生产工序</w:t>
                  </w:r>
                </w:p>
              </w:tc>
              <w:tc>
                <w:tcPr>
                  <w:tcW w:w="253" w:type="pct"/>
                  <w:tcBorders>
                    <w:tl2br w:val="nil"/>
                    <w:tr2bl w:val="nil"/>
                  </w:tcBorders>
                  <w:noWrap w:val="0"/>
                  <w:vAlign w:val="center"/>
                </w:tcPr>
                <w:p w14:paraId="569549FB">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固态</w:t>
                  </w:r>
                </w:p>
              </w:tc>
              <w:tc>
                <w:tcPr>
                  <w:tcW w:w="354" w:type="pct"/>
                  <w:tcBorders>
                    <w:tl2br w:val="nil"/>
                    <w:tr2bl w:val="nil"/>
                  </w:tcBorders>
                  <w:noWrap w:val="0"/>
                  <w:vAlign w:val="center"/>
                </w:tcPr>
                <w:p w14:paraId="234FB815">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废油墨桶</w:t>
                  </w:r>
                </w:p>
              </w:tc>
              <w:tc>
                <w:tcPr>
                  <w:tcW w:w="387" w:type="pct"/>
                  <w:tcBorders>
                    <w:tl2br w:val="nil"/>
                    <w:tr2bl w:val="nil"/>
                  </w:tcBorders>
                  <w:noWrap w:val="0"/>
                  <w:vAlign w:val="center"/>
                </w:tcPr>
                <w:p w14:paraId="68168C97">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粘有残留的</w:t>
                  </w:r>
                  <w:r>
                    <w:rPr>
                      <w:rFonts w:hint="eastAsia" w:ascii="Times New Roman" w:hAnsi="Times New Roman" w:eastAsia="宋体" w:cs="Times New Roman"/>
                      <w:color w:val="auto"/>
                      <w:szCs w:val="21"/>
                      <w:highlight w:val="none"/>
                      <w:lang w:val="en-US" w:eastAsia="zh-CN"/>
                    </w:rPr>
                    <w:t>矿物油</w:t>
                  </w:r>
                </w:p>
              </w:tc>
              <w:tc>
                <w:tcPr>
                  <w:tcW w:w="360" w:type="pct"/>
                  <w:tcBorders>
                    <w:tl2br w:val="nil"/>
                    <w:tr2bl w:val="nil"/>
                  </w:tcBorders>
                  <w:noWrap w:val="0"/>
                  <w:vAlign w:val="center"/>
                </w:tcPr>
                <w:p w14:paraId="288EC301">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1次/月</w:t>
                  </w:r>
                </w:p>
              </w:tc>
              <w:tc>
                <w:tcPr>
                  <w:tcW w:w="515" w:type="pct"/>
                  <w:tcBorders>
                    <w:tl2br w:val="nil"/>
                    <w:tr2bl w:val="nil"/>
                  </w:tcBorders>
                  <w:noWrap w:val="0"/>
                  <w:vAlign w:val="center"/>
                </w:tcPr>
                <w:p w14:paraId="1AB8736F">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T，I</w:t>
                  </w:r>
                </w:p>
              </w:tc>
              <w:tc>
                <w:tcPr>
                  <w:tcW w:w="408" w:type="pct"/>
                  <w:vMerge w:val="continue"/>
                  <w:tcBorders>
                    <w:tl2br w:val="nil"/>
                    <w:tr2bl w:val="nil"/>
                  </w:tcBorders>
                  <w:noWrap w:val="0"/>
                  <w:vAlign w:val="center"/>
                </w:tcPr>
                <w:p w14:paraId="5176025A">
                  <w:pPr>
                    <w:tabs>
                      <w:tab w:val="right" w:pos="7832"/>
                    </w:tabs>
                    <w:jc w:val="center"/>
                    <w:rPr>
                      <w:rFonts w:ascii="Times New Roman" w:hAnsi="Times New Roman" w:eastAsia="宋体" w:cs="Times New Roman"/>
                      <w:color w:val="auto"/>
                      <w:sz w:val="21"/>
                      <w:szCs w:val="21"/>
                      <w:highlight w:val="none"/>
                    </w:rPr>
                  </w:pPr>
                </w:p>
              </w:tc>
            </w:tr>
            <w:tr w14:paraId="62EB513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1063" w:hRule="atLeast"/>
                <w:jc w:val="center"/>
              </w:trPr>
              <w:tc>
                <w:tcPr>
                  <w:tcW w:w="253" w:type="pct"/>
                  <w:tcBorders>
                    <w:tl2br w:val="nil"/>
                    <w:tr2bl w:val="nil"/>
                  </w:tcBorders>
                  <w:noWrap w:val="0"/>
                  <w:vAlign w:val="center"/>
                </w:tcPr>
                <w:p w14:paraId="5863BB48">
                  <w:pPr>
                    <w:tabs>
                      <w:tab w:val="right" w:pos="7832"/>
                    </w:tabs>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6</w:t>
                  </w:r>
                </w:p>
              </w:tc>
              <w:tc>
                <w:tcPr>
                  <w:tcW w:w="426" w:type="pct"/>
                  <w:tcBorders>
                    <w:tl2br w:val="nil"/>
                    <w:tr2bl w:val="nil"/>
                  </w:tcBorders>
                  <w:noWrap w:val="0"/>
                  <w:vAlign w:val="center"/>
                </w:tcPr>
                <w:p w14:paraId="71FFF0B6">
                  <w:pPr>
                    <w:adjustRightInd w:val="0"/>
                    <w:snapToGrid w:val="0"/>
                    <w:spacing w:line="240" w:lineRule="atLeast"/>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b w:val="0"/>
                      <w:bCs w:val="0"/>
                      <w:color w:val="auto"/>
                      <w:sz w:val="21"/>
                      <w:szCs w:val="21"/>
                      <w:highlight w:val="none"/>
                      <w:lang w:val="en-US" w:eastAsia="zh-CN"/>
                    </w:rPr>
                    <w:t>废含油抹布、手套</w:t>
                  </w:r>
                </w:p>
              </w:tc>
              <w:tc>
                <w:tcPr>
                  <w:tcW w:w="459" w:type="pct"/>
                  <w:tcBorders>
                    <w:tl2br w:val="nil"/>
                    <w:tr2bl w:val="nil"/>
                  </w:tcBorders>
                  <w:noWrap w:val="0"/>
                  <w:vAlign w:val="center"/>
                </w:tcPr>
                <w:p w14:paraId="46374606">
                  <w:pPr>
                    <w:tabs>
                      <w:tab w:val="right" w:pos="7832"/>
                    </w:tabs>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HW49</w:t>
                  </w:r>
                </w:p>
              </w:tc>
              <w:tc>
                <w:tcPr>
                  <w:tcW w:w="708" w:type="pct"/>
                  <w:tcBorders>
                    <w:tl2br w:val="nil"/>
                    <w:tr2bl w:val="nil"/>
                  </w:tcBorders>
                  <w:noWrap w:val="0"/>
                  <w:vAlign w:val="center"/>
                </w:tcPr>
                <w:p w14:paraId="14FC4F2E">
                  <w:pPr>
                    <w:tabs>
                      <w:tab w:val="right" w:pos="7832"/>
                    </w:tabs>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Cs w:val="21"/>
                      <w:highlight w:val="none"/>
                      <w:lang w:val="en-US" w:eastAsia="zh-CN"/>
                    </w:rPr>
                    <w:t>900-041-49</w:t>
                  </w:r>
                </w:p>
              </w:tc>
              <w:tc>
                <w:tcPr>
                  <w:tcW w:w="516" w:type="pct"/>
                  <w:tcBorders>
                    <w:tl2br w:val="nil"/>
                    <w:tr2bl w:val="nil"/>
                  </w:tcBorders>
                  <w:noWrap w:val="0"/>
                  <w:vAlign w:val="center"/>
                </w:tcPr>
                <w:p w14:paraId="30B1429B">
                  <w:pPr>
                    <w:tabs>
                      <w:tab w:val="right" w:pos="7832"/>
                    </w:tabs>
                    <w:jc w:val="center"/>
                    <w:rPr>
                      <w:rFonts w:hint="default"/>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0.02</w:t>
                  </w:r>
                </w:p>
              </w:tc>
              <w:tc>
                <w:tcPr>
                  <w:tcW w:w="355" w:type="pct"/>
                  <w:tcBorders>
                    <w:tl2br w:val="nil"/>
                    <w:tr2bl w:val="nil"/>
                  </w:tcBorders>
                  <w:noWrap w:val="0"/>
                  <w:vAlign w:val="center"/>
                </w:tcPr>
                <w:p w14:paraId="64AA21E4">
                  <w:pPr>
                    <w:tabs>
                      <w:tab w:val="right" w:pos="7832"/>
                    </w:tabs>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设备维修</w:t>
                  </w:r>
                </w:p>
              </w:tc>
              <w:tc>
                <w:tcPr>
                  <w:tcW w:w="253" w:type="pct"/>
                  <w:tcBorders>
                    <w:tl2br w:val="nil"/>
                    <w:tr2bl w:val="nil"/>
                  </w:tcBorders>
                  <w:noWrap w:val="0"/>
                  <w:vAlign w:val="center"/>
                </w:tcPr>
                <w:p w14:paraId="6BD2826D">
                  <w:pPr>
                    <w:tabs>
                      <w:tab w:val="right" w:pos="7832"/>
                    </w:tabs>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固</w:t>
                  </w:r>
                  <w:r>
                    <w:rPr>
                      <w:rFonts w:hint="eastAsia" w:ascii="Times New Roman" w:hAnsi="Times New Roman" w:eastAsia="宋体" w:cs="Times New Roman"/>
                      <w:color w:val="auto"/>
                      <w:sz w:val="21"/>
                      <w:szCs w:val="21"/>
                      <w:highlight w:val="none"/>
                    </w:rPr>
                    <w:t>态</w:t>
                  </w:r>
                </w:p>
              </w:tc>
              <w:tc>
                <w:tcPr>
                  <w:tcW w:w="354" w:type="pct"/>
                  <w:tcBorders>
                    <w:tl2br w:val="nil"/>
                    <w:tr2bl w:val="nil"/>
                  </w:tcBorders>
                  <w:noWrap w:val="0"/>
                  <w:vAlign w:val="center"/>
                </w:tcPr>
                <w:p w14:paraId="065F4A1D">
                  <w:pPr>
                    <w:tabs>
                      <w:tab w:val="right" w:pos="7832"/>
                    </w:tabs>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有机</w:t>
                  </w:r>
                </w:p>
                <w:p w14:paraId="0428858E">
                  <w:pPr>
                    <w:tabs>
                      <w:tab w:val="right" w:pos="7832"/>
                    </w:tabs>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废气</w:t>
                  </w:r>
                </w:p>
              </w:tc>
              <w:tc>
                <w:tcPr>
                  <w:tcW w:w="387" w:type="pct"/>
                  <w:tcBorders>
                    <w:tl2br w:val="nil"/>
                    <w:tr2bl w:val="nil"/>
                  </w:tcBorders>
                  <w:noWrap w:val="0"/>
                  <w:vAlign w:val="center"/>
                </w:tcPr>
                <w:p w14:paraId="68797351">
                  <w:pPr>
                    <w:tabs>
                      <w:tab w:val="right" w:pos="7832"/>
                    </w:tabs>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粘有残留的矿物油</w:t>
                  </w:r>
                </w:p>
              </w:tc>
              <w:tc>
                <w:tcPr>
                  <w:tcW w:w="360" w:type="pct"/>
                  <w:tcBorders>
                    <w:tl2br w:val="nil"/>
                    <w:tr2bl w:val="nil"/>
                  </w:tcBorders>
                  <w:noWrap w:val="0"/>
                  <w:vAlign w:val="center"/>
                </w:tcPr>
                <w:p w14:paraId="272E5589">
                  <w:pPr>
                    <w:tabs>
                      <w:tab w:val="right" w:pos="7832"/>
                    </w:tabs>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1次/月</w:t>
                  </w:r>
                </w:p>
              </w:tc>
              <w:tc>
                <w:tcPr>
                  <w:tcW w:w="515" w:type="pct"/>
                  <w:tcBorders>
                    <w:tl2br w:val="nil"/>
                    <w:tr2bl w:val="nil"/>
                  </w:tcBorders>
                  <w:noWrap w:val="0"/>
                  <w:vAlign w:val="center"/>
                </w:tcPr>
                <w:p w14:paraId="1EB81868">
                  <w:pPr>
                    <w:tabs>
                      <w:tab w:val="right" w:pos="7832"/>
                    </w:tabs>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T/In</w:t>
                  </w:r>
                </w:p>
              </w:tc>
              <w:tc>
                <w:tcPr>
                  <w:tcW w:w="408" w:type="pct"/>
                  <w:vMerge w:val="continue"/>
                  <w:tcBorders>
                    <w:tl2br w:val="nil"/>
                    <w:tr2bl w:val="nil"/>
                  </w:tcBorders>
                  <w:noWrap w:val="0"/>
                  <w:vAlign w:val="center"/>
                </w:tcPr>
                <w:p w14:paraId="1B03F5FE">
                  <w:pPr>
                    <w:tabs>
                      <w:tab w:val="right" w:pos="7832"/>
                    </w:tabs>
                    <w:jc w:val="center"/>
                    <w:rPr>
                      <w:rFonts w:ascii="Times New Roman" w:hAnsi="Times New Roman" w:eastAsia="宋体" w:cs="Times New Roman"/>
                      <w:color w:val="auto"/>
                      <w:sz w:val="21"/>
                      <w:szCs w:val="21"/>
                      <w:highlight w:val="none"/>
                    </w:rPr>
                  </w:pPr>
                </w:p>
              </w:tc>
            </w:tr>
          </w:tbl>
          <w:p w14:paraId="0AED5907">
            <w:pPr>
              <w:spacing w:beforeLines="50" w:line="360" w:lineRule="auto"/>
              <w:ind w:firstLine="480" w:firstLineChars="200"/>
              <w:rPr>
                <w:color w:val="FF0000"/>
                <w:sz w:val="24"/>
                <w:highlight w:val="none"/>
              </w:rPr>
            </w:pPr>
            <w:r>
              <w:rPr>
                <w:rFonts w:hint="eastAsia"/>
                <w:color w:val="FF0000"/>
                <w:sz w:val="24"/>
                <w:highlight w:val="none"/>
              </w:rPr>
              <w:t>2、</w:t>
            </w:r>
            <w:commentRangeStart w:id="45"/>
            <w:r>
              <w:rPr>
                <w:rFonts w:hint="eastAsia"/>
                <w:color w:val="FF0000"/>
                <w:sz w:val="24"/>
                <w:highlight w:val="none"/>
              </w:rPr>
              <w:t>环境</w:t>
            </w:r>
            <w:commentRangeEnd w:id="45"/>
            <w:r>
              <w:commentReference w:id="45"/>
            </w:r>
            <w:r>
              <w:rPr>
                <w:rFonts w:hint="eastAsia"/>
                <w:color w:val="FF0000"/>
                <w:sz w:val="24"/>
                <w:highlight w:val="none"/>
              </w:rPr>
              <w:t>管理要求</w:t>
            </w:r>
          </w:p>
          <w:p w14:paraId="2DF878DD">
            <w:pPr>
              <w:spacing w:line="360" w:lineRule="auto"/>
              <w:ind w:firstLine="480" w:firstLineChars="200"/>
              <w:rPr>
                <w:bCs/>
                <w:color w:val="FF0000"/>
                <w:sz w:val="24"/>
                <w:highlight w:val="none"/>
              </w:rPr>
            </w:pPr>
            <w:r>
              <w:rPr>
                <w:rFonts w:hint="eastAsia" w:ascii="宋体" w:hAnsi="宋体" w:cs="宋体"/>
                <w:bCs/>
                <w:color w:val="FF0000"/>
                <w:sz w:val="24"/>
                <w:highlight w:val="none"/>
                <w:lang w:eastAsia="zh-CN"/>
              </w:rPr>
              <w:t>（</w:t>
            </w:r>
            <w:r>
              <w:rPr>
                <w:rFonts w:hint="eastAsia" w:ascii="宋体" w:hAnsi="宋体" w:cs="宋体"/>
                <w:bCs/>
                <w:color w:val="FF0000"/>
                <w:sz w:val="24"/>
                <w:highlight w:val="none"/>
                <w:lang w:val="en-US" w:eastAsia="zh-CN"/>
              </w:rPr>
              <w:t>1</w:t>
            </w:r>
            <w:r>
              <w:rPr>
                <w:rFonts w:hint="eastAsia" w:ascii="宋体" w:hAnsi="宋体" w:cs="宋体"/>
                <w:bCs/>
                <w:color w:val="FF0000"/>
                <w:sz w:val="24"/>
                <w:highlight w:val="none"/>
                <w:lang w:eastAsia="zh-CN"/>
              </w:rPr>
              <w:t>）</w:t>
            </w:r>
            <w:r>
              <w:rPr>
                <w:rFonts w:hint="eastAsia"/>
                <w:bCs/>
                <w:color w:val="FF0000"/>
                <w:sz w:val="24"/>
                <w:highlight w:val="none"/>
              </w:rPr>
              <w:t>一般固体废物</w:t>
            </w:r>
          </w:p>
          <w:p w14:paraId="3E1837D8">
            <w:pPr>
              <w:spacing w:line="360" w:lineRule="auto"/>
              <w:ind w:firstLine="480" w:firstLineChars="200"/>
              <w:rPr>
                <w:rFonts w:hint="eastAsia" w:ascii="Times New Roman" w:hAnsi="Times New Roman"/>
                <w:bCs/>
                <w:color w:val="FF0000"/>
                <w:sz w:val="24"/>
                <w:highlight w:val="none"/>
              </w:rPr>
            </w:pPr>
            <w:r>
              <w:rPr>
                <w:rFonts w:hint="eastAsia"/>
                <w:bCs/>
                <w:color w:val="FF0000"/>
                <w:sz w:val="24"/>
                <w:highlight w:val="none"/>
              </w:rPr>
              <w:t>本项目</w:t>
            </w:r>
            <w:r>
              <w:rPr>
                <w:rFonts w:hint="eastAsia"/>
                <w:bCs/>
                <w:color w:val="FF0000"/>
                <w:sz w:val="24"/>
                <w:highlight w:val="none"/>
                <w:lang w:val="en-US" w:eastAsia="zh-CN"/>
              </w:rPr>
              <w:t>依托现有已建</w:t>
            </w:r>
            <w:r>
              <w:rPr>
                <w:rFonts w:hint="eastAsia"/>
                <w:bCs/>
                <w:color w:val="FF0000"/>
                <w:sz w:val="24"/>
                <w:highlight w:val="none"/>
              </w:rPr>
              <w:t>一般固废暂存</w:t>
            </w:r>
            <w:r>
              <w:rPr>
                <w:rFonts w:hint="eastAsia" w:ascii="Times New Roman" w:hAnsi="Times New Roman"/>
                <w:bCs/>
                <w:color w:val="FF0000"/>
                <w:sz w:val="24"/>
                <w:highlight w:val="none"/>
                <w:lang w:val="en-US" w:eastAsia="zh-CN"/>
              </w:rPr>
              <w:t>间1</w:t>
            </w:r>
            <w:r>
              <w:rPr>
                <w:rFonts w:hint="eastAsia"/>
                <w:bCs/>
                <w:color w:val="FF0000"/>
                <w:sz w:val="24"/>
                <w:highlight w:val="none"/>
                <w:lang w:val="en-US" w:eastAsia="zh-CN"/>
              </w:rPr>
              <w:t>5</w:t>
            </w:r>
            <w:r>
              <w:rPr>
                <w:rFonts w:hint="eastAsia"/>
                <w:bCs/>
                <w:color w:val="FF0000"/>
                <w:sz w:val="24"/>
                <w:highlight w:val="none"/>
              </w:rPr>
              <w:t>m</w:t>
            </w:r>
            <w:r>
              <w:rPr>
                <w:rFonts w:hint="eastAsia"/>
                <w:bCs/>
                <w:color w:val="FF0000"/>
                <w:sz w:val="24"/>
                <w:highlight w:val="none"/>
                <w:vertAlign w:val="superscript"/>
              </w:rPr>
              <w:t>2</w:t>
            </w:r>
            <w:r>
              <w:rPr>
                <w:rFonts w:hint="eastAsia"/>
                <w:bCs/>
                <w:color w:val="FF0000"/>
                <w:sz w:val="24"/>
                <w:highlight w:val="none"/>
              </w:rPr>
              <w:t>，作为本项目一般固废贮存使用。</w:t>
            </w:r>
            <w:r>
              <w:rPr>
                <w:rFonts w:hint="eastAsia" w:ascii="Times New Roman" w:hAnsi="Times New Roman"/>
                <w:bCs/>
                <w:color w:val="FF0000"/>
                <w:sz w:val="24"/>
                <w:highlight w:val="none"/>
              </w:rPr>
              <w:t>项目</w:t>
            </w:r>
            <w:r>
              <w:rPr>
                <w:rFonts w:hint="eastAsia" w:ascii="Times New Roman" w:hAnsi="Times New Roman"/>
                <w:bCs/>
                <w:color w:val="FF0000"/>
                <w:sz w:val="24"/>
                <w:highlight w:val="none"/>
                <w:lang w:val="en-US" w:eastAsia="zh-CN"/>
              </w:rPr>
              <w:t>一般固废</w:t>
            </w:r>
            <w:r>
              <w:rPr>
                <w:rFonts w:hint="eastAsia" w:ascii="Times New Roman" w:hAnsi="Times New Roman"/>
                <w:bCs/>
                <w:color w:val="FF0000"/>
                <w:sz w:val="24"/>
                <w:highlight w:val="none"/>
              </w:rPr>
              <w:t>暂存</w:t>
            </w:r>
            <w:r>
              <w:rPr>
                <w:rFonts w:hint="eastAsia" w:ascii="Times New Roman" w:hAnsi="Times New Roman"/>
                <w:bCs/>
                <w:color w:val="FF0000"/>
                <w:sz w:val="24"/>
                <w:highlight w:val="none"/>
                <w:lang w:val="en-US" w:eastAsia="zh-CN"/>
              </w:rPr>
              <w:t>间</w:t>
            </w:r>
            <w:r>
              <w:rPr>
                <w:rFonts w:hint="eastAsia" w:ascii="Times New Roman" w:hAnsi="Times New Roman"/>
                <w:bCs/>
                <w:color w:val="FF0000"/>
                <w:sz w:val="24"/>
                <w:highlight w:val="none"/>
              </w:rPr>
              <w:t>设计贮存最大能力约</w:t>
            </w:r>
            <w:r>
              <w:rPr>
                <w:rFonts w:hint="eastAsia" w:ascii="Times New Roman" w:hAnsi="Times New Roman"/>
                <w:bCs/>
                <w:color w:val="FF0000"/>
                <w:sz w:val="24"/>
                <w:highlight w:val="none"/>
                <w:lang w:val="en-US" w:eastAsia="zh-CN"/>
              </w:rPr>
              <w:t>20</w:t>
            </w:r>
            <w:r>
              <w:rPr>
                <w:rFonts w:hint="eastAsia" w:ascii="Times New Roman" w:hAnsi="Times New Roman"/>
                <w:bCs/>
                <w:color w:val="FF0000"/>
                <w:sz w:val="24"/>
                <w:highlight w:val="none"/>
              </w:rPr>
              <w:t>t，</w:t>
            </w:r>
            <w:r>
              <w:rPr>
                <w:rFonts w:hint="eastAsia"/>
                <w:bCs/>
                <w:color w:val="FF0000"/>
                <w:sz w:val="24"/>
                <w:highlight w:val="none"/>
                <w:lang w:val="en-US" w:eastAsia="zh-CN"/>
              </w:rPr>
              <w:t>变动后</w:t>
            </w:r>
            <w:r>
              <w:rPr>
                <w:rFonts w:hint="eastAsia" w:ascii="Times New Roman" w:hAnsi="Times New Roman"/>
                <w:bCs/>
                <w:color w:val="FF0000"/>
                <w:sz w:val="24"/>
                <w:highlight w:val="none"/>
                <w:lang w:val="en-US" w:eastAsia="zh-CN"/>
              </w:rPr>
              <w:t>本项目一般工业固体废物产生量为22.23t/a，</w:t>
            </w:r>
            <w:r>
              <w:rPr>
                <w:rFonts w:hint="eastAsia" w:ascii="Times New Roman" w:hAnsi="Times New Roman"/>
                <w:bCs/>
                <w:color w:val="FF0000"/>
                <w:sz w:val="24"/>
                <w:highlight w:val="none"/>
              </w:rPr>
              <w:t>项目</w:t>
            </w:r>
            <w:r>
              <w:rPr>
                <w:rFonts w:hint="eastAsia" w:ascii="Times New Roman" w:hAnsi="Times New Roman"/>
                <w:bCs/>
                <w:color w:val="FF0000"/>
                <w:sz w:val="24"/>
                <w:highlight w:val="none"/>
                <w:lang w:val="en-US" w:eastAsia="zh-CN"/>
              </w:rPr>
              <w:t>一般工业固体废物</w:t>
            </w:r>
            <w:r>
              <w:rPr>
                <w:rFonts w:hint="eastAsia" w:ascii="Times New Roman" w:hAnsi="Times New Roman"/>
                <w:bCs/>
                <w:color w:val="FF0000"/>
                <w:sz w:val="24"/>
                <w:highlight w:val="none"/>
              </w:rPr>
              <w:t>最大贮存周期为</w:t>
            </w:r>
            <w:r>
              <w:rPr>
                <w:rFonts w:hint="eastAsia" w:ascii="Times New Roman" w:hAnsi="Times New Roman"/>
                <w:bCs/>
                <w:color w:val="FF0000"/>
                <w:sz w:val="24"/>
                <w:highlight w:val="none"/>
                <w:lang w:val="en-US" w:eastAsia="zh-CN"/>
              </w:rPr>
              <w:t>四个月</w:t>
            </w:r>
            <w:r>
              <w:rPr>
                <w:rFonts w:hint="eastAsia" w:ascii="Times New Roman" w:hAnsi="Times New Roman"/>
                <w:bCs/>
                <w:color w:val="FF0000"/>
                <w:sz w:val="24"/>
                <w:highlight w:val="none"/>
                <w:lang w:eastAsia="zh-CN"/>
              </w:rPr>
              <w:t>。</w:t>
            </w:r>
            <w:r>
              <w:rPr>
                <w:rFonts w:hint="eastAsia" w:ascii="Times New Roman" w:hAnsi="Times New Roman"/>
                <w:bCs/>
                <w:color w:val="FF0000"/>
                <w:sz w:val="24"/>
                <w:highlight w:val="none"/>
              </w:rPr>
              <w:t>根据</w:t>
            </w:r>
            <w:r>
              <w:rPr>
                <w:rFonts w:hint="eastAsia" w:ascii="Times New Roman" w:hAnsi="Times New Roman"/>
                <w:bCs/>
                <w:color w:val="FF0000"/>
                <w:sz w:val="24"/>
                <w:highlight w:val="none"/>
                <w:lang w:val="en-US" w:eastAsia="zh-CN"/>
              </w:rPr>
              <w:t>现有</w:t>
            </w:r>
            <w:r>
              <w:rPr>
                <w:rFonts w:hint="eastAsia" w:ascii="Times New Roman" w:hAnsi="Times New Roman"/>
                <w:bCs/>
                <w:color w:val="FF0000"/>
                <w:sz w:val="24"/>
                <w:highlight w:val="none"/>
              </w:rPr>
              <w:t>项目</w:t>
            </w:r>
            <w:r>
              <w:rPr>
                <w:rFonts w:hint="eastAsia" w:ascii="Times New Roman" w:hAnsi="Times New Roman"/>
                <w:bCs/>
                <w:color w:val="FF0000"/>
                <w:sz w:val="24"/>
                <w:highlight w:val="none"/>
                <w:lang w:val="en-US" w:eastAsia="zh-CN"/>
              </w:rPr>
              <w:t>一般工业固体废物</w:t>
            </w:r>
            <w:r>
              <w:rPr>
                <w:rFonts w:hint="eastAsia" w:ascii="Times New Roman" w:hAnsi="Times New Roman"/>
                <w:bCs/>
                <w:color w:val="FF0000"/>
                <w:sz w:val="24"/>
                <w:highlight w:val="none"/>
              </w:rPr>
              <w:t>产生情况及最大贮存量分析，</w:t>
            </w:r>
            <w:r>
              <w:rPr>
                <w:rFonts w:hint="eastAsia" w:ascii="Times New Roman" w:hAnsi="Times New Roman"/>
                <w:bCs/>
                <w:color w:val="FF0000"/>
                <w:sz w:val="24"/>
                <w:highlight w:val="none"/>
                <w:lang w:val="en-US" w:eastAsia="zh-CN"/>
              </w:rPr>
              <w:t>一般固废</w:t>
            </w:r>
            <w:r>
              <w:rPr>
                <w:rFonts w:hint="eastAsia" w:ascii="Times New Roman" w:hAnsi="Times New Roman"/>
                <w:bCs/>
                <w:color w:val="FF0000"/>
                <w:sz w:val="24"/>
                <w:highlight w:val="none"/>
              </w:rPr>
              <w:t>暂存</w:t>
            </w:r>
            <w:r>
              <w:rPr>
                <w:rFonts w:hint="eastAsia" w:ascii="Times New Roman" w:hAnsi="Times New Roman"/>
                <w:bCs/>
                <w:color w:val="FF0000"/>
                <w:sz w:val="24"/>
                <w:highlight w:val="none"/>
                <w:lang w:val="en-US" w:eastAsia="zh-CN"/>
              </w:rPr>
              <w:t>间</w:t>
            </w:r>
            <w:r>
              <w:rPr>
                <w:rFonts w:hint="eastAsia" w:ascii="Times New Roman" w:hAnsi="Times New Roman"/>
                <w:bCs/>
                <w:color w:val="FF0000"/>
                <w:sz w:val="24"/>
                <w:highlight w:val="none"/>
              </w:rPr>
              <w:t>能够满足本项目的</w:t>
            </w:r>
            <w:r>
              <w:rPr>
                <w:rFonts w:hint="eastAsia" w:ascii="Times New Roman" w:hAnsi="Times New Roman"/>
                <w:bCs/>
                <w:color w:val="FF0000"/>
                <w:sz w:val="24"/>
                <w:highlight w:val="none"/>
                <w:lang w:val="en-US" w:eastAsia="zh-CN"/>
              </w:rPr>
              <w:t>一般工业固体废物</w:t>
            </w:r>
            <w:r>
              <w:rPr>
                <w:rFonts w:hint="eastAsia" w:ascii="Times New Roman" w:hAnsi="Times New Roman"/>
                <w:bCs/>
                <w:color w:val="FF0000"/>
                <w:sz w:val="24"/>
                <w:highlight w:val="none"/>
              </w:rPr>
              <w:t>贮存需求。</w:t>
            </w:r>
          </w:p>
          <w:p w14:paraId="1ACA0CAC">
            <w:pPr>
              <w:spacing w:line="360" w:lineRule="auto"/>
              <w:ind w:firstLine="480" w:firstLineChars="200"/>
              <w:rPr>
                <w:bCs/>
                <w:color w:val="FF0000"/>
                <w:sz w:val="24"/>
                <w:highlight w:val="none"/>
              </w:rPr>
            </w:pPr>
            <w:r>
              <w:rPr>
                <w:rFonts w:hint="eastAsia"/>
                <w:bCs/>
                <w:color w:val="FF0000"/>
                <w:sz w:val="24"/>
                <w:highlight w:val="none"/>
                <w:lang w:val="en-US" w:eastAsia="zh-CN"/>
              </w:rPr>
              <w:t>本项目已建</w:t>
            </w:r>
            <w:r>
              <w:rPr>
                <w:rFonts w:hint="eastAsia"/>
                <w:bCs/>
                <w:color w:val="FF0000"/>
                <w:sz w:val="24"/>
                <w:highlight w:val="none"/>
              </w:rPr>
              <w:t>一般固体废物</w:t>
            </w:r>
            <w:r>
              <w:rPr>
                <w:rFonts w:hint="eastAsia"/>
                <w:bCs/>
                <w:color w:val="FF0000"/>
                <w:sz w:val="24"/>
                <w:highlight w:val="none"/>
                <w:lang w:eastAsia="zh-CN"/>
              </w:rPr>
              <w:t>间</w:t>
            </w:r>
            <w:r>
              <w:rPr>
                <w:rFonts w:hint="eastAsia"/>
                <w:bCs/>
                <w:color w:val="FF0000"/>
                <w:sz w:val="24"/>
                <w:highlight w:val="none"/>
                <w:lang w:val="en-US" w:eastAsia="zh-CN"/>
              </w:rPr>
              <w:t>做出了以</w:t>
            </w:r>
            <w:r>
              <w:rPr>
                <w:rFonts w:hint="eastAsia"/>
                <w:bCs/>
                <w:color w:val="FF0000"/>
                <w:sz w:val="24"/>
                <w:highlight w:val="none"/>
              </w:rPr>
              <w:t xml:space="preserve">下环保措施： </w:t>
            </w:r>
          </w:p>
          <w:p w14:paraId="59C34720">
            <w:pPr>
              <w:spacing w:line="360" w:lineRule="auto"/>
              <w:ind w:firstLine="480" w:firstLineChars="200"/>
              <w:rPr>
                <w:bCs/>
                <w:color w:val="FF0000"/>
                <w:sz w:val="24"/>
                <w:highlight w:val="none"/>
              </w:rPr>
            </w:pPr>
            <w:r>
              <w:rPr>
                <w:bCs/>
                <w:color w:val="FF0000"/>
                <w:sz w:val="24"/>
                <w:highlight w:val="none"/>
              </w:rPr>
              <w:t>1</w:t>
            </w:r>
            <w:r>
              <w:rPr>
                <w:rFonts w:hint="eastAsia"/>
                <w:bCs/>
                <w:color w:val="FF0000"/>
                <w:sz w:val="24"/>
                <w:highlight w:val="none"/>
              </w:rPr>
              <w:t>）为防止雨水径流进入贮存、处置场内，避免渗滤液量增加和滑坡，贮存、处置场周边应设置导流渠。</w:t>
            </w:r>
          </w:p>
          <w:p w14:paraId="0A66EC00">
            <w:pPr>
              <w:spacing w:line="360" w:lineRule="auto"/>
              <w:ind w:firstLine="480" w:firstLineChars="200"/>
              <w:rPr>
                <w:bCs/>
                <w:color w:val="FF0000"/>
                <w:sz w:val="24"/>
                <w:highlight w:val="none"/>
              </w:rPr>
            </w:pPr>
            <w:r>
              <w:rPr>
                <w:bCs/>
                <w:color w:val="FF0000"/>
                <w:sz w:val="24"/>
                <w:highlight w:val="none"/>
              </w:rPr>
              <w:t>2</w:t>
            </w:r>
            <w:r>
              <w:rPr>
                <w:rFonts w:hint="eastAsia"/>
                <w:bCs/>
                <w:color w:val="FF0000"/>
                <w:sz w:val="24"/>
                <w:highlight w:val="none"/>
              </w:rPr>
              <w:t>）为加强监督管理，贮存、处置场按</w:t>
            </w:r>
            <w:r>
              <w:rPr>
                <w:bCs/>
                <w:color w:val="FF0000"/>
                <w:sz w:val="24"/>
                <w:highlight w:val="none"/>
              </w:rPr>
              <w:t>GB15562.2</w:t>
            </w:r>
            <w:r>
              <w:rPr>
                <w:rFonts w:hint="eastAsia"/>
                <w:bCs/>
                <w:color w:val="FF0000"/>
                <w:sz w:val="24"/>
                <w:highlight w:val="none"/>
              </w:rPr>
              <w:t>设置环境保护图形标志。</w:t>
            </w:r>
          </w:p>
          <w:p w14:paraId="0D7948D3">
            <w:pPr>
              <w:spacing w:line="360" w:lineRule="auto"/>
              <w:ind w:firstLine="480" w:firstLineChars="200"/>
              <w:rPr>
                <w:bCs/>
                <w:color w:val="FF0000"/>
                <w:sz w:val="24"/>
                <w:highlight w:val="none"/>
              </w:rPr>
            </w:pPr>
            <w:r>
              <w:rPr>
                <w:bCs/>
                <w:color w:val="FF0000"/>
                <w:sz w:val="24"/>
                <w:highlight w:val="none"/>
              </w:rPr>
              <w:t>3</w:t>
            </w:r>
            <w:r>
              <w:rPr>
                <w:rFonts w:hint="eastAsia"/>
                <w:bCs/>
                <w:color w:val="FF0000"/>
                <w:sz w:val="24"/>
                <w:highlight w:val="none"/>
              </w:rPr>
              <w:t>）贮存、处置场使用单位应建立检查维护制度。定期检查维护堤、坝、挡土墙、导流渠等设施，发现有损坏可能或异常，应及时采取必要措施，以保障正常运行。</w:t>
            </w:r>
          </w:p>
          <w:p w14:paraId="1E866C4C">
            <w:pPr>
              <w:spacing w:line="360" w:lineRule="auto"/>
              <w:ind w:firstLine="480" w:firstLineChars="200"/>
              <w:rPr>
                <w:bCs/>
                <w:color w:val="FF0000"/>
                <w:sz w:val="24"/>
                <w:highlight w:val="none"/>
              </w:rPr>
            </w:pPr>
            <w:r>
              <w:rPr>
                <w:bCs/>
                <w:color w:val="FF0000"/>
                <w:sz w:val="24"/>
                <w:highlight w:val="none"/>
              </w:rPr>
              <w:t>4</w:t>
            </w:r>
            <w:r>
              <w:rPr>
                <w:rFonts w:hint="eastAsia"/>
                <w:bCs/>
                <w:color w:val="FF0000"/>
                <w:sz w:val="24"/>
                <w:highlight w:val="none"/>
              </w:rPr>
              <w:t>）企业应建立固废储运档案制度，将进、出场的一般工业固体废物的种类和数量等资料记录在案，长期保存备查。</w:t>
            </w:r>
          </w:p>
          <w:p w14:paraId="0E62687B">
            <w:pPr>
              <w:spacing w:line="360" w:lineRule="auto"/>
              <w:ind w:firstLine="480" w:firstLineChars="200"/>
              <w:rPr>
                <w:bCs/>
                <w:color w:val="FF0000"/>
                <w:sz w:val="24"/>
                <w:highlight w:val="none"/>
              </w:rPr>
            </w:pPr>
            <w:commentRangeStart w:id="46"/>
            <w:r>
              <w:rPr>
                <w:rFonts w:hint="default" w:ascii="Times New Roman" w:hAnsi="Times New Roman" w:cs="Times New Roman"/>
                <w:bCs/>
                <w:color w:val="FF0000"/>
                <w:sz w:val="24"/>
                <w:highlight w:val="none"/>
                <w:lang w:eastAsia="zh-CN"/>
              </w:rPr>
              <w:t>（</w:t>
            </w:r>
            <w:r>
              <w:rPr>
                <w:rFonts w:hint="default" w:ascii="Times New Roman" w:hAnsi="Times New Roman" w:cs="Times New Roman"/>
                <w:bCs/>
                <w:color w:val="FF0000"/>
                <w:sz w:val="24"/>
                <w:highlight w:val="none"/>
                <w:lang w:val="en-US" w:eastAsia="zh-CN"/>
              </w:rPr>
              <w:t>2</w:t>
            </w:r>
            <w:r>
              <w:rPr>
                <w:rFonts w:hint="default" w:ascii="Times New Roman" w:hAnsi="Times New Roman" w:cs="Times New Roman"/>
                <w:bCs/>
                <w:color w:val="FF0000"/>
                <w:sz w:val="24"/>
                <w:highlight w:val="none"/>
                <w:lang w:eastAsia="zh-CN"/>
              </w:rPr>
              <w:t>）</w:t>
            </w:r>
            <w:commentRangeEnd w:id="46"/>
            <w:r>
              <w:commentReference w:id="46"/>
            </w:r>
            <w:r>
              <w:rPr>
                <w:rFonts w:hint="eastAsia"/>
                <w:bCs/>
                <w:color w:val="FF0000"/>
                <w:sz w:val="24"/>
                <w:highlight w:val="none"/>
              </w:rPr>
              <w:t>危险废物</w:t>
            </w:r>
          </w:p>
          <w:p w14:paraId="2D1087B3">
            <w:pPr>
              <w:spacing w:line="360" w:lineRule="auto"/>
              <w:ind w:firstLine="480" w:firstLineChars="200"/>
              <w:rPr>
                <w:rFonts w:hint="eastAsia"/>
                <w:bCs/>
                <w:color w:val="FF0000"/>
                <w:sz w:val="24"/>
                <w:highlight w:val="none"/>
              </w:rPr>
            </w:pPr>
            <w:r>
              <w:rPr>
                <w:rFonts w:hint="eastAsia"/>
                <w:bCs/>
                <w:color w:val="FF0000"/>
                <w:sz w:val="24"/>
                <w:highlight w:val="none"/>
              </w:rPr>
              <w:t>本项目</w:t>
            </w:r>
            <w:r>
              <w:rPr>
                <w:rFonts w:hint="eastAsia"/>
                <w:bCs/>
                <w:color w:val="FF0000"/>
                <w:sz w:val="24"/>
                <w:highlight w:val="none"/>
                <w:lang w:val="en-US" w:eastAsia="zh-CN"/>
              </w:rPr>
              <w:t>依托现有已建</w:t>
            </w:r>
            <w:r>
              <w:rPr>
                <w:rFonts w:hint="eastAsia"/>
                <w:bCs/>
                <w:color w:val="FF0000"/>
                <w:sz w:val="24"/>
                <w:highlight w:val="none"/>
              </w:rPr>
              <w:t>危废暂存</w:t>
            </w:r>
            <w:r>
              <w:rPr>
                <w:rFonts w:hint="eastAsia" w:ascii="Times New Roman" w:hAnsi="Times New Roman"/>
                <w:bCs/>
                <w:color w:val="FF0000"/>
                <w:sz w:val="24"/>
                <w:highlight w:val="none"/>
                <w:lang w:val="en-US" w:eastAsia="zh-CN"/>
              </w:rPr>
              <w:t>间</w:t>
            </w:r>
            <w:r>
              <w:rPr>
                <w:rFonts w:hint="eastAsia"/>
                <w:bCs/>
                <w:color w:val="FF0000"/>
                <w:sz w:val="24"/>
                <w:highlight w:val="none"/>
                <w:lang w:val="en-US" w:eastAsia="zh-CN"/>
              </w:rPr>
              <w:t>5</w:t>
            </w:r>
            <w:r>
              <w:rPr>
                <w:rFonts w:hint="eastAsia"/>
                <w:bCs/>
                <w:color w:val="FF0000"/>
                <w:sz w:val="24"/>
                <w:highlight w:val="none"/>
              </w:rPr>
              <w:t>m</w:t>
            </w:r>
            <w:r>
              <w:rPr>
                <w:rFonts w:hint="eastAsia"/>
                <w:bCs/>
                <w:color w:val="FF0000"/>
                <w:sz w:val="24"/>
                <w:highlight w:val="none"/>
                <w:vertAlign w:val="superscript"/>
              </w:rPr>
              <w:t>2</w:t>
            </w:r>
            <w:r>
              <w:rPr>
                <w:rFonts w:hint="eastAsia"/>
                <w:bCs/>
                <w:color w:val="FF0000"/>
                <w:sz w:val="24"/>
                <w:highlight w:val="none"/>
              </w:rPr>
              <w:t>，作为本项目危险废物贮存使用。项目</w:t>
            </w:r>
            <w:r>
              <w:rPr>
                <w:rFonts w:hint="eastAsia" w:ascii="Times New Roman" w:hAnsi="Times New Roman"/>
                <w:bCs/>
                <w:color w:val="FF0000"/>
                <w:sz w:val="24"/>
                <w:highlight w:val="none"/>
                <w:lang w:eastAsia="zh-CN"/>
              </w:rPr>
              <w:t>危废暂存间</w:t>
            </w:r>
            <w:r>
              <w:rPr>
                <w:rFonts w:hint="eastAsia"/>
                <w:bCs/>
                <w:color w:val="FF0000"/>
                <w:sz w:val="24"/>
                <w:highlight w:val="none"/>
              </w:rPr>
              <w:t>各类危险废物设计贮存最大能力约</w:t>
            </w:r>
            <w:r>
              <w:rPr>
                <w:rFonts w:hint="eastAsia"/>
                <w:bCs/>
                <w:color w:val="FF0000"/>
                <w:sz w:val="24"/>
                <w:highlight w:val="none"/>
                <w:lang w:val="en-US" w:eastAsia="zh-CN"/>
              </w:rPr>
              <w:t>7</w:t>
            </w:r>
            <w:r>
              <w:rPr>
                <w:rFonts w:hint="eastAsia"/>
                <w:bCs/>
                <w:color w:val="FF0000"/>
                <w:sz w:val="24"/>
                <w:highlight w:val="none"/>
              </w:rPr>
              <w:t>t，</w:t>
            </w:r>
            <w:r>
              <w:rPr>
                <w:rFonts w:hint="eastAsia"/>
                <w:bCs/>
                <w:color w:val="FF0000"/>
                <w:sz w:val="24"/>
                <w:highlight w:val="none"/>
                <w:lang w:val="en-US" w:eastAsia="zh-CN"/>
              </w:rPr>
              <w:t>变动后</w:t>
            </w:r>
            <w:r>
              <w:rPr>
                <w:rFonts w:hint="eastAsia" w:ascii="Times New Roman" w:hAnsi="Times New Roman"/>
                <w:bCs/>
                <w:color w:val="FF0000"/>
                <w:sz w:val="24"/>
                <w:highlight w:val="none"/>
                <w:lang w:val="en-US" w:eastAsia="zh-CN"/>
              </w:rPr>
              <w:t>本项目危废产生量</w:t>
            </w:r>
            <w:r>
              <w:rPr>
                <w:rFonts w:hint="eastAsia" w:ascii="Times New Roman" w:hAnsi="Times New Roman" w:eastAsia="宋体" w:cs="Times New Roman"/>
                <w:bCs/>
                <w:color w:val="FF0000"/>
                <w:sz w:val="24"/>
                <w:highlight w:val="none"/>
                <w:lang w:val="en-US" w:eastAsia="zh-CN"/>
              </w:rPr>
              <w:t>为0.</w:t>
            </w:r>
            <w:r>
              <w:rPr>
                <w:rFonts w:hint="eastAsia" w:cs="Times New Roman"/>
                <w:bCs/>
                <w:color w:val="FF0000"/>
                <w:sz w:val="24"/>
                <w:highlight w:val="none"/>
                <w:lang w:val="en-US" w:eastAsia="zh-CN"/>
              </w:rPr>
              <w:t>734</w:t>
            </w:r>
            <w:r>
              <w:rPr>
                <w:rFonts w:hint="eastAsia" w:ascii="Times New Roman" w:hAnsi="Times New Roman"/>
                <w:bCs/>
                <w:color w:val="FF0000"/>
                <w:sz w:val="24"/>
                <w:highlight w:val="none"/>
                <w:lang w:val="en-US" w:eastAsia="zh-CN"/>
              </w:rPr>
              <w:t>t/a。</w:t>
            </w:r>
            <w:r>
              <w:rPr>
                <w:rFonts w:hint="eastAsia"/>
                <w:bCs/>
                <w:color w:val="FF0000"/>
                <w:sz w:val="24"/>
                <w:highlight w:val="none"/>
                <w:lang w:val="en-US" w:eastAsia="zh-CN"/>
              </w:rPr>
              <w:t>贮存周期为6个月，定期委托资质单位处置。</w:t>
            </w:r>
            <w:r>
              <w:rPr>
                <w:rFonts w:hint="eastAsia"/>
                <w:bCs/>
                <w:color w:val="FF0000"/>
                <w:sz w:val="24"/>
                <w:highlight w:val="none"/>
              </w:rPr>
              <w:t>根据项目危废产生情况及最大贮存量分析，</w:t>
            </w:r>
            <w:r>
              <w:rPr>
                <w:rFonts w:hint="eastAsia" w:ascii="Times New Roman" w:hAnsi="Times New Roman"/>
                <w:bCs/>
                <w:color w:val="FF0000"/>
                <w:sz w:val="24"/>
                <w:highlight w:val="none"/>
                <w:lang w:eastAsia="zh-CN"/>
              </w:rPr>
              <w:t>危废暂存间</w:t>
            </w:r>
            <w:r>
              <w:rPr>
                <w:rFonts w:hint="eastAsia"/>
                <w:bCs/>
                <w:color w:val="FF0000"/>
                <w:sz w:val="24"/>
                <w:highlight w:val="none"/>
              </w:rPr>
              <w:t>能够满足本项目的危废贮存需求。</w:t>
            </w:r>
          </w:p>
          <w:p w14:paraId="16BB4C0C">
            <w:pPr>
              <w:spacing w:line="360" w:lineRule="auto"/>
              <w:ind w:firstLine="480" w:firstLineChars="200"/>
              <w:rPr>
                <w:rFonts w:hint="eastAsia"/>
                <w:bCs/>
                <w:color w:val="FF0000"/>
                <w:sz w:val="24"/>
                <w:highlight w:val="none"/>
              </w:rPr>
            </w:pPr>
            <w:r>
              <w:rPr>
                <w:rFonts w:hint="eastAsia"/>
                <w:bCs/>
                <w:color w:val="FF0000"/>
                <w:sz w:val="24"/>
                <w:highlight w:val="none"/>
              </w:rPr>
              <w:t>为保证固体废物暂存场内暂存的危险废物不对环境产生污染，</w:t>
            </w:r>
            <w:r>
              <w:rPr>
                <w:rFonts w:hint="eastAsia"/>
                <w:bCs/>
                <w:color w:val="FF0000"/>
                <w:sz w:val="24"/>
                <w:highlight w:val="none"/>
                <w:lang w:val="en-US" w:eastAsia="zh-CN"/>
              </w:rPr>
              <w:t>已建</w:t>
            </w:r>
            <w:r>
              <w:rPr>
                <w:rFonts w:hint="eastAsia"/>
                <w:bCs/>
                <w:color w:val="FF0000"/>
                <w:sz w:val="24"/>
                <w:highlight w:val="none"/>
              </w:rPr>
              <w:t>危废暂存</w:t>
            </w:r>
            <w:r>
              <w:rPr>
                <w:rFonts w:hint="eastAsia" w:ascii="Times New Roman" w:hAnsi="Times New Roman"/>
                <w:bCs/>
                <w:color w:val="FF0000"/>
                <w:sz w:val="24"/>
                <w:highlight w:val="none"/>
                <w:lang w:val="en-US" w:eastAsia="zh-CN"/>
              </w:rPr>
              <w:t>间</w:t>
            </w:r>
            <w:r>
              <w:rPr>
                <w:rFonts w:hint="eastAsia"/>
                <w:bCs/>
                <w:color w:val="FF0000"/>
                <w:sz w:val="24"/>
                <w:highlight w:val="none"/>
              </w:rPr>
              <w:t>依据《危险废物贮存污染控制标准》（GB18597-20</w:t>
            </w:r>
            <w:r>
              <w:rPr>
                <w:rFonts w:hint="eastAsia"/>
                <w:bCs/>
                <w:color w:val="FF0000"/>
                <w:sz w:val="24"/>
                <w:highlight w:val="none"/>
                <w:lang w:val="en-US" w:eastAsia="zh-CN"/>
              </w:rPr>
              <w:t>23</w:t>
            </w:r>
            <w:r>
              <w:rPr>
                <w:rFonts w:hint="eastAsia"/>
                <w:bCs/>
                <w:color w:val="FF0000"/>
                <w:sz w:val="24"/>
                <w:highlight w:val="none"/>
                <w:lang w:eastAsia="zh-CN"/>
              </w:rPr>
              <w:t>）</w:t>
            </w:r>
            <w:r>
              <w:rPr>
                <w:rFonts w:hint="eastAsia"/>
                <w:bCs/>
                <w:color w:val="FF0000"/>
                <w:sz w:val="24"/>
                <w:highlight w:val="none"/>
              </w:rPr>
              <w:t>《危险废物收集、贮运、运输技术规范》（HJ2025-2012）及相关国家及地方法律法规</w:t>
            </w:r>
            <w:r>
              <w:rPr>
                <w:rFonts w:hint="eastAsia"/>
                <w:bCs/>
                <w:color w:val="FF0000"/>
                <w:sz w:val="24"/>
                <w:highlight w:val="none"/>
                <w:lang w:val="en-US" w:eastAsia="zh-CN"/>
              </w:rPr>
              <w:t>建设</w:t>
            </w:r>
            <w:r>
              <w:rPr>
                <w:rFonts w:hint="eastAsia"/>
                <w:bCs/>
                <w:color w:val="FF0000"/>
                <w:sz w:val="24"/>
                <w:highlight w:val="none"/>
              </w:rPr>
              <w:t>，项目危险废物的暂存场所设置情况如下：</w:t>
            </w:r>
          </w:p>
          <w:p w14:paraId="1F45D996">
            <w:pPr>
              <w:spacing w:line="360" w:lineRule="auto"/>
              <w:ind w:firstLine="480" w:firstLineChars="200"/>
              <w:rPr>
                <w:bCs/>
                <w:color w:val="FF0000"/>
                <w:sz w:val="24"/>
                <w:highlight w:val="none"/>
              </w:rPr>
            </w:pPr>
            <w:r>
              <w:rPr>
                <w:rFonts w:hint="eastAsia"/>
                <w:bCs/>
                <w:color w:val="FF0000"/>
                <w:sz w:val="24"/>
                <w:highlight w:val="none"/>
              </w:rPr>
              <w:t>根据《国家危险废物名录》规定，项目产生的废活性炭</w:t>
            </w:r>
            <w:r>
              <w:rPr>
                <w:rFonts w:hint="eastAsia" w:ascii="宋体" w:hAnsi="宋体" w:eastAsia="宋体" w:cs="宋体"/>
                <w:color w:val="FF0000"/>
                <w:kern w:val="0"/>
                <w:sz w:val="24"/>
                <w:szCs w:val="24"/>
                <w:highlight w:val="none"/>
                <w:lang w:val="en-US" w:eastAsia="zh-CN" w:bidi="ar"/>
              </w:rPr>
              <w:t>、废润滑油及润滑油桶、废含油抹布及手套</w:t>
            </w:r>
            <w:r>
              <w:rPr>
                <w:rFonts w:hint="eastAsia"/>
                <w:bCs/>
                <w:color w:val="FF0000"/>
                <w:sz w:val="24"/>
                <w:highlight w:val="none"/>
              </w:rPr>
              <w:t>属于危险废物，应按要求交由有资质单位处理。交由有资质单位处理前，这些危险废物的存储应单独设置一间存放室。原料仓库和危废暂存间不共用，禁止将原料和危废在同一库房内存放。装载液体、半固体危废容器内必须留有足够空间，容器顶部与液体表面保留100mm以上的空间，装载危险废物的容器上必须粘贴符合GB18597-200</w:t>
            </w:r>
            <w:r>
              <w:rPr>
                <w:rFonts w:hint="eastAsia"/>
                <w:bCs/>
                <w:color w:val="FF0000"/>
                <w:sz w:val="24"/>
                <w:highlight w:val="none"/>
                <w:lang w:val="en-US" w:eastAsia="zh-CN"/>
              </w:rPr>
              <w:t>23</w:t>
            </w:r>
            <w:r>
              <w:rPr>
                <w:rFonts w:hint="eastAsia"/>
                <w:bCs/>
                <w:color w:val="FF0000"/>
                <w:sz w:val="24"/>
                <w:highlight w:val="none"/>
              </w:rPr>
              <w:t>标准附录A所示的标签；车间和仓库要做好防风、防雨、防晒和净化通风。厂家应制定好固体废物特别是危险废物转移运输途中的污染防范及事故应急措施。</w:t>
            </w:r>
          </w:p>
          <w:p w14:paraId="3D318064">
            <w:pPr>
              <w:spacing w:line="360" w:lineRule="auto"/>
              <w:ind w:firstLine="480" w:firstLineChars="200"/>
              <w:rPr>
                <w:bCs/>
                <w:color w:val="FF0000"/>
                <w:sz w:val="24"/>
                <w:highlight w:val="none"/>
              </w:rPr>
            </w:pPr>
            <w:r>
              <w:rPr>
                <w:rFonts w:hint="eastAsia"/>
                <w:bCs/>
                <w:color w:val="FF0000"/>
                <w:sz w:val="24"/>
                <w:highlight w:val="none"/>
              </w:rPr>
              <w:t>在严格采取以上措施情况下，项目营运期产生的各类固体废物均可得到妥善处理和处置，不会对周围环境产生二次污染，对环境影响较小。一般固废应暂存于一般固废暂存间。</w:t>
            </w:r>
          </w:p>
          <w:p w14:paraId="74C44826">
            <w:pPr>
              <w:spacing w:line="360" w:lineRule="auto"/>
              <w:ind w:firstLine="480" w:firstLineChars="200"/>
              <w:rPr>
                <w:bCs/>
                <w:color w:val="FF0000"/>
                <w:sz w:val="24"/>
                <w:highlight w:val="none"/>
              </w:rPr>
            </w:pPr>
            <w:r>
              <w:rPr>
                <w:rFonts w:hint="eastAsia"/>
                <w:bCs/>
                <w:color w:val="FF0000"/>
                <w:sz w:val="24"/>
                <w:highlight w:val="none"/>
              </w:rPr>
              <w:t>危废暂存间严格按照《危险废物贮存污染控制标准》（GB18597-20</w:t>
            </w:r>
            <w:r>
              <w:rPr>
                <w:rFonts w:hint="eastAsia"/>
                <w:bCs/>
                <w:color w:val="FF0000"/>
                <w:sz w:val="24"/>
                <w:highlight w:val="none"/>
                <w:lang w:val="en-US" w:eastAsia="zh-CN"/>
              </w:rPr>
              <w:t>23</w:t>
            </w:r>
            <w:r>
              <w:rPr>
                <w:rFonts w:hint="eastAsia"/>
                <w:bCs/>
                <w:color w:val="FF0000"/>
                <w:sz w:val="24"/>
                <w:highlight w:val="none"/>
              </w:rPr>
              <w:t>）的有关要求建设，具体固体废物贮存要求如下：</w:t>
            </w:r>
          </w:p>
          <w:p w14:paraId="55B52DB1">
            <w:pPr>
              <w:spacing w:line="360" w:lineRule="auto"/>
              <w:ind w:firstLine="480" w:firstLineChars="200"/>
              <w:rPr>
                <w:bCs/>
                <w:color w:val="FF0000"/>
                <w:sz w:val="24"/>
                <w:highlight w:val="none"/>
              </w:rPr>
            </w:pPr>
            <w:r>
              <w:rPr>
                <w:rFonts w:hint="eastAsia"/>
                <w:bCs/>
                <w:color w:val="FF0000"/>
                <w:sz w:val="24"/>
                <w:highlight w:val="none"/>
              </w:rPr>
              <w:t>1）危险废物贮存设施（仓库式）的设计原则</w:t>
            </w:r>
          </w:p>
          <w:p w14:paraId="7F2512E1">
            <w:pPr>
              <w:spacing w:line="360" w:lineRule="auto"/>
              <w:ind w:firstLine="480" w:firstLineChars="200"/>
              <w:rPr>
                <w:bCs/>
                <w:color w:val="FF0000"/>
                <w:sz w:val="24"/>
                <w:highlight w:val="none"/>
              </w:rPr>
            </w:pPr>
            <w:r>
              <w:rPr>
                <w:rFonts w:hint="eastAsia"/>
                <w:bCs/>
                <w:color w:val="FF0000"/>
                <w:sz w:val="24"/>
                <w:highlight w:val="none"/>
              </w:rPr>
              <w:fldChar w:fldCharType="begin"/>
            </w:r>
            <w:r>
              <w:rPr>
                <w:rFonts w:hint="eastAsia"/>
                <w:bCs/>
                <w:color w:val="FF0000"/>
                <w:sz w:val="24"/>
                <w:highlight w:val="none"/>
              </w:rPr>
              <w:instrText xml:space="preserve"> = 1 \* GB3 </w:instrText>
            </w:r>
            <w:r>
              <w:rPr>
                <w:rFonts w:hint="eastAsia"/>
                <w:bCs/>
                <w:color w:val="FF0000"/>
                <w:sz w:val="24"/>
                <w:highlight w:val="none"/>
              </w:rPr>
              <w:fldChar w:fldCharType="separate"/>
            </w:r>
            <w:r>
              <w:rPr>
                <w:rFonts w:hint="eastAsia"/>
                <w:bCs/>
                <w:color w:val="FF0000"/>
                <w:sz w:val="24"/>
                <w:highlight w:val="none"/>
              </w:rPr>
              <w:t>①</w:t>
            </w:r>
            <w:r>
              <w:rPr>
                <w:rFonts w:hint="eastAsia"/>
                <w:bCs/>
                <w:color w:val="FF0000"/>
                <w:sz w:val="24"/>
                <w:highlight w:val="none"/>
              </w:rPr>
              <w:fldChar w:fldCharType="end"/>
            </w:r>
            <w:r>
              <w:rPr>
                <w:rFonts w:hint="eastAsia"/>
                <w:bCs/>
                <w:color w:val="FF0000"/>
                <w:sz w:val="24"/>
                <w:highlight w:val="none"/>
              </w:rPr>
              <w:t>地面与裙脚要用坚固、防渗的材料建造，建筑材料必须与危险废物相容。</w:t>
            </w:r>
          </w:p>
          <w:p w14:paraId="41D92F2A">
            <w:pPr>
              <w:spacing w:line="360" w:lineRule="auto"/>
              <w:ind w:firstLine="480" w:firstLineChars="200"/>
              <w:rPr>
                <w:bCs/>
                <w:color w:val="FF0000"/>
                <w:sz w:val="24"/>
                <w:highlight w:val="none"/>
              </w:rPr>
            </w:pPr>
            <w:r>
              <w:rPr>
                <w:rFonts w:hint="eastAsia"/>
                <w:bCs/>
                <w:color w:val="FF0000"/>
                <w:sz w:val="24"/>
                <w:highlight w:val="none"/>
              </w:rPr>
              <w:fldChar w:fldCharType="begin"/>
            </w:r>
            <w:r>
              <w:rPr>
                <w:rFonts w:hint="eastAsia"/>
                <w:bCs/>
                <w:color w:val="FF0000"/>
                <w:sz w:val="24"/>
                <w:highlight w:val="none"/>
              </w:rPr>
              <w:instrText xml:space="preserve"> = 2 \* GB3 </w:instrText>
            </w:r>
            <w:r>
              <w:rPr>
                <w:rFonts w:hint="eastAsia"/>
                <w:bCs/>
                <w:color w:val="FF0000"/>
                <w:sz w:val="24"/>
                <w:highlight w:val="none"/>
              </w:rPr>
              <w:fldChar w:fldCharType="separate"/>
            </w:r>
            <w:r>
              <w:rPr>
                <w:rFonts w:hint="eastAsia"/>
                <w:bCs/>
                <w:color w:val="FF0000"/>
                <w:sz w:val="24"/>
                <w:highlight w:val="none"/>
              </w:rPr>
              <w:t>②</w:t>
            </w:r>
            <w:r>
              <w:rPr>
                <w:rFonts w:hint="eastAsia"/>
                <w:bCs/>
                <w:color w:val="FF0000"/>
                <w:sz w:val="24"/>
                <w:highlight w:val="none"/>
              </w:rPr>
              <w:fldChar w:fldCharType="end"/>
            </w:r>
            <w:r>
              <w:rPr>
                <w:rFonts w:hint="eastAsia"/>
                <w:bCs/>
                <w:color w:val="FF0000"/>
                <w:sz w:val="24"/>
                <w:highlight w:val="none"/>
              </w:rPr>
              <w:t>必须有泄漏液体收集装置、气体导出口及气体净化装置。</w:t>
            </w:r>
          </w:p>
          <w:p w14:paraId="290D2A10">
            <w:pPr>
              <w:spacing w:line="360" w:lineRule="auto"/>
              <w:ind w:firstLine="480" w:firstLineChars="200"/>
              <w:rPr>
                <w:bCs/>
                <w:color w:val="FF0000"/>
                <w:sz w:val="24"/>
                <w:highlight w:val="none"/>
              </w:rPr>
            </w:pPr>
            <w:r>
              <w:rPr>
                <w:rFonts w:hint="eastAsia"/>
                <w:bCs/>
                <w:color w:val="FF0000"/>
                <w:sz w:val="24"/>
                <w:highlight w:val="none"/>
              </w:rPr>
              <w:fldChar w:fldCharType="begin"/>
            </w:r>
            <w:r>
              <w:rPr>
                <w:rFonts w:hint="eastAsia"/>
                <w:bCs/>
                <w:color w:val="FF0000"/>
                <w:sz w:val="24"/>
                <w:highlight w:val="none"/>
              </w:rPr>
              <w:instrText xml:space="preserve"> = 3 \* GB3 </w:instrText>
            </w:r>
            <w:r>
              <w:rPr>
                <w:rFonts w:hint="eastAsia"/>
                <w:bCs/>
                <w:color w:val="FF0000"/>
                <w:sz w:val="24"/>
                <w:highlight w:val="none"/>
              </w:rPr>
              <w:fldChar w:fldCharType="separate"/>
            </w:r>
            <w:r>
              <w:rPr>
                <w:rFonts w:hint="eastAsia"/>
                <w:bCs/>
                <w:color w:val="FF0000"/>
                <w:sz w:val="24"/>
                <w:highlight w:val="none"/>
              </w:rPr>
              <w:t>③</w:t>
            </w:r>
            <w:r>
              <w:rPr>
                <w:rFonts w:hint="eastAsia"/>
                <w:bCs/>
                <w:color w:val="FF0000"/>
                <w:sz w:val="24"/>
                <w:highlight w:val="none"/>
              </w:rPr>
              <w:fldChar w:fldCharType="end"/>
            </w:r>
            <w:r>
              <w:rPr>
                <w:rFonts w:hint="eastAsia"/>
                <w:bCs/>
                <w:color w:val="FF0000"/>
                <w:sz w:val="24"/>
                <w:highlight w:val="none"/>
              </w:rPr>
              <w:t>设施内要有安全照明设施和观察窗口。</w:t>
            </w:r>
          </w:p>
          <w:p w14:paraId="3BBC4B52">
            <w:pPr>
              <w:spacing w:line="360" w:lineRule="auto"/>
              <w:ind w:firstLine="480" w:firstLineChars="200"/>
              <w:rPr>
                <w:bCs/>
                <w:color w:val="FF0000"/>
                <w:sz w:val="24"/>
                <w:highlight w:val="none"/>
              </w:rPr>
            </w:pPr>
            <w:r>
              <w:rPr>
                <w:rFonts w:hint="eastAsia"/>
                <w:bCs/>
                <w:color w:val="FF0000"/>
                <w:sz w:val="24"/>
                <w:highlight w:val="none"/>
              </w:rPr>
              <w:t>④不相容的危险废物必须分开存放，并设有隔离间隔断。</w:t>
            </w:r>
          </w:p>
          <w:p w14:paraId="265227C6">
            <w:pPr>
              <w:spacing w:line="360" w:lineRule="auto"/>
              <w:ind w:firstLine="480" w:firstLineChars="200"/>
              <w:rPr>
                <w:bCs/>
                <w:color w:val="FF0000"/>
                <w:sz w:val="24"/>
                <w:highlight w:val="none"/>
              </w:rPr>
            </w:pPr>
            <w:r>
              <w:rPr>
                <w:rFonts w:hint="eastAsia"/>
                <w:bCs/>
                <w:color w:val="FF0000"/>
                <w:sz w:val="24"/>
                <w:highlight w:val="none"/>
              </w:rPr>
              <w:t>2）危险废物的堆放</w:t>
            </w:r>
          </w:p>
          <w:p w14:paraId="059C6FD1">
            <w:pPr>
              <w:spacing w:line="360" w:lineRule="auto"/>
              <w:ind w:firstLine="480" w:firstLineChars="200"/>
              <w:rPr>
                <w:bCs/>
                <w:color w:val="FF0000"/>
                <w:sz w:val="24"/>
                <w:highlight w:val="none"/>
              </w:rPr>
            </w:pPr>
            <w:r>
              <w:rPr>
                <w:rFonts w:hint="eastAsia"/>
                <w:bCs/>
                <w:color w:val="FF0000"/>
                <w:sz w:val="24"/>
                <w:highlight w:val="none"/>
              </w:rPr>
              <w:fldChar w:fldCharType="begin"/>
            </w:r>
            <w:r>
              <w:rPr>
                <w:rFonts w:hint="eastAsia"/>
                <w:bCs/>
                <w:color w:val="FF0000"/>
                <w:sz w:val="24"/>
                <w:highlight w:val="none"/>
              </w:rPr>
              <w:instrText xml:space="preserve"> = 1 \* GB3 </w:instrText>
            </w:r>
            <w:r>
              <w:rPr>
                <w:rFonts w:hint="eastAsia"/>
                <w:bCs/>
                <w:color w:val="FF0000"/>
                <w:sz w:val="24"/>
                <w:highlight w:val="none"/>
              </w:rPr>
              <w:fldChar w:fldCharType="separate"/>
            </w:r>
            <w:r>
              <w:rPr>
                <w:rFonts w:hint="eastAsia"/>
                <w:bCs/>
                <w:color w:val="FF0000"/>
                <w:sz w:val="24"/>
                <w:highlight w:val="none"/>
              </w:rPr>
              <w:t>①</w:t>
            </w:r>
            <w:r>
              <w:rPr>
                <w:rFonts w:hint="eastAsia"/>
                <w:bCs/>
                <w:color w:val="FF0000"/>
                <w:sz w:val="24"/>
                <w:highlight w:val="none"/>
              </w:rPr>
              <w:fldChar w:fldCharType="end"/>
            </w:r>
            <w:r>
              <w:rPr>
                <w:rFonts w:hint="eastAsia"/>
                <w:bCs/>
                <w:color w:val="FF0000"/>
                <w:sz w:val="24"/>
                <w:highlight w:val="none"/>
              </w:rPr>
              <w:t>基础必须防渗，防渗层为至少1米厚粘土层（渗透系数</w:t>
            </w:r>
            <w:r>
              <w:rPr>
                <w:rFonts w:ascii="Arial" w:hAnsi="Arial" w:cs="Arial"/>
                <w:bCs/>
                <w:color w:val="FF0000"/>
                <w:sz w:val="24"/>
                <w:highlight w:val="none"/>
              </w:rPr>
              <w:t>≤</w:t>
            </w:r>
            <w:r>
              <w:rPr>
                <w:rFonts w:hint="eastAsia"/>
                <w:bCs/>
                <w:color w:val="FF0000"/>
                <w:sz w:val="24"/>
                <w:highlight w:val="none"/>
              </w:rPr>
              <w:t>10</w:t>
            </w:r>
            <w:r>
              <w:rPr>
                <w:rFonts w:hint="eastAsia"/>
                <w:bCs/>
                <w:color w:val="FF0000"/>
                <w:sz w:val="24"/>
                <w:highlight w:val="none"/>
                <w:vertAlign w:val="superscript"/>
              </w:rPr>
              <w:t>-7</w:t>
            </w:r>
            <w:r>
              <w:rPr>
                <w:rFonts w:hint="eastAsia"/>
                <w:bCs/>
                <w:color w:val="FF0000"/>
                <w:sz w:val="24"/>
                <w:highlight w:val="none"/>
              </w:rPr>
              <w:t>厘米/秒），或2毫米厚高密度聚乙烯，或至少2毫米厚的其它人工材料，渗透系数</w:t>
            </w:r>
            <w:r>
              <w:rPr>
                <w:rFonts w:ascii="Arial" w:hAnsi="Arial" w:cs="Arial"/>
                <w:bCs/>
                <w:color w:val="FF0000"/>
                <w:sz w:val="24"/>
                <w:highlight w:val="none"/>
              </w:rPr>
              <w:t>≤</w:t>
            </w:r>
            <w:r>
              <w:rPr>
                <w:rFonts w:hint="eastAsia"/>
                <w:bCs/>
                <w:color w:val="FF0000"/>
                <w:sz w:val="24"/>
                <w:highlight w:val="none"/>
              </w:rPr>
              <w:t>10</w:t>
            </w:r>
            <w:r>
              <w:rPr>
                <w:rFonts w:hint="eastAsia"/>
                <w:bCs/>
                <w:color w:val="FF0000"/>
                <w:sz w:val="24"/>
                <w:highlight w:val="none"/>
                <w:vertAlign w:val="superscript"/>
              </w:rPr>
              <w:t>-10</w:t>
            </w:r>
            <w:r>
              <w:rPr>
                <w:rFonts w:hint="eastAsia"/>
                <w:bCs/>
                <w:color w:val="FF0000"/>
                <w:sz w:val="24"/>
                <w:highlight w:val="none"/>
              </w:rPr>
              <w:t>厘米/秒。</w:t>
            </w:r>
          </w:p>
          <w:p w14:paraId="7CAE370A">
            <w:pPr>
              <w:spacing w:line="360" w:lineRule="auto"/>
              <w:ind w:firstLine="480" w:firstLineChars="200"/>
              <w:rPr>
                <w:bCs/>
                <w:color w:val="FF0000"/>
                <w:sz w:val="24"/>
                <w:highlight w:val="none"/>
              </w:rPr>
            </w:pPr>
            <w:r>
              <w:rPr>
                <w:rFonts w:hint="eastAsia"/>
                <w:bCs/>
                <w:color w:val="FF0000"/>
                <w:sz w:val="24"/>
                <w:highlight w:val="none"/>
              </w:rPr>
              <w:fldChar w:fldCharType="begin"/>
            </w:r>
            <w:r>
              <w:rPr>
                <w:rFonts w:hint="eastAsia"/>
                <w:bCs/>
                <w:color w:val="FF0000"/>
                <w:sz w:val="24"/>
                <w:highlight w:val="none"/>
              </w:rPr>
              <w:instrText xml:space="preserve"> = 2 \* GB3 </w:instrText>
            </w:r>
            <w:r>
              <w:rPr>
                <w:rFonts w:hint="eastAsia"/>
                <w:bCs/>
                <w:color w:val="FF0000"/>
                <w:sz w:val="24"/>
                <w:highlight w:val="none"/>
              </w:rPr>
              <w:fldChar w:fldCharType="separate"/>
            </w:r>
            <w:r>
              <w:rPr>
                <w:rFonts w:hint="eastAsia"/>
                <w:bCs/>
                <w:color w:val="FF0000"/>
                <w:sz w:val="24"/>
                <w:highlight w:val="none"/>
              </w:rPr>
              <w:t>②</w:t>
            </w:r>
            <w:r>
              <w:rPr>
                <w:rFonts w:hint="eastAsia"/>
                <w:bCs/>
                <w:color w:val="FF0000"/>
                <w:sz w:val="24"/>
                <w:highlight w:val="none"/>
              </w:rPr>
              <w:fldChar w:fldCharType="end"/>
            </w:r>
            <w:r>
              <w:rPr>
                <w:rFonts w:hint="eastAsia"/>
                <w:bCs/>
                <w:color w:val="FF0000"/>
                <w:sz w:val="24"/>
                <w:highlight w:val="none"/>
              </w:rPr>
              <w:t>堆放危险废物的高度应根据地面承载能力确定。</w:t>
            </w:r>
          </w:p>
          <w:p w14:paraId="446A9645">
            <w:pPr>
              <w:spacing w:line="360" w:lineRule="auto"/>
              <w:ind w:firstLine="480" w:firstLineChars="200"/>
              <w:rPr>
                <w:rFonts w:hint="eastAsia"/>
                <w:bCs/>
                <w:color w:val="FF0000"/>
                <w:sz w:val="24"/>
                <w:highlight w:val="none"/>
              </w:rPr>
            </w:pPr>
            <w:r>
              <w:rPr>
                <w:rFonts w:hint="eastAsia"/>
                <w:bCs/>
                <w:color w:val="FF0000"/>
                <w:sz w:val="24"/>
                <w:highlight w:val="none"/>
              </w:rPr>
              <w:fldChar w:fldCharType="begin"/>
            </w:r>
            <w:r>
              <w:rPr>
                <w:rFonts w:hint="eastAsia"/>
                <w:bCs/>
                <w:color w:val="FF0000"/>
                <w:sz w:val="24"/>
                <w:highlight w:val="none"/>
              </w:rPr>
              <w:instrText xml:space="preserve"> = 3 \* GB3 </w:instrText>
            </w:r>
            <w:r>
              <w:rPr>
                <w:rFonts w:hint="eastAsia"/>
                <w:bCs/>
                <w:color w:val="FF0000"/>
                <w:sz w:val="24"/>
                <w:highlight w:val="none"/>
              </w:rPr>
              <w:fldChar w:fldCharType="separate"/>
            </w:r>
            <w:r>
              <w:rPr>
                <w:rFonts w:hint="eastAsia"/>
                <w:bCs/>
                <w:color w:val="FF0000"/>
                <w:sz w:val="24"/>
                <w:highlight w:val="none"/>
              </w:rPr>
              <w:t>③</w:t>
            </w:r>
            <w:r>
              <w:rPr>
                <w:rFonts w:hint="eastAsia"/>
                <w:bCs/>
                <w:color w:val="FF0000"/>
                <w:sz w:val="24"/>
                <w:highlight w:val="none"/>
              </w:rPr>
              <w:fldChar w:fldCharType="end"/>
            </w:r>
            <w:r>
              <w:rPr>
                <w:rFonts w:hint="eastAsia"/>
                <w:bCs/>
                <w:color w:val="FF0000"/>
                <w:sz w:val="24"/>
                <w:highlight w:val="none"/>
              </w:rPr>
              <w:t>危险废物堆应防风、防雨、防晒、防火和净化通风。</w:t>
            </w:r>
          </w:p>
          <w:p w14:paraId="393FE76C">
            <w:pPr>
              <w:spacing w:line="360" w:lineRule="auto"/>
              <w:ind w:firstLine="480" w:firstLineChars="200"/>
              <w:rPr>
                <w:bCs/>
                <w:color w:val="FF0000"/>
                <w:sz w:val="24"/>
                <w:highlight w:val="none"/>
              </w:rPr>
            </w:pPr>
            <w:r>
              <w:rPr>
                <w:rFonts w:hint="eastAsia"/>
                <w:bCs/>
                <w:color w:val="FF0000"/>
                <w:sz w:val="24"/>
                <w:highlight w:val="none"/>
              </w:rPr>
              <w:fldChar w:fldCharType="begin"/>
            </w:r>
            <w:r>
              <w:rPr>
                <w:rFonts w:hint="eastAsia"/>
                <w:bCs/>
                <w:color w:val="FF0000"/>
                <w:sz w:val="24"/>
                <w:highlight w:val="none"/>
              </w:rPr>
              <w:instrText xml:space="preserve"> = 4 \* GB3 </w:instrText>
            </w:r>
            <w:r>
              <w:rPr>
                <w:rFonts w:hint="eastAsia"/>
                <w:bCs/>
                <w:color w:val="FF0000"/>
                <w:sz w:val="24"/>
                <w:highlight w:val="none"/>
              </w:rPr>
              <w:fldChar w:fldCharType="separate"/>
            </w:r>
            <w:r>
              <w:rPr>
                <w:rFonts w:hint="eastAsia"/>
                <w:bCs/>
                <w:color w:val="FF0000"/>
                <w:sz w:val="24"/>
                <w:highlight w:val="none"/>
              </w:rPr>
              <w:t>④</w:t>
            </w:r>
            <w:r>
              <w:rPr>
                <w:rFonts w:hint="eastAsia"/>
                <w:bCs/>
                <w:color w:val="FF0000"/>
                <w:sz w:val="24"/>
                <w:highlight w:val="none"/>
              </w:rPr>
              <w:fldChar w:fldCharType="end"/>
            </w:r>
            <w:r>
              <w:rPr>
                <w:rFonts w:hint="eastAsia"/>
                <w:bCs/>
                <w:color w:val="FF0000"/>
                <w:sz w:val="24"/>
                <w:highlight w:val="none"/>
              </w:rPr>
              <w:t>总贮存量不超过300Kg(L)的危险废物要放入符合标准的容器内，加上标签，容器放入坚固的柜或箱中，柜或箱应设多个直径不少于30毫米的排气孔。不相容危险废物要分别存放或存放在不渗透间隔分开的区域内，每个部分都应有防漏裙脚或储漏盘，防漏裙脚或储漏盘的材料要与危险废物相容。</w:t>
            </w:r>
          </w:p>
          <w:p w14:paraId="363BC133">
            <w:pPr>
              <w:spacing w:line="360" w:lineRule="auto"/>
              <w:ind w:firstLine="480" w:firstLineChars="200"/>
              <w:rPr>
                <w:color w:val="FF0000"/>
                <w:sz w:val="24"/>
                <w:szCs w:val="24"/>
                <w:highlight w:val="none"/>
              </w:rPr>
            </w:pPr>
            <w:r>
              <w:rPr>
                <w:rFonts w:hint="eastAsia"/>
                <w:bCs/>
                <w:color w:val="FF0000"/>
                <w:sz w:val="24"/>
                <w:highlight w:val="none"/>
              </w:rPr>
              <w:t>综上所述，在采取上述措施后，项目产生的各类固体废物可得到有效处置，不会产生二次污染，对周边环境影响较小</w:t>
            </w:r>
            <w:r>
              <w:rPr>
                <w:bCs/>
                <w:color w:val="FF0000"/>
                <w:sz w:val="24"/>
                <w:highlight w:val="none"/>
              </w:rPr>
              <w:t>。</w:t>
            </w:r>
          </w:p>
          <w:p w14:paraId="2E87B4E3">
            <w:pPr>
              <w:keepNext w:val="0"/>
              <w:keepLines w:val="0"/>
              <w:pageBreakBefore w:val="0"/>
              <w:widowControl w:val="0"/>
              <w:kinsoku/>
              <w:wordWrap/>
              <w:overflowPunct/>
              <w:topLinePunct w:val="0"/>
              <w:autoSpaceDE/>
              <w:autoSpaceDN/>
              <w:bidi w:val="0"/>
              <w:adjustRightInd w:val="0"/>
              <w:snapToGrid/>
              <w:spacing w:line="360" w:lineRule="auto"/>
              <w:ind w:left="0" w:leftChars="0" w:firstLine="482" w:firstLineChars="200"/>
              <w:jc w:val="both"/>
              <w:textAlignment w:val="baseline"/>
              <w:rPr>
                <w:rFonts w:hint="eastAsia" w:ascii="Times New Roman" w:hAnsi="Times New Roman" w:eastAsia="宋体" w:cs="Times New Roman"/>
                <w:b/>
                <w:bCs w:val="0"/>
                <w:snapToGrid w:val="0"/>
                <w:color w:val="auto"/>
                <w:kern w:val="0"/>
                <w:sz w:val="24"/>
                <w:szCs w:val="24"/>
                <w:highlight w:val="none"/>
                <w:lang w:val="en-US" w:eastAsia="zh-CN" w:bidi="ar-SA"/>
              </w:rPr>
            </w:pPr>
            <w:r>
              <w:rPr>
                <w:rFonts w:hint="eastAsia" w:ascii="Times New Roman" w:hAnsi="Times New Roman" w:eastAsia="宋体" w:cs="Times New Roman"/>
                <w:b/>
                <w:bCs w:val="0"/>
                <w:snapToGrid w:val="0"/>
                <w:color w:val="auto"/>
                <w:kern w:val="0"/>
                <w:sz w:val="24"/>
                <w:szCs w:val="24"/>
                <w:highlight w:val="none"/>
                <w:lang w:val="en-US" w:eastAsia="zh-CN" w:bidi="ar-SA"/>
              </w:rPr>
              <w:t>五、地下水环境影响分析</w:t>
            </w:r>
          </w:p>
          <w:p w14:paraId="67B5656F">
            <w:pPr>
              <w:widowControl/>
              <w:overflowPunct w:val="0"/>
              <w:topLinePunct/>
              <w:autoSpaceDE w:val="0"/>
              <w:spacing w:line="360" w:lineRule="auto"/>
              <w:ind w:firstLine="480" w:firstLineChars="200"/>
              <w:textAlignment w:val="baseline"/>
              <w:rPr>
                <w:rFonts w:hint="default" w:ascii="Times New Roman" w:hAnsi="Times New Roman" w:eastAsia="宋体" w:cs="Times New Roman"/>
                <w:bCs/>
                <w:snapToGrid w:val="0"/>
                <w:color w:val="auto"/>
                <w:sz w:val="24"/>
                <w:szCs w:val="24"/>
                <w:highlight w:val="none"/>
              </w:rPr>
            </w:pPr>
            <w:r>
              <w:rPr>
                <w:rFonts w:hint="default" w:ascii="Times New Roman" w:hAnsi="Times New Roman" w:eastAsia="宋体" w:cs="Times New Roman"/>
                <w:bCs/>
                <w:snapToGrid w:val="0"/>
                <w:color w:val="auto"/>
                <w:sz w:val="24"/>
                <w:szCs w:val="24"/>
                <w:highlight w:val="none"/>
              </w:rPr>
              <w:t>项目对地下水的可能存在的影响主要为危废暂存间</w:t>
            </w:r>
            <w:r>
              <w:rPr>
                <w:rFonts w:hint="eastAsia" w:ascii="Times New Roman" w:hAnsi="Times New Roman" w:eastAsia="宋体" w:cs="Times New Roman"/>
                <w:bCs/>
                <w:snapToGrid w:val="0"/>
                <w:color w:val="auto"/>
                <w:sz w:val="24"/>
                <w:szCs w:val="24"/>
                <w:highlight w:val="none"/>
                <w:lang w:eastAsia="zh-CN"/>
              </w:rPr>
              <w:t>、</w:t>
            </w:r>
            <w:r>
              <w:rPr>
                <w:rFonts w:hint="eastAsia" w:cs="Times New Roman"/>
                <w:bCs/>
                <w:snapToGrid w:val="0"/>
                <w:color w:val="auto"/>
                <w:sz w:val="24"/>
                <w:szCs w:val="24"/>
                <w:highlight w:val="none"/>
                <w:lang w:val="en-US" w:eastAsia="zh-CN"/>
              </w:rPr>
              <w:t>喷码</w:t>
            </w:r>
            <w:r>
              <w:rPr>
                <w:rFonts w:hint="eastAsia" w:ascii="Times New Roman" w:hAnsi="Times New Roman" w:eastAsia="宋体" w:cs="Times New Roman"/>
                <w:bCs/>
                <w:snapToGrid w:val="0"/>
                <w:color w:val="auto"/>
                <w:sz w:val="24"/>
                <w:szCs w:val="24"/>
                <w:highlight w:val="none"/>
                <w:lang w:val="en-US" w:eastAsia="zh-CN"/>
              </w:rPr>
              <w:t>油墨、热熔胶暂存区</w:t>
            </w:r>
            <w:r>
              <w:rPr>
                <w:rFonts w:hint="default" w:ascii="Times New Roman" w:hAnsi="Times New Roman" w:eastAsia="宋体" w:cs="Times New Roman"/>
                <w:bCs/>
                <w:snapToGrid w:val="0"/>
                <w:color w:val="auto"/>
                <w:sz w:val="24"/>
                <w:szCs w:val="24"/>
                <w:highlight w:val="none"/>
              </w:rPr>
              <w:t>与厂区对废水的预处理的化粪池、地面和排污管道的泄漏。项目在进行建设预处理的过程中要加强</w:t>
            </w:r>
            <w:r>
              <w:rPr>
                <w:rFonts w:hint="default" w:ascii="Times New Roman" w:hAnsi="Times New Roman" w:eastAsia="宋体" w:cs="Times New Roman"/>
                <w:bCs/>
                <w:snapToGrid w:val="0"/>
                <w:color w:val="auto"/>
                <w:sz w:val="24"/>
                <w:szCs w:val="24"/>
                <w:highlight w:val="none"/>
                <w:lang w:eastAsia="zh-CN"/>
              </w:rPr>
              <w:t>危险废物暂存间</w:t>
            </w:r>
            <w:r>
              <w:rPr>
                <w:rFonts w:hint="eastAsia" w:ascii="Times New Roman" w:hAnsi="Times New Roman" w:eastAsia="宋体" w:cs="Times New Roman"/>
                <w:bCs/>
                <w:snapToGrid w:val="0"/>
                <w:color w:val="auto"/>
                <w:sz w:val="24"/>
                <w:szCs w:val="24"/>
                <w:highlight w:val="none"/>
                <w:lang w:eastAsia="zh-CN"/>
              </w:rPr>
              <w:t>、</w:t>
            </w:r>
            <w:r>
              <w:rPr>
                <w:rFonts w:hint="eastAsia" w:cs="Times New Roman"/>
                <w:bCs/>
                <w:snapToGrid w:val="0"/>
                <w:color w:val="auto"/>
                <w:sz w:val="24"/>
                <w:szCs w:val="24"/>
                <w:highlight w:val="none"/>
                <w:lang w:val="en-US" w:eastAsia="zh-CN"/>
              </w:rPr>
              <w:t>喷码</w:t>
            </w:r>
            <w:r>
              <w:rPr>
                <w:rFonts w:hint="eastAsia" w:ascii="Times New Roman" w:hAnsi="Times New Roman" w:eastAsia="宋体" w:cs="Times New Roman"/>
                <w:bCs/>
                <w:snapToGrid w:val="0"/>
                <w:color w:val="auto"/>
                <w:sz w:val="24"/>
                <w:szCs w:val="24"/>
                <w:highlight w:val="none"/>
                <w:lang w:val="en-US" w:eastAsia="zh-CN"/>
              </w:rPr>
              <w:t>油墨、热熔胶暂存区</w:t>
            </w:r>
            <w:r>
              <w:rPr>
                <w:rFonts w:hint="eastAsia" w:ascii="Times New Roman" w:hAnsi="Times New Roman" w:eastAsia="宋体" w:cs="Times New Roman"/>
                <w:bCs/>
                <w:snapToGrid w:val="0"/>
                <w:color w:val="auto"/>
                <w:sz w:val="24"/>
                <w:szCs w:val="24"/>
                <w:highlight w:val="none"/>
                <w:lang w:eastAsia="zh-CN"/>
              </w:rPr>
              <w:t>、</w:t>
            </w:r>
            <w:r>
              <w:rPr>
                <w:rFonts w:hint="default" w:ascii="Times New Roman" w:hAnsi="Times New Roman" w:eastAsia="宋体" w:cs="Times New Roman"/>
                <w:bCs/>
                <w:snapToGrid w:val="0"/>
                <w:color w:val="auto"/>
                <w:sz w:val="24"/>
                <w:szCs w:val="24"/>
                <w:highlight w:val="none"/>
              </w:rPr>
              <w:t>化粪池、排污管道和车间厂区地面防渗处理，同时需对各用水环节严格把关，防止跑冒滴漏。因此，本项目对地下水污染影响较小。</w:t>
            </w:r>
          </w:p>
          <w:p w14:paraId="18753D50">
            <w:pPr>
              <w:widowControl/>
              <w:overflowPunct w:val="0"/>
              <w:topLinePunct/>
              <w:autoSpaceDE w:val="0"/>
              <w:spacing w:line="360" w:lineRule="auto"/>
              <w:ind w:firstLine="480" w:firstLineChars="200"/>
              <w:textAlignment w:val="baseline"/>
              <w:rPr>
                <w:rFonts w:hint="default" w:ascii="Times New Roman" w:hAnsi="Times New Roman" w:eastAsia="宋体" w:cs="Times New Roman"/>
                <w:bCs/>
                <w:snapToGrid w:val="0"/>
                <w:color w:val="auto"/>
                <w:sz w:val="24"/>
                <w:szCs w:val="24"/>
                <w:highlight w:val="none"/>
              </w:rPr>
            </w:pPr>
            <w:r>
              <w:rPr>
                <w:rFonts w:hint="default" w:ascii="Times New Roman" w:hAnsi="Times New Roman" w:eastAsia="宋体" w:cs="Times New Roman"/>
                <w:bCs/>
                <w:snapToGrid w:val="0"/>
                <w:color w:val="auto"/>
                <w:sz w:val="24"/>
                <w:szCs w:val="24"/>
                <w:highlight w:val="none"/>
              </w:rPr>
              <w:t>①影响分析</w:t>
            </w:r>
          </w:p>
          <w:p w14:paraId="11722F10">
            <w:pPr>
              <w:widowControl/>
              <w:overflowPunct w:val="0"/>
              <w:topLinePunct/>
              <w:autoSpaceDE w:val="0"/>
              <w:spacing w:line="360" w:lineRule="auto"/>
              <w:ind w:firstLine="480" w:firstLineChars="200"/>
              <w:textAlignment w:val="baseline"/>
              <w:rPr>
                <w:rFonts w:hint="default" w:ascii="Times New Roman" w:hAnsi="Times New Roman" w:eastAsia="宋体" w:cs="Times New Roman"/>
                <w:bCs/>
                <w:snapToGrid w:val="0"/>
                <w:color w:val="auto"/>
                <w:sz w:val="24"/>
                <w:szCs w:val="24"/>
                <w:highlight w:val="none"/>
              </w:rPr>
            </w:pPr>
            <w:r>
              <w:rPr>
                <w:rFonts w:hint="default" w:ascii="Times New Roman" w:hAnsi="Times New Roman" w:eastAsia="宋体" w:cs="Times New Roman"/>
                <w:bCs/>
                <w:snapToGrid w:val="0"/>
                <w:color w:val="auto"/>
                <w:sz w:val="24"/>
                <w:szCs w:val="24"/>
                <w:highlight w:val="none"/>
              </w:rPr>
              <w:t>正常情况下地下水环境影响分析</w:t>
            </w:r>
          </w:p>
          <w:p w14:paraId="22710A71">
            <w:pPr>
              <w:widowControl/>
              <w:overflowPunct w:val="0"/>
              <w:topLinePunct/>
              <w:autoSpaceDE w:val="0"/>
              <w:spacing w:line="360" w:lineRule="auto"/>
              <w:ind w:firstLine="480" w:firstLineChars="200"/>
              <w:textAlignment w:val="baseline"/>
              <w:rPr>
                <w:rFonts w:hint="default" w:ascii="Times New Roman" w:hAnsi="Times New Roman" w:eastAsia="宋体" w:cs="Times New Roman"/>
                <w:bCs/>
                <w:snapToGrid w:val="0"/>
                <w:color w:val="auto"/>
                <w:sz w:val="24"/>
                <w:szCs w:val="24"/>
                <w:highlight w:val="none"/>
              </w:rPr>
            </w:pPr>
            <w:r>
              <w:rPr>
                <w:rFonts w:hint="default" w:ascii="Times New Roman" w:hAnsi="Times New Roman" w:eastAsia="宋体" w:cs="Times New Roman"/>
                <w:bCs/>
                <w:snapToGrid w:val="0"/>
                <w:color w:val="auto"/>
                <w:sz w:val="24"/>
                <w:szCs w:val="24"/>
                <w:highlight w:val="none"/>
              </w:rPr>
              <w:t>本项目通过采取本评价提出的环保措施后，对污水处理设施、危废暂存间进行严格的防渗处理后，废水下渗量很小，在正常情况下对地下水及土壤不会造成污染。</w:t>
            </w:r>
          </w:p>
          <w:p w14:paraId="743AE285">
            <w:pPr>
              <w:widowControl/>
              <w:overflowPunct w:val="0"/>
              <w:topLinePunct/>
              <w:autoSpaceDE w:val="0"/>
              <w:spacing w:line="360" w:lineRule="auto"/>
              <w:ind w:firstLine="480" w:firstLineChars="200"/>
              <w:textAlignment w:val="baseline"/>
              <w:rPr>
                <w:rFonts w:hint="default" w:ascii="Times New Roman" w:hAnsi="Times New Roman" w:eastAsia="宋体" w:cs="Times New Roman"/>
                <w:bCs/>
                <w:snapToGrid w:val="0"/>
                <w:color w:val="auto"/>
                <w:sz w:val="24"/>
                <w:szCs w:val="24"/>
                <w:highlight w:val="none"/>
              </w:rPr>
            </w:pPr>
            <w:r>
              <w:rPr>
                <w:rFonts w:hint="default" w:ascii="Times New Roman" w:hAnsi="Times New Roman" w:eastAsia="宋体" w:cs="Times New Roman"/>
                <w:bCs/>
                <w:snapToGrid w:val="0"/>
                <w:color w:val="auto"/>
                <w:sz w:val="24"/>
                <w:szCs w:val="24"/>
                <w:highlight w:val="none"/>
              </w:rPr>
              <w:t>非正常情况下地下水环境影响分析</w:t>
            </w:r>
          </w:p>
          <w:p w14:paraId="1A36E76C">
            <w:pPr>
              <w:widowControl/>
              <w:overflowPunct w:val="0"/>
              <w:topLinePunct/>
              <w:autoSpaceDE w:val="0"/>
              <w:spacing w:line="360" w:lineRule="auto"/>
              <w:ind w:firstLine="480" w:firstLineChars="200"/>
              <w:textAlignment w:val="baseline"/>
              <w:rPr>
                <w:rFonts w:hint="default" w:ascii="Times New Roman" w:hAnsi="Times New Roman" w:eastAsia="宋体" w:cs="Times New Roman"/>
                <w:bCs/>
                <w:snapToGrid w:val="0"/>
                <w:color w:val="auto"/>
                <w:sz w:val="24"/>
                <w:szCs w:val="24"/>
                <w:highlight w:val="none"/>
              </w:rPr>
            </w:pPr>
            <w:r>
              <w:rPr>
                <w:rFonts w:hint="default" w:ascii="Times New Roman" w:hAnsi="Times New Roman" w:eastAsia="宋体" w:cs="Times New Roman"/>
                <w:bCs/>
                <w:snapToGrid w:val="0"/>
                <w:color w:val="auto"/>
                <w:sz w:val="24"/>
                <w:szCs w:val="24"/>
                <w:highlight w:val="none"/>
              </w:rPr>
              <w:t>根据场地水文地质条件，污水处理设施、危废暂存间若发生渗漏废水将通过地表水入渗进入地下污染地下水及土壤。</w:t>
            </w:r>
          </w:p>
          <w:p w14:paraId="3C787DCE">
            <w:pPr>
              <w:widowControl/>
              <w:overflowPunct w:val="0"/>
              <w:topLinePunct/>
              <w:autoSpaceDE w:val="0"/>
              <w:spacing w:line="360" w:lineRule="auto"/>
              <w:ind w:firstLine="480" w:firstLineChars="200"/>
              <w:textAlignment w:val="baseline"/>
              <w:rPr>
                <w:rFonts w:hint="default" w:ascii="Times New Roman" w:hAnsi="Times New Roman" w:eastAsia="宋体" w:cs="Times New Roman"/>
                <w:bCs/>
                <w:snapToGrid w:val="0"/>
                <w:color w:val="auto"/>
                <w:sz w:val="24"/>
                <w:szCs w:val="24"/>
                <w:highlight w:val="none"/>
              </w:rPr>
            </w:pPr>
            <w:r>
              <w:rPr>
                <w:rFonts w:hint="default" w:ascii="Times New Roman" w:hAnsi="Times New Roman" w:eastAsia="宋体" w:cs="Times New Roman"/>
                <w:bCs/>
                <w:snapToGrid w:val="0"/>
                <w:color w:val="auto"/>
                <w:sz w:val="24"/>
                <w:szCs w:val="24"/>
                <w:highlight w:val="none"/>
              </w:rPr>
              <w:t>由于污染物的存在，非正常状况下，将不可避免的会对项目所在区域周围， 特别是下游部分区域的地下水及土壤产生一定程度的污染。因此，建设单位应积极采取有效的防渗措施，一旦发现废液渗漏后，采取有效的应急措施，避免泄漏持续发生。</w:t>
            </w:r>
          </w:p>
          <w:p w14:paraId="7E00AFD3">
            <w:pPr>
              <w:spacing w:line="360" w:lineRule="auto"/>
              <w:ind w:firstLine="480" w:firstLineChars="200"/>
              <w:rPr>
                <w:b w:val="0"/>
                <w:bCs w:val="0"/>
                <w:color w:val="auto"/>
                <w:kern w:val="0"/>
                <w:sz w:val="24"/>
                <w:szCs w:val="24"/>
                <w:highlight w:val="none"/>
              </w:rPr>
            </w:pPr>
            <w:r>
              <w:rPr>
                <w:bCs/>
                <w:snapToGrid w:val="0"/>
                <w:color w:val="auto"/>
                <w:sz w:val="24"/>
                <w:szCs w:val="24"/>
                <w:highlight w:val="none"/>
              </w:rPr>
              <w:t>②</w:t>
            </w:r>
            <w:r>
              <w:rPr>
                <w:b w:val="0"/>
                <w:bCs w:val="0"/>
                <w:color w:val="auto"/>
                <w:kern w:val="0"/>
                <w:sz w:val="24"/>
                <w:szCs w:val="24"/>
                <w:highlight w:val="none"/>
              </w:rPr>
              <w:t>预防措施</w:t>
            </w:r>
          </w:p>
          <w:p w14:paraId="47C2FC8F">
            <w:pPr>
              <w:spacing w:line="360" w:lineRule="auto"/>
              <w:ind w:firstLine="480" w:firstLineChars="200"/>
              <w:rPr>
                <w:color w:val="auto"/>
                <w:kern w:val="0"/>
                <w:sz w:val="24"/>
                <w:szCs w:val="24"/>
                <w:highlight w:val="none"/>
              </w:rPr>
            </w:pPr>
            <w:r>
              <w:rPr>
                <w:color w:val="auto"/>
                <w:kern w:val="0"/>
                <w:sz w:val="24"/>
                <w:szCs w:val="24"/>
                <w:highlight w:val="none"/>
              </w:rPr>
              <w:t>针对上述情况，企业采取以下措施，以减轻对地下水及土壤的污染。</w:t>
            </w:r>
          </w:p>
          <w:p w14:paraId="0BFC54F0">
            <w:pPr>
              <w:spacing w:line="360" w:lineRule="auto"/>
              <w:ind w:firstLine="480" w:firstLineChars="200"/>
              <w:rPr>
                <w:color w:val="auto"/>
                <w:kern w:val="0"/>
                <w:sz w:val="24"/>
                <w:szCs w:val="24"/>
                <w:highlight w:val="none"/>
              </w:rPr>
            </w:pPr>
            <w:r>
              <w:rPr>
                <w:color w:val="auto"/>
                <w:kern w:val="0"/>
                <w:sz w:val="24"/>
                <w:szCs w:val="24"/>
                <w:highlight w:val="none"/>
              </w:rPr>
              <w:t>1）源头控制措施</w:t>
            </w:r>
          </w:p>
          <w:p w14:paraId="39C52B8C">
            <w:pPr>
              <w:spacing w:line="360" w:lineRule="auto"/>
              <w:ind w:firstLine="480" w:firstLineChars="200"/>
              <w:rPr>
                <w:color w:val="auto"/>
                <w:kern w:val="0"/>
                <w:sz w:val="24"/>
                <w:szCs w:val="24"/>
                <w:highlight w:val="none"/>
              </w:rPr>
            </w:pPr>
            <w:r>
              <w:rPr>
                <w:color w:val="auto"/>
                <w:kern w:val="0"/>
                <w:sz w:val="24"/>
                <w:szCs w:val="24"/>
                <w:highlight w:val="none"/>
              </w:rPr>
              <w:t>根据清洁生产分析，项目具有较高的清洁生产水平；项目各类废气均可达标排放，废水经分质收集、处理，达标后</w:t>
            </w:r>
            <w:r>
              <w:rPr>
                <w:rFonts w:hint="eastAsia"/>
                <w:color w:val="auto"/>
                <w:kern w:val="0"/>
                <w:sz w:val="24"/>
                <w:szCs w:val="24"/>
                <w:highlight w:val="none"/>
                <w:lang w:val="en-US" w:eastAsia="zh-CN"/>
              </w:rPr>
              <w:t>回用</w:t>
            </w:r>
            <w:r>
              <w:rPr>
                <w:color w:val="auto"/>
                <w:kern w:val="0"/>
                <w:sz w:val="24"/>
                <w:szCs w:val="24"/>
                <w:highlight w:val="none"/>
              </w:rPr>
              <w:t>，各类固态废物均能得以妥善处置，有效减少了污染物的排放量。</w:t>
            </w:r>
          </w:p>
          <w:p w14:paraId="00BE8FF5">
            <w:pPr>
              <w:spacing w:line="360" w:lineRule="auto"/>
              <w:ind w:firstLine="480" w:firstLineChars="200"/>
              <w:rPr>
                <w:color w:val="auto"/>
                <w:kern w:val="0"/>
                <w:sz w:val="24"/>
                <w:szCs w:val="24"/>
                <w:highlight w:val="none"/>
              </w:rPr>
            </w:pPr>
            <w:r>
              <w:rPr>
                <w:color w:val="auto"/>
                <w:kern w:val="0"/>
                <w:sz w:val="24"/>
                <w:szCs w:val="24"/>
                <w:highlight w:val="none"/>
              </w:rPr>
              <w:t>2）分区防治措施</w:t>
            </w:r>
          </w:p>
          <w:p w14:paraId="3A4CF6C2">
            <w:pPr>
              <w:spacing w:line="360" w:lineRule="auto"/>
              <w:ind w:firstLine="480" w:firstLineChars="200"/>
              <w:rPr>
                <w:color w:val="auto"/>
                <w:kern w:val="0"/>
                <w:sz w:val="24"/>
                <w:szCs w:val="24"/>
                <w:highlight w:val="none"/>
              </w:rPr>
            </w:pPr>
            <w:r>
              <w:rPr>
                <w:color w:val="auto"/>
                <w:kern w:val="0"/>
                <w:sz w:val="24"/>
                <w:szCs w:val="24"/>
                <w:highlight w:val="none"/>
              </w:rPr>
              <w:t>生活污水收集处理构筑物在工程设计时采用混凝土构造，并按照相应的标准设置了防渗层，防止污水下渗污染地下水及土壤。在正常生产情况下，企业做好防渗处理条件下，项目废水不会直接渗入土壤，也不会对地下水造成影响。</w:t>
            </w:r>
          </w:p>
          <w:p w14:paraId="5B78F0D5">
            <w:pPr>
              <w:spacing w:line="360" w:lineRule="auto"/>
              <w:ind w:firstLine="480" w:firstLineChars="200"/>
              <w:rPr>
                <w:rFonts w:hint="eastAsia"/>
                <w:b/>
                <w:bCs/>
                <w:color w:val="auto"/>
                <w:kern w:val="0"/>
                <w:sz w:val="21"/>
                <w:szCs w:val="21"/>
                <w:highlight w:val="none"/>
                <w:lang w:eastAsia="zh-CN"/>
              </w:rPr>
            </w:pPr>
            <w:r>
              <w:rPr>
                <w:color w:val="auto"/>
                <w:kern w:val="0"/>
                <w:sz w:val="24"/>
                <w:szCs w:val="24"/>
                <w:highlight w:val="none"/>
              </w:rPr>
              <w:t>项目固体废物厂内均设置专门的贮存场所，厂区地面进行硬化处理，环评要求按照下表防渗标准分区设置防渗区，建立防渗设施的检漏系统，防止污染物的跑、冒、滴、漏，将污染物泄漏的环境风险事故降到最低限度。</w:t>
            </w:r>
          </w:p>
          <w:p w14:paraId="776295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82" w:leftChars="0"/>
              <w:jc w:val="center"/>
              <w:textAlignment w:val="auto"/>
              <w:rPr>
                <w:b/>
                <w:bCs/>
                <w:color w:val="auto"/>
                <w:kern w:val="0"/>
                <w:sz w:val="21"/>
                <w:szCs w:val="21"/>
                <w:highlight w:val="none"/>
              </w:rPr>
            </w:pPr>
            <w:r>
              <w:rPr>
                <w:rFonts w:hint="eastAsia"/>
                <w:b/>
                <w:bCs/>
                <w:color w:val="auto"/>
                <w:kern w:val="0"/>
                <w:sz w:val="21"/>
                <w:szCs w:val="21"/>
                <w:highlight w:val="none"/>
                <w:lang w:eastAsia="zh-CN"/>
              </w:rPr>
              <w:t>表</w:t>
            </w:r>
            <w:r>
              <w:rPr>
                <w:rFonts w:hint="eastAsia"/>
                <w:b/>
                <w:bCs/>
                <w:color w:val="auto"/>
                <w:kern w:val="0"/>
                <w:sz w:val="21"/>
                <w:szCs w:val="21"/>
                <w:highlight w:val="none"/>
                <w:lang w:val="en-US" w:eastAsia="zh-CN"/>
              </w:rPr>
              <w:t xml:space="preserve">4-21  </w:t>
            </w:r>
            <w:r>
              <w:rPr>
                <w:b/>
                <w:bCs/>
                <w:color w:val="auto"/>
                <w:kern w:val="0"/>
                <w:sz w:val="21"/>
                <w:szCs w:val="21"/>
                <w:highlight w:val="none"/>
              </w:rPr>
              <w:t>项目污染区划分及防渗等级一览表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2286"/>
              <w:gridCol w:w="867"/>
              <w:gridCol w:w="1491"/>
              <w:gridCol w:w="3120"/>
            </w:tblGrid>
            <w:tr w14:paraId="67D40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458" w:type="pct"/>
                  <w:tcBorders>
                    <w:bottom w:val="single" w:color="auto" w:sz="12" w:space="0"/>
                  </w:tcBorders>
                  <w:noWrap w:val="0"/>
                  <w:vAlign w:val="center"/>
                </w:tcPr>
                <w:p w14:paraId="3C5FB492">
                  <w:pPr>
                    <w:overflowPunct w:val="0"/>
                    <w:adjustRightInd w:val="0"/>
                    <w:snapToGrid w:val="0"/>
                    <w:jc w:val="center"/>
                    <w:rPr>
                      <w:b/>
                      <w:color w:val="auto"/>
                      <w:kern w:val="21"/>
                      <w:sz w:val="21"/>
                      <w:szCs w:val="21"/>
                      <w:highlight w:val="none"/>
                    </w:rPr>
                  </w:pPr>
                  <w:r>
                    <w:rPr>
                      <w:b/>
                      <w:color w:val="auto"/>
                      <w:kern w:val="21"/>
                      <w:sz w:val="21"/>
                      <w:szCs w:val="21"/>
                      <w:highlight w:val="none"/>
                    </w:rPr>
                    <w:t>序号</w:t>
                  </w:r>
                </w:p>
              </w:tc>
              <w:tc>
                <w:tcPr>
                  <w:tcW w:w="1844" w:type="pct"/>
                  <w:gridSpan w:val="2"/>
                  <w:tcBorders>
                    <w:bottom w:val="single" w:color="auto" w:sz="12" w:space="0"/>
                  </w:tcBorders>
                  <w:noWrap w:val="0"/>
                  <w:vAlign w:val="center"/>
                </w:tcPr>
                <w:p w14:paraId="38298C00">
                  <w:pPr>
                    <w:overflowPunct w:val="0"/>
                    <w:adjustRightInd w:val="0"/>
                    <w:snapToGrid w:val="0"/>
                    <w:jc w:val="center"/>
                    <w:rPr>
                      <w:b/>
                      <w:color w:val="auto"/>
                      <w:kern w:val="21"/>
                      <w:sz w:val="21"/>
                      <w:szCs w:val="21"/>
                      <w:highlight w:val="none"/>
                    </w:rPr>
                  </w:pPr>
                  <w:r>
                    <w:rPr>
                      <w:b/>
                      <w:color w:val="auto"/>
                      <w:kern w:val="21"/>
                      <w:sz w:val="21"/>
                      <w:szCs w:val="21"/>
                      <w:highlight w:val="none"/>
                    </w:rPr>
                    <w:t>防渗区域或部位</w:t>
                  </w:r>
                </w:p>
              </w:tc>
              <w:tc>
                <w:tcPr>
                  <w:tcW w:w="872" w:type="pct"/>
                  <w:tcBorders>
                    <w:bottom w:val="single" w:color="auto" w:sz="12" w:space="0"/>
                  </w:tcBorders>
                  <w:noWrap w:val="0"/>
                  <w:vAlign w:val="center"/>
                </w:tcPr>
                <w:p w14:paraId="7E565698">
                  <w:pPr>
                    <w:overflowPunct w:val="0"/>
                    <w:adjustRightInd w:val="0"/>
                    <w:snapToGrid w:val="0"/>
                    <w:jc w:val="center"/>
                    <w:rPr>
                      <w:b/>
                      <w:color w:val="auto"/>
                      <w:kern w:val="21"/>
                      <w:sz w:val="21"/>
                      <w:szCs w:val="21"/>
                      <w:highlight w:val="none"/>
                    </w:rPr>
                  </w:pPr>
                  <w:r>
                    <w:rPr>
                      <w:b/>
                      <w:color w:val="auto"/>
                      <w:kern w:val="21"/>
                      <w:sz w:val="21"/>
                      <w:szCs w:val="21"/>
                      <w:highlight w:val="none"/>
                    </w:rPr>
                    <w:t>防渗等级</w:t>
                  </w:r>
                </w:p>
              </w:tc>
              <w:tc>
                <w:tcPr>
                  <w:tcW w:w="1824" w:type="pct"/>
                  <w:tcBorders>
                    <w:bottom w:val="single" w:color="auto" w:sz="12" w:space="0"/>
                  </w:tcBorders>
                  <w:noWrap w:val="0"/>
                  <w:vAlign w:val="center"/>
                </w:tcPr>
                <w:p w14:paraId="0A02B120">
                  <w:pPr>
                    <w:overflowPunct w:val="0"/>
                    <w:adjustRightInd w:val="0"/>
                    <w:snapToGrid w:val="0"/>
                    <w:jc w:val="center"/>
                    <w:rPr>
                      <w:b/>
                      <w:color w:val="auto"/>
                      <w:kern w:val="21"/>
                      <w:sz w:val="21"/>
                      <w:szCs w:val="21"/>
                      <w:highlight w:val="none"/>
                    </w:rPr>
                  </w:pPr>
                  <w:r>
                    <w:rPr>
                      <w:b/>
                      <w:color w:val="auto"/>
                      <w:kern w:val="21"/>
                      <w:sz w:val="21"/>
                      <w:szCs w:val="21"/>
                      <w:highlight w:val="none"/>
                    </w:rPr>
                    <w:t>防渗要求</w:t>
                  </w:r>
                </w:p>
              </w:tc>
            </w:tr>
            <w:tr w14:paraId="3B7DD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458" w:type="pct"/>
                  <w:tcBorders>
                    <w:top w:val="single" w:color="auto" w:sz="12" w:space="0"/>
                    <w:tl2br w:val="nil"/>
                    <w:tr2bl w:val="nil"/>
                  </w:tcBorders>
                  <w:noWrap w:val="0"/>
                  <w:vAlign w:val="center"/>
                </w:tcPr>
                <w:p w14:paraId="2F1FBE05">
                  <w:pPr>
                    <w:overflowPunct w:val="0"/>
                    <w:adjustRightInd w:val="0"/>
                    <w:snapToGrid w:val="0"/>
                    <w:jc w:val="center"/>
                    <w:rPr>
                      <w:color w:val="auto"/>
                      <w:kern w:val="21"/>
                      <w:sz w:val="21"/>
                      <w:szCs w:val="21"/>
                      <w:highlight w:val="none"/>
                    </w:rPr>
                  </w:pPr>
                  <w:r>
                    <w:rPr>
                      <w:color w:val="auto"/>
                      <w:kern w:val="21"/>
                      <w:sz w:val="21"/>
                      <w:szCs w:val="21"/>
                      <w:highlight w:val="none"/>
                    </w:rPr>
                    <w:t>1</w:t>
                  </w:r>
                </w:p>
              </w:tc>
              <w:tc>
                <w:tcPr>
                  <w:tcW w:w="1337" w:type="pct"/>
                  <w:tcBorders>
                    <w:top w:val="single" w:color="auto" w:sz="12" w:space="0"/>
                    <w:tl2br w:val="nil"/>
                    <w:tr2bl w:val="nil"/>
                  </w:tcBorders>
                  <w:noWrap w:val="0"/>
                  <w:vAlign w:val="center"/>
                </w:tcPr>
                <w:p w14:paraId="52BDCB20">
                  <w:pPr>
                    <w:overflowPunct w:val="0"/>
                    <w:adjustRightInd w:val="0"/>
                    <w:snapToGrid w:val="0"/>
                    <w:jc w:val="center"/>
                    <w:rPr>
                      <w:rFonts w:hint="default"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eastAsia="zh-CN"/>
                    </w:rPr>
                    <w:t>危险废物</w:t>
                  </w:r>
                  <w:r>
                    <w:rPr>
                      <w:rFonts w:hint="eastAsia" w:ascii="Times New Roman" w:hAnsi="Times New Roman" w:eastAsia="宋体" w:cs="Times New Roman"/>
                      <w:color w:val="auto"/>
                      <w:kern w:val="21"/>
                      <w:sz w:val="21"/>
                      <w:szCs w:val="21"/>
                      <w:highlight w:val="none"/>
                    </w:rPr>
                    <w:t>暂存间</w:t>
                  </w:r>
                  <w:r>
                    <w:rPr>
                      <w:rFonts w:hint="eastAsia" w:ascii="Times New Roman" w:hAnsi="Times New Roman" w:eastAsia="宋体" w:cs="Times New Roman"/>
                      <w:color w:val="auto"/>
                      <w:kern w:val="21"/>
                      <w:sz w:val="21"/>
                      <w:szCs w:val="21"/>
                      <w:highlight w:val="none"/>
                      <w:lang w:eastAsia="zh-CN"/>
                    </w:rPr>
                    <w:t>，</w:t>
                  </w:r>
                  <w:r>
                    <w:rPr>
                      <w:rFonts w:hint="eastAsia" w:cs="Times New Roman"/>
                      <w:color w:val="auto"/>
                      <w:kern w:val="21"/>
                      <w:sz w:val="21"/>
                      <w:szCs w:val="21"/>
                      <w:highlight w:val="none"/>
                      <w:lang w:val="en-US" w:eastAsia="zh-CN"/>
                    </w:rPr>
                    <w:t>喷码</w:t>
                  </w:r>
                  <w:r>
                    <w:rPr>
                      <w:rFonts w:hint="eastAsia" w:ascii="Times New Roman" w:hAnsi="Times New Roman" w:eastAsia="宋体" w:cs="Times New Roman"/>
                      <w:color w:val="auto"/>
                      <w:kern w:val="21"/>
                      <w:sz w:val="21"/>
                      <w:szCs w:val="21"/>
                      <w:highlight w:val="none"/>
                      <w:lang w:val="en-US" w:eastAsia="zh-CN"/>
                    </w:rPr>
                    <w:t>油墨、热熔胶暂存区、实验室</w:t>
                  </w:r>
                </w:p>
              </w:tc>
              <w:tc>
                <w:tcPr>
                  <w:tcW w:w="507" w:type="pct"/>
                  <w:tcBorders>
                    <w:top w:val="single" w:color="auto" w:sz="12" w:space="0"/>
                    <w:tl2br w:val="nil"/>
                    <w:tr2bl w:val="nil"/>
                  </w:tcBorders>
                  <w:noWrap w:val="0"/>
                  <w:vAlign w:val="center"/>
                </w:tcPr>
                <w:p w14:paraId="28894485">
                  <w:pPr>
                    <w:overflowPunct w:val="0"/>
                    <w:adjustRightInd w:val="0"/>
                    <w:snapToGrid w:val="0"/>
                    <w:jc w:val="center"/>
                    <w:rPr>
                      <w:color w:val="auto"/>
                      <w:kern w:val="21"/>
                      <w:sz w:val="21"/>
                      <w:szCs w:val="21"/>
                      <w:highlight w:val="none"/>
                    </w:rPr>
                  </w:pPr>
                  <w:r>
                    <w:rPr>
                      <w:color w:val="auto"/>
                      <w:kern w:val="21"/>
                      <w:sz w:val="21"/>
                      <w:szCs w:val="21"/>
                      <w:highlight w:val="none"/>
                    </w:rPr>
                    <w:t>地面</w:t>
                  </w:r>
                </w:p>
              </w:tc>
              <w:tc>
                <w:tcPr>
                  <w:tcW w:w="872" w:type="pct"/>
                  <w:tcBorders>
                    <w:top w:val="single" w:color="auto" w:sz="12" w:space="0"/>
                    <w:tl2br w:val="nil"/>
                    <w:tr2bl w:val="nil"/>
                  </w:tcBorders>
                  <w:noWrap w:val="0"/>
                  <w:vAlign w:val="center"/>
                </w:tcPr>
                <w:p w14:paraId="4AA95AD3">
                  <w:pPr>
                    <w:overflowPunct w:val="0"/>
                    <w:adjustRightInd w:val="0"/>
                    <w:snapToGrid w:val="0"/>
                    <w:jc w:val="center"/>
                    <w:rPr>
                      <w:color w:val="auto"/>
                      <w:kern w:val="21"/>
                      <w:sz w:val="21"/>
                      <w:szCs w:val="21"/>
                      <w:highlight w:val="none"/>
                    </w:rPr>
                  </w:pPr>
                  <w:r>
                    <w:rPr>
                      <w:color w:val="auto"/>
                      <w:kern w:val="21"/>
                      <w:sz w:val="21"/>
                      <w:szCs w:val="21"/>
                      <w:highlight w:val="none"/>
                    </w:rPr>
                    <w:t>重点防渗区</w:t>
                  </w:r>
                </w:p>
              </w:tc>
              <w:tc>
                <w:tcPr>
                  <w:tcW w:w="1824" w:type="pct"/>
                  <w:tcBorders>
                    <w:top w:val="single" w:color="auto" w:sz="12" w:space="0"/>
                    <w:tl2br w:val="nil"/>
                    <w:tr2bl w:val="nil"/>
                  </w:tcBorders>
                  <w:noWrap w:val="0"/>
                  <w:vAlign w:val="center"/>
                </w:tcPr>
                <w:p w14:paraId="34E7B1B7">
                  <w:pPr>
                    <w:overflowPunct w:val="0"/>
                    <w:adjustRightInd w:val="0"/>
                    <w:snapToGrid w:val="0"/>
                    <w:jc w:val="center"/>
                    <w:rPr>
                      <w:color w:val="auto"/>
                      <w:kern w:val="21"/>
                      <w:sz w:val="21"/>
                      <w:szCs w:val="21"/>
                      <w:highlight w:val="none"/>
                    </w:rPr>
                  </w:pPr>
                  <w:r>
                    <w:rPr>
                      <w:rFonts w:hint="eastAsia"/>
                      <w:color w:val="auto"/>
                      <w:sz w:val="21"/>
                      <w:szCs w:val="21"/>
                      <w:highlight w:val="none"/>
                    </w:rPr>
                    <w:t>等效黏土防渗层</w:t>
                  </w:r>
                  <w:r>
                    <w:rPr>
                      <w:color w:val="auto"/>
                      <w:sz w:val="21"/>
                      <w:szCs w:val="21"/>
                      <w:highlight w:val="none"/>
                    </w:rPr>
                    <w:t>Mb≥6.0m</w:t>
                  </w:r>
                  <w:r>
                    <w:rPr>
                      <w:rFonts w:hint="eastAsia"/>
                      <w:color w:val="auto"/>
                      <w:sz w:val="21"/>
                      <w:szCs w:val="21"/>
                      <w:highlight w:val="none"/>
                    </w:rPr>
                    <w:t>，</w:t>
                  </w:r>
                  <w:r>
                    <w:rPr>
                      <w:color w:val="auto"/>
                      <w:sz w:val="21"/>
                      <w:szCs w:val="21"/>
                      <w:highlight w:val="none"/>
                    </w:rPr>
                    <w:t>K≤1×10</w:t>
                  </w:r>
                  <w:r>
                    <w:rPr>
                      <w:color w:val="auto"/>
                      <w:sz w:val="21"/>
                      <w:szCs w:val="21"/>
                      <w:highlight w:val="none"/>
                      <w:vertAlign w:val="superscript"/>
                    </w:rPr>
                    <w:t>-7</w:t>
                  </w:r>
                  <w:r>
                    <w:rPr>
                      <w:color w:val="auto"/>
                      <w:sz w:val="21"/>
                      <w:szCs w:val="21"/>
                      <w:highlight w:val="none"/>
                    </w:rPr>
                    <w:t>cm/s</w:t>
                  </w:r>
                  <w:r>
                    <w:rPr>
                      <w:rFonts w:hint="eastAsia"/>
                      <w:color w:val="auto"/>
                      <w:sz w:val="21"/>
                      <w:szCs w:val="21"/>
                      <w:highlight w:val="none"/>
                    </w:rPr>
                    <w:t>；或</w:t>
                  </w:r>
                  <w:r>
                    <w:rPr>
                      <w:color w:val="auto"/>
                      <w:sz w:val="21"/>
                      <w:szCs w:val="21"/>
                      <w:highlight w:val="none"/>
                    </w:rPr>
                    <w:t>P8</w:t>
                  </w:r>
                  <w:r>
                    <w:rPr>
                      <w:rFonts w:hint="eastAsia"/>
                      <w:color w:val="auto"/>
                      <w:sz w:val="21"/>
                      <w:szCs w:val="21"/>
                      <w:highlight w:val="none"/>
                    </w:rPr>
                    <w:t>等级混凝土</w:t>
                  </w:r>
                  <w:r>
                    <w:rPr>
                      <w:color w:val="auto"/>
                      <w:sz w:val="21"/>
                      <w:szCs w:val="21"/>
                      <w:highlight w:val="none"/>
                    </w:rPr>
                    <w:t>+2mmHDPE</w:t>
                  </w:r>
                  <w:r>
                    <w:rPr>
                      <w:rFonts w:hint="eastAsia"/>
                      <w:color w:val="auto"/>
                      <w:sz w:val="21"/>
                      <w:szCs w:val="21"/>
                      <w:highlight w:val="none"/>
                    </w:rPr>
                    <w:t>膜防渗结构，</w:t>
                  </w:r>
                  <w:r>
                    <w:rPr>
                      <w:color w:val="auto"/>
                      <w:sz w:val="21"/>
                      <w:szCs w:val="21"/>
                      <w:highlight w:val="none"/>
                    </w:rPr>
                    <w:t>K≤1×10</w:t>
                  </w:r>
                  <w:r>
                    <w:rPr>
                      <w:color w:val="auto"/>
                      <w:sz w:val="21"/>
                      <w:szCs w:val="21"/>
                      <w:highlight w:val="none"/>
                      <w:vertAlign w:val="superscript"/>
                    </w:rPr>
                    <w:t>-10</w:t>
                  </w:r>
                  <w:r>
                    <w:rPr>
                      <w:color w:val="auto"/>
                      <w:sz w:val="21"/>
                      <w:szCs w:val="21"/>
                      <w:highlight w:val="none"/>
                    </w:rPr>
                    <w:t>cm/s</w:t>
                  </w:r>
                  <w:r>
                    <w:rPr>
                      <w:rFonts w:hint="eastAsia"/>
                      <w:color w:val="auto"/>
                      <w:sz w:val="21"/>
                      <w:szCs w:val="21"/>
                      <w:highlight w:val="none"/>
                    </w:rPr>
                    <w:t>。</w:t>
                  </w:r>
                </w:p>
              </w:tc>
            </w:tr>
            <w:tr w14:paraId="2662C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58" w:type="pct"/>
                  <w:tcBorders>
                    <w:tl2br w:val="nil"/>
                    <w:tr2bl w:val="nil"/>
                  </w:tcBorders>
                  <w:noWrap w:val="0"/>
                  <w:vAlign w:val="center"/>
                </w:tcPr>
                <w:p w14:paraId="63195B4E">
                  <w:pPr>
                    <w:overflowPunct w:val="0"/>
                    <w:adjustRightInd w:val="0"/>
                    <w:snapToGrid w:val="0"/>
                    <w:jc w:val="center"/>
                    <w:rPr>
                      <w:color w:val="auto"/>
                      <w:kern w:val="21"/>
                      <w:sz w:val="21"/>
                      <w:szCs w:val="21"/>
                      <w:highlight w:val="none"/>
                    </w:rPr>
                  </w:pPr>
                  <w:r>
                    <w:rPr>
                      <w:color w:val="auto"/>
                      <w:kern w:val="21"/>
                      <w:sz w:val="21"/>
                      <w:szCs w:val="21"/>
                      <w:highlight w:val="none"/>
                    </w:rPr>
                    <w:t>2</w:t>
                  </w:r>
                </w:p>
              </w:tc>
              <w:tc>
                <w:tcPr>
                  <w:tcW w:w="1337" w:type="pct"/>
                  <w:tcBorders>
                    <w:tl2br w:val="nil"/>
                    <w:tr2bl w:val="nil"/>
                  </w:tcBorders>
                  <w:noWrap w:val="0"/>
                  <w:vAlign w:val="center"/>
                </w:tcPr>
                <w:p w14:paraId="44DE2D16">
                  <w:pPr>
                    <w:overflowPunct w:val="0"/>
                    <w:adjustRightInd w:val="0"/>
                    <w:snapToGrid w:val="0"/>
                    <w:jc w:val="center"/>
                    <w:rPr>
                      <w:rFonts w:ascii="Times New Roman" w:hAnsi="Times New Roman" w:eastAsia="宋体" w:cs="Times New Roman"/>
                      <w:color w:val="auto"/>
                      <w:kern w:val="21"/>
                      <w:sz w:val="21"/>
                      <w:szCs w:val="21"/>
                      <w:highlight w:val="none"/>
                    </w:rPr>
                  </w:pPr>
                  <w:r>
                    <w:rPr>
                      <w:rFonts w:hint="eastAsia" w:ascii="Times New Roman" w:hAnsi="Times New Roman" w:eastAsia="宋体" w:cs="Times New Roman"/>
                      <w:color w:val="auto"/>
                      <w:kern w:val="21"/>
                      <w:sz w:val="21"/>
                      <w:szCs w:val="21"/>
                      <w:highlight w:val="none"/>
                      <w:lang w:val="en-US" w:eastAsia="zh-CN"/>
                    </w:rPr>
                    <w:t>生产车间、一般固废仓库</w:t>
                  </w:r>
                </w:p>
              </w:tc>
              <w:tc>
                <w:tcPr>
                  <w:tcW w:w="507" w:type="pct"/>
                  <w:tcBorders>
                    <w:tl2br w:val="nil"/>
                    <w:tr2bl w:val="nil"/>
                  </w:tcBorders>
                  <w:noWrap w:val="0"/>
                  <w:vAlign w:val="center"/>
                </w:tcPr>
                <w:p w14:paraId="4836595E">
                  <w:pPr>
                    <w:overflowPunct w:val="0"/>
                    <w:adjustRightInd w:val="0"/>
                    <w:snapToGrid w:val="0"/>
                    <w:jc w:val="center"/>
                    <w:rPr>
                      <w:color w:val="auto"/>
                      <w:kern w:val="21"/>
                      <w:sz w:val="21"/>
                      <w:szCs w:val="21"/>
                      <w:highlight w:val="none"/>
                    </w:rPr>
                  </w:pPr>
                  <w:r>
                    <w:rPr>
                      <w:color w:val="auto"/>
                      <w:kern w:val="21"/>
                      <w:sz w:val="21"/>
                      <w:szCs w:val="21"/>
                      <w:highlight w:val="none"/>
                    </w:rPr>
                    <w:t>地面</w:t>
                  </w:r>
                </w:p>
              </w:tc>
              <w:tc>
                <w:tcPr>
                  <w:tcW w:w="872" w:type="pct"/>
                  <w:tcBorders>
                    <w:tl2br w:val="nil"/>
                    <w:tr2bl w:val="nil"/>
                  </w:tcBorders>
                  <w:noWrap w:val="0"/>
                  <w:vAlign w:val="center"/>
                </w:tcPr>
                <w:p w14:paraId="28473B6F">
                  <w:pPr>
                    <w:overflowPunct w:val="0"/>
                    <w:adjustRightInd w:val="0"/>
                    <w:snapToGrid w:val="0"/>
                    <w:jc w:val="center"/>
                    <w:rPr>
                      <w:color w:val="auto"/>
                      <w:kern w:val="21"/>
                      <w:sz w:val="21"/>
                      <w:szCs w:val="21"/>
                      <w:highlight w:val="none"/>
                    </w:rPr>
                  </w:pPr>
                  <w:r>
                    <w:rPr>
                      <w:color w:val="auto"/>
                      <w:kern w:val="21"/>
                      <w:sz w:val="21"/>
                      <w:szCs w:val="21"/>
                      <w:highlight w:val="none"/>
                    </w:rPr>
                    <w:t>一般防渗区</w:t>
                  </w:r>
                </w:p>
              </w:tc>
              <w:tc>
                <w:tcPr>
                  <w:tcW w:w="1824" w:type="pct"/>
                  <w:tcBorders>
                    <w:tl2br w:val="nil"/>
                    <w:tr2bl w:val="nil"/>
                  </w:tcBorders>
                  <w:noWrap w:val="0"/>
                  <w:vAlign w:val="center"/>
                </w:tcPr>
                <w:p w14:paraId="60F8BE9B">
                  <w:pPr>
                    <w:overflowPunct w:val="0"/>
                    <w:adjustRightInd w:val="0"/>
                    <w:snapToGrid w:val="0"/>
                    <w:jc w:val="center"/>
                    <w:rPr>
                      <w:color w:val="auto"/>
                      <w:kern w:val="21"/>
                      <w:sz w:val="21"/>
                      <w:szCs w:val="21"/>
                      <w:highlight w:val="none"/>
                    </w:rPr>
                  </w:pPr>
                  <w:r>
                    <w:rPr>
                      <w:rFonts w:hint="eastAsia" w:ascii="Times New Roman" w:hAnsi="Times New Roman" w:eastAsia="宋体" w:cs="Times New Roman"/>
                      <w:color w:val="auto"/>
                      <w:kern w:val="21"/>
                      <w:sz w:val="21"/>
                      <w:szCs w:val="21"/>
                      <w:highlight w:val="none"/>
                      <w:lang w:val="en-US" w:eastAsia="zh-CN"/>
                    </w:rPr>
                    <w:t>采用防渗混凝土进行硬化，渗透系数</w:t>
                  </w:r>
                  <w:r>
                    <w:rPr>
                      <w:rFonts w:hint="default" w:ascii="Times New Roman" w:hAnsi="Times New Roman" w:eastAsia="宋体" w:cs="Times New Roman"/>
                      <w:color w:val="auto"/>
                      <w:kern w:val="21"/>
                      <w:sz w:val="21"/>
                      <w:szCs w:val="21"/>
                      <w:highlight w:val="none"/>
                      <w:lang w:val="en-US" w:eastAsia="zh-CN"/>
                    </w:rPr>
                    <w:t>≤1×10</w:t>
                  </w:r>
                  <w:r>
                    <w:rPr>
                      <w:rFonts w:hint="default" w:ascii="Times New Roman" w:hAnsi="Times New Roman" w:eastAsia="宋体" w:cs="Times New Roman"/>
                      <w:color w:val="auto"/>
                      <w:kern w:val="21"/>
                      <w:sz w:val="21"/>
                      <w:szCs w:val="21"/>
                      <w:highlight w:val="none"/>
                      <w:vertAlign w:val="superscript"/>
                      <w:lang w:val="en-US" w:eastAsia="zh-CN"/>
                    </w:rPr>
                    <w:t xml:space="preserve"> -7</w:t>
                  </w:r>
                  <w:r>
                    <w:rPr>
                      <w:rFonts w:hint="default" w:ascii="Times New Roman" w:hAnsi="Times New Roman" w:eastAsia="宋体" w:cs="Times New Roman"/>
                      <w:color w:val="auto"/>
                      <w:kern w:val="21"/>
                      <w:sz w:val="21"/>
                      <w:szCs w:val="21"/>
                      <w:highlight w:val="none"/>
                      <w:lang w:val="en-US" w:eastAsia="zh-CN"/>
                    </w:rPr>
                    <w:t>cm/s</w:t>
                  </w:r>
                  <w:r>
                    <w:rPr>
                      <w:rFonts w:hint="eastAsia" w:ascii="Times New Roman" w:hAnsi="Times New Roman" w:eastAsia="宋体" w:cs="Times New Roman"/>
                      <w:color w:val="auto"/>
                      <w:kern w:val="21"/>
                      <w:sz w:val="21"/>
                      <w:szCs w:val="21"/>
                      <w:highlight w:val="none"/>
                      <w:lang w:val="en-US" w:eastAsia="zh-CN"/>
                    </w:rPr>
                    <w:t>。</w:t>
                  </w:r>
                </w:p>
              </w:tc>
            </w:tr>
            <w:tr w14:paraId="742F4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458" w:type="pct"/>
                  <w:tcBorders>
                    <w:tl2br w:val="nil"/>
                    <w:tr2bl w:val="nil"/>
                  </w:tcBorders>
                  <w:noWrap w:val="0"/>
                  <w:vAlign w:val="center"/>
                </w:tcPr>
                <w:p w14:paraId="1591FBF6">
                  <w:pPr>
                    <w:overflowPunct w:val="0"/>
                    <w:adjustRightInd w:val="0"/>
                    <w:snapToGrid w:val="0"/>
                    <w:jc w:val="center"/>
                    <w:rPr>
                      <w:color w:val="auto"/>
                      <w:kern w:val="21"/>
                      <w:sz w:val="21"/>
                      <w:szCs w:val="21"/>
                      <w:highlight w:val="none"/>
                    </w:rPr>
                  </w:pPr>
                  <w:r>
                    <w:rPr>
                      <w:color w:val="auto"/>
                      <w:kern w:val="21"/>
                      <w:sz w:val="21"/>
                      <w:szCs w:val="21"/>
                      <w:highlight w:val="none"/>
                    </w:rPr>
                    <w:t>3</w:t>
                  </w:r>
                </w:p>
              </w:tc>
              <w:tc>
                <w:tcPr>
                  <w:tcW w:w="1337" w:type="pct"/>
                  <w:tcBorders>
                    <w:tl2br w:val="nil"/>
                    <w:tr2bl w:val="nil"/>
                  </w:tcBorders>
                  <w:noWrap w:val="0"/>
                  <w:vAlign w:val="center"/>
                </w:tcPr>
                <w:p w14:paraId="23230450">
                  <w:pPr>
                    <w:overflowPunct w:val="0"/>
                    <w:adjustRightInd w:val="0"/>
                    <w:snapToGrid w:val="0"/>
                    <w:jc w:val="center"/>
                    <w:rPr>
                      <w:rFonts w:hint="default" w:eastAsia="宋体"/>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化粪池、</w:t>
                  </w:r>
                  <w:r>
                    <w:rPr>
                      <w:rFonts w:hint="eastAsia"/>
                      <w:color w:val="auto"/>
                      <w:kern w:val="21"/>
                      <w:sz w:val="21"/>
                      <w:szCs w:val="21"/>
                      <w:highlight w:val="none"/>
                      <w:lang w:val="en-US" w:eastAsia="zh-CN"/>
                    </w:rPr>
                    <w:t>其他区域</w:t>
                  </w:r>
                </w:p>
              </w:tc>
              <w:tc>
                <w:tcPr>
                  <w:tcW w:w="507" w:type="pct"/>
                  <w:tcBorders>
                    <w:tl2br w:val="nil"/>
                    <w:tr2bl w:val="nil"/>
                  </w:tcBorders>
                  <w:noWrap w:val="0"/>
                  <w:vAlign w:val="center"/>
                </w:tcPr>
                <w:p w14:paraId="5591A70F">
                  <w:pPr>
                    <w:overflowPunct w:val="0"/>
                    <w:adjustRightInd w:val="0"/>
                    <w:snapToGrid w:val="0"/>
                    <w:jc w:val="center"/>
                    <w:rPr>
                      <w:color w:val="auto"/>
                      <w:kern w:val="21"/>
                      <w:sz w:val="21"/>
                      <w:szCs w:val="21"/>
                      <w:highlight w:val="none"/>
                    </w:rPr>
                  </w:pPr>
                  <w:r>
                    <w:rPr>
                      <w:color w:val="auto"/>
                      <w:kern w:val="21"/>
                      <w:sz w:val="21"/>
                      <w:szCs w:val="21"/>
                      <w:highlight w:val="none"/>
                    </w:rPr>
                    <w:t>地面</w:t>
                  </w:r>
                </w:p>
              </w:tc>
              <w:tc>
                <w:tcPr>
                  <w:tcW w:w="872" w:type="pct"/>
                  <w:tcBorders>
                    <w:tl2br w:val="nil"/>
                    <w:tr2bl w:val="nil"/>
                  </w:tcBorders>
                  <w:noWrap w:val="0"/>
                  <w:vAlign w:val="center"/>
                </w:tcPr>
                <w:p w14:paraId="665A8B3E">
                  <w:pPr>
                    <w:overflowPunct w:val="0"/>
                    <w:adjustRightInd w:val="0"/>
                    <w:snapToGrid w:val="0"/>
                    <w:jc w:val="center"/>
                    <w:rPr>
                      <w:color w:val="auto"/>
                      <w:kern w:val="21"/>
                      <w:sz w:val="21"/>
                      <w:szCs w:val="21"/>
                      <w:highlight w:val="none"/>
                    </w:rPr>
                  </w:pPr>
                  <w:r>
                    <w:rPr>
                      <w:color w:val="auto"/>
                      <w:kern w:val="21"/>
                      <w:sz w:val="21"/>
                      <w:szCs w:val="21"/>
                      <w:highlight w:val="none"/>
                    </w:rPr>
                    <w:t>简单防渗区</w:t>
                  </w:r>
                </w:p>
              </w:tc>
              <w:tc>
                <w:tcPr>
                  <w:tcW w:w="1824" w:type="pct"/>
                  <w:tcBorders>
                    <w:tl2br w:val="nil"/>
                    <w:tr2bl w:val="nil"/>
                  </w:tcBorders>
                  <w:noWrap w:val="0"/>
                  <w:vAlign w:val="center"/>
                </w:tcPr>
                <w:p w14:paraId="6D173919">
                  <w:pPr>
                    <w:overflowPunct w:val="0"/>
                    <w:adjustRightInd w:val="0"/>
                    <w:snapToGrid w:val="0"/>
                    <w:jc w:val="center"/>
                    <w:rPr>
                      <w:color w:val="auto"/>
                      <w:kern w:val="21"/>
                      <w:sz w:val="21"/>
                      <w:szCs w:val="21"/>
                      <w:highlight w:val="none"/>
                    </w:rPr>
                  </w:pPr>
                  <w:r>
                    <w:rPr>
                      <w:color w:val="auto"/>
                      <w:kern w:val="21"/>
                      <w:sz w:val="21"/>
                      <w:szCs w:val="21"/>
                      <w:highlight w:val="none"/>
                    </w:rPr>
                    <w:t>地面硬化处理</w:t>
                  </w:r>
                </w:p>
              </w:tc>
            </w:tr>
          </w:tbl>
          <w:p w14:paraId="633327AF">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eastAsia"/>
                <w:color w:val="auto"/>
                <w:highlight w:val="none"/>
                <w:lang w:eastAsia="zh-CN"/>
              </w:rPr>
            </w:pPr>
            <w:r>
              <w:rPr>
                <w:rFonts w:hint="eastAsia" w:ascii="Times New Roman" w:hAnsi="Times New Roman" w:eastAsia="宋体" w:cs="Times New Roman"/>
                <w:b w:val="0"/>
                <w:bCs w:val="0"/>
                <w:color w:val="auto"/>
                <w:sz w:val="24"/>
                <w:szCs w:val="24"/>
                <w:highlight w:val="none"/>
                <w:lang w:val="en-US" w:eastAsia="zh-CN"/>
              </w:rPr>
              <w:t>因此，采取以上措施后正常状态下，厂区的地表与地下的水力联系基本被切断，污染物不会规模性渗入地下水，本项目不会对区域地下水环境产生明显影响。</w:t>
            </w:r>
          </w:p>
          <w:p w14:paraId="16CC6F68">
            <w:pPr>
              <w:keepNext w:val="0"/>
              <w:keepLines w:val="0"/>
              <w:pageBreakBefore w:val="0"/>
              <w:widowControl w:val="0"/>
              <w:kinsoku/>
              <w:wordWrap/>
              <w:overflowPunct/>
              <w:topLinePunct w:val="0"/>
              <w:autoSpaceDE/>
              <w:autoSpaceDN/>
              <w:bidi w:val="0"/>
              <w:adjustRightInd w:val="0"/>
              <w:snapToGrid/>
              <w:spacing w:line="360" w:lineRule="auto"/>
              <w:ind w:left="0" w:leftChars="0" w:firstLine="482" w:firstLineChars="200"/>
              <w:jc w:val="both"/>
              <w:textAlignment w:val="baseline"/>
              <w:rPr>
                <w:rFonts w:hint="default" w:ascii="Times New Roman" w:hAnsi="Times New Roman" w:eastAsia="宋体" w:cs="Times New Roman"/>
                <w:b/>
                <w:bCs w:val="0"/>
                <w:color w:val="auto"/>
                <w:kern w:val="0"/>
                <w:sz w:val="24"/>
                <w:szCs w:val="24"/>
                <w:highlight w:val="none"/>
                <w:lang w:val="en-US" w:eastAsia="zh-CN" w:bidi="ar-SA"/>
              </w:rPr>
            </w:pPr>
            <w:r>
              <w:rPr>
                <w:rFonts w:hint="eastAsia" w:ascii="Times New Roman" w:hAnsi="Times New Roman" w:eastAsia="宋体" w:cs="Times New Roman"/>
                <w:b/>
                <w:bCs w:val="0"/>
                <w:snapToGrid w:val="0"/>
                <w:color w:val="auto"/>
                <w:kern w:val="0"/>
                <w:sz w:val="24"/>
                <w:szCs w:val="24"/>
                <w:highlight w:val="none"/>
                <w:lang w:val="en-US" w:eastAsia="zh-CN" w:bidi="ar-SA"/>
              </w:rPr>
              <w:t>六</w:t>
            </w:r>
            <w:r>
              <w:rPr>
                <w:rFonts w:hint="default" w:ascii="Times New Roman" w:hAnsi="Times New Roman" w:eastAsia="宋体" w:cs="Times New Roman"/>
                <w:b/>
                <w:bCs w:val="0"/>
                <w:snapToGrid w:val="0"/>
                <w:color w:val="auto"/>
                <w:kern w:val="0"/>
                <w:sz w:val="24"/>
                <w:szCs w:val="24"/>
                <w:highlight w:val="none"/>
                <w:lang w:val="en-US" w:eastAsia="zh-CN" w:bidi="ar-SA"/>
              </w:rPr>
              <w:t>、土壤环境影响分析</w:t>
            </w:r>
          </w:p>
          <w:p w14:paraId="6C76A2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pacing w:val="0"/>
                <w:kern w:val="0"/>
                <w:position w:val="0"/>
                <w:sz w:val="24"/>
                <w:szCs w:val="24"/>
                <w:lang w:val="en-US" w:eastAsia="zh-CN" w:bidi="ar"/>
              </w:rPr>
            </w:pPr>
            <w:r>
              <w:rPr>
                <w:rFonts w:ascii="Times New Roman" w:hAnsi="Times New Roman" w:eastAsia="宋体" w:cs="Times New Roman"/>
                <w:color w:val="auto"/>
                <w:sz w:val="24"/>
                <w:szCs w:val="24"/>
                <w:highlight w:val="none"/>
              </w:rPr>
              <w:t>本项目属污染影响型项目，项目对土壤可能存在的影响主要</w:t>
            </w:r>
            <w:r>
              <w:rPr>
                <w:rFonts w:hint="default" w:ascii="Times New Roman" w:hAnsi="Times New Roman" w:eastAsia="宋体" w:cs="Times New Roman"/>
                <w:color w:val="auto"/>
                <w:sz w:val="24"/>
                <w:szCs w:val="24"/>
                <w:highlight w:val="none"/>
              </w:rPr>
              <w:t>为危废暂存间</w:t>
            </w: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喷码</w:t>
            </w:r>
            <w:r>
              <w:rPr>
                <w:rFonts w:hint="eastAsia" w:ascii="Times New Roman" w:hAnsi="Times New Roman" w:eastAsia="宋体" w:cs="Times New Roman"/>
                <w:color w:val="auto"/>
                <w:sz w:val="24"/>
                <w:szCs w:val="24"/>
                <w:highlight w:val="none"/>
                <w:lang w:val="en-US" w:eastAsia="zh-CN"/>
              </w:rPr>
              <w:t>油墨、热熔胶暂存区</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实验室、</w:t>
            </w:r>
            <w:r>
              <w:rPr>
                <w:rFonts w:hint="default" w:ascii="Times New Roman" w:hAnsi="Times New Roman" w:eastAsia="宋体" w:cs="Times New Roman"/>
                <w:color w:val="auto"/>
                <w:sz w:val="24"/>
                <w:szCs w:val="24"/>
                <w:highlight w:val="none"/>
              </w:rPr>
              <w:t>地面和排污管道的泄漏</w:t>
            </w:r>
            <w:r>
              <w:rPr>
                <w:rFonts w:ascii="Times New Roman" w:hAnsi="Times New Roman" w:eastAsia="宋体" w:cs="Times New Roman"/>
                <w:color w:val="auto"/>
                <w:sz w:val="24"/>
                <w:szCs w:val="24"/>
                <w:highlight w:val="none"/>
              </w:rPr>
              <w:t>。本项目厂区雨污水分流，所有污水纳管排放，最后进入</w:t>
            </w:r>
            <w:r>
              <w:rPr>
                <w:rFonts w:hint="default" w:ascii="Times New Roman" w:hAnsi="Times New Roman" w:eastAsia="宋体" w:cs="Times New Roman"/>
                <w:color w:val="auto"/>
                <w:sz w:val="24"/>
                <w:szCs w:val="24"/>
                <w:lang w:val="en-US" w:eastAsia="zh-CN"/>
              </w:rPr>
              <w:t>庐山</w:t>
            </w:r>
            <w:r>
              <w:rPr>
                <w:rFonts w:hint="default" w:ascii="Times New Roman" w:hAnsi="Times New Roman" w:eastAsia="宋体" w:cs="Times New Roman"/>
                <w:color w:val="auto"/>
                <w:sz w:val="24"/>
                <w:szCs w:val="24"/>
                <w:lang w:eastAsia="zh-CN"/>
              </w:rPr>
              <w:t>工业污水处理厂</w:t>
            </w:r>
            <w:r>
              <w:rPr>
                <w:rFonts w:ascii="Times New Roman" w:hAnsi="Times New Roman" w:eastAsia="宋体" w:cs="Times New Roman"/>
                <w:color w:val="auto"/>
                <w:sz w:val="24"/>
                <w:szCs w:val="24"/>
                <w:highlight w:val="none"/>
              </w:rPr>
              <w:t>，本项目涉及</w:t>
            </w:r>
            <w:r>
              <w:rPr>
                <w:rFonts w:hint="default" w:ascii="Times New Roman" w:hAnsi="Times New Roman" w:eastAsia="宋体" w:cs="Times New Roman"/>
                <w:color w:val="auto"/>
                <w:sz w:val="24"/>
                <w:szCs w:val="24"/>
                <w:highlight w:val="none"/>
              </w:rPr>
              <w:t>危废暂存间</w:t>
            </w:r>
            <w:r>
              <w:rPr>
                <w:rFonts w:hint="eastAsia" w:ascii="Times New Roman" w:hAnsi="Times New Roman" w:eastAsia="宋体" w:cs="Times New Roman"/>
                <w:color w:val="auto"/>
                <w:sz w:val="24"/>
                <w:szCs w:val="24"/>
                <w:highlight w:val="none"/>
                <w:lang w:eastAsia="zh-CN"/>
              </w:rPr>
              <w:t>、污水处理设施</w:t>
            </w:r>
            <w:r>
              <w:rPr>
                <w:rFonts w:ascii="Times New Roman" w:hAnsi="Times New Roman" w:eastAsia="宋体" w:cs="Times New Roman"/>
                <w:color w:val="auto"/>
                <w:sz w:val="24"/>
                <w:szCs w:val="24"/>
                <w:highlight w:val="none"/>
              </w:rPr>
              <w:t>均</w:t>
            </w:r>
            <w:r>
              <w:rPr>
                <w:rFonts w:hint="eastAsia" w:ascii="Times New Roman" w:hAnsi="Times New Roman" w:eastAsia="宋体" w:cs="Times New Roman"/>
                <w:color w:val="auto"/>
                <w:sz w:val="24"/>
                <w:szCs w:val="24"/>
                <w:highlight w:val="none"/>
                <w:lang w:eastAsia="zh-CN"/>
              </w:rPr>
              <w:t>严格</w:t>
            </w:r>
            <w:r>
              <w:rPr>
                <w:rFonts w:ascii="Times New Roman" w:hAnsi="Times New Roman" w:eastAsia="宋体" w:cs="Times New Roman"/>
                <w:color w:val="auto"/>
                <w:sz w:val="24"/>
                <w:szCs w:val="24"/>
                <w:highlight w:val="none"/>
              </w:rPr>
              <w:t>按照相应的标准设置了防渗层，能</w:t>
            </w:r>
            <w:r>
              <w:rPr>
                <w:rFonts w:hint="eastAsia" w:ascii="Times New Roman" w:hAnsi="Times New Roman" w:eastAsia="宋体" w:cs="Times New Roman"/>
                <w:color w:val="auto"/>
                <w:sz w:val="24"/>
                <w:szCs w:val="24"/>
                <w:highlight w:val="none"/>
                <w:lang w:eastAsia="zh-CN"/>
              </w:rPr>
              <w:t>有效的</w:t>
            </w:r>
            <w:r>
              <w:rPr>
                <w:rFonts w:ascii="Times New Roman" w:hAnsi="Times New Roman" w:eastAsia="宋体" w:cs="Times New Roman"/>
                <w:color w:val="auto"/>
                <w:sz w:val="24"/>
                <w:szCs w:val="24"/>
                <w:highlight w:val="none"/>
              </w:rPr>
              <w:t>防止</w:t>
            </w:r>
            <w:r>
              <w:rPr>
                <w:rFonts w:hint="eastAsia" w:ascii="Times New Roman" w:hAnsi="Times New Roman" w:eastAsia="宋体" w:cs="Times New Roman"/>
                <w:color w:val="auto"/>
                <w:sz w:val="24"/>
                <w:szCs w:val="24"/>
                <w:highlight w:val="none"/>
                <w:lang w:eastAsia="zh-CN"/>
              </w:rPr>
              <w:t>泄漏的各类物质</w:t>
            </w:r>
            <w:r>
              <w:rPr>
                <w:rFonts w:ascii="Times New Roman" w:hAnsi="Times New Roman" w:eastAsia="宋体" w:cs="Times New Roman"/>
                <w:color w:val="auto"/>
                <w:sz w:val="24"/>
                <w:szCs w:val="24"/>
                <w:highlight w:val="none"/>
              </w:rPr>
              <w:t>下渗污染地下水及土壤，因此本项目土壤环境污染影响较小</w:t>
            </w:r>
            <w:r>
              <w:rPr>
                <w:rFonts w:hint="eastAsia" w:ascii="Times New Roman" w:hAnsi="Times New Roman" w:eastAsia="宋体" w:cs="Times New Roman"/>
                <w:bCs/>
                <w:snapToGrid w:val="0"/>
                <w:color w:val="auto"/>
                <w:sz w:val="24"/>
                <w:szCs w:val="24"/>
                <w:highlight w:val="none"/>
                <w:lang w:val="en-US" w:eastAsia="zh-CN"/>
              </w:rPr>
              <w:t>。</w:t>
            </w:r>
          </w:p>
          <w:p w14:paraId="4F1AC83C">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Times New Roman" w:hAnsi="Times New Roman" w:eastAsia="宋体" w:cs="Times New Roman"/>
                <w:b/>
                <w:bCs/>
                <w:color w:val="FF0000"/>
                <w:spacing w:val="0"/>
                <w:position w:val="0"/>
                <w:sz w:val="24"/>
                <w:szCs w:val="24"/>
                <w:lang w:val="en-US" w:eastAsia="zh-CN"/>
              </w:rPr>
            </w:pPr>
            <w:commentRangeStart w:id="47"/>
            <w:r>
              <w:rPr>
                <w:rFonts w:hint="eastAsia" w:cs="Times New Roman"/>
                <w:b/>
                <w:bCs/>
                <w:color w:val="FF0000"/>
                <w:spacing w:val="0"/>
                <w:position w:val="0"/>
                <w:sz w:val="24"/>
                <w:szCs w:val="24"/>
                <w:lang w:val="en-US" w:eastAsia="zh-CN"/>
              </w:rPr>
              <w:t>七</w:t>
            </w:r>
            <w:r>
              <w:rPr>
                <w:rFonts w:hint="eastAsia" w:ascii="Times New Roman" w:hAnsi="Times New Roman" w:eastAsia="宋体" w:cs="Times New Roman"/>
                <w:b/>
                <w:bCs/>
                <w:color w:val="FF0000"/>
                <w:spacing w:val="0"/>
                <w:position w:val="0"/>
                <w:sz w:val="24"/>
                <w:szCs w:val="24"/>
                <w:lang w:val="en-US" w:eastAsia="zh-CN"/>
              </w:rPr>
              <w:t>、</w:t>
            </w:r>
            <w:commentRangeEnd w:id="47"/>
            <w:r>
              <w:commentReference w:id="47"/>
            </w:r>
            <w:r>
              <w:rPr>
                <w:rFonts w:hint="eastAsia" w:ascii="Times New Roman" w:hAnsi="Times New Roman" w:eastAsia="宋体" w:cs="Times New Roman"/>
                <w:b/>
                <w:bCs/>
                <w:color w:val="FF0000"/>
                <w:spacing w:val="0"/>
                <w:position w:val="0"/>
                <w:sz w:val="24"/>
                <w:szCs w:val="24"/>
                <w:lang w:val="en-US" w:eastAsia="zh-CN"/>
              </w:rPr>
              <w:t>环境风险分析</w:t>
            </w:r>
          </w:p>
          <w:p w14:paraId="34461A7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b w:val="0"/>
                <w:bCs w:val="0"/>
                <w:color w:val="FF0000"/>
                <w:spacing w:val="0"/>
                <w:position w:val="0"/>
                <w:sz w:val="24"/>
                <w:szCs w:val="24"/>
                <w:lang w:val="en-US" w:eastAsia="zh-CN"/>
              </w:rPr>
            </w:pPr>
            <w:r>
              <w:rPr>
                <w:rFonts w:hint="eastAsia" w:cs="Times New Roman"/>
                <w:b w:val="0"/>
                <w:bCs w:val="0"/>
                <w:color w:val="FF0000"/>
                <w:spacing w:val="0"/>
                <w:position w:val="0"/>
                <w:sz w:val="24"/>
                <w:szCs w:val="24"/>
                <w:lang w:val="en-US" w:eastAsia="zh-CN"/>
              </w:rPr>
              <w:t>1、</w:t>
            </w:r>
            <w:r>
              <w:rPr>
                <w:rFonts w:hint="eastAsia" w:ascii="Times New Roman" w:hAnsi="Times New Roman" w:eastAsia="宋体" w:cs="Times New Roman"/>
                <w:b w:val="0"/>
                <w:bCs w:val="0"/>
                <w:color w:val="FF0000"/>
                <w:spacing w:val="0"/>
                <w:position w:val="0"/>
                <w:sz w:val="24"/>
                <w:szCs w:val="24"/>
                <w:lang w:val="en-US" w:eastAsia="zh-CN"/>
              </w:rPr>
              <w:t>风险识别</w:t>
            </w:r>
          </w:p>
          <w:p w14:paraId="3AE97FB9">
            <w:pPr>
              <w:keepNext w:val="0"/>
              <w:keepLines w:val="0"/>
              <w:widowControl/>
              <w:suppressLineNumbers w:val="0"/>
              <w:spacing w:line="360" w:lineRule="auto"/>
              <w:ind w:firstLine="480" w:firstLineChars="200"/>
              <w:jc w:val="left"/>
              <w:rPr>
                <w:rFonts w:ascii="Times New Roman" w:hAnsi="Times New Roman" w:eastAsia="宋体" w:cs="Times New Roman"/>
                <w:color w:val="FF0000"/>
                <w:spacing w:val="0"/>
                <w:position w:val="0"/>
                <w:sz w:val="24"/>
                <w:szCs w:val="24"/>
              </w:rPr>
            </w:pPr>
            <w:r>
              <w:rPr>
                <w:rFonts w:hint="eastAsia" w:ascii="Times New Roman" w:hAnsi="Times New Roman" w:eastAsia="宋体" w:cs="Times New Roman"/>
                <w:color w:val="FF0000"/>
                <w:spacing w:val="0"/>
                <w:kern w:val="0"/>
                <w:position w:val="0"/>
                <w:sz w:val="24"/>
                <w:szCs w:val="24"/>
                <w:lang w:val="en-US" w:eastAsia="zh-CN" w:bidi="ar"/>
              </w:rPr>
              <w:t>根据《危险化学品重大危险源辨识》（GB18218-2018），项目生产过程</w:t>
            </w:r>
            <w:r>
              <w:rPr>
                <w:rFonts w:hint="eastAsia" w:cs="Times New Roman"/>
                <w:color w:val="FF0000"/>
                <w:spacing w:val="0"/>
                <w:kern w:val="0"/>
                <w:position w:val="0"/>
                <w:sz w:val="24"/>
                <w:szCs w:val="24"/>
                <w:lang w:val="en-US" w:eastAsia="zh-CN" w:bidi="ar"/>
              </w:rPr>
              <w:t>涉及危险物质为硝酸铅、醋酸盐、硫酸（属于表2中氧化性固体、液体），硝酸和油类物质</w:t>
            </w:r>
            <w:r>
              <w:rPr>
                <w:rFonts w:hint="eastAsia" w:ascii="Times New Roman" w:hAnsi="Times New Roman" w:eastAsia="宋体" w:cs="Times New Roman"/>
                <w:color w:val="FF0000"/>
                <w:spacing w:val="0"/>
                <w:kern w:val="0"/>
                <w:position w:val="0"/>
                <w:sz w:val="24"/>
                <w:szCs w:val="24"/>
                <w:lang w:val="en-US" w:eastAsia="zh-CN" w:bidi="ar"/>
              </w:rPr>
              <w:t>。</w:t>
            </w:r>
          </w:p>
          <w:p w14:paraId="211E6F0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FF0000"/>
                <w:spacing w:val="0"/>
                <w:position w:val="0"/>
                <w:sz w:val="24"/>
                <w:szCs w:val="24"/>
              </w:rPr>
            </w:pPr>
            <w:r>
              <w:rPr>
                <w:rFonts w:hint="eastAsia" w:ascii="Times New Roman" w:hAnsi="Times New Roman" w:eastAsia="宋体" w:cs="Times New Roman"/>
                <w:color w:val="FF0000"/>
                <w:spacing w:val="0"/>
                <w:kern w:val="0"/>
                <w:position w:val="0"/>
                <w:sz w:val="24"/>
                <w:szCs w:val="24"/>
                <w:lang w:val="en-US" w:eastAsia="zh-CN" w:bidi="ar"/>
              </w:rPr>
              <w:t>根据《建设项目环境风险评价技术导则》（</w:t>
            </w:r>
            <w:r>
              <w:rPr>
                <w:rFonts w:hint="default" w:ascii="Times New Roman" w:hAnsi="Times New Roman" w:eastAsia="宋体" w:cs="Times New Roman"/>
                <w:color w:val="FF0000"/>
                <w:spacing w:val="0"/>
                <w:kern w:val="0"/>
                <w:position w:val="0"/>
                <w:sz w:val="24"/>
                <w:szCs w:val="24"/>
                <w:lang w:val="en-US" w:eastAsia="zh-CN" w:bidi="ar"/>
              </w:rPr>
              <w:t>HJ 169-2018</w:t>
            </w:r>
            <w:r>
              <w:rPr>
                <w:rFonts w:hint="eastAsia" w:ascii="Times New Roman" w:hAnsi="Times New Roman" w:eastAsia="宋体" w:cs="Times New Roman"/>
                <w:color w:val="FF0000"/>
                <w:spacing w:val="0"/>
                <w:kern w:val="0"/>
                <w:position w:val="0"/>
                <w:sz w:val="24"/>
                <w:szCs w:val="24"/>
                <w:lang w:val="en-US" w:eastAsia="zh-CN" w:bidi="ar"/>
              </w:rPr>
              <w:t>）附录</w:t>
            </w:r>
            <w:r>
              <w:rPr>
                <w:rFonts w:hint="default" w:ascii="Times New Roman" w:hAnsi="Times New Roman" w:eastAsia="宋体" w:cs="Times New Roman"/>
                <w:color w:val="FF0000"/>
                <w:spacing w:val="0"/>
                <w:kern w:val="0"/>
                <w:position w:val="0"/>
                <w:sz w:val="24"/>
                <w:szCs w:val="24"/>
                <w:lang w:val="en-US" w:eastAsia="zh-CN" w:bidi="ar"/>
              </w:rPr>
              <w:t>C</w:t>
            </w:r>
            <w:r>
              <w:rPr>
                <w:rFonts w:hint="eastAsia" w:ascii="Times New Roman" w:hAnsi="Times New Roman" w:eastAsia="宋体" w:cs="Times New Roman"/>
                <w:color w:val="FF0000"/>
                <w:spacing w:val="0"/>
                <w:kern w:val="0"/>
                <w:position w:val="0"/>
                <w:sz w:val="24"/>
                <w:szCs w:val="24"/>
                <w:lang w:val="en-US" w:eastAsia="zh-CN" w:bidi="ar"/>
              </w:rPr>
              <w:t>，危险物质数量与临界量比值</w:t>
            </w:r>
            <w:r>
              <w:rPr>
                <w:rFonts w:hint="default" w:ascii="Times New Roman" w:hAnsi="Times New Roman" w:eastAsia="宋体" w:cs="Times New Roman"/>
                <w:color w:val="FF0000"/>
                <w:spacing w:val="0"/>
                <w:kern w:val="0"/>
                <w:position w:val="0"/>
                <w:sz w:val="24"/>
                <w:szCs w:val="24"/>
                <w:lang w:val="en-US" w:eastAsia="zh-CN" w:bidi="ar"/>
              </w:rPr>
              <w:t>Q</w:t>
            </w:r>
            <w:r>
              <w:rPr>
                <w:rFonts w:hint="eastAsia" w:ascii="Times New Roman" w:hAnsi="Times New Roman" w:eastAsia="宋体" w:cs="Times New Roman"/>
                <w:color w:val="FF0000"/>
                <w:spacing w:val="0"/>
                <w:kern w:val="0"/>
                <w:position w:val="0"/>
                <w:sz w:val="24"/>
                <w:szCs w:val="24"/>
                <w:lang w:val="en-US" w:eastAsia="zh-CN" w:bidi="ar"/>
              </w:rPr>
              <w:t xml:space="preserve">定义如下： </w:t>
            </w:r>
          </w:p>
          <w:p w14:paraId="07EF29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FF0000"/>
                <w:spacing w:val="0"/>
                <w:position w:val="0"/>
                <w:sz w:val="24"/>
                <w:szCs w:val="24"/>
              </w:rPr>
            </w:pPr>
            <w:r>
              <w:rPr>
                <w:rFonts w:hint="eastAsia" w:ascii="Times New Roman" w:hAnsi="Times New Roman" w:eastAsia="宋体" w:cs="Times New Roman"/>
                <w:color w:val="FF0000"/>
                <w:spacing w:val="0"/>
                <w:kern w:val="0"/>
                <w:position w:val="0"/>
                <w:sz w:val="24"/>
                <w:szCs w:val="24"/>
                <w:lang w:val="en-US" w:eastAsia="zh-CN" w:bidi="ar"/>
              </w:rPr>
              <w:t>当只涉及一种危险物质时，计算该物质的总量与其临界量比值，即为</w:t>
            </w:r>
            <w:r>
              <w:rPr>
                <w:rFonts w:hint="default" w:ascii="Times New Roman" w:hAnsi="Times New Roman" w:eastAsia="宋体" w:cs="Times New Roman"/>
                <w:color w:val="FF0000"/>
                <w:spacing w:val="0"/>
                <w:kern w:val="0"/>
                <w:position w:val="0"/>
                <w:sz w:val="24"/>
                <w:szCs w:val="24"/>
                <w:lang w:val="en-US" w:eastAsia="zh-CN" w:bidi="ar"/>
              </w:rPr>
              <w:t>Q</w:t>
            </w:r>
            <w:r>
              <w:rPr>
                <w:rFonts w:hint="eastAsia" w:ascii="Times New Roman" w:hAnsi="Times New Roman" w:eastAsia="宋体" w:cs="Times New Roman"/>
                <w:color w:val="FF0000"/>
                <w:spacing w:val="0"/>
                <w:kern w:val="0"/>
                <w:position w:val="0"/>
                <w:sz w:val="24"/>
                <w:szCs w:val="24"/>
                <w:lang w:val="en-US" w:eastAsia="zh-CN" w:bidi="ar"/>
              </w:rPr>
              <w:t>；当存在多种危险物质时，则按下式计算物质总量与其临界量比值（</w:t>
            </w:r>
            <w:r>
              <w:rPr>
                <w:rFonts w:hint="default" w:ascii="Times New Roman" w:hAnsi="Times New Roman" w:eastAsia="宋体" w:cs="Times New Roman"/>
                <w:color w:val="FF0000"/>
                <w:spacing w:val="0"/>
                <w:kern w:val="0"/>
                <w:position w:val="0"/>
                <w:sz w:val="24"/>
                <w:szCs w:val="24"/>
                <w:lang w:val="en-US" w:eastAsia="zh-CN" w:bidi="ar"/>
              </w:rPr>
              <w:t>Q</w:t>
            </w:r>
            <w:r>
              <w:rPr>
                <w:rFonts w:hint="eastAsia" w:ascii="Times New Roman" w:hAnsi="Times New Roman" w:eastAsia="宋体" w:cs="Times New Roman"/>
                <w:color w:val="FF0000"/>
                <w:spacing w:val="0"/>
                <w:kern w:val="0"/>
                <w:position w:val="0"/>
                <w:sz w:val="24"/>
                <w:szCs w:val="24"/>
                <w:lang w:val="en-US" w:eastAsia="zh-CN" w:bidi="ar"/>
              </w:rPr>
              <w:t>）：</w:t>
            </w:r>
          </w:p>
          <w:p w14:paraId="131FCE4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eastAsia="宋体" w:cs="Times New Roman"/>
                <w:color w:val="FF0000"/>
                <w:spacing w:val="0"/>
                <w:position w:val="0"/>
                <w:sz w:val="24"/>
                <w:szCs w:val="24"/>
              </w:rPr>
            </w:pPr>
            <w:r>
              <w:rPr>
                <w:rFonts w:ascii="Times New Roman" w:hAnsi="Times New Roman" w:eastAsia="宋体" w:cs="Times New Roman"/>
                <w:color w:val="FF0000"/>
                <w:spacing w:val="0"/>
                <w:position w:val="0"/>
                <w:sz w:val="24"/>
                <w:szCs w:val="24"/>
              </w:rPr>
              <w:drawing>
                <wp:inline distT="0" distB="0" distL="114300" distR="114300">
                  <wp:extent cx="1999615" cy="485775"/>
                  <wp:effectExtent l="0" t="0" r="635" b="952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84"/>
                          <a:stretch>
                            <a:fillRect/>
                          </a:stretch>
                        </pic:blipFill>
                        <pic:spPr>
                          <a:xfrm>
                            <a:off x="0" y="0"/>
                            <a:ext cx="1999615" cy="485775"/>
                          </a:xfrm>
                          <a:prstGeom prst="rect">
                            <a:avLst/>
                          </a:prstGeom>
                          <a:noFill/>
                          <a:ln>
                            <a:noFill/>
                          </a:ln>
                        </pic:spPr>
                      </pic:pic>
                    </a:graphicData>
                  </a:graphic>
                </wp:inline>
              </w:drawing>
            </w:r>
          </w:p>
          <w:p w14:paraId="41B1DE1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FF0000"/>
                <w:spacing w:val="0"/>
                <w:position w:val="0"/>
                <w:sz w:val="24"/>
                <w:szCs w:val="24"/>
                <w:vertAlign w:val="baseline"/>
                <w:lang w:val="en-US" w:eastAsia="zh-CN"/>
              </w:rPr>
            </w:pPr>
            <w:r>
              <w:rPr>
                <w:rFonts w:hint="eastAsia" w:ascii="Times New Roman" w:hAnsi="Times New Roman" w:eastAsia="宋体" w:cs="Times New Roman"/>
                <w:color w:val="FF0000"/>
                <w:spacing w:val="0"/>
                <w:position w:val="0"/>
                <w:sz w:val="24"/>
                <w:szCs w:val="24"/>
                <w:lang w:eastAsia="zh-CN"/>
              </w:rPr>
              <w:t>式中</w:t>
            </w:r>
            <w:r>
              <w:rPr>
                <w:rFonts w:hint="eastAsia" w:ascii="Times New Roman" w:hAnsi="Times New Roman" w:eastAsia="宋体" w:cs="Times New Roman"/>
                <w:color w:val="FF0000"/>
                <w:spacing w:val="0"/>
                <w:position w:val="0"/>
                <w:sz w:val="24"/>
                <w:szCs w:val="24"/>
                <w:lang w:val="en-US" w:eastAsia="zh-CN"/>
              </w:rPr>
              <w:t>q</w:t>
            </w:r>
            <w:r>
              <w:rPr>
                <w:rFonts w:hint="eastAsia" w:ascii="Times New Roman" w:hAnsi="Times New Roman" w:eastAsia="宋体" w:cs="Times New Roman"/>
                <w:color w:val="FF0000"/>
                <w:spacing w:val="0"/>
                <w:position w:val="0"/>
                <w:sz w:val="24"/>
                <w:szCs w:val="24"/>
                <w:vertAlign w:val="subscript"/>
                <w:lang w:val="en-US" w:eastAsia="zh-CN"/>
              </w:rPr>
              <w:t>1</w:t>
            </w:r>
            <w:r>
              <w:rPr>
                <w:rFonts w:hint="eastAsia" w:ascii="Times New Roman" w:hAnsi="Times New Roman" w:eastAsia="宋体" w:cs="Times New Roman"/>
                <w:color w:val="FF0000"/>
                <w:spacing w:val="0"/>
                <w:position w:val="0"/>
                <w:sz w:val="24"/>
                <w:szCs w:val="24"/>
                <w:vertAlign w:val="baseline"/>
                <w:lang w:val="en-US" w:eastAsia="zh-CN"/>
              </w:rPr>
              <w:t>，q</w:t>
            </w:r>
            <w:r>
              <w:rPr>
                <w:rFonts w:hint="eastAsia" w:ascii="Times New Roman" w:hAnsi="Times New Roman" w:eastAsia="宋体" w:cs="Times New Roman"/>
                <w:color w:val="FF0000"/>
                <w:spacing w:val="0"/>
                <w:position w:val="0"/>
                <w:sz w:val="24"/>
                <w:szCs w:val="24"/>
                <w:vertAlign w:val="subscript"/>
                <w:lang w:val="en-US" w:eastAsia="zh-CN"/>
              </w:rPr>
              <w:t>2</w:t>
            </w:r>
            <w:r>
              <w:rPr>
                <w:rFonts w:hint="eastAsia" w:ascii="Times New Roman" w:hAnsi="Times New Roman" w:eastAsia="宋体" w:cs="Times New Roman"/>
                <w:color w:val="FF0000"/>
                <w:spacing w:val="0"/>
                <w:position w:val="0"/>
                <w:sz w:val="24"/>
                <w:szCs w:val="24"/>
                <w:vertAlign w:val="baseline"/>
                <w:lang w:val="en-US" w:eastAsia="zh-CN"/>
              </w:rPr>
              <w:t>，......，q</w:t>
            </w:r>
            <w:r>
              <w:rPr>
                <w:rFonts w:hint="eastAsia" w:ascii="Times New Roman" w:hAnsi="Times New Roman" w:eastAsia="宋体" w:cs="Times New Roman"/>
                <w:color w:val="FF0000"/>
                <w:spacing w:val="0"/>
                <w:position w:val="0"/>
                <w:sz w:val="24"/>
                <w:szCs w:val="24"/>
                <w:vertAlign w:val="subscript"/>
                <w:lang w:val="en-US" w:eastAsia="zh-CN"/>
              </w:rPr>
              <w:t>n</w:t>
            </w:r>
            <w:r>
              <w:rPr>
                <w:rFonts w:hint="eastAsia" w:ascii="Times New Roman" w:hAnsi="Times New Roman" w:eastAsia="宋体" w:cs="Times New Roman"/>
                <w:color w:val="FF0000"/>
                <w:spacing w:val="0"/>
                <w:position w:val="0"/>
                <w:sz w:val="24"/>
                <w:szCs w:val="24"/>
                <w:vertAlign w:val="baseline"/>
                <w:lang w:val="en-US" w:eastAsia="zh-CN"/>
              </w:rPr>
              <w:t>——每种物质最大存在总量，t；</w:t>
            </w:r>
          </w:p>
          <w:p w14:paraId="423545D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FF0000"/>
                <w:spacing w:val="0"/>
                <w:position w:val="0"/>
                <w:sz w:val="24"/>
                <w:szCs w:val="24"/>
                <w:vertAlign w:val="baseline"/>
                <w:lang w:val="en-US" w:eastAsia="zh-CN"/>
              </w:rPr>
            </w:pPr>
            <w:r>
              <w:rPr>
                <w:rFonts w:hint="eastAsia" w:ascii="Times New Roman" w:hAnsi="Times New Roman" w:eastAsia="宋体" w:cs="Times New Roman"/>
                <w:color w:val="FF0000"/>
                <w:spacing w:val="0"/>
                <w:position w:val="0"/>
                <w:sz w:val="24"/>
                <w:szCs w:val="24"/>
                <w:lang w:val="en-US" w:eastAsia="zh-CN"/>
              </w:rPr>
              <w:t>Q</w:t>
            </w:r>
            <w:r>
              <w:rPr>
                <w:rFonts w:hint="eastAsia" w:ascii="Times New Roman" w:hAnsi="Times New Roman" w:eastAsia="宋体" w:cs="Times New Roman"/>
                <w:color w:val="FF0000"/>
                <w:spacing w:val="0"/>
                <w:position w:val="0"/>
                <w:sz w:val="24"/>
                <w:szCs w:val="24"/>
                <w:vertAlign w:val="subscript"/>
                <w:lang w:val="en-US" w:eastAsia="zh-CN"/>
              </w:rPr>
              <w:t>1</w:t>
            </w:r>
            <w:r>
              <w:rPr>
                <w:rFonts w:hint="eastAsia" w:ascii="Times New Roman" w:hAnsi="Times New Roman" w:eastAsia="宋体" w:cs="Times New Roman"/>
                <w:color w:val="FF0000"/>
                <w:spacing w:val="0"/>
                <w:position w:val="0"/>
                <w:sz w:val="24"/>
                <w:szCs w:val="24"/>
                <w:vertAlign w:val="baseline"/>
                <w:lang w:val="en-US" w:eastAsia="zh-CN"/>
              </w:rPr>
              <w:t>，Q</w:t>
            </w:r>
            <w:r>
              <w:rPr>
                <w:rFonts w:hint="eastAsia" w:ascii="Times New Roman" w:hAnsi="Times New Roman" w:eastAsia="宋体" w:cs="Times New Roman"/>
                <w:color w:val="FF0000"/>
                <w:spacing w:val="0"/>
                <w:position w:val="0"/>
                <w:sz w:val="24"/>
                <w:szCs w:val="24"/>
                <w:vertAlign w:val="subscript"/>
                <w:lang w:val="en-US" w:eastAsia="zh-CN"/>
              </w:rPr>
              <w:t>2</w:t>
            </w:r>
            <w:r>
              <w:rPr>
                <w:rFonts w:hint="eastAsia" w:ascii="Times New Roman" w:hAnsi="Times New Roman" w:eastAsia="宋体" w:cs="Times New Roman"/>
                <w:color w:val="FF0000"/>
                <w:spacing w:val="0"/>
                <w:position w:val="0"/>
                <w:sz w:val="24"/>
                <w:szCs w:val="24"/>
                <w:vertAlign w:val="baseline"/>
                <w:lang w:val="en-US" w:eastAsia="zh-CN"/>
              </w:rPr>
              <w:t>，......，Q</w:t>
            </w:r>
            <w:r>
              <w:rPr>
                <w:rFonts w:hint="eastAsia" w:ascii="Times New Roman" w:hAnsi="Times New Roman" w:eastAsia="宋体" w:cs="Times New Roman"/>
                <w:color w:val="FF0000"/>
                <w:spacing w:val="0"/>
                <w:position w:val="0"/>
                <w:sz w:val="24"/>
                <w:szCs w:val="24"/>
                <w:vertAlign w:val="subscript"/>
                <w:lang w:val="en-US" w:eastAsia="zh-CN"/>
              </w:rPr>
              <w:t>n</w:t>
            </w:r>
            <w:r>
              <w:rPr>
                <w:rFonts w:hint="eastAsia" w:ascii="Times New Roman" w:hAnsi="Times New Roman" w:eastAsia="宋体" w:cs="Times New Roman"/>
                <w:color w:val="FF0000"/>
                <w:spacing w:val="0"/>
                <w:position w:val="0"/>
                <w:sz w:val="24"/>
                <w:szCs w:val="24"/>
                <w:vertAlign w:val="baseline"/>
                <w:lang w:val="en-US" w:eastAsia="zh-CN"/>
              </w:rPr>
              <w:t>——每种危险物质的临界量，t</w:t>
            </w:r>
          </w:p>
          <w:p w14:paraId="2675493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FF0000"/>
                <w:spacing w:val="0"/>
                <w:position w:val="0"/>
                <w:sz w:val="24"/>
                <w:szCs w:val="24"/>
                <w:vertAlign w:val="baseline"/>
                <w:lang w:val="en-US" w:eastAsia="zh-CN"/>
              </w:rPr>
            </w:pPr>
            <w:r>
              <w:rPr>
                <w:rFonts w:hint="eastAsia" w:ascii="Times New Roman" w:hAnsi="Times New Roman" w:eastAsia="宋体" w:cs="Times New Roman"/>
                <w:color w:val="FF0000"/>
                <w:spacing w:val="0"/>
                <w:position w:val="0"/>
                <w:sz w:val="24"/>
                <w:szCs w:val="24"/>
                <w:vertAlign w:val="baseline"/>
                <w:lang w:val="en-US" w:eastAsia="zh-CN"/>
              </w:rPr>
              <w:t>当Q＜1时，该项目环境风险潜势为Ⅰ；</w:t>
            </w:r>
          </w:p>
          <w:p w14:paraId="1CB9A35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FF0000"/>
                <w:spacing w:val="0"/>
                <w:position w:val="0"/>
                <w:sz w:val="24"/>
                <w:szCs w:val="24"/>
                <w:vertAlign w:val="baseline"/>
                <w:lang w:val="en-US" w:eastAsia="zh-CN"/>
              </w:rPr>
            </w:pPr>
            <w:r>
              <w:rPr>
                <w:rFonts w:hint="eastAsia" w:ascii="Times New Roman" w:hAnsi="Times New Roman" w:eastAsia="宋体" w:cs="Times New Roman"/>
                <w:color w:val="FF0000"/>
                <w:spacing w:val="0"/>
                <w:position w:val="0"/>
                <w:sz w:val="24"/>
                <w:szCs w:val="24"/>
                <w:vertAlign w:val="baseline"/>
                <w:lang w:val="en-US" w:eastAsia="zh-CN"/>
              </w:rPr>
              <w:t>当Q＞1时，将Q值划分为1≤Q＜10，10≤Q＜100，Q≥100。</w:t>
            </w:r>
          </w:p>
          <w:p w14:paraId="482E708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FF0000"/>
                <w:spacing w:val="0"/>
                <w:position w:val="0"/>
                <w:sz w:val="24"/>
                <w:szCs w:val="24"/>
                <w:vertAlign w:val="baseline"/>
                <w:lang w:val="en-US" w:eastAsia="zh-CN"/>
              </w:rPr>
            </w:pPr>
            <w:r>
              <w:rPr>
                <w:rFonts w:hint="eastAsia" w:ascii="Times New Roman" w:hAnsi="Times New Roman" w:eastAsia="宋体" w:cs="Times New Roman"/>
                <w:color w:val="FF0000"/>
                <w:spacing w:val="0"/>
                <w:position w:val="0"/>
                <w:sz w:val="24"/>
                <w:szCs w:val="24"/>
                <w:vertAlign w:val="baseline"/>
                <w:lang w:val="en-US" w:eastAsia="zh-CN"/>
              </w:rPr>
              <w:t>本项目风险物质情况见下表</w:t>
            </w:r>
          </w:p>
          <w:p w14:paraId="4A59ACA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FF0000"/>
                <w:spacing w:val="0"/>
                <w:position w:val="0"/>
                <w:sz w:val="24"/>
                <w:szCs w:val="24"/>
                <w:vertAlign w:val="baseline"/>
                <w:lang w:val="en-US" w:eastAsia="zh-CN"/>
              </w:rPr>
            </w:pPr>
            <w:r>
              <w:rPr>
                <w:rFonts w:hint="eastAsia" w:ascii="Times New Roman" w:hAnsi="Times New Roman" w:eastAsia="宋体" w:cs="Times New Roman"/>
                <w:color w:val="FF0000"/>
                <w:spacing w:val="0"/>
                <w:position w:val="0"/>
                <w:sz w:val="24"/>
                <w:szCs w:val="24"/>
                <w:vertAlign w:val="baseline"/>
                <w:lang w:val="en-US" w:eastAsia="zh-CN"/>
              </w:rPr>
              <w:t>本项目使用的喷码油墨中氨占5%，油墨总用量为0.1吨每年，则氨的量为0.005，折算成氨水为0.025吨每年。</w:t>
            </w:r>
          </w:p>
          <w:p w14:paraId="0050A798">
            <w:pPr>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jc w:val="center"/>
              <w:textAlignment w:val="auto"/>
              <w:rPr>
                <w:rFonts w:hint="eastAsia" w:cs="Times New Roman"/>
                <w:b/>
                <w:bCs/>
                <w:color w:val="FF0000"/>
                <w:spacing w:val="0"/>
                <w:position w:val="0"/>
                <w:sz w:val="21"/>
                <w:szCs w:val="21"/>
                <w:lang w:val="en-US" w:eastAsia="zh-CN"/>
              </w:rPr>
            </w:pPr>
            <w:r>
              <w:rPr>
                <w:rFonts w:hint="eastAsia" w:cs="Times New Roman"/>
                <w:b/>
                <w:bCs/>
                <w:color w:val="FF0000"/>
                <w:spacing w:val="0"/>
                <w:position w:val="0"/>
                <w:sz w:val="21"/>
                <w:szCs w:val="21"/>
                <w:lang w:val="en-US" w:eastAsia="zh-CN"/>
              </w:rPr>
              <w:t>表4-22  风险物质情况一览表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108" w:type="dxa"/>
                <w:bottom w:w="0" w:type="dxa"/>
                <w:right w:w="108" w:type="dxa"/>
              </w:tblCellMar>
            </w:tblPr>
            <w:tblGrid>
              <w:gridCol w:w="1612"/>
              <w:gridCol w:w="1802"/>
              <w:gridCol w:w="1710"/>
              <w:gridCol w:w="1306"/>
              <w:gridCol w:w="2117"/>
            </w:tblGrid>
            <w:tr w14:paraId="7DD52B2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503" w:hRule="atLeast"/>
                <w:jc w:val="center"/>
              </w:trPr>
              <w:tc>
                <w:tcPr>
                  <w:tcW w:w="943" w:type="pct"/>
                  <w:tcBorders>
                    <w:bottom w:val="single" w:color="auto" w:sz="12" w:space="0"/>
                  </w:tcBorders>
                  <w:noWrap w:val="0"/>
                  <w:vAlign w:val="center"/>
                </w:tcPr>
                <w:p w14:paraId="59F69D29">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b/>
                      <w:bCs/>
                      <w:color w:val="FF0000"/>
                      <w:kern w:val="2"/>
                      <w:sz w:val="21"/>
                      <w:szCs w:val="21"/>
                      <w:highlight w:val="none"/>
                      <w:vertAlign w:val="baseline"/>
                      <w:lang w:val="en-US" w:eastAsia="zh-CN" w:bidi="ar-SA"/>
                    </w:rPr>
                  </w:pPr>
                  <w:r>
                    <w:rPr>
                      <w:rFonts w:hint="eastAsia" w:ascii="Times New Roman" w:hAnsi="Times New Roman" w:eastAsia="宋体" w:cs="Times New Roman"/>
                      <w:b/>
                      <w:bCs/>
                      <w:color w:val="FF0000"/>
                      <w:kern w:val="2"/>
                      <w:sz w:val="21"/>
                      <w:szCs w:val="21"/>
                      <w:highlight w:val="none"/>
                      <w:vertAlign w:val="baseline"/>
                      <w:lang w:val="en-US" w:eastAsia="zh-CN" w:bidi="ar-SA"/>
                    </w:rPr>
                    <w:t>物质名称</w:t>
                  </w:r>
                </w:p>
              </w:tc>
              <w:tc>
                <w:tcPr>
                  <w:tcW w:w="1054" w:type="pct"/>
                  <w:tcBorders>
                    <w:bottom w:val="single" w:color="auto" w:sz="12" w:space="0"/>
                  </w:tcBorders>
                  <w:noWrap w:val="0"/>
                  <w:vAlign w:val="center"/>
                </w:tcPr>
                <w:p w14:paraId="736AE82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b/>
                      <w:bCs/>
                      <w:color w:val="FF0000"/>
                      <w:kern w:val="2"/>
                      <w:sz w:val="21"/>
                      <w:szCs w:val="21"/>
                      <w:highlight w:val="none"/>
                      <w:vertAlign w:val="baseline"/>
                      <w:lang w:val="en-US" w:eastAsia="zh-CN" w:bidi="ar-SA"/>
                    </w:rPr>
                  </w:pPr>
                  <w:r>
                    <w:rPr>
                      <w:rFonts w:hint="eastAsia" w:ascii="Times New Roman" w:hAnsi="Times New Roman" w:eastAsia="宋体" w:cs="Times New Roman"/>
                      <w:b/>
                      <w:bCs/>
                      <w:color w:val="FF0000"/>
                      <w:kern w:val="2"/>
                      <w:sz w:val="21"/>
                      <w:szCs w:val="21"/>
                      <w:highlight w:val="none"/>
                      <w:vertAlign w:val="baseline"/>
                      <w:lang w:val="en-US" w:eastAsia="zh-CN" w:bidi="ar-SA"/>
                    </w:rPr>
                    <w:t>本项目最大储存量，t</w:t>
                  </w:r>
                </w:p>
              </w:tc>
              <w:tc>
                <w:tcPr>
                  <w:tcW w:w="1000" w:type="pct"/>
                  <w:tcBorders>
                    <w:bottom w:val="single" w:color="auto" w:sz="12" w:space="0"/>
                  </w:tcBorders>
                  <w:noWrap w:val="0"/>
                  <w:vAlign w:val="center"/>
                </w:tcPr>
                <w:p w14:paraId="2E9BC86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b/>
                      <w:bCs/>
                      <w:color w:val="FF0000"/>
                      <w:kern w:val="2"/>
                      <w:sz w:val="21"/>
                      <w:szCs w:val="21"/>
                      <w:highlight w:val="none"/>
                      <w:vertAlign w:val="baseline"/>
                      <w:lang w:val="en-US" w:eastAsia="zh-CN" w:bidi="ar-SA"/>
                    </w:rPr>
                  </w:pPr>
                  <w:r>
                    <w:rPr>
                      <w:rFonts w:hint="eastAsia" w:ascii="Times New Roman" w:hAnsi="Times New Roman" w:eastAsia="宋体" w:cs="Times New Roman"/>
                      <w:b/>
                      <w:bCs/>
                      <w:color w:val="FF0000"/>
                      <w:kern w:val="2"/>
                      <w:sz w:val="21"/>
                      <w:szCs w:val="21"/>
                      <w:highlight w:val="none"/>
                      <w:vertAlign w:val="baseline"/>
                      <w:lang w:val="en-US" w:eastAsia="zh-CN" w:bidi="ar-SA"/>
                    </w:rPr>
                    <w:t>临界量，t</w:t>
                  </w:r>
                </w:p>
              </w:tc>
              <w:tc>
                <w:tcPr>
                  <w:tcW w:w="764" w:type="pct"/>
                  <w:tcBorders>
                    <w:bottom w:val="single" w:color="auto" w:sz="12" w:space="0"/>
                  </w:tcBorders>
                  <w:noWrap w:val="0"/>
                  <w:vAlign w:val="center"/>
                </w:tcPr>
                <w:p w14:paraId="7F67687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b/>
                      <w:bCs/>
                      <w:color w:val="FF0000"/>
                      <w:kern w:val="2"/>
                      <w:sz w:val="21"/>
                      <w:szCs w:val="21"/>
                      <w:highlight w:val="none"/>
                      <w:vertAlign w:val="baseline"/>
                      <w:lang w:val="en-US" w:eastAsia="zh-CN" w:bidi="ar-SA"/>
                    </w:rPr>
                  </w:pPr>
                  <w:r>
                    <w:rPr>
                      <w:rFonts w:hint="default" w:ascii="Times New Roman" w:hAnsi="Times New Roman" w:eastAsia="宋体" w:cs="Times New Roman"/>
                      <w:b/>
                      <w:bCs/>
                      <w:color w:val="FF0000"/>
                      <w:kern w:val="2"/>
                      <w:sz w:val="21"/>
                      <w:szCs w:val="21"/>
                      <w:highlight w:val="none"/>
                      <w:vertAlign w:val="baseline"/>
                      <w:lang w:val="en-US" w:eastAsia="zh-CN" w:bidi="ar-SA"/>
                    </w:rPr>
                    <w:t>贮存</w:t>
                  </w:r>
                  <w:r>
                    <w:rPr>
                      <w:rFonts w:hint="eastAsia" w:ascii="Times New Roman" w:hAnsi="Times New Roman" w:eastAsia="宋体" w:cs="Times New Roman"/>
                      <w:b/>
                      <w:bCs/>
                      <w:color w:val="FF0000"/>
                      <w:kern w:val="2"/>
                      <w:sz w:val="21"/>
                      <w:szCs w:val="21"/>
                      <w:highlight w:val="none"/>
                      <w:vertAlign w:val="baseline"/>
                      <w:lang w:val="en-US" w:eastAsia="zh-CN" w:bidi="ar-SA"/>
                    </w:rPr>
                    <w:t>方式</w:t>
                  </w:r>
                </w:p>
              </w:tc>
              <w:tc>
                <w:tcPr>
                  <w:tcW w:w="1238" w:type="pct"/>
                  <w:tcBorders>
                    <w:bottom w:val="single" w:color="auto" w:sz="12" w:space="0"/>
                  </w:tcBorders>
                  <w:noWrap w:val="0"/>
                  <w:vAlign w:val="center"/>
                </w:tcPr>
                <w:p w14:paraId="7BB563A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b/>
                      <w:bCs/>
                      <w:color w:val="FF0000"/>
                      <w:kern w:val="2"/>
                      <w:sz w:val="21"/>
                      <w:szCs w:val="21"/>
                      <w:highlight w:val="none"/>
                      <w:vertAlign w:val="baseline"/>
                      <w:lang w:val="en-US" w:eastAsia="zh-CN" w:bidi="ar-SA"/>
                    </w:rPr>
                  </w:pPr>
                  <w:r>
                    <w:rPr>
                      <w:rFonts w:hint="default" w:ascii="Times New Roman" w:hAnsi="Times New Roman" w:eastAsia="Times New Roman" w:cs="Times New Roman"/>
                      <w:b/>
                      <w:bCs/>
                      <w:color w:val="FF0000"/>
                      <w:kern w:val="2"/>
                      <w:sz w:val="21"/>
                      <w:szCs w:val="21"/>
                      <w:highlight w:val="none"/>
                      <w:lang w:val="en-US" w:eastAsia="zh-CN" w:bidi="ar-SA"/>
                    </w:rPr>
                    <w:t>q/Q</w:t>
                  </w:r>
                </w:p>
              </w:tc>
            </w:tr>
            <w:tr w14:paraId="7957B97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11" w:hRule="atLeast"/>
                <w:jc w:val="center"/>
              </w:trPr>
              <w:tc>
                <w:tcPr>
                  <w:tcW w:w="943" w:type="pct"/>
                  <w:tcBorders>
                    <w:top w:val="single" w:color="auto" w:sz="12" w:space="0"/>
                    <w:bottom w:val="single" w:color="auto" w:sz="6" w:space="0"/>
                    <w:tl2br w:val="nil"/>
                    <w:tr2bl w:val="nil"/>
                  </w:tcBorders>
                  <w:noWrap w:val="0"/>
                  <w:vAlign w:val="center"/>
                </w:tcPr>
                <w:p w14:paraId="2D82256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kern w:val="2"/>
                      <w:sz w:val="21"/>
                      <w:szCs w:val="21"/>
                      <w:highlight w:val="none"/>
                      <w:vertAlign w:val="baseline"/>
                      <w:lang w:val="en-US" w:eastAsia="zh-CN" w:bidi="ar-SA"/>
                    </w:rPr>
                  </w:pPr>
                  <w:r>
                    <w:rPr>
                      <w:rFonts w:hint="eastAsia" w:cs="Times New Roman"/>
                      <w:b w:val="0"/>
                      <w:bCs w:val="0"/>
                      <w:color w:val="FF0000"/>
                      <w:spacing w:val="0"/>
                      <w:position w:val="0"/>
                      <w:sz w:val="21"/>
                      <w:szCs w:val="21"/>
                      <w:vertAlign w:val="baseline"/>
                      <w:lang w:val="en-US" w:eastAsia="zh-CN"/>
                    </w:rPr>
                    <w:t>硝酸</w:t>
                  </w:r>
                </w:p>
              </w:tc>
              <w:tc>
                <w:tcPr>
                  <w:tcW w:w="1054" w:type="pct"/>
                  <w:tcBorders>
                    <w:top w:val="single" w:color="auto" w:sz="12" w:space="0"/>
                    <w:bottom w:val="single" w:color="auto" w:sz="6" w:space="0"/>
                    <w:tl2br w:val="nil"/>
                    <w:tr2bl w:val="nil"/>
                  </w:tcBorders>
                  <w:noWrap w:val="0"/>
                  <w:vAlign w:val="center"/>
                </w:tcPr>
                <w:p w14:paraId="6C328F7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kern w:val="2"/>
                      <w:sz w:val="21"/>
                      <w:szCs w:val="21"/>
                      <w:highlight w:val="none"/>
                      <w:vertAlign w:val="baseline"/>
                      <w:lang w:val="en-US" w:eastAsia="zh-CN" w:bidi="ar-SA"/>
                    </w:rPr>
                  </w:pPr>
                  <w:r>
                    <w:rPr>
                      <w:rFonts w:hint="eastAsia" w:cs="Times New Roman"/>
                      <w:b w:val="0"/>
                      <w:bCs w:val="0"/>
                      <w:color w:val="FF0000"/>
                      <w:spacing w:val="0"/>
                      <w:position w:val="0"/>
                      <w:sz w:val="21"/>
                      <w:szCs w:val="21"/>
                      <w:vertAlign w:val="baseline"/>
                      <w:lang w:val="en-US" w:eastAsia="zh-CN"/>
                    </w:rPr>
                    <w:t>0.002</w:t>
                  </w:r>
                </w:p>
              </w:tc>
              <w:tc>
                <w:tcPr>
                  <w:tcW w:w="1000" w:type="pct"/>
                  <w:tcBorders>
                    <w:top w:val="single" w:color="auto" w:sz="12" w:space="0"/>
                    <w:bottom w:val="single" w:color="auto" w:sz="6" w:space="0"/>
                    <w:tl2br w:val="nil"/>
                    <w:tr2bl w:val="nil"/>
                  </w:tcBorders>
                  <w:noWrap w:val="0"/>
                  <w:vAlign w:val="center"/>
                </w:tcPr>
                <w:p w14:paraId="3E14282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kern w:val="2"/>
                      <w:sz w:val="21"/>
                      <w:szCs w:val="21"/>
                      <w:highlight w:val="none"/>
                      <w:vertAlign w:val="baseline"/>
                      <w:lang w:val="en-US" w:eastAsia="zh-CN" w:bidi="ar-SA"/>
                    </w:rPr>
                  </w:pPr>
                  <w:r>
                    <w:rPr>
                      <w:rFonts w:hint="eastAsia" w:ascii="Times New Roman" w:hAnsi="Times New Roman" w:eastAsia="宋体" w:cs="Times New Roman"/>
                      <w:color w:val="FF0000"/>
                      <w:kern w:val="2"/>
                      <w:sz w:val="21"/>
                      <w:szCs w:val="21"/>
                      <w:highlight w:val="none"/>
                      <w:vertAlign w:val="baseline"/>
                      <w:lang w:val="en-US" w:eastAsia="zh-CN" w:bidi="ar-SA"/>
                    </w:rPr>
                    <w:t>100</w:t>
                  </w:r>
                </w:p>
              </w:tc>
              <w:tc>
                <w:tcPr>
                  <w:tcW w:w="764" w:type="pct"/>
                  <w:tcBorders>
                    <w:top w:val="single" w:color="auto" w:sz="12" w:space="0"/>
                    <w:bottom w:val="single" w:color="auto" w:sz="6" w:space="0"/>
                    <w:tl2br w:val="nil"/>
                    <w:tr2bl w:val="nil"/>
                  </w:tcBorders>
                  <w:noWrap w:val="0"/>
                  <w:vAlign w:val="center"/>
                </w:tcPr>
                <w:p w14:paraId="442B1DF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kern w:val="0"/>
                      <w:sz w:val="21"/>
                      <w:szCs w:val="21"/>
                      <w:highlight w:val="none"/>
                      <w:lang w:val="en-US" w:eastAsia="zh-CN" w:bidi="ar"/>
                    </w:rPr>
                  </w:pPr>
                  <w:r>
                    <w:rPr>
                      <w:rFonts w:hint="eastAsia" w:ascii="Times New Roman" w:hAnsi="Times New Roman" w:eastAsia="宋体" w:cs="Times New Roman"/>
                      <w:color w:val="FF0000"/>
                      <w:kern w:val="0"/>
                      <w:sz w:val="21"/>
                      <w:szCs w:val="21"/>
                      <w:highlight w:val="none"/>
                      <w:lang w:val="en-US" w:eastAsia="zh-CN" w:bidi="ar"/>
                    </w:rPr>
                    <w:t>密闭容器</w:t>
                  </w:r>
                </w:p>
              </w:tc>
              <w:tc>
                <w:tcPr>
                  <w:tcW w:w="1238" w:type="pct"/>
                  <w:tcBorders>
                    <w:top w:val="single" w:color="auto" w:sz="12" w:space="0"/>
                    <w:bottom w:val="single" w:color="auto" w:sz="6" w:space="0"/>
                    <w:tl2br w:val="nil"/>
                    <w:tr2bl w:val="nil"/>
                  </w:tcBorders>
                  <w:noWrap w:val="0"/>
                  <w:vAlign w:val="center"/>
                </w:tcPr>
                <w:p w14:paraId="2299117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FF0000"/>
                      <w:sz w:val="21"/>
                      <w:szCs w:val="21"/>
                      <w:highlight w:val="none"/>
                      <w:lang w:val="en-US" w:eastAsia="zh-CN"/>
                    </w:rPr>
                    <w:t>0.00002</w:t>
                  </w:r>
                </w:p>
              </w:tc>
            </w:tr>
            <w:tr w14:paraId="0AC848CE">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00" w:hRule="atLeast"/>
                <w:jc w:val="center"/>
              </w:trPr>
              <w:tc>
                <w:tcPr>
                  <w:tcW w:w="943" w:type="pct"/>
                  <w:tcBorders>
                    <w:top w:val="single" w:color="auto" w:sz="6" w:space="0"/>
                    <w:bottom w:val="single" w:color="auto" w:sz="6" w:space="0"/>
                  </w:tcBorders>
                  <w:noWrap w:val="0"/>
                  <w:vAlign w:val="center"/>
                </w:tcPr>
                <w:p w14:paraId="340E82B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kern w:val="2"/>
                      <w:sz w:val="21"/>
                      <w:szCs w:val="21"/>
                      <w:highlight w:val="none"/>
                      <w:vertAlign w:val="baseline"/>
                      <w:lang w:val="en-US" w:eastAsia="zh-CN" w:bidi="ar-SA"/>
                    </w:rPr>
                  </w:pPr>
                  <w:r>
                    <w:rPr>
                      <w:rFonts w:hint="eastAsia" w:cs="Times New Roman"/>
                      <w:b w:val="0"/>
                      <w:bCs w:val="0"/>
                      <w:color w:val="FF0000"/>
                      <w:spacing w:val="0"/>
                      <w:position w:val="0"/>
                      <w:sz w:val="21"/>
                      <w:szCs w:val="21"/>
                      <w:vertAlign w:val="baseline"/>
                      <w:lang w:val="en-US" w:eastAsia="zh-CN"/>
                    </w:rPr>
                    <w:t>硝酸铅</w:t>
                  </w:r>
                </w:p>
              </w:tc>
              <w:tc>
                <w:tcPr>
                  <w:tcW w:w="1054" w:type="pct"/>
                  <w:tcBorders>
                    <w:top w:val="single" w:color="auto" w:sz="6" w:space="0"/>
                    <w:bottom w:val="single" w:color="auto" w:sz="6" w:space="0"/>
                  </w:tcBorders>
                  <w:noWrap w:val="0"/>
                  <w:vAlign w:val="center"/>
                </w:tcPr>
                <w:p w14:paraId="0CCFB1F3">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kern w:val="2"/>
                      <w:sz w:val="21"/>
                      <w:szCs w:val="21"/>
                      <w:highlight w:val="none"/>
                      <w:vertAlign w:val="baseline"/>
                      <w:lang w:val="en-US" w:eastAsia="zh-CN" w:bidi="ar-SA"/>
                    </w:rPr>
                  </w:pPr>
                  <w:r>
                    <w:rPr>
                      <w:rFonts w:hint="eastAsia" w:cs="Times New Roman"/>
                      <w:b w:val="0"/>
                      <w:bCs w:val="0"/>
                      <w:color w:val="FF0000"/>
                      <w:spacing w:val="0"/>
                      <w:position w:val="0"/>
                      <w:sz w:val="21"/>
                      <w:szCs w:val="21"/>
                      <w:vertAlign w:val="baseline"/>
                      <w:lang w:val="en-US" w:eastAsia="zh-CN"/>
                    </w:rPr>
                    <w:t>0.002</w:t>
                  </w:r>
                </w:p>
              </w:tc>
              <w:tc>
                <w:tcPr>
                  <w:tcW w:w="1000" w:type="pct"/>
                  <w:tcBorders>
                    <w:top w:val="single" w:color="auto" w:sz="6" w:space="0"/>
                    <w:bottom w:val="single" w:color="auto" w:sz="6" w:space="0"/>
                  </w:tcBorders>
                  <w:noWrap w:val="0"/>
                  <w:vAlign w:val="center"/>
                </w:tcPr>
                <w:p w14:paraId="54CE1846">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kern w:val="2"/>
                      <w:sz w:val="21"/>
                      <w:szCs w:val="21"/>
                      <w:highlight w:val="none"/>
                      <w:vertAlign w:val="baseline"/>
                      <w:lang w:val="en-US" w:eastAsia="zh-CN" w:bidi="ar-SA"/>
                    </w:rPr>
                  </w:pPr>
                  <w:r>
                    <w:rPr>
                      <w:rFonts w:hint="eastAsia" w:ascii="Times New Roman" w:hAnsi="Times New Roman" w:eastAsia="宋体" w:cs="Times New Roman"/>
                      <w:color w:val="FF0000"/>
                      <w:sz w:val="21"/>
                      <w:szCs w:val="21"/>
                      <w:highlight w:val="none"/>
                      <w:vertAlign w:val="baseline"/>
                      <w:lang w:val="en-US" w:eastAsia="zh-CN"/>
                    </w:rPr>
                    <w:t>50</w:t>
                  </w:r>
                </w:p>
              </w:tc>
              <w:tc>
                <w:tcPr>
                  <w:tcW w:w="764" w:type="pct"/>
                  <w:tcBorders>
                    <w:top w:val="single" w:color="auto" w:sz="6" w:space="0"/>
                    <w:bottom w:val="single" w:color="auto" w:sz="6" w:space="0"/>
                  </w:tcBorders>
                  <w:noWrap w:val="0"/>
                  <w:vAlign w:val="center"/>
                </w:tcPr>
                <w:p w14:paraId="2A4A166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kern w:val="0"/>
                      <w:sz w:val="21"/>
                      <w:szCs w:val="21"/>
                      <w:highlight w:val="none"/>
                      <w:lang w:val="en-US" w:eastAsia="zh-CN" w:bidi="ar"/>
                    </w:rPr>
                  </w:pPr>
                  <w:r>
                    <w:rPr>
                      <w:rFonts w:hint="eastAsia" w:ascii="Times New Roman" w:hAnsi="Times New Roman" w:eastAsia="宋体" w:cs="Times New Roman"/>
                      <w:color w:val="FF0000"/>
                      <w:kern w:val="0"/>
                      <w:sz w:val="21"/>
                      <w:szCs w:val="21"/>
                      <w:highlight w:val="none"/>
                      <w:lang w:val="en-US" w:eastAsia="zh-CN" w:bidi="ar"/>
                    </w:rPr>
                    <w:t>密闭容器</w:t>
                  </w:r>
                </w:p>
              </w:tc>
              <w:tc>
                <w:tcPr>
                  <w:tcW w:w="1238" w:type="pct"/>
                  <w:tcBorders>
                    <w:top w:val="single" w:color="auto" w:sz="6" w:space="0"/>
                    <w:bottom w:val="single" w:color="auto" w:sz="6" w:space="0"/>
                  </w:tcBorders>
                  <w:noWrap w:val="0"/>
                  <w:vAlign w:val="center"/>
                </w:tcPr>
                <w:p w14:paraId="73A4A73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0.00004</w:t>
                  </w:r>
                </w:p>
              </w:tc>
            </w:tr>
            <w:tr w14:paraId="47EE8173">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00" w:hRule="atLeast"/>
                <w:jc w:val="center"/>
              </w:trPr>
              <w:tc>
                <w:tcPr>
                  <w:tcW w:w="943" w:type="pct"/>
                  <w:tcBorders>
                    <w:top w:val="single" w:color="auto" w:sz="6" w:space="0"/>
                  </w:tcBorders>
                  <w:noWrap w:val="0"/>
                  <w:vAlign w:val="center"/>
                </w:tcPr>
                <w:p w14:paraId="5B291D0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kern w:val="2"/>
                      <w:sz w:val="21"/>
                      <w:szCs w:val="21"/>
                      <w:highlight w:val="none"/>
                      <w:vertAlign w:val="baseline"/>
                      <w:lang w:val="en-US" w:eastAsia="zh-CN" w:bidi="ar-SA"/>
                    </w:rPr>
                  </w:pPr>
                  <w:r>
                    <w:rPr>
                      <w:rFonts w:hint="eastAsia" w:cs="Times New Roman"/>
                      <w:b w:val="0"/>
                      <w:bCs w:val="0"/>
                      <w:color w:val="FF0000"/>
                      <w:spacing w:val="0"/>
                      <w:position w:val="0"/>
                      <w:sz w:val="21"/>
                      <w:szCs w:val="21"/>
                      <w:vertAlign w:val="baseline"/>
                      <w:lang w:val="en-US" w:eastAsia="zh-CN"/>
                    </w:rPr>
                    <w:t>醋酸盐</w:t>
                  </w:r>
                </w:p>
              </w:tc>
              <w:tc>
                <w:tcPr>
                  <w:tcW w:w="1054" w:type="pct"/>
                  <w:tcBorders>
                    <w:top w:val="single" w:color="auto" w:sz="6" w:space="0"/>
                  </w:tcBorders>
                  <w:noWrap w:val="0"/>
                  <w:vAlign w:val="center"/>
                </w:tcPr>
                <w:p w14:paraId="4147B50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kern w:val="2"/>
                      <w:sz w:val="21"/>
                      <w:szCs w:val="21"/>
                      <w:highlight w:val="none"/>
                      <w:vertAlign w:val="baseline"/>
                      <w:lang w:val="en-US" w:eastAsia="zh-CN" w:bidi="ar-SA"/>
                    </w:rPr>
                  </w:pPr>
                  <w:r>
                    <w:rPr>
                      <w:rFonts w:hint="eastAsia" w:cs="Times New Roman"/>
                      <w:b w:val="0"/>
                      <w:bCs w:val="0"/>
                      <w:color w:val="FF0000"/>
                      <w:spacing w:val="0"/>
                      <w:position w:val="0"/>
                      <w:sz w:val="21"/>
                      <w:szCs w:val="21"/>
                      <w:vertAlign w:val="baseline"/>
                      <w:lang w:val="en-US" w:eastAsia="zh-CN"/>
                    </w:rPr>
                    <w:t>0.002</w:t>
                  </w:r>
                </w:p>
              </w:tc>
              <w:tc>
                <w:tcPr>
                  <w:tcW w:w="1000" w:type="pct"/>
                  <w:tcBorders>
                    <w:top w:val="single" w:color="auto" w:sz="6" w:space="0"/>
                  </w:tcBorders>
                  <w:noWrap w:val="0"/>
                  <w:vAlign w:val="center"/>
                </w:tcPr>
                <w:p w14:paraId="69F62C2A">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kern w:val="2"/>
                      <w:sz w:val="21"/>
                      <w:szCs w:val="21"/>
                      <w:highlight w:val="none"/>
                      <w:vertAlign w:val="baseline"/>
                      <w:lang w:val="en-US" w:eastAsia="zh-CN" w:bidi="ar-SA"/>
                    </w:rPr>
                  </w:pPr>
                  <w:r>
                    <w:rPr>
                      <w:rFonts w:hint="eastAsia" w:ascii="Times New Roman" w:hAnsi="Times New Roman" w:eastAsia="宋体" w:cs="Times New Roman"/>
                      <w:color w:val="FF0000"/>
                      <w:sz w:val="21"/>
                      <w:szCs w:val="21"/>
                      <w:highlight w:val="none"/>
                      <w:vertAlign w:val="baseline"/>
                      <w:lang w:val="en-US" w:eastAsia="zh-CN"/>
                    </w:rPr>
                    <w:t>50</w:t>
                  </w:r>
                </w:p>
              </w:tc>
              <w:tc>
                <w:tcPr>
                  <w:tcW w:w="764" w:type="pct"/>
                  <w:tcBorders>
                    <w:top w:val="single" w:color="auto" w:sz="6" w:space="0"/>
                  </w:tcBorders>
                  <w:noWrap w:val="0"/>
                  <w:vAlign w:val="center"/>
                </w:tcPr>
                <w:p w14:paraId="383A342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kern w:val="0"/>
                      <w:sz w:val="21"/>
                      <w:szCs w:val="21"/>
                      <w:highlight w:val="none"/>
                      <w:lang w:val="en-US" w:eastAsia="zh-CN" w:bidi="ar"/>
                    </w:rPr>
                  </w:pPr>
                  <w:r>
                    <w:rPr>
                      <w:rFonts w:hint="eastAsia" w:ascii="Times New Roman" w:hAnsi="Times New Roman" w:eastAsia="宋体" w:cs="Times New Roman"/>
                      <w:color w:val="FF0000"/>
                      <w:kern w:val="0"/>
                      <w:sz w:val="21"/>
                      <w:szCs w:val="21"/>
                      <w:highlight w:val="none"/>
                      <w:lang w:val="en-US" w:eastAsia="zh-CN" w:bidi="ar"/>
                    </w:rPr>
                    <w:t>密闭容器</w:t>
                  </w:r>
                </w:p>
              </w:tc>
              <w:tc>
                <w:tcPr>
                  <w:tcW w:w="1238" w:type="pct"/>
                  <w:tcBorders>
                    <w:top w:val="single" w:color="auto" w:sz="6" w:space="0"/>
                  </w:tcBorders>
                  <w:noWrap w:val="0"/>
                  <w:vAlign w:val="center"/>
                </w:tcPr>
                <w:p w14:paraId="6981C58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0.00004</w:t>
                  </w:r>
                </w:p>
              </w:tc>
            </w:tr>
            <w:tr w14:paraId="0BB15D04">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00" w:hRule="atLeast"/>
                <w:jc w:val="center"/>
              </w:trPr>
              <w:tc>
                <w:tcPr>
                  <w:tcW w:w="943" w:type="pct"/>
                  <w:tcBorders>
                    <w:top w:val="single" w:color="auto" w:sz="6" w:space="0"/>
                  </w:tcBorders>
                  <w:noWrap w:val="0"/>
                  <w:vAlign w:val="center"/>
                </w:tcPr>
                <w:p w14:paraId="6428F492">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kern w:val="2"/>
                      <w:sz w:val="21"/>
                      <w:szCs w:val="21"/>
                      <w:highlight w:val="none"/>
                      <w:vertAlign w:val="baseline"/>
                      <w:lang w:val="en-US" w:eastAsia="zh-CN" w:bidi="ar-SA"/>
                    </w:rPr>
                  </w:pPr>
                  <w:r>
                    <w:rPr>
                      <w:rFonts w:hint="eastAsia" w:cs="Times New Roman"/>
                      <w:b w:val="0"/>
                      <w:bCs w:val="0"/>
                      <w:color w:val="FF0000"/>
                      <w:spacing w:val="0"/>
                      <w:position w:val="0"/>
                      <w:sz w:val="21"/>
                      <w:szCs w:val="21"/>
                      <w:vertAlign w:val="baseline"/>
                      <w:lang w:val="en-US" w:eastAsia="zh-CN"/>
                    </w:rPr>
                    <w:t>硫酸</w:t>
                  </w:r>
                </w:p>
              </w:tc>
              <w:tc>
                <w:tcPr>
                  <w:tcW w:w="1054" w:type="pct"/>
                  <w:tcBorders>
                    <w:top w:val="single" w:color="auto" w:sz="6" w:space="0"/>
                  </w:tcBorders>
                  <w:noWrap w:val="0"/>
                  <w:vAlign w:val="center"/>
                </w:tcPr>
                <w:p w14:paraId="284FAE05">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kern w:val="2"/>
                      <w:sz w:val="21"/>
                      <w:szCs w:val="21"/>
                      <w:highlight w:val="none"/>
                      <w:vertAlign w:val="baseline"/>
                      <w:lang w:val="en-US" w:eastAsia="zh-CN" w:bidi="ar-SA"/>
                    </w:rPr>
                  </w:pPr>
                  <w:r>
                    <w:rPr>
                      <w:rFonts w:hint="eastAsia" w:cs="Times New Roman"/>
                      <w:b w:val="0"/>
                      <w:bCs w:val="0"/>
                      <w:color w:val="FF0000"/>
                      <w:spacing w:val="0"/>
                      <w:position w:val="0"/>
                      <w:sz w:val="21"/>
                      <w:szCs w:val="21"/>
                      <w:vertAlign w:val="baseline"/>
                      <w:lang w:val="en-US" w:eastAsia="zh-CN"/>
                    </w:rPr>
                    <w:t>0.002</w:t>
                  </w:r>
                </w:p>
              </w:tc>
              <w:tc>
                <w:tcPr>
                  <w:tcW w:w="1000" w:type="pct"/>
                  <w:tcBorders>
                    <w:top w:val="single" w:color="auto" w:sz="6" w:space="0"/>
                  </w:tcBorders>
                  <w:noWrap w:val="0"/>
                  <w:vAlign w:val="center"/>
                </w:tcPr>
                <w:p w14:paraId="0388B20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sz w:val="21"/>
                      <w:szCs w:val="21"/>
                      <w:highlight w:val="none"/>
                      <w:vertAlign w:val="baseline"/>
                      <w:lang w:val="en-US" w:eastAsia="zh-CN"/>
                    </w:rPr>
                  </w:pPr>
                  <w:r>
                    <w:rPr>
                      <w:rFonts w:hint="eastAsia" w:ascii="Times New Roman" w:hAnsi="Times New Roman" w:eastAsia="宋体" w:cs="Times New Roman"/>
                      <w:color w:val="FF0000"/>
                      <w:sz w:val="21"/>
                      <w:szCs w:val="21"/>
                      <w:highlight w:val="none"/>
                      <w:vertAlign w:val="baseline"/>
                      <w:lang w:val="en-US" w:eastAsia="zh-CN"/>
                    </w:rPr>
                    <w:t>50</w:t>
                  </w:r>
                </w:p>
              </w:tc>
              <w:tc>
                <w:tcPr>
                  <w:tcW w:w="764" w:type="pct"/>
                  <w:tcBorders>
                    <w:top w:val="single" w:color="auto" w:sz="6" w:space="0"/>
                  </w:tcBorders>
                  <w:noWrap w:val="0"/>
                  <w:vAlign w:val="center"/>
                </w:tcPr>
                <w:p w14:paraId="0DA3C696">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kern w:val="0"/>
                      <w:sz w:val="21"/>
                      <w:szCs w:val="21"/>
                      <w:highlight w:val="none"/>
                      <w:lang w:val="en-US" w:eastAsia="zh-CN" w:bidi="ar"/>
                    </w:rPr>
                  </w:pPr>
                  <w:r>
                    <w:rPr>
                      <w:rFonts w:hint="eastAsia" w:ascii="Times New Roman" w:hAnsi="Times New Roman" w:eastAsia="宋体" w:cs="Times New Roman"/>
                      <w:color w:val="FF0000"/>
                      <w:kern w:val="0"/>
                      <w:sz w:val="21"/>
                      <w:szCs w:val="21"/>
                      <w:highlight w:val="none"/>
                      <w:lang w:val="en-US" w:eastAsia="zh-CN" w:bidi="ar"/>
                    </w:rPr>
                    <w:t>密闭容器</w:t>
                  </w:r>
                </w:p>
              </w:tc>
              <w:tc>
                <w:tcPr>
                  <w:tcW w:w="1238" w:type="pct"/>
                  <w:tcBorders>
                    <w:top w:val="single" w:color="auto" w:sz="6" w:space="0"/>
                  </w:tcBorders>
                  <w:noWrap w:val="0"/>
                  <w:vAlign w:val="center"/>
                </w:tcPr>
                <w:p w14:paraId="1C7BF2C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color w:val="FF0000"/>
                      <w:sz w:val="21"/>
                      <w:szCs w:val="21"/>
                      <w:highlight w:val="none"/>
                      <w:lang w:val="en-US" w:eastAsia="zh-CN"/>
                    </w:rPr>
                    <w:t>0.00004</w:t>
                  </w:r>
                </w:p>
              </w:tc>
            </w:tr>
            <w:tr w14:paraId="0F3C9E5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00" w:hRule="atLeast"/>
                <w:jc w:val="center"/>
              </w:trPr>
              <w:tc>
                <w:tcPr>
                  <w:tcW w:w="943" w:type="pct"/>
                  <w:tcBorders>
                    <w:top w:val="single" w:color="auto" w:sz="6" w:space="0"/>
                  </w:tcBorders>
                  <w:noWrap w:val="0"/>
                  <w:vAlign w:val="center"/>
                </w:tcPr>
                <w:p w14:paraId="7980FD7D">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cs="Times New Roman"/>
                      <w:b w:val="0"/>
                      <w:bCs w:val="0"/>
                      <w:color w:val="FF0000"/>
                      <w:spacing w:val="0"/>
                      <w:position w:val="0"/>
                      <w:sz w:val="21"/>
                      <w:szCs w:val="21"/>
                      <w:vertAlign w:val="baseline"/>
                      <w:lang w:val="en-US" w:eastAsia="zh-CN"/>
                    </w:rPr>
                  </w:pPr>
                  <w:r>
                    <w:rPr>
                      <w:rFonts w:hint="eastAsia" w:ascii="Times New Roman" w:hAnsi="Times New Roman" w:eastAsia="宋体" w:cs="Times New Roman"/>
                      <w:color w:val="FF0000"/>
                      <w:szCs w:val="21"/>
                      <w:lang w:val="en-US" w:eastAsia="zh-CN"/>
                    </w:rPr>
                    <w:t>废矿物油</w:t>
                  </w:r>
                </w:p>
              </w:tc>
              <w:tc>
                <w:tcPr>
                  <w:tcW w:w="1054" w:type="pct"/>
                  <w:tcBorders>
                    <w:top w:val="single" w:color="auto" w:sz="6" w:space="0"/>
                  </w:tcBorders>
                  <w:noWrap w:val="0"/>
                  <w:vAlign w:val="center"/>
                </w:tcPr>
                <w:p w14:paraId="639405EE">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cs="Times New Roman"/>
                      <w:b w:val="0"/>
                      <w:bCs w:val="0"/>
                      <w:color w:val="FF0000"/>
                      <w:spacing w:val="0"/>
                      <w:position w:val="0"/>
                      <w:sz w:val="21"/>
                      <w:szCs w:val="21"/>
                      <w:vertAlign w:val="baseline"/>
                      <w:lang w:val="en-US" w:eastAsia="zh-CN"/>
                    </w:rPr>
                  </w:pPr>
                  <w:r>
                    <w:rPr>
                      <w:rFonts w:hint="eastAsia" w:cs="Times New Roman"/>
                      <w:b w:val="0"/>
                      <w:bCs w:val="0"/>
                      <w:color w:val="FF0000"/>
                      <w:spacing w:val="0"/>
                      <w:position w:val="0"/>
                      <w:sz w:val="21"/>
                      <w:szCs w:val="21"/>
                      <w:vertAlign w:val="baseline"/>
                      <w:lang w:val="en-US" w:eastAsia="zh-CN"/>
                    </w:rPr>
                    <w:t>0.05</w:t>
                  </w:r>
                </w:p>
              </w:tc>
              <w:tc>
                <w:tcPr>
                  <w:tcW w:w="1000" w:type="pct"/>
                  <w:tcBorders>
                    <w:top w:val="single" w:color="auto" w:sz="6" w:space="0"/>
                  </w:tcBorders>
                  <w:noWrap w:val="0"/>
                  <w:vAlign w:val="center"/>
                </w:tcPr>
                <w:p w14:paraId="76F14079">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sz w:val="21"/>
                      <w:szCs w:val="21"/>
                      <w:highlight w:val="none"/>
                      <w:vertAlign w:val="baseline"/>
                      <w:lang w:val="en-US" w:eastAsia="zh-CN"/>
                    </w:rPr>
                  </w:pPr>
                  <w:r>
                    <w:rPr>
                      <w:rFonts w:hint="eastAsia" w:cs="Times New Roman"/>
                      <w:color w:val="FF0000"/>
                      <w:sz w:val="21"/>
                      <w:szCs w:val="21"/>
                      <w:highlight w:val="none"/>
                      <w:vertAlign w:val="baseline"/>
                      <w:lang w:val="en-US" w:eastAsia="zh-CN"/>
                    </w:rPr>
                    <w:t>2500</w:t>
                  </w:r>
                </w:p>
              </w:tc>
              <w:tc>
                <w:tcPr>
                  <w:tcW w:w="764" w:type="pct"/>
                  <w:tcBorders>
                    <w:top w:val="single" w:color="auto" w:sz="6" w:space="0"/>
                  </w:tcBorders>
                  <w:noWrap w:val="0"/>
                  <w:vAlign w:val="center"/>
                </w:tcPr>
                <w:p w14:paraId="728855D4">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kern w:val="0"/>
                      <w:sz w:val="21"/>
                      <w:szCs w:val="21"/>
                      <w:highlight w:val="none"/>
                      <w:lang w:val="en-US" w:eastAsia="zh-CN" w:bidi="ar"/>
                    </w:rPr>
                  </w:pPr>
                  <w:r>
                    <w:rPr>
                      <w:rFonts w:hint="eastAsia" w:ascii="Times New Roman" w:hAnsi="Times New Roman" w:eastAsia="宋体" w:cs="Times New Roman"/>
                      <w:color w:val="FF0000"/>
                      <w:kern w:val="0"/>
                      <w:sz w:val="21"/>
                      <w:szCs w:val="21"/>
                      <w:highlight w:val="none"/>
                      <w:lang w:val="en-US" w:eastAsia="zh-CN" w:bidi="ar"/>
                    </w:rPr>
                    <w:t>密闭容器</w:t>
                  </w:r>
                </w:p>
              </w:tc>
              <w:tc>
                <w:tcPr>
                  <w:tcW w:w="1238" w:type="pct"/>
                  <w:tcBorders>
                    <w:top w:val="single" w:color="auto" w:sz="6" w:space="0"/>
                  </w:tcBorders>
                  <w:noWrap w:val="0"/>
                  <w:vAlign w:val="center"/>
                </w:tcPr>
                <w:p w14:paraId="2D27D9B9">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sz w:val="21"/>
                      <w:szCs w:val="21"/>
                      <w:highlight w:val="none"/>
                      <w:lang w:val="en-US" w:eastAsia="zh-CN"/>
                    </w:rPr>
                  </w:pPr>
                  <w:r>
                    <w:rPr>
                      <w:rFonts w:hint="eastAsia" w:cs="Times New Roman"/>
                      <w:color w:val="FF0000"/>
                      <w:lang w:val="en-US" w:eastAsia="zh-CN"/>
                    </w:rPr>
                    <w:t>0.00002</w:t>
                  </w:r>
                </w:p>
              </w:tc>
            </w:tr>
            <w:tr w14:paraId="1A43B4A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300" w:hRule="atLeast"/>
                <w:jc w:val="center"/>
              </w:trPr>
              <w:tc>
                <w:tcPr>
                  <w:tcW w:w="943" w:type="pct"/>
                  <w:tcBorders>
                    <w:top w:val="single" w:color="auto" w:sz="6" w:space="0"/>
                  </w:tcBorders>
                  <w:noWrap w:val="0"/>
                  <w:vAlign w:val="center"/>
                </w:tcPr>
                <w:p w14:paraId="70052831">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szCs w:val="21"/>
                      <w:lang w:val="en-US" w:eastAsia="zh-CN"/>
                    </w:rPr>
                  </w:pPr>
                  <w:commentRangeStart w:id="48"/>
                  <w:r>
                    <w:rPr>
                      <w:rFonts w:hint="eastAsia" w:cs="Times New Roman"/>
                      <w:color w:val="FF0000"/>
                      <w:szCs w:val="21"/>
                      <w:lang w:val="en-US" w:eastAsia="zh-CN"/>
                    </w:rPr>
                    <w:t>氨水</w:t>
                  </w:r>
                  <w:commentRangeEnd w:id="48"/>
                  <w:r>
                    <w:commentReference w:id="48"/>
                  </w:r>
                </w:p>
              </w:tc>
              <w:tc>
                <w:tcPr>
                  <w:tcW w:w="1054" w:type="pct"/>
                  <w:tcBorders>
                    <w:top w:val="single" w:color="auto" w:sz="6" w:space="0"/>
                  </w:tcBorders>
                  <w:noWrap w:val="0"/>
                  <w:vAlign w:val="center"/>
                </w:tcPr>
                <w:p w14:paraId="03AB1B97">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cs="Times New Roman"/>
                      <w:b w:val="0"/>
                      <w:bCs w:val="0"/>
                      <w:color w:val="FF0000"/>
                      <w:spacing w:val="0"/>
                      <w:position w:val="0"/>
                      <w:sz w:val="21"/>
                      <w:szCs w:val="21"/>
                      <w:vertAlign w:val="baseline"/>
                      <w:lang w:val="en-US" w:eastAsia="zh-CN"/>
                    </w:rPr>
                  </w:pPr>
                  <w:r>
                    <w:rPr>
                      <w:rFonts w:hint="eastAsia" w:cs="Times New Roman"/>
                      <w:b w:val="0"/>
                      <w:bCs w:val="0"/>
                      <w:color w:val="FF0000"/>
                      <w:spacing w:val="0"/>
                      <w:position w:val="0"/>
                      <w:sz w:val="21"/>
                      <w:szCs w:val="21"/>
                      <w:vertAlign w:val="baseline"/>
                      <w:lang w:val="en-US" w:eastAsia="zh-CN"/>
                    </w:rPr>
                    <w:t>0.025</w:t>
                  </w:r>
                </w:p>
              </w:tc>
              <w:tc>
                <w:tcPr>
                  <w:tcW w:w="1000" w:type="pct"/>
                  <w:tcBorders>
                    <w:top w:val="single" w:color="auto" w:sz="6" w:space="0"/>
                  </w:tcBorders>
                  <w:noWrap w:val="0"/>
                  <w:vAlign w:val="center"/>
                </w:tcPr>
                <w:p w14:paraId="650C8718">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cs="Times New Roman"/>
                      <w:color w:val="FF0000"/>
                      <w:sz w:val="21"/>
                      <w:szCs w:val="21"/>
                      <w:highlight w:val="none"/>
                      <w:vertAlign w:val="baseline"/>
                      <w:lang w:val="en-US" w:eastAsia="zh-CN"/>
                    </w:rPr>
                  </w:pPr>
                  <w:r>
                    <w:rPr>
                      <w:rFonts w:hint="eastAsia" w:cs="Times New Roman"/>
                      <w:color w:val="FF0000"/>
                      <w:sz w:val="21"/>
                      <w:szCs w:val="21"/>
                      <w:highlight w:val="none"/>
                      <w:vertAlign w:val="baseline"/>
                      <w:lang w:val="en-US" w:eastAsia="zh-CN"/>
                    </w:rPr>
                    <w:t>10</w:t>
                  </w:r>
                </w:p>
              </w:tc>
              <w:tc>
                <w:tcPr>
                  <w:tcW w:w="764" w:type="pct"/>
                  <w:tcBorders>
                    <w:top w:val="single" w:color="auto" w:sz="6" w:space="0"/>
                  </w:tcBorders>
                  <w:noWrap w:val="0"/>
                  <w:vAlign w:val="center"/>
                </w:tcPr>
                <w:p w14:paraId="4C190EE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kern w:val="0"/>
                      <w:sz w:val="21"/>
                      <w:szCs w:val="21"/>
                      <w:highlight w:val="none"/>
                      <w:lang w:val="en-US" w:eastAsia="zh-CN" w:bidi="ar"/>
                    </w:rPr>
                  </w:pPr>
                  <w:r>
                    <w:rPr>
                      <w:rFonts w:hint="eastAsia" w:ascii="Times New Roman" w:hAnsi="Times New Roman" w:eastAsia="宋体" w:cs="Times New Roman"/>
                      <w:color w:val="FF0000"/>
                      <w:kern w:val="0"/>
                      <w:sz w:val="21"/>
                      <w:szCs w:val="21"/>
                      <w:highlight w:val="none"/>
                      <w:lang w:val="en-US" w:eastAsia="zh-CN" w:bidi="ar"/>
                    </w:rPr>
                    <w:t>密闭容器</w:t>
                  </w:r>
                </w:p>
              </w:tc>
              <w:tc>
                <w:tcPr>
                  <w:tcW w:w="1238" w:type="pct"/>
                  <w:tcBorders>
                    <w:top w:val="single" w:color="auto" w:sz="6" w:space="0"/>
                  </w:tcBorders>
                  <w:noWrap w:val="0"/>
                  <w:vAlign w:val="center"/>
                </w:tcPr>
                <w:p w14:paraId="3837C1B6">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0.0025</w:t>
                  </w:r>
                </w:p>
              </w:tc>
            </w:tr>
            <w:tr w14:paraId="4A815E99">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108" w:type="dxa"/>
                  <w:bottom w:w="0" w:type="dxa"/>
                  <w:right w:w="108" w:type="dxa"/>
                </w:tblCellMar>
              </w:tblPrEx>
              <w:trPr>
                <w:trHeight w:val="403" w:hRule="atLeast"/>
                <w:jc w:val="center"/>
              </w:trPr>
              <w:tc>
                <w:tcPr>
                  <w:tcW w:w="3761" w:type="pct"/>
                  <w:gridSpan w:val="4"/>
                  <w:tcBorders>
                    <w:tl2br w:val="nil"/>
                    <w:tr2bl w:val="nil"/>
                  </w:tcBorders>
                  <w:noWrap w:val="0"/>
                  <w:vAlign w:val="center"/>
                </w:tcPr>
                <w:p w14:paraId="3F58339C">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eastAsia" w:ascii="Times New Roman" w:hAnsi="Times New Roman" w:eastAsia="宋体" w:cs="Times New Roman"/>
                      <w:color w:val="FF0000"/>
                      <w:kern w:val="2"/>
                      <w:sz w:val="21"/>
                      <w:szCs w:val="21"/>
                      <w:highlight w:val="none"/>
                      <w:vertAlign w:val="baseline"/>
                      <w:lang w:val="en-US" w:eastAsia="zh-CN" w:bidi="ar-SA"/>
                    </w:rPr>
                  </w:pPr>
                  <w:r>
                    <w:rPr>
                      <w:rFonts w:hint="eastAsia" w:ascii="Times New Roman" w:hAnsi="Times New Roman" w:eastAsia="宋体" w:cs="Times New Roman"/>
                      <w:color w:val="FF0000"/>
                      <w:kern w:val="2"/>
                      <w:sz w:val="21"/>
                      <w:szCs w:val="21"/>
                      <w:highlight w:val="none"/>
                      <w:vertAlign w:val="baseline"/>
                      <w:lang w:val="en-US" w:eastAsia="zh-CN" w:bidi="ar-SA"/>
                    </w:rPr>
                    <w:t>合计</w:t>
                  </w:r>
                </w:p>
              </w:tc>
              <w:tc>
                <w:tcPr>
                  <w:tcW w:w="1238" w:type="pct"/>
                  <w:tcBorders>
                    <w:tl2br w:val="nil"/>
                    <w:tr2bl w:val="nil"/>
                  </w:tcBorders>
                  <w:shd w:val="clear" w:color="auto" w:fill="auto"/>
                  <w:noWrap w:val="0"/>
                  <w:vAlign w:val="center"/>
                </w:tcPr>
                <w:p w14:paraId="4BF7F55F">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jc w:val="center"/>
                    <w:textAlignment w:val="auto"/>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0.00266</w:t>
                  </w:r>
                </w:p>
              </w:tc>
            </w:tr>
          </w:tbl>
          <w:p w14:paraId="30EEC71A">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b/>
                <w:bCs/>
                <w:color w:val="FF0000"/>
                <w:spacing w:val="0"/>
                <w:position w:val="0"/>
                <w:sz w:val="21"/>
                <w:szCs w:val="21"/>
                <w:lang w:val="en-US" w:eastAsia="zh-CN"/>
              </w:rPr>
            </w:pPr>
            <w:r>
              <w:rPr>
                <w:rFonts w:hint="eastAsia" w:ascii="Times New Roman" w:hAnsi="Times New Roman" w:eastAsia="宋体" w:cs="Times New Roman"/>
                <w:color w:val="FF0000"/>
                <w:sz w:val="24"/>
                <w:szCs w:val="24"/>
                <w:highlight w:val="none"/>
                <w:lang w:val="en-US" w:eastAsia="zh-CN"/>
              </w:rPr>
              <w:t>由表4-2</w:t>
            </w:r>
            <w:r>
              <w:rPr>
                <w:rFonts w:hint="eastAsia" w:cs="Times New Roman"/>
                <w:color w:val="FF0000"/>
                <w:sz w:val="24"/>
                <w:szCs w:val="24"/>
                <w:highlight w:val="none"/>
                <w:lang w:val="en-US" w:eastAsia="zh-CN"/>
              </w:rPr>
              <w:t>2</w:t>
            </w:r>
            <w:r>
              <w:rPr>
                <w:rFonts w:hint="eastAsia" w:ascii="Times New Roman" w:hAnsi="Times New Roman" w:eastAsia="宋体" w:cs="Times New Roman"/>
                <w:color w:val="FF0000"/>
                <w:sz w:val="24"/>
                <w:szCs w:val="24"/>
                <w:highlight w:val="none"/>
                <w:lang w:val="en-US" w:eastAsia="zh-CN"/>
              </w:rPr>
              <w:t>知，本项目物质总量与其临界量比值Q=0.</w:t>
            </w:r>
            <w:r>
              <w:rPr>
                <w:rFonts w:hint="eastAsia" w:cs="Times New Roman"/>
                <w:color w:val="FF0000"/>
                <w:sz w:val="24"/>
                <w:szCs w:val="24"/>
                <w:highlight w:val="none"/>
                <w:lang w:val="en-US" w:eastAsia="zh-CN"/>
              </w:rPr>
              <w:t>00266</w:t>
            </w:r>
            <w:r>
              <w:rPr>
                <w:rFonts w:hint="eastAsia" w:ascii="Times New Roman" w:hAnsi="Times New Roman" w:eastAsia="宋体" w:cs="Times New Roman"/>
                <w:color w:val="FF0000"/>
                <w:sz w:val="24"/>
                <w:szCs w:val="24"/>
                <w:highlight w:val="none"/>
                <w:lang w:val="en-US" w:eastAsia="zh-CN"/>
              </w:rPr>
              <w:t>&lt;1。</w:t>
            </w:r>
            <w:r>
              <w:rPr>
                <w:rFonts w:hint="default" w:ascii="Times New Roman" w:hAnsi="Times New Roman" w:eastAsia="宋体" w:cs="Times New Roman"/>
                <w:color w:val="FF0000"/>
                <w:sz w:val="24"/>
                <w:szCs w:val="24"/>
                <w:highlight w:val="none"/>
                <w:lang w:val="en-US" w:eastAsia="zh-CN"/>
              </w:rPr>
              <w:t>根据《建设项目环境风险评价技术导则》（HJ/T169-2018），当Q&lt;1时，该项目</w:t>
            </w:r>
            <w:r>
              <w:rPr>
                <w:rFonts w:hint="eastAsia" w:ascii="Times New Roman" w:hAnsi="Times New Roman" w:eastAsia="宋体" w:cs="Times New Roman"/>
                <w:color w:val="FF0000"/>
                <w:sz w:val="24"/>
                <w:szCs w:val="24"/>
                <w:highlight w:val="none"/>
                <w:lang w:val="en-US" w:eastAsia="zh-CN"/>
              </w:rPr>
              <w:t>环境</w:t>
            </w:r>
            <w:r>
              <w:rPr>
                <w:rFonts w:hint="default" w:ascii="Times New Roman" w:hAnsi="Times New Roman" w:eastAsia="宋体" w:cs="Times New Roman"/>
                <w:color w:val="FF0000"/>
                <w:sz w:val="24"/>
                <w:szCs w:val="24"/>
                <w:highlight w:val="none"/>
                <w:lang w:val="en-US" w:eastAsia="zh-CN"/>
              </w:rPr>
              <w:t>风险潜势为Ⅰ</w:t>
            </w:r>
            <w:r>
              <w:rPr>
                <w:rFonts w:hint="eastAsia" w:ascii="Times New Roman" w:hAnsi="Times New Roman" w:eastAsia="宋体" w:cs="Times New Roman"/>
                <w:color w:val="FF0000"/>
                <w:sz w:val="24"/>
                <w:szCs w:val="24"/>
                <w:highlight w:val="none"/>
                <w:lang w:val="en-US" w:eastAsia="zh-CN"/>
              </w:rPr>
              <w:t>，进行简单分析</w:t>
            </w:r>
            <w:r>
              <w:rPr>
                <w:rFonts w:hint="default" w:ascii="Times New Roman" w:hAnsi="Times New Roman" w:eastAsia="宋体" w:cs="Times New Roman"/>
                <w:color w:val="FF0000"/>
                <w:sz w:val="24"/>
                <w:szCs w:val="24"/>
                <w:highlight w:val="none"/>
                <w:lang w:val="en-US" w:eastAsia="zh-CN"/>
              </w:rPr>
              <w:t>。</w:t>
            </w:r>
          </w:p>
          <w:p w14:paraId="6D640437">
            <w:pPr>
              <w:pStyle w:val="10"/>
              <w:spacing w:after="0" w:line="360" w:lineRule="auto"/>
              <w:ind w:firstLine="480" w:firstLineChars="200"/>
              <w:rPr>
                <w:rFonts w:cs="Times New Roman"/>
                <w:color w:val="auto"/>
                <w:kern w:val="0"/>
                <w:sz w:val="24"/>
                <w:szCs w:val="24"/>
                <w:highlight w:val="none"/>
              </w:rPr>
            </w:pPr>
            <w:r>
              <w:rPr>
                <w:rFonts w:hint="eastAsia" w:cs="Times New Roman"/>
                <w:color w:val="auto"/>
                <w:kern w:val="0"/>
                <w:sz w:val="24"/>
                <w:szCs w:val="24"/>
                <w:highlight w:val="none"/>
                <w:lang w:val="en-US" w:eastAsia="zh-CN"/>
              </w:rPr>
              <w:t>2、</w:t>
            </w:r>
            <w:r>
              <w:rPr>
                <w:rFonts w:cs="Times New Roman"/>
                <w:color w:val="auto"/>
                <w:kern w:val="0"/>
                <w:sz w:val="24"/>
                <w:szCs w:val="24"/>
                <w:highlight w:val="none"/>
              </w:rPr>
              <w:t>评价等级</w:t>
            </w:r>
          </w:p>
          <w:p w14:paraId="209EF3F7">
            <w:pPr>
              <w:pStyle w:val="10"/>
              <w:spacing w:after="0" w:line="360" w:lineRule="auto"/>
              <w:ind w:firstLine="480" w:firstLineChars="200"/>
              <w:rPr>
                <w:rFonts w:hint="default" w:ascii="Times New Roman" w:hAnsi="Times New Roman" w:eastAsia="宋体" w:cs="Times New Roman"/>
                <w:b/>
                <w:color w:val="auto"/>
                <w:sz w:val="21"/>
                <w:szCs w:val="21"/>
                <w:highlight w:val="none"/>
              </w:rPr>
            </w:pPr>
            <w:r>
              <w:rPr>
                <w:rFonts w:cs="Times New Roman"/>
                <w:color w:val="auto"/>
                <w:kern w:val="0"/>
                <w:sz w:val="24"/>
                <w:szCs w:val="24"/>
                <w:highlight w:val="none"/>
              </w:rPr>
              <w:t>《建设项目环境风险评价技术导则》（HJ169-2018）评价工作等级划分见</w:t>
            </w:r>
            <w:r>
              <w:rPr>
                <w:rFonts w:hint="eastAsia" w:cs="Times New Roman"/>
                <w:color w:val="auto"/>
                <w:kern w:val="0"/>
                <w:sz w:val="24"/>
                <w:szCs w:val="24"/>
                <w:highlight w:val="none"/>
                <w:lang w:val="en-US" w:eastAsia="zh-CN"/>
              </w:rPr>
              <w:t>下</w:t>
            </w:r>
            <w:r>
              <w:rPr>
                <w:rFonts w:cs="Times New Roman"/>
                <w:color w:val="auto"/>
                <w:kern w:val="0"/>
                <w:sz w:val="24"/>
                <w:szCs w:val="24"/>
                <w:highlight w:val="none"/>
              </w:rPr>
              <w:t>表。</w:t>
            </w:r>
          </w:p>
          <w:p w14:paraId="5F8B305B">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rPr>
              <w:t>表</w:t>
            </w:r>
            <w:r>
              <w:rPr>
                <w:rFonts w:hint="eastAsia" w:ascii="Times New Roman" w:hAnsi="Times New Roman" w:eastAsia="宋体" w:cs="Times New Roman"/>
                <w:b/>
                <w:color w:val="auto"/>
                <w:sz w:val="21"/>
                <w:szCs w:val="21"/>
                <w:highlight w:val="none"/>
                <w:lang w:val="en-US" w:eastAsia="zh-CN"/>
              </w:rPr>
              <w:t>4-</w:t>
            </w:r>
            <w:r>
              <w:rPr>
                <w:rFonts w:hint="eastAsia" w:cs="Times New Roman"/>
                <w:b/>
                <w:color w:val="auto"/>
                <w:sz w:val="21"/>
                <w:szCs w:val="21"/>
                <w:highlight w:val="none"/>
                <w:lang w:val="en-US" w:eastAsia="zh-CN"/>
              </w:rPr>
              <w:t>23</w:t>
            </w:r>
            <w:r>
              <w:rPr>
                <w:rFonts w:hint="eastAsia"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评价工作</w:t>
            </w:r>
            <w:r>
              <w:rPr>
                <w:rFonts w:hint="default" w:ascii="Times New Roman" w:hAnsi="Times New Roman" w:eastAsia="宋体" w:cs="Times New Roman"/>
                <w:b/>
                <w:color w:val="auto"/>
                <w:sz w:val="21"/>
                <w:szCs w:val="21"/>
                <w:highlight w:val="none"/>
                <w:lang w:eastAsia="zh-CN"/>
              </w:rPr>
              <w:t>等级划分</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5"/>
              <w:gridCol w:w="1708"/>
              <w:gridCol w:w="1708"/>
              <w:gridCol w:w="1710"/>
              <w:gridCol w:w="1719"/>
            </w:tblGrid>
            <w:tr w14:paraId="031B1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0" w:hRule="atLeast"/>
                <w:jc w:val="center"/>
              </w:trPr>
              <w:tc>
                <w:tcPr>
                  <w:tcW w:w="997" w:type="pct"/>
                  <w:tcBorders>
                    <w:bottom w:val="single" w:color="auto" w:sz="12" w:space="0"/>
                  </w:tcBorders>
                  <w:noWrap w:val="0"/>
                  <w:vAlign w:val="center"/>
                </w:tcPr>
                <w:p w14:paraId="78AE37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环境风险潜势</w:t>
                  </w:r>
                </w:p>
              </w:tc>
              <w:tc>
                <w:tcPr>
                  <w:tcW w:w="999" w:type="pct"/>
                  <w:tcBorders>
                    <w:bottom w:val="single" w:color="auto" w:sz="12" w:space="0"/>
                  </w:tcBorders>
                  <w:noWrap w:val="0"/>
                  <w:vAlign w:val="center"/>
                </w:tcPr>
                <w:p w14:paraId="69CC0C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Ⅳ</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Ⅵ</w:t>
                  </w:r>
                  <w:r>
                    <w:rPr>
                      <w:rFonts w:hint="default" w:ascii="Times New Roman" w:hAnsi="Times New Roman" w:eastAsia="宋体" w:cs="Times New Roman"/>
                      <w:b/>
                      <w:color w:val="auto"/>
                      <w:sz w:val="21"/>
                      <w:szCs w:val="21"/>
                      <w:highlight w:val="none"/>
                      <w:vertAlign w:val="superscript"/>
                      <w:lang w:val="en-US" w:eastAsia="zh-CN"/>
                    </w:rPr>
                    <w:t>+</w:t>
                  </w:r>
                </w:p>
              </w:tc>
              <w:tc>
                <w:tcPr>
                  <w:tcW w:w="999" w:type="pct"/>
                  <w:tcBorders>
                    <w:bottom w:val="single" w:color="auto" w:sz="12" w:space="0"/>
                  </w:tcBorders>
                  <w:noWrap w:val="0"/>
                  <w:vAlign w:val="center"/>
                </w:tcPr>
                <w:p w14:paraId="16929C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Ⅲ</w:t>
                  </w:r>
                </w:p>
              </w:tc>
              <w:tc>
                <w:tcPr>
                  <w:tcW w:w="1000" w:type="pct"/>
                  <w:tcBorders>
                    <w:bottom w:val="single" w:color="auto" w:sz="12" w:space="0"/>
                  </w:tcBorders>
                  <w:noWrap w:val="0"/>
                  <w:vAlign w:val="center"/>
                </w:tcPr>
                <w:p w14:paraId="43392A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Ⅱ</w:t>
                  </w:r>
                </w:p>
              </w:tc>
              <w:tc>
                <w:tcPr>
                  <w:tcW w:w="1004" w:type="pct"/>
                  <w:tcBorders>
                    <w:bottom w:val="single" w:color="auto" w:sz="12" w:space="0"/>
                  </w:tcBorders>
                  <w:noWrap w:val="0"/>
                  <w:vAlign w:val="center"/>
                </w:tcPr>
                <w:p w14:paraId="7B7C72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I</w:t>
                  </w:r>
                </w:p>
              </w:tc>
            </w:tr>
            <w:tr w14:paraId="043CD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97" w:type="pct"/>
                  <w:tcBorders>
                    <w:top w:val="single" w:color="auto" w:sz="12" w:space="0"/>
                    <w:tl2br w:val="nil"/>
                    <w:tr2bl w:val="nil"/>
                  </w:tcBorders>
                  <w:noWrap w:val="0"/>
                  <w:vAlign w:val="center"/>
                </w:tcPr>
                <w:p w14:paraId="5AD820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评价工作等级</w:t>
                  </w:r>
                </w:p>
              </w:tc>
              <w:tc>
                <w:tcPr>
                  <w:tcW w:w="999" w:type="pct"/>
                  <w:tcBorders>
                    <w:top w:val="single" w:color="auto" w:sz="12" w:space="0"/>
                    <w:tl2br w:val="nil"/>
                    <w:tr2bl w:val="nil"/>
                  </w:tcBorders>
                  <w:noWrap w:val="0"/>
                  <w:vAlign w:val="center"/>
                </w:tcPr>
                <w:p w14:paraId="2B8AF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一</w:t>
                  </w:r>
                </w:p>
              </w:tc>
              <w:tc>
                <w:tcPr>
                  <w:tcW w:w="999" w:type="pct"/>
                  <w:tcBorders>
                    <w:top w:val="single" w:color="auto" w:sz="12" w:space="0"/>
                    <w:tl2br w:val="nil"/>
                    <w:tr2bl w:val="nil"/>
                  </w:tcBorders>
                  <w:noWrap w:val="0"/>
                  <w:vAlign w:val="center"/>
                </w:tcPr>
                <w:p w14:paraId="65183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二</w:t>
                  </w:r>
                </w:p>
              </w:tc>
              <w:tc>
                <w:tcPr>
                  <w:tcW w:w="1000" w:type="pct"/>
                  <w:tcBorders>
                    <w:top w:val="single" w:color="auto" w:sz="12" w:space="0"/>
                    <w:tl2br w:val="nil"/>
                    <w:tr2bl w:val="nil"/>
                  </w:tcBorders>
                  <w:noWrap w:val="0"/>
                  <w:vAlign w:val="center"/>
                </w:tcPr>
                <w:p w14:paraId="14C299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三</w:t>
                  </w:r>
                </w:p>
              </w:tc>
              <w:tc>
                <w:tcPr>
                  <w:tcW w:w="1004" w:type="pct"/>
                  <w:tcBorders>
                    <w:top w:val="single" w:color="auto" w:sz="12" w:space="0"/>
                    <w:tl2br w:val="nil"/>
                    <w:tr2bl w:val="nil"/>
                  </w:tcBorders>
                  <w:noWrap w:val="0"/>
                  <w:vAlign w:val="center"/>
                </w:tcPr>
                <w:p w14:paraId="40A607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简单分析</w:t>
                  </w:r>
                  <w:r>
                    <w:rPr>
                      <w:rFonts w:hint="default" w:ascii="Times New Roman" w:hAnsi="Times New Roman" w:eastAsia="宋体" w:cs="Times New Roman"/>
                      <w:color w:val="auto"/>
                      <w:sz w:val="21"/>
                      <w:szCs w:val="21"/>
                      <w:highlight w:val="none"/>
                      <w:vertAlign w:val="superscript"/>
                      <w:lang w:val="en-US" w:eastAsia="zh-CN"/>
                    </w:rPr>
                    <w:t>a</w:t>
                  </w:r>
                </w:p>
              </w:tc>
            </w:tr>
            <w:tr w14:paraId="14F3A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000" w:type="pct"/>
                  <w:gridSpan w:val="5"/>
                  <w:tcBorders>
                    <w:tl2br w:val="nil"/>
                    <w:tr2bl w:val="nil"/>
                  </w:tcBorders>
                  <w:noWrap w:val="0"/>
                  <w:vAlign w:val="center"/>
                </w:tcPr>
                <w:p w14:paraId="472741D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a是相对于详细评价工作内容而言，在描述危险物质、环境影响途径、环境危害后果、风险防范措施等方面给出定性的说明。见附录 A。</w:t>
                  </w:r>
                </w:p>
              </w:tc>
            </w:tr>
          </w:tbl>
          <w:p w14:paraId="4DA6C593">
            <w:pPr>
              <w:keepNext w:val="0"/>
              <w:keepLines w:val="0"/>
              <w:pageBreakBefore w:val="0"/>
              <w:widowControl/>
              <w:suppressLineNumbers w:val="0"/>
              <w:kinsoku/>
              <w:wordWrap/>
              <w:overflowPunct/>
              <w:topLinePunct w:val="0"/>
              <w:autoSpaceDE/>
              <w:autoSpaceDN/>
              <w:bidi w:val="0"/>
              <w:adjustRightInd/>
              <w:spacing w:line="360" w:lineRule="auto"/>
              <w:ind w:right="0"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eastAsia" w:ascii="宋体" w:hAnsi="宋体" w:eastAsia="宋体" w:cs="宋体"/>
                <w:color w:val="auto"/>
                <w:kern w:val="0"/>
                <w:sz w:val="24"/>
                <w:szCs w:val="24"/>
                <w:highlight w:val="none"/>
                <w:lang w:val="en-US" w:eastAsia="zh-CN" w:bidi="ar"/>
              </w:rPr>
              <w:t>因此，本项目环境风险评价主要对火灾影响进行简要分析，提出防范、减缓和应急措施</w:t>
            </w:r>
            <w:r>
              <w:rPr>
                <w:rFonts w:hint="eastAsia" w:ascii="Times New Roman" w:hAnsi="Times New Roman" w:eastAsia="宋体" w:cs="Times New Roman"/>
                <w:color w:val="auto"/>
                <w:sz w:val="24"/>
                <w:szCs w:val="24"/>
                <w:highlight w:val="none"/>
                <w:lang w:eastAsia="zh-CN"/>
              </w:rPr>
              <w:t>。</w:t>
            </w:r>
          </w:p>
          <w:p w14:paraId="1CFE8305">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ascii="Times New Roman" w:hAnsi="Times New Roman" w:eastAsia="宋体" w:cs="Times New Roman"/>
                <w:color w:val="auto"/>
                <w:spacing w:val="0"/>
                <w:position w:val="0"/>
                <w:sz w:val="24"/>
                <w:szCs w:val="24"/>
              </w:rPr>
            </w:pPr>
            <w:r>
              <w:rPr>
                <w:rFonts w:cs="Times New Roman"/>
                <w:color w:val="auto"/>
                <w:kern w:val="0"/>
                <w:sz w:val="24"/>
                <w:szCs w:val="24"/>
                <w:highlight w:val="none"/>
              </w:rPr>
              <w:t>由上表可知，项目环境风险潜势为</w:t>
            </w:r>
            <w:r>
              <w:rPr>
                <w:rFonts w:cs="Times New Roman"/>
                <w:color w:val="auto"/>
                <w:kern w:val="0"/>
                <w:sz w:val="24"/>
                <w:szCs w:val="24"/>
                <w:highlight w:val="none"/>
              </w:rPr>
              <w:fldChar w:fldCharType="begin"/>
            </w:r>
            <w:r>
              <w:rPr>
                <w:rFonts w:cs="Times New Roman"/>
                <w:color w:val="auto"/>
                <w:kern w:val="0"/>
                <w:sz w:val="24"/>
                <w:szCs w:val="24"/>
                <w:highlight w:val="none"/>
              </w:rPr>
              <w:instrText xml:space="preserve"> = 1 \* ROMAN \* MERGEFORMAT </w:instrText>
            </w:r>
            <w:r>
              <w:rPr>
                <w:rFonts w:cs="Times New Roman"/>
                <w:color w:val="auto"/>
                <w:kern w:val="0"/>
                <w:sz w:val="24"/>
                <w:szCs w:val="24"/>
                <w:highlight w:val="none"/>
              </w:rPr>
              <w:fldChar w:fldCharType="separate"/>
            </w:r>
            <w:r>
              <w:rPr>
                <w:rFonts w:cs="Times New Roman"/>
                <w:color w:val="auto"/>
                <w:kern w:val="0"/>
                <w:sz w:val="24"/>
                <w:szCs w:val="24"/>
                <w:highlight w:val="none"/>
              </w:rPr>
              <w:t>I</w:t>
            </w:r>
            <w:r>
              <w:rPr>
                <w:rFonts w:cs="Times New Roman"/>
                <w:color w:val="auto"/>
                <w:kern w:val="0"/>
                <w:sz w:val="24"/>
                <w:szCs w:val="24"/>
                <w:highlight w:val="none"/>
              </w:rPr>
              <w:fldChar w:fldCharType="end"/>
            </w:r>
            <w:r>
              <w:rPr>
                <w:rFonts w:cs="Times New Roman"/>
                <w:color w:val="auto"/>
                <w:kern w:val="0"/>
                <w:sz w:val="24"/>
                <w:szCs w:val="24"/>
                <w:highlight w:val="none"/>
              </w:rPr>
              <w:t>级，按照《建设项目环境风险评价技术导则》（HJ 169-2018）附录A简单分析。</w:t>
            </w:r>
          </w:p>
          <w:p w14:paraId="3CD0D89E">
            <w:pPr>
              <w:pStyle w:val="10"/>
              <w:keepNext w:val="0"/>
              <w:keepLines w:val="0"/>
              <w:pageBreakBefore w:val="0"/>
              <w:kinsoku/>
              <w:wordWrap/>
              <w:overflowPunct/>
              <w:topLinePunct w:val="0"/>
              <w:bidi w:val="0"/>
              <w:snapToGrid w:val="0"/>
              <w:spacing w:before="0" w:after="0" w:line="360" w:lineRule="auto"/>
              <w:ind w:left="0" w:leftChars="0" w:right="0" w:firstLine="480" w:firstLineChars="200"/>
              <w:jc w:val="left"/>
              <w:textAlignment w:val="auto"/>
              <w:rPr>
                <w:rFonts w:hint="default" w:ascii="Times New Roman" w:hAnsi="Times New Roman" w:eastAsia="宋体" w:cs="Times New Roman"/>
                <w:b w:val="0"/>
                <w:bCs w:val="0"/>
                <w:color w:val="FF0000"/>
                <w:spacing w:val="0"/>
                <w:kern w:val="2"/>
                <w:position w:val="0"/>
                <w:sz w:val="24"/>
                <w:szCs w:val="24"/>
                <w:lang w:val="en-US" w:eastAsia="zh-CN" w:bidi="ar-SA"/>
              </w:rPr>
            </w:pPr>
            <w:commentRangeStart w:id="49"/>
            <w:r>
              <w:rPr>
                <w:rFonts w:hint="eastAsia" w:ascii="Times New Roman" w:hAnsi="Times New Roman" w:eastAsia="宋体" w:cs="Times New Roman"/>
                <w:b w:val="0"/>
                <w:bCs w:val="0"/>
                <w:color w:val="FF0000"/>
                <w:spacing w:val="0"/>
                <w:kern w:val="2"/>
                <w:position w:val="0"/>
                <w:sz w:val="24"/>
                <w:szCs w:val="24"/>
                <w:lang w:val="en-US" w:eastAsia="zh-CN" w:bidi="ar-SA"/>
              </w:rPr>
              <w:t>3、</w:t>
            </w:r>
            <w:commentRangeEnd w:id="49"/>
            <w:r>
              <w:commentReference w:id="49"/>
            </w:r>
            <w:r>
              <w:rPr>
                <w:rFonts w:hint="eastAsia" w:ascii="Times New Roman" w:hAnsi="Times New Roman" w:eastAsia="宋体" w:cs="Times New Roman"/>
                <w:b w:val="0"/>
                <w:bCs w:val="0"/>
                <w:color w:val="FF0000"/>
                <w:spacing w:val="0"/>
                <w:kern w:val="2"/>
                <w:position w:val="0"/>
                <w:sz w:val="24"/>
                <w:szCs w:val="24"/>
                <w:lang w:val="en-US" w:eastAsia="zh-CN" w:bidi="ar-SA"/>
              </w:rPr>
              <w:t>环境风险防范措施及应急要求</w:t>
            </w:r>
          </w:p>
          <w:p w14:paraId="3934EA51">
            <w:pPr>
              <w:pStyle w:val="4"/>
              <w:pageBreakBefore w:val="0"/>
              <w:numPr>
                <w:ilvl w:val="0"/>
                <w:numId w:val="0"/>
              </w:numPr>
              <w:kinsoku/>
              <w:wordWrap/>
              <w:overflowPunct/>
              <w:topLinePunct w:val="0"/>
              <w:autoSpaceDE/>
              <w:autoSpaceDN/>
              <w:bidi w:val="0"/>
              <w:adjustRightInd/>
              <w:snapToGrid/>
              <w:spacing w:line="360" w:lineRule="auto"/>
              <w:ind w:leftChars="200"/>
              <w:textAlignment w:val="auto"/>
              <w:rPr>
                <w:rFonts w:hint="default" w:ascii="Times New Roman" w:hAnsi="Times New Roman" w:eastAsia="宋体" w:cs="Times New Roman"/>
                <w:b w:val="0"/>
                <w:bCs w:val="0"/>
                <w:color w:val="FF0000"/>
                <w:sz w:val="24"/>
                <w:szCs w:val="24"/>
                <w:highlight w:val="none"/>
              </w:rPr>
            </w:pPr>
            <w:r>
              <w:rPr>
                <w:rFonts w:hint="eastAsia" w:cs="Times New Roman"/>
                <w:b w:val="0"/>
                <w:bCs w:val="0"/>
                <w:color w:val="FF0000"/>
                <w:sz w:val="24"/>
                <w:szCs w:val="24"/>
                <w:highlight w:val="none"/>
                <w:lang w:val="en-US" w:eastAsia="zh-CN"/>
              </w:rPr>
              <w:t>1）</w:t>
            </w:r>
            <w:r>
              <w:rPr>
                <w:rFonts w:hint="default" w:ascii="Times New Roman" w:hAnsi="Times New Roman" w:eastAsia="宋体" w:cs="Times New Roman"/>
                <w:b w:val="0"/>
                <w:bCs w:val="0"/>
                <w:color w:val="FF0000"/>
                <w:sz w:val="24"/>
                <w:szCs w:val="24"/>
                <w:highlight w:val="none"/>
              </w:rPr>
              <w:t>危化品贮存风险防范措施</w:t>
            </w:r>
          </w:p>
          <w:p w14:paraId="32B58455">
            <w:pPr>
              <w:pStyle w:val="86"/>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①本项目新增设备及管道要保持密封，尽可能采用负压操作，加强车间通风，设置自动报警系统，配备防火器材，经常检查易造成腐蚀的部位，防止有害物质“跑、冒、滴、漏”；依托缓冲罐、管道已经采用防腐、防渗措施，并采取相应自动报警系统，保证事故状态下泄露得到妥善处置。</w:t>
            </w:r>
          </w:p>
          <w:p w14:paraId="014C7B9B">
            <w:pPr>
              <w:pStyle w:val="86"/>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2）强化新增及现有操作人员的安全教育和培训工作，提高安全知识水平，增强员工的安全意识和事故防范能力。危险化学品由专人负责管理，并配备可靠的个人安全防护用品；管理人员熟悉危险化学品的性能及安全操作方法。</w:t>
            </w:r>
          </w:p>
          <w:p w14:paraId="7FF69360">
            <w:pPr>
              <w:pStyle w:val="86"/>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3）使用危险化学品时，应按照工艺要求及安全技术说明要求进行操作，并穿戴好个人防护用品。本项目新增涉及危化品的工段处设有喷淋洗眼器、洗手池，并配备相应的防护手套、防毒呼吸器等个人防护用品，供事故时临时急用；一旦发生急性中毒，首先使用应急设施，并将中毒者安置在空气流畅的安全地带，同时呼叫急救车紧急救护。</w:t>
            </w:r>
          </w:p>
          <w:p w14:paraId="1AC8E418">
            <w:pPr>
              <w:pStyle w:val="86"/>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4）本项目仓库应符合防火、防爆、通风、防晒、防雷等安全要求，安全防护设施要保持完好。危险化学品库房外应有明显的安全警示标志，应根据危险化学品性能分区、分类、分库贮存，并有标识，各类危险品不得与禁忌物料混合贮存。</w:t>
            </w:r>
          </w:p>
          <w:p w14:paraId="78121F15">
            <w:pPr>
              <w:pStyle w:val="86"/>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（5）项目使用的危险化学品一律凭领料单发放，领料单上应有使用部门、数量、物料名称和规格，并经主管签字。临时领用未用完的危险化学品应送回仓库保管，不得随意放置。</w:t>
            </w:r>
          </w:p>
          <w:p w14:paraId="4D547E79">
            <w:pPr>
              <w:pStyle w:val="86"/>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w:t>
            </w:r>
            <w:r>
              <w:rPr>
                <w:rFonts w:hint="eastAsia" w:ascii="Times New Roman" w:hAnsi="Times New Roman" w:eastAsia="宋体" w:cs="Times New Roman"/>
                <w:color w:val="FF0000"/>
                <w:sz w:val="24"/>
                <w:szCs w:val="24"/>
                <w:highlight w:val="none"/>
                <w:lang w:val="en-US" w:eastAsia="zh-CN"/>
              </w:rPr>
              <w:t>6</w:t>
            </w:r>
            <w:r>
              <w:rPr>
                <w:rFonts w:hint="default" w:ascii="Times New Roman" w:hAnsi="Times New Roman" w:eastAsia="宋体" w:cs="Times New Roman"/>
                <w:color w:val="FF0000"/>
                <w:sz w:val="24"/>
                <w:szCs w:val="24"/>
                <w:highlight w:val="none"/>
              </w:rPr>
              <w:t>）项目使用的危险化学品入库前均应进行检查验收、登记，经核对后方可入库、出库，当物品性质未弄清时不得入库；入库时，应严格检验物品质量、数量、包装情况、有无泄漏；入库后应采取适当的养护措施，在贮存期内，定期检查，发现其品质变化、包装破损、渗漏、稳定剂短缺等，应及时处理。装卸、搬运危险化学品时，要做到轻装、轻卸。严禁摔、碰、撞、击、拖拉、倾倒和滚动。</w:t>
            </w:r>
          </w:p>
          <w:p w14:paraId="75F9F1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baseline"/>
              <w:outlineLvl w:val="9"/>
              <w:rPr>
                <w:rFonts w:hint="default" w:ascii="Times New Roman" w:hAnsi="Times New Roman" w:eastAsia="宋体" w:cs="Times New Roman"/>
                <w:color w:val="FF0000"/>
                <w:sz w:val="24"/>
                <w:szCs w:val="24"/>
                <w:highlight w:val="none"/>
                <w:shd w:val="clear" w:color="auto" w:fill="auto"/>
              </w:rPr>
            </w:pPr>
            <w:r>
              <w:rPr>
                <w:rFonts w:hint="eastAsia" w:ascii="Times New Roman" w:hAnsi="Times New Roman" w:eastAsia="宋体" w:cs="Times New Roman"/>
                <w:color w:val="FF0000"/>
                <w:sz w:val="24"/>
                <w:szCs w:val="24"/>
                <w:highlight w:val="none"/>
                <w:shd w:val="clear" w:color="auto" w:fill="auto"/>
                <w:lang w:val="en-US" w:eastAsia="zh-CN"/>
              </w:rPr>
              <w:t>2）</w:t>
            </w:r>
            <w:r>
              <w:rPr>
                <w:rFonts w:hint="default" w:ascii="Times New Roman" w:hAnsi="Times New Roman" w:eastAsia="宋体" w:cs="Times New Roman"/>
                <w:color w:val="FF0000"/>
                <w:sz w:val="24"/>
                <w:szCs w:val="24"/>
                <w:highlight w:val="none"/>
                <w:shd w:val="clear" w:color="auto" w:fill="auto"/>
              </w:rPr>
              <w:t>危险废物风险</w:t>
            </w:r>
          </w:p>
          <w:p w14:paraId="44FB3B29">
            <w:pPr>
              <w:keepNext w:val="0"/>
              <w:keepLines w:val="0"/>
              <w:pageBreakBefore w:val="0"/>
              <w:widowControl/>
              <w:kinsoku/>
              <w:wordWrap/>
              <w:overflowPunct w:val="0"/>
              <w:topLinePunct/>
              <w:autoSpaceDE w:val="0"/>
              <w:autoSpaceDN/>
              <w:bidi w:val="0"/>
              <w:adjustRightInd/>
              <w:snapToGrid/>
              <w:spacing w:line="360" w:lineRule="auto"/>
              <w:ind w:leftChars="0" w:firstLine="480" w:firstLineChars="200"/>
              <w:textAlignment w:val="baseline"/>
              <w:rPr>
                <w:rFonts w:hint="default" w:ascii="Times New Roman" w:hAnsi="Times New Roman" w:eastAsia="宋体" w:cs="Times New Roman"/>
                <w:color w:val="FF0000"/>
                <w:sz w:val="24"/>
                <w:szCs w:val="24"/>
                <w:lang w:eastAsia="zh-CN"/>
              </w:rPr>
            </w:pPr>
            <w:r>
              <w:rPr>
                <w:rFonts w:hint="default" w:ascii="Times New Roman" w:hAnsi="Times New Roman" w:eastAsia="宋体" w:cs="Times New Roman"/>
                <w:color w:val="FF0000"/>
                <w:sz w:val="24"/>
                <w:szCs w:val="24"/>
              </w:rPr>
              <w:t>本项目生产过程中产生的</w:t>
            </w:r>
            <w:r>
              <w:rPr>
                <w:rFonts w:hint="eastAsia" w:ascii="Times New Roman" w:hAnsi="Times New Roman" w:eastAsia="宋体" w:cs="Times New Roman"/>
                <w:color w:val="FF0000"/>
                <w:sz w:val="24"/>
                <w:szCs w:val="24"/>
                <w:lang w:val="en-US" w:eastAsia="zh-CN"/>
              </w:rPr>
              <w:t>矿物油属于“HW08 废矿物油与含矿物油废物”中的‘900-214-08 车辆、轮船及其它机械维修过程中产生的废发动机油、制动器油、自动变速器油、齿轮油等废润滑油’的</w:t>
            </w:r>
            <w:r>
              <w:rPr>
                <w:rFonts w:hint="default" w:ascii="Times New Roman" w:hAnsi="Times New Roman" w:eastAsia="宋体" w:cs="Times New Roman"/>
                <w:color w:val="FF0000"/>
                <w:sz w:val="24"/>
                <w:szCs w:val="24"/>
              </w:rPr>
              <w:t>危险废物</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废矿物油桶属于“HW08 废矿物油与含矿物油废物”中的‘900-249-08 其他生产、销售、使用过程中产生的废矿物油及沾染矿物油的废弃包装物’的</w:t>
            </w:r>
            <w:r>
              <w:rPr>
                <w:rFonts w:hint="default" w:ascii="Times New Roman" w:hAnsi="Times New Roman" w:eastAsia="宋体" w:cs="Times New Roman"/>
                <w:color w:val="FF0000"/>
                <w:sz w:val="24"/>
                <w:szCs w:val="24"/>
              </w:rPr>
              <w:t>危险废物</w:t>
            </w:r>
            <w:r>
              <w:rPr>
                <w:rFonts w:hint="eastAsia" w:ascii="Times New Roman" w:hAnsi="Times New Roman" w:eastAsia="宋体" w:cs="Times New Roman"/>
                <w:color w:val="FF0000"/>
                <w:sz w:val="24"/>
                <w:szCs w:val="24"/>
                <w:lang w:val="en-US" w:eastAsia="zh-CN"/>
              </w:rPr>
              <w:t>，废含油抹布、手套属于“HW49 其他废物”中的‘900-041-49含有或沾染毒性、感染性危险废物的废弃包装物、容器、过滤吸附介质’的</w:t>
            </w:r>
            <w:r>
              <w:rPr>
                <w:rFonts w:hint="default" w:ascii="Times New Roman" w:hAnsi="Times New Roman" w:eastAsia="宋体" w:cs="Times New Roman"/>
                <w:color w:val="FF0000"/>
                <w:sz w:val="24"/>
                <w:szCs w:val="24"/>
              </w:rPr>
              <w:t>危险废物</w:t>
            </w:r>
            <w:r>
              <w:rPr>
                <w:rFonts w:hint="eastAsia" w:ascii="Times New Roman" w:hAnsi="Times New Roman" w:eastAsia="宋体" w:cs="Times New Roman"/>
                <w:color w:val="FF0000"/>
                <w:sz w:val="24"/>
                <w:szCs w:val="24"/>
                <w:lang w:eastAsia="zh-CN"/>
              </w:rPr>
              <w:t>。</w:t>
            </w:r>
            <w:r>
              <w:rPr>
                <w:rFonts w:hint="default" w:ascii="Times New Roman" w:hAnsi="Times New Roman" w:eastAsia="宋体" w:cs="Times New Roman"/>
                <w:color w:val="FF0000"/>
                <w:sz w:val="24"/>
                <w:szCs w:val="24"/>
              </w:rPr>
              <w:t>本项目危废有固定的暂存场所，且</w:t>
            </w:r>
            <w:r>
              <w:rPr>
                <w:rFonts w:hint="eastAsia" w:ascii="Times New Roman" w:hAnsi="Times New Roman" w:eastAsia="宋体" w:cs="Times New Roman"/>
                <w:color w:val="FF0000"/>
                <w:sz w:val="24"/>
                <w:szCs w:val="24"/>
                <w:lang w:eastAsia="zh-CN"/>
              </w:rPr>
              <w:t>危险废物</w:t>
            </w:r>
            <w:r>
              <w:rPr>
                <w:rFonts w:hint="default" w:ascii="Times New Roman" w:hAnsi="Times New Roman" w:eastAsia="宋体" w:cs="Times New Roman"/>
                <w:color w:val="FF0000"/>
                <w:sz w:val="24"/>
                <w:szCs w:val="24"/>
              </w:rPr>
              <w:t>暂存间按照《危险废物贮存污染控制标准》（GB18597-20</w:t>
            </w:r>
            <w:r>
              <w:rPr>
                <w:rFonts w:hint="eastAsia" w:ascii="Times New Roman" w:hAnsi="Times New Roman" w:eastAsia="宋体" w:cs="Times New Roman"/>
                <w:color w:val="FF0000"/>
                <w:sz w:val="24"/>
                <w:szCs w:val="24"/>
                <w:lang w:val="en-US" w:eastAsia="zh-CN"/>
              </w:rPr>
              <w:t>23</w:t>
            </w:r>
            <w:r>
              <w:rPr>
                <w:rFonts w:hint="default" w:ascii="Times New Roman" w:hAnsi="Times New Roman" w:eastAsia="宋体" w:cs="Times New Roman"/>
                <w:color w:val="FF0000"/>
                <w:sz w:val="24"/>
                <w:szCs w:val="24"/>
              </w:rPr>
              <w:t>）标准要求做好防渗等处理。</w:t>
            </w:r>
          </w:p>
          <w:p w14:paraId="7551C7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snapToGrid w:val="0"/>
                <w:color w:val="FF0000"/>
                <w:sz w:val="24"/>
                <w:szCs w:val="24"/>
                <w:highlight w:val="none"/>
                <w:shd w:val="clear" w:color="auto" w:fill="auto"/>
              </w:rPr>
            </w:pPr>
            <w:r>
              <w:rPr>
                <w:rFonts w:hint="eastAsia" w:ascii="Times New Roman" w:hAnsi="Times New Roman" w:eastAsia="宋体" w:cs="Times New Roman"/>
                <w:bCs/>
                <w:snapToGrid w:val="0"/>
                <w:color w:val="FF0000"/>
                <w:sz w:val="24"/>
                <w:szCs w:val="24"/>
                <w:highlight w:val="none"/>
                <w:shd w:val="clear" w:color="auto" w:fill="auto"/>
              </w:rPr>
              <w:t>一般情况下，本项目发生上述风险事故几率较小，为进一步减少风险产生的几率，避免风险情况的出现，</w:t>
            </w:r>
            <w:r>
              <w:rPr>
                <w:rFonts w:hint="eastAsia" w:ascii="Times New Roman" w:hAnsi="Times New Roman" w:eastAsia="宋体" w:cs="Times New Roman"/>
                <w:bCs/>
                <w:snapToGrid w:val="0"/>
                <w:color w:val="FF0000"/>
                <w:sz w:val="24"/>
                <w:szCs w:val="24"/>
                <w:highlight w:val="none"/>
                <w:shd w:val="clear" w:color="auto" w:fill="auto"/>
                <w:lang w:eastAsia="zh-CN"/>
              </w:rPr>
              <w:t>企业</w:t>
            </w:r>
            <w:r>
              <w:rPr>
                <w:rFonts w:hint="eastAsia" w:ascii="Times New Roman" w:hAnsi="Times New Roman" w:eastAsia="宋体" w:cs="Times New Roman"/>
                <w:bCs/>
                <w:snapToGrid w:val="0"/>
                <w:color w:val="FF0000"/>
                <w:sz w:val="24"/>
                <w:szCs w:val="24"/>
                <w:highlight w:val="none"/>
                <w:shd w:val="clear" w:color="auto" w:fill="auto"/>
              </w:rPr>
              <w:t>应加强风险管理，提高风险防范意识，制定应急预案及预防员工</w:t>
            </w:r>
            <w:r>
              <w:rPr>
                <w:rFonts w:hint="eastAsia" w:ascii="Times New Roman" w:hAnsi="Times New Roman" w:eastAsia="宋体" w:cs="Times New Roman"/>
                <w:bCs/>
                <w:snapToGrid w:val="0"/>
                <w:color w:val="FF0000"/>
                <w:sz w:val="24"/>
                <w:szCs w:val="24"/>
                <w:highlight w:val="none"/>
                <w:shd w:val="clear" w:color="auto" w:fill="auto"/>
                <w:lang w:eastAsia="zh-CN"/>
              </w:rPr>
              <w:t>受伤的</w:t>
            </w:r>
            <w:r>
              <w:rPr>
                <w:rFonts w:hint="eastAsia" w:ascii="Times New Roman" w:hAnsi="Times New Roman" w:eastAsia="宋体" w:cs="Times New Roman"/>
                <w:bCs/>
                <w:snapToGrid w:val="0"/>
                <w:color w:val="FF0000"/>
                <w:sz w:val="24"/>
                <w:szCs w:val="24"/>
                <w:highlight w:val="none"/>
                <w:shd w:val="clear" w:color="auto" w:fill="auto"/>
              </w:rPr>
              <w:t>相关预案，减轻风险情况造成的危害程度。本项目的</w:t>
            </w:r>
            <w:r>
              <w:rPr>
                <w:rFonts w:hint="eastAsia" w:ascii="Times New Roman" w:hAnsi="Times New Roman" w:eastAsia="宋体" w:cs="Times New Roman"/>
                <w:bCs/>
                <w:snapToGrid w:val="0"/>
                <w:color w:val="FF0000"/>
                <w:sz w:val="24"/>
                <w:szCs w:val="24"/>
                <w:highlight w:val="none"/>
                <w:shd w:val="clear" w:color="auto" w:fill="auto"/>
                <w:lang w:eastAsia="zh-CN"/>
              </w:rPr>
              <w:t>未涉及有毒有害等危险品，经企业加强环境风险管理后，企业环境</w:t>
            </w:r>
            <w:r>
              <w:rPr>
                <w:rFonts w:hint="eastAsia" w:ascii="Times New Roman" w:hAnsi="Times New Roman" w:eastAsia="宋体" w:cs="Times New Roman"/>
                <w:bCs/>
                <w:snapToGrid w:val="0"/>
                <w:color w:val="FF0000"/>
                <w:sz w:val="24"/>
                <w:szCs w:val="24"/>
                <w:highlight w:val="none"/>
                <w:shd w:val="clear" w:color="auto" w:fill="auto"/>
              </w:rPr>
              <w:t>风险发生概率</w:t>
            </w:r>
            <w:r>
              <w:rPr>
                <w:rFonts w:hint="eastAsia" w:ascii="Times New Roman" w:hAnsi="Times New Roman" w:eastAsia="宋体" w:cs="Times New Roman"/>
                <w:bCs/>
                <w:snapToGrid w:val="0"/>
                <w:color w:val="FF0000"/>
                <w:sz w:val="24"/>
                <w:szCs w:val="24"/>
                <w:highlight w:val="none"/>
                <w:shd w:val="clear" w:color="auto" w:fill="auto"/>
                <w:lang w:eastAsia="zh-CN"/>
              </w:rPr>
              <w:t>较</w:t>
            </w:r>
            <w:r>
              <w:rPr>
                <w:rFonts w:hint="eastAsia" w:ascii="Times New Roman" w:hAnsi="Times New Roman" w:eastAsia="宋体" w:cs="Times New Roman"/>
                <w:bCs/>
                <w:snapToGrid w:val="0"/>
                <w:color w:val="FF0000"/>
                <w:sz w:val="24"/>
                <w:szCs w:val="24"/>
                <w:highlight w:val="none"/>
                <w:shd w:val="clear" w:color="auto" w:fill="auto"/>
              </w:rPr>
              <w:t>低。</w:t>
            </w:r>
          </w:p>
          <w:p w14:paraId="4A36AD40">
            <w:pPr>
              <w:keepNext w:val="0"/>
              <w:keepLines w:val="0"/>
              <w:pageBreakBefore w:val="0"/>
              <w:widowControl/>
              <w:kinsoku/>
              <w:wordWrap/>
              <w:overflowPunct w:val="0"/>
              <w:topLinePunct/>
              <w:autoSpaceDE w:val="0"/>
              <w:autoSpaceDN/>
              <w:bidi w:val="0"/>
              <w:adjustRightInd/>
              <w:snapToGrid/>
              <w:spacing w:line="336" w:lineRule="auto"/>
              <w:ind w:firstLine="482" w:firstLineChars="200"/>
              <w:textAlignment w:val="baseline"/>
              <w:rPr>
                <w:rFonts w:hint="default" w:ascii="Times New Roman" w:hAnsi="Times New Roman" w:eastAsia="宋体" w:cs="Times New Roman"/>
                <w:b/>
                <w:snapToGrid w:val="0"/>
                <w:color w:val="auto"/>
                <w:sz w:val="24"/>
                <w:szCs w:val="24"/>
                <w:highlight w:val="none"/>
              </w:rPr>
            </w:pPr>
            <w:r>
              <w:rPr>
                <w:rFonts w:hint="eastAsia" w:ascii="Times New Roman" w:hAnsi="Times New Roman" w:eastAsia="宋体" w:cs="Times New Roman"/>
                <w:b/>
                <w:snapToGrid w:val="0"/>
                <w:color w:val="auto"/>
                <w:sz w:val="24"/>
                <w:szCs w:val="24"/>
                <w:highlight w:val="none"/>
                <w:lang w:val="en-US" w:eastAsia="zh-CN"/>
              </w:rPr>
              <w:t>八</w:t>
            </w:r>
            <w:r>
              <w:rPr>
                <w:rFonts w:hint="eastAsia" w:ascii="Times New Roman" w:hAnsi="Times New Roman" w:eastAsia="宋体" w:cs="Times New Roman"/>
                <w:b/>
                <w:snapToGrid w:val="0"/>
                <w:color w:val="auto"/>
                <w:sz w:val="24"/>
                <w:szCs w:val="24"/>
                <w:highlight w:val="none"/>
                <w:lang w:eastAsia="zh-CN"/>
              </w:rPr>
              <w:t>、</w:t>
            </w:r>
            <w:r>
              <w:rPr>
                <w:rFonts w:hint="default" w:ascii="Times New Roman" w:hAnsi="Times New Roman" w:eastAsia="宋体" w:cs="Times New Roman"/>
                <w:b/>
                <w:snapToGrid w:val="0"/>
                <w:color w:val="auto"/>
                <w:sz w:val="24"/>
                <w:szCs w:val="24"/>
                <w:highlight w:val="none"/>
              </w:rPr>
              <w:t>环保投资估算</w:t>
            </w:r>
          </w:p>
          <w:p w14:paraId="16347E3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snapToGrid w:val="0"/>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本</w:t>
            </w:r>
            <w:r>
              <w:rPr>
                <w:rFonts w:hint="default" w:ascii="Times New Roman" w:hAnsi="Times New Roman" w:eastAsia="宋体" w:cs="Times New Roman"/>
                <w:color w:val="auto"/>
                <w:kern w:val="0"/>
                <w:sz w:val="24"/>
                <w:szCs w:val="24"/>
                <w:highlight w:val="none"/>
                <w:lang w:val="en-US" w:eastAsia="zh-CN" w:bidi="ar"/>
              </w:rPr>
              <w:t>项目总投资</w:t>
            </w:r>
            <w:r>
              <w:rPr>
                <w:rFonts w:hint="eastAsia" w:cs="Times New Roman"/>
                <w:color w:val="auto"/>
                <w:sz w:val="24"/>
                <w:szCs w:val="24"/>
                <w:highlight w:val="none"/>
                <w:lang w:val="en-US" w:eastAsia="zh-CN"/>
              </w:rPr>
              <w:t>3000</w:t>
            </w:r>
            <w:r>
              <w:rPr>
                <w:rFonts w:hint="default" w:ascii="Times New Roman" w:hAnsi="Times New Roman" w:eastAsia="宋体" w:cs="Times New Roman"/>
                <w:color w:val="auto"/>
                <w:kern w:val="0"/>
                <w:sz w:val="24"/>
                <w:szCs w:val="24"/>
                <w:highlight w:val="none"/>
                <w:lang w:val="en-US" w:eastAsia="zh-CN" w:bidi="ar"/>
              </w:rPr>
              <w:t>万元，其中环保投资估算为</w:t>
            </w:r>
            <w:r>
              <w:rPr>
                <w:rFonts w:hint="eastAsia" w:cs="Times New Roman"/>
                <w:color w:val="auto"/>
                <w:sz w:val="24"/>
                <w:szCs w:val="24"/>
                <w:highlight w:val="none"/>
                <w:lang w:val="en-US" w:eastAsia="zh-CN"/>
              </w:rPr>
              <w:t>59</w:t>
            </w:r>
            <w:r>
              <w:rPr>
                <w:rFonts w:hint="default" w:ascii="Times New Roman" w:hAnsi="Times New Roman" w:eastAsia="宋体" w:cs="Times New Roman"/>
                <w:color w:val="auto"/>
                <w:kern w:val="0"/>
                <w:sz w:val="24"/>
                <w:szCs w:val="24"/>
                <w:highlight w:val="none"/>
                <w:lang w:val="en-US" w:eastAsia="zh-CN" w:bidi="ar"/>
              </w:rPr>
              <w:t>万元，约占工程总投资</w:t>
            </w:r>
            <w:r>
              <w:rPr>
                <w:rFonts w:hint="eastAsia" w:cs="Times New Roman"/>
                <w:color w:val="auto"/>
                <w:kern w:val="0"/>
                <w:sz w:val="24"/>
                <w:szCs w:val="24"/>
                <w:highlight w:val="none"/>
                <w:lang w:val="en-US" w:eastAsia="zh-CN" w:bidi="ar"/>
              </w:rPr>
              <w:t>1.97</w:t>
            </w:r>
            <w:r>
              <w:rPr>
                <w:rFonts w:hint="default" w:ascii="Times New Roman" w:hAnsi="Times New Roman" w:eastAsia="宋体" w:cs="Times New Roman"/>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。环保治理措施及投资见下表</w:t>
            </w:r>
            <w:r>
              <w:rPr>
                <w:rFonts w:hint="default" w:ascii="Times New Roman" w:hAnsi="Times New Roman" w:eastAsia="宋体" w:cs="Times New Roman"/>
                <w:snapToGrid w:val="0"/>
                <w:color w:val="auto"/>
                <w:sz w:val="24"/>
                <w:szCs w:val="24"/>
                <w:highlight w:val="none"/>
              </w:rPr>
              <w:t>。</w:t>
            </w:r>
          </w:p>
          <w:p w14:paraId="7B69298E">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t>表</w:t>
            </w:r>
            <w:r>
              <w:rPr>
                <w:rFonts w:hint="eastAsia" w:ascii="Times New Roman" w:hAnsi="Times New Roman" w:eastAsia="宋体" w:cs="Times New Roman"/>
                <w:b/>
                <w:snapToGrid w:val="0"/>
                <w:color w:val="auto"/>
                <w:kern w:val="2"/>
                <w:sz w:val="21"/>
                <w:szCs w:val="21"/>
                <w:highlight w:val="none"/>
                <w:shd w:val="clear" w:color="auto" w:fill="auto"/>
                <w:lang w:val="en-US" w:eastAsia="zh-CN" w:bidi="ar-SA"/>
              </w:rPr>
              <w:t>4-</w:t>
            </w:r>
            <w:r>
              <w:rPr>
                <w:rFonts w:hint="eastAsia" w:cs="Times New Roman"/>
                <w:b/>
                <w:snapToGrid w:val="0"/>
                <w:color w:val="auto"/>
                <w:kern w:val="2"/>
                <w:sz w:val="21"/>
                <w:szCs w:val="21"/>
                <w:highlight w:val="none"/>
                <w:shd w:val="clear" w:color="auto" w:fill="auto"/>
                <w:lang w:val="en-US" w:eastAsia="zh-CN" w:bidi="ar-SA"/>
              </w:rPr>
              <w:t>24</w:t>
            </w:r>
            <w:r>
              <w:rPr>
                <w:rFonts w:hint="eastAsia" w:ascii="Times New Roman" w:hAnsi="Times New Roman" w:eastAsia="宋体" w:cs="Times New Roman"/>
                <w:b/>
                <w:snapToGrid w:val="0"/>
                <w:color w:val="auto"/>
                <w:kern w:val="2"/>
                <w:sz w:val="21"/>
                <w:szCs w:val="21"/>
                <w:highlight w:val="none"/>
                <w:shd w:val="clear" w:color="auto" w:fill="auto"/>
                <w:lang w:val="en-US" w:eastAsia="zh-CN" w:bidi="ar-SA"/>
              </w:rPr>
              <w:t xml:space="preserve"> </w:t>
            </w:r>
            <w: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t xml:space="preserve"> 环保投资</w:t>
            </w:r>
            <w:r>
              <w:rPr>
                <w:rFonts w:hint="eastAsia" w:ascii="Times New Roman" w:hAnsi="Times New Roman" w:eastAsia="宋体" w:cs="Times New Roman"/>
                <w:b/>
                <w:snapToGrid w:val="0"/>
                <w:color w:val="auto"/>
                <w:kern w:val="2"/>
                <w:sz w:val="21"/>
                <w:szCs w:val="21"/>
                <w:highlight w:val="none"/>
                <w:shd w:val="clear" w:color="auto" w:fill="auto"/>
                <w:lang w:val="en-US" w:eastAsia="zh-CN" w:bidi="ar-SA"/>
              </w:rPr>
              <w:t>估</w:t>
            </w:r>
            <w: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t>算一览表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787"/>
              <w:gridCol w:w="2572"/>
              <w:gridCol w:w="2956"/>
              <w:gridCol w:w="1437"/>
            </w:tblGrid>
            <w:tr w14:paraId="0CD9B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67" w:type="pct"/>
                  <w:tcBorders>
                    <w:tl2br w:val="nil"/>
                    <w:tr2bl w:val="nil"/>
                  </w:tcBorders>
                  <w:noWrap w:val="0"/>
                  <w:vAlign w:val="center"/>
                </w:tcPr>
                <w:p w14:paraId="267A1FA8">
                  <w:pPr>
                    <w:widowControl w:val="0"/>
                    <w:spacing w:line="240" w:lineRule="auto"/>
                    <w:ind w:firstLine="0"/>
                    <w:jc w:val="center"/>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序号</w:t>
                  </w:r>
                </w:p>
              </w:tc>
              <w:tc>
                <w:tcPr>
                  <w:tcW w:w="1963" w:type="pct"/>
                  <w:gridSpan w:val="2"/>
                  <w:tcBorders>
                    <w:tl2br w:val="nil"/>
                    <w:tr2bl w:val="nil"/>
                  </w:tcBorders>
                  <w:noWrap w:val="0"/>
                  <w:vAlign w:val="center"/>
                </w:tcPr>
                <w:p w14:paraId="0E598A62">
                  <w:pPr>
                    <w:widowControl w:val="0"/>
                    <w:spacing w:line="240" w:lineRule="auto"/>
                    <w:ind w:firstLine="0"/>
                    <w:jc w:val="center"/>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项目</w:t>
                  </w:r>
                </w:p>
              </w:tc>
              <w:tc>
                <w:tcPr>
                  <w:tcW w:w="1728" w:type="pct"/>
                  <w:tcBorders>
                    <w:tl2br w:val="nil"/>
                    <w:tr2bl w:val="nil"/>
                  </w:tcBorders>
                  <w:noWrap w:val="0"/>
                  <w:vAlign w:val="center"/>
                </w:tcPr>
                <w:p w14:paraId="7DED0B8B">
                  <w:pPr>
                    <w:widowControl w:val="0"/>
                    <w:spacing w:line="240" w:lineRule="auto"/>
                    <w:ind w:firstLine="0"/>
                    <w:jc w:val="center"/>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主要措施</w:t>
                  </w:r>
                </w:p>
              </w:tc>
              <w:tc>
                <w:tcPr>
                  <w:tcW w:w="840" w:type="pct"/>
                  <w:tcBorders>
                    <w:tl2br w:val="nil"/>
                    <w:tr2bl w:val="nil"/>
                  </w:tcBorders>
                  <w:noWrap w:val="0"/>
                  <w:vAlign w:val="center"/>
                </w:tcPr>
                <w:p w14:paraId="3398CD2F">
                  <w:pPr>
                    <w:widowControl w:val="0"/>
                    <w:spacing w:line="240" w:lineRule="auto"/>
                    <w:ind w:firstLine="0"/>
                    <w:jc w:val="center"/>
                    <w:rPr>
                      <w:rFonts w:ascii="Times New Roman" w:hAnsi="Times New Roman" w:eastAsia="宋体" w:cs="Times New Roman"/>
                      <w:b/>
                      <w:bCs/>
                      <w:color w:val="auto"/>
                      <w:kern w:val="2"/>
                      <w:sz w:val="21"/>
                      <w:szCs w:val="21"/>
                      <w:highlight w:val="none"/>
                      <w:lang w:val="en-US" w:eastAsia="zh-CN" w:bidi="ar-SA"/>
                    </w:rPr>
                  </w:pPr>
                  <w:r>
                    <w:rPr>
                      <w:rFonts w:ascii="Times New Roman" w:hAnsi="Times New Roman" w:eastAsia="宋体" w:cs="Times New Roman"/>
                      <w:b/>
                      <w:bCs/>
                      <w:color w:val="auto"/>
                      <w:kern w:val="2"/>
                      <w:sz w:val="21"/>
                      <w:szCs w:val="21"/>
                      <w:highlight w:val="none"/>
                      <w:lang w:val="en-US" w:eastAsia="zh-CN" w:bidi="ar-SA"/>
                    </w:rPr>
                    <w:t>投资（万元）</w:t>
                  </w:r>
                </w:p>
              </w:tc>
            </w:tr>
            <w:tr w14:paraId="39D87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7" w:type="pct"/>
                  <w:tcBorders>
                    <w:tl2br w:val="nil"/>
                    <w:tr2bl w:val="nil"/>
                  </w:tcBorders>
                  <w:noWrap w:val="0"/>
                  <w:vAlign w:val="center"/>
                </w:tcPr>
                <w:p w14:paraId="0E07A107">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1</w:t>
                  </w:r>
                </w:p>
              </w:tc>
              <w:tc>
                <w:tcPr>
                  <w:tcW w:w="460" w:type="pct"/>
                  <w:tcBorders>
                    <w:tl2br w:val="nil"/>
                    <w:tr2bl w:val="nil"/>
                  </w:tcBorders>
                  <w:noWrap w:val="0"/>
                  <w:vAlign w:val="center"/>
                </w:tcPr>
                <w:p w14:paraId="3DF5BE49">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废水</w:t>
                  </w:r>
                </w:p>
              </w:tc>
              <w:tc>
                <w:tcPr>
                  <w:tcW w:w="1503" w:type="pct"/>
                  <w:tcBorders>
                    <w:tl2br w:val="nil"/>
                    <w:tr2bl w:val="nil"/>
                  </w:tcBorders>
                  <w:noWrap w:val="0"/>
                  <w:vAlign w:val="center"/>
                </w:tcPr>
                <w:p w14:paraId="7743C264">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化粪池</w:t>
                  </w:r>
                </w:p>
              </w:tc>
              <w:tc>
                <w:tcPr>
                  <w:tcW w:w="1728" w:type="pct"/>
                  <w:tcBorders>
                    <w:tl2br w:val="nil"/>
                    <w:tr2bl w:val="nil"/>
                  </w:tcBorders>
                  <w:noWrap w:val="0"/>
                  <w:vAlign w:val="center"/>
                </w:tcPr>
                <w:p w14:paraId="054D1864">
                  <w:pPr>
                    <w:widowControl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沉淀池+</w:t>
                  </w:r>
                  <w:r>
                    <w:rPr>
                      <w:rFonts w:hint="eastAsia" w:ascii="Times New Roman" w:hAnsi="Times New Roman" w:eastAsia="宋体" w:cs="Times New Roman"/>
                      <w:color w:val="auto"/>
                      <w:kern w:val="2"/>
                      <w:sz w:val="21"/>
                      <w:szCs w:val="21"/>
                      <w:highlight w:val="none"/>
                      <w:lang w:val="en-US" w:eastAsia="zh-CN" w:bidi="ar-SA"/>
                    </w:rPr>
                    <w:t>化粪池</w:t>
                  </w:r>
                </w:p>
              </w:tc>
              <w:tc>
                <w:tcPr>
                  <w:tcW w:w="840" w:type="pct"/>
                  <w:tcBorders>
                    <w:tl2br w:val="nil"/>
                    <w:tr2bl w:val="nil"/>
                  </w:tcBorders>
                  <w:noWrap w:val="0"/>
                  <w:vAlign w:val="center"/>
                </w:tcPr>
                <w:p w14:paraId="0FCA71D2">
                  <w:pPr>
                    <w:widowControl w:val="0"/>
                    <w:spacing w:line="240" w:lineRule="auto"/>
                    <w:ind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r>
            <w:tr w14:paraId="7DC8D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4" w:hRule="atLeast"/>
                <w:jc w:val="center"/>
              </w:trPr>
              <w:tc>
                <w:tcPr>
                  <w:tcW w:w="467" w:type="pct"/>
                  <w:tcBorders>
                    <w:tl2br w:val="nil"/>
                    <w:tr2bl w:val="nil"/>
                  </w:tcBorders>
                  <w:noWrap w:val="0"/>
                  <w:vAlign w:val="center"/>
                </w:tcPr>
                <w:p w14:paraId="402A4EA1">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2</w:t>
                  </w:r>
                </w:p>
              </w:tc>
              <w:tc>
                <w:tcPr>
                  <w:tcW w:w="460" w:type="pct"/>
                  <w:tcBorders>
                    <w:tl2br w:val="nil"/>
                    <w:tr2bl w:val="nil"/>
                  </w:tcBorders>
                  <w:noWrap w:val="0"/>
                  <w:vAlign w:val="center"/>
                </w:tcPr>
                <w:p w14:paraId="700E1CA8">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废气</w:t>
                  </w:r>
                </w:p>
              </w:tc>
              <w:tc>
                <w:tcPr>
                  <w:tcW w:w="1503" w:type="pct"/>
                  <w:tcBorders>
                    <w:tl2br w:val="nil"/>
                    <w:tr2bl w:val="nil"/>
                  </w:tcBorders>
                  <w:noWrap w:val="0"/>
                  <w:vAlign w:val="center"/>
                </w:tcPr>
                <w:p w14:paraId="25ADB124">
                  <w:pPr>
                    <w:widowControl w:val="0"/>
                    <w:spacing w:line="240" w:lineRule="auto"/>
                    <w:ind w:firstLine="0"/>
                    <w:jc w:val="center"/>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加料、投料搅拌粉尘、</w:t>
                  </w:r>
                </w:p>
                <w:p w14:paraId="76D3C643">
                  <w:pPr>
                    <w:widowControl w:val="0"/>
                    <w:spacing w:line="240" w:lineRule="auto"/>
                    <w:ind w:firstLine="0"/>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（灌装）涂布废气、制胶废气、</w:t>
                  </w:r>
                  <w:r>
                    <w:rPr>
                      <w:rFonts w:hint="eastAsia" w:cs="Times New Roman"/>
                      <w:color w:val="auto"/>
                      <w:kern w:val="2"/>
                      <w:sz w:val="21"/>
                      <w:szCs w:val="21"/>
                      <w:highlight w:val="none"/>
                      <w:shd w:val="clear" w:color="auto" w:fill="auto"/>
                      <w:lang w:val="en-US" w:eastAsia="zh-CN" w:bidi="ar-SA"/>
                    </w:rPr>
                    <w:t>生产废气、</w:t>
                  </w:r>
                  <w:r>
                    <w:rPr>
                      <w:rFonts w:hint="eastAsia" w:ascii="Times New Roman" w:hAnsi="Times New Roman" w:eastAsia="宋体" w:cs="Times New Roman"/>
                      <w:color w:val="auto"/>
                      <w:kern w:val="2"/>
                      <w:sz w:val="21"/>
                      <w:szCs w:val="21"/>
                      <w:highlight w:val="none"/>
                      <w:shd w:val="clear" w:color="auto" w:fill="auto"/>
                      <w:lang w:val="en-US" w:eastAsia="zh-CN" w:bidi="ar-SA"/>
                    </w:rPr>
                    <w:t>喷码废气</w:t>
                  </w:r>
                </w:p>
              </w:tc>
              <w:tc>
                <w:tcPr>
                  <w:tcW w:w="1728" w:type="pct"/>
                  <w:tcBorders>
                    <w:tl2br w:val="nil"/>
                    <w:tr2bl w:val="nil"/>
                  </w:tcBorders>
                  <w:noWrap w:val="0"/>
                  <w:vAlign w:val="center"/>
                </w:tcPr>
                <w:p w14:paraId="456F8F1B">
                  <w:pPr>
                    <w:widowControl w:val="0"/>
                    <w:spacing w:line="240" w:lineRule="auto"/>
                    <w:ind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空气净化系统</w:t>
                  </w:r>
                  <w:r>
                    <w:rPr>
                      <w:rFonts w:hint="eastAsia" w:cs="Times New Roman"/>
                      <w:color w:val="auto"/>
                      <w:kern w:val="2"/>
                      <w:sz w:val="21"/>
                      <w:szCs w:val="21"/>
                      <w:highlight w:val="none"/>
                      <w:shd w:val="clear" w:color="auto" w:fill="auto"/>
                      <w:lang w:val="en-US" w:eastAsia="zh-CN" w:bidi="ar-SA"/>
                    </w:rPr>
                    <w:t>+二级活性炭吸附装置</w:t>
                  </w:r>
                </w:p>
              </w:tc>
              <w:tc>
                <w:tcPr>
                  <w:tcW w:w="840" w:type="pct"/>
                  <w:tcBorders>
                    <w:tl2br w:val="nil"/>
                    <w:tr2bl w:val="nil"/>
                  </w:tcBorders>
                  <w:noWrap w:val="0"/>
                  <w:vAlign w:val="center"/>
                </w:tcPr>
                <w:p w14:paraId="5701661C">
                  <w:pPr>
                    <w:widowControl w:val="0"/>
                    <w:spacing w:line="240" w:lineRule="auto"/>
                    <w:ind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w:t>
                  </w:r>
                </w:p>
              </w:tc>
            </w:tr>
            <w:tr w14:paraId="55DDB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467" w:type="pct"/>
                  <w:vMerge w:val="restart"/>
                  <w:tcBorders>
                    <w:tl2br w:val="nil"/>
                    <w:tr2bl w:val="nil"/>
                  </w:tcBorders>
                  <w:noWrap w:val="0"/>
                  <w:vAlign w:val="center"/>
                </w:tcPr>
                <w:p w14:paraId="64AC976D">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3</w:t>
                  </w:r>
                </w:p>
              </w:tc>
              <w:tc>
                <w:tcPr>
                  <w:tcW w:w="460" w:type="pct"/>
                  <w:vMerge w:val="restart"/>
                  <w:tcBorders>
                    <w:tl2br w:val="nil"/>
                    <w:tr2bl w:val="nil"/>
                  </w:tcBorders>
                  <w:noWrap w:val="0"/>
                  <w:vAlign w:val="center"/>
                </w:tcPr>
                <w:p w14:paraId="5964517E">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固废</w:t>
                  </w:r>
                </w:p>
              </w:tc>
              <w:tc>
                <w:tcPr>
                  <w:tcW w:w="1503" w:type="pct"/>
                  <w:tcBorders>
                    <w:tl2br w:val="nil"/>
                    <w:tr2bl w:val="nil"/>
                  </w:tcBorders>
                  <w:noWrap w:val="0"/>
                  <w:vAlign w:val="center"/>
                </w:tcPr>
                <w:p w14:paraId="32481C4A">
                  <w:pPr>
                    <w:widowControl w:val="0"/>
                    <w:spacing w:line="240" w:lineRule="auto"/>
                    <w:ind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一般固废</w:t>
                  </w:r>
                </w:p>
              </w:tc>
              <w:tc>
                <w:tcPr>
                  <w:tcW w:w="1728" w:type="pct"/>
                  <w:tcBorders>
                    <w:tl2br w:val="nil"/>
                    <w:tr2bl w:val="nil"/>
                  </w:tcBorders>
                  <w:noWrap w:val="0"/>
                  <w:vAlign w:val="center"/>
                </w:tcPr>
                <w:p w14:paraId="4C527A9E">
                  <w:pPr>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一般固废暂存间（占地面积10m</w:t>
                  </w:r>
                  <w:r>
                    <w:rPr>
                      <w:rFonts w:hint="eastAsia" w:ascii="Times New Roman" w:hAnsi="Times New Roman" w:eastAsia="宋体" w:cs="Times New Roman"/>
                      <w:color w:val="auto"/>
                      <w:kern w:val="2"/>
                      <w:sz w:val="21"/>
                      <w:szCs w:val="21"/>
                      <w:highlight w:val="none"/>
                      <w:vertAlign w:val="super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w:t>
                  </w:r>
                </w:p>
              </w:tc>
              <w:tc>
                <w:tcPr>
                  <w:tcW w:w="840" w:type="pct"/>
                  <w:tcBorders>
                    <w:tl2br w:val="nil"/>
                    <w:tr2bl w:val="nil"/>
                  </w:tcBorders>
                  <w:noWrap w:val="0"/>
                  <w:vAlign w:val="center"/>
                </w:tcPr>
                <w:p w14:paraId="68383ADA">
                  <w:pPr>
                    <w:widowControl w:val="0"/>
                    <w:spacing w:line="240" w:lineRule="auto"/>
                    <w:ind w:firstLine="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r>
            <w:tr w14:paraId="5FE85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67" w:type="pct"/>
                  <w:vMerge w:val="continue"/>
                  <w:tcBorders>
                    <w:tl2br w:val="nil"/>
                    <w:tr2bl w:val="nil"/>
                  </w:tcBorders>
                  <w:noWrap w:val="0"/>
                  <w:vAlign w:val="center"/>
                </w:tcPr>
                <w:p w14:paraId="59FC9445">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p>
              </w:tc>
              <w:tc>
                <w:tcPr>
                  <w:tcW w:w="460" w:type="pct"/>
                  <w:vMerge w:val="continue"/>
                  <w:tcBorders>
                    <w:tl2br w:val="nil"/>
                    <w:tr2bl w:val="nil"/>
                  </w:tcBorders>
                  <w:noWrap w:val="0"/>
                  <w:vAlign w:val="center"/>
                </w:tcPr>
                <w:p w14:paraId="0C64DAE9">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p>
              </w:tc>
              <w:tc>
                <w:tcPr>
                  <w:tcW w:w="1503" w:type="pct"/>
                  <w:tcBorders>
                    <w:tl2br w:val="nil"/>
                    <w:tr2bl w:val="nil"/>
                  </w:tcBorders>
                  <w:noWrap w:val="0"/>
                  <w:vAlign w:val="center"/>
                </w:tcPr>
                <w:p w14:paraId="306FFC40">
                  <w:pPr>
                    <w:widowControl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危险废物</w:t>
                  </w:r>
                </w:p>
              </w:tc>
              <w:tc>
                <w:tcPr>
                  <w:tcW w:w="1728" w:type="pct"/>
                  <w:tcBorders>
                    <w:tl2br w:val="nil"/>
                    <w:tr2bl w:val="nil"/>
                  </w:tcBorders>
                  <w:noWrap w:val="0"/>
                  <w:vAlign w:val="center"/>
                </w:tcPr>
                <w:p w14:paraId="27431800">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1"/>
                      <w:sz w:val="21"/>
                      <w:szCs w:val="21"/>
                      <w:highlight w:val="none"/>
                      <w:shd w:val="clear" w:color="auto" w:fill="auto"/>
                      <w:lang w:val="en-US" w:eastAsia="zh-CN"/>
                    </w:rPr>
                    <w:t>危废间（占地面积5m</w:t>
                  </w:r>
                  <w:r>
                    <w:rPr>
                      <w:rFonts w:hint="eastAsia" w:ascii="Times New Roman" w:hAnsi="Times New Roman" w:eastAsia="宋体" w:cs="Times New Roman"/>
                      <w:color w:val="auto"/>
                      <w:kern w:val="21"/>
                      <w:sz w:val="21"/>
                      <w:szCs w:val="21"/>
                      <w:highlight w:val="none"/>
                      <w:shd w:val="clear" w:color="auto" w:fill="auto"/>
                      <w:vertAlign w:val="superscript"/>
                      <w:lang w:val="en-US" w:eastAsia="zh-CN"/>
                    </w:rPr>
                    <w:t>2</w:t>
                  </w:r>
                  <w:r>
                    <w:rPr>
                      <w:rFonts w:hint="eastAsia" w:ascii="Times New Roman" w:hAnsi="Times New Roman" w:eastAsia="宋体" w:cs="Times New Roman"/>
                      <w:color w:val="auto"/>
                      <w:kern w:val="21"/>
                      <w:sz w:val="21"/>
                      <w:szCs w:val="21"/>
                      <w:highlight w:val="none"/>
                      <w:shd w:val="clear" w:color="auto" w:fill="auto"/>
                      <w:lang w:val="en-US" w:eastAsia="zh-CN"/>
                    </w:rPr>
                    <w:t>）</w:t>
                  </w:r>
                </w:p>
              </w:tc>
              <w:tc>
                <w:tcPr>
                  <w:tcW w:w="840" w:type="pct"/>
                  <w:tcBorders>
                    <w:tl2br w:val="nil"/>
                    <w:tr2bl w:val="nil"/>
                  </w:tcBorders>
                  <w:noWrap w:val="0"/>
                  <w:vAlign w:val="center"/>
                </w:tcPr>
                <w:p w14:paraId="136A9B75">
                  <w:pPr>
                    <w:widowControl w:val="0"/>
                    <w:spacing w:line="240" w:lineRule="auto"/>
                    <w:ind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r>
            <w:tr w14:paraId="002DF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7" w:type="pct"/>
                  <w:vMerge w:val="continue"/>
                  <w:tcBorders>
                    <w:tl2br w:val="nil"/>
                    <w:tr2bl w:val="nil"/>
                  </w:tcBorders>
                  <w:noWrap w:val="0"/>
                  <w:vAlign w:val="center"/>
                </w:tcPr>
                <w:p w14:paraId="0C1B940A">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p>
              </w:tc>
              <w:tc>
                <w:tcPr>
                  <w:tcW w:w="460" w:type="pct"/>
                  <w:vMerge w:val="continue"/>
                  <w:tcBorders>
                    <w:tl2br w:val="nil"/>
                    <w:tr2bl w:val="nil"/>
                  </w:tcBorders>
                  <w:noWrap w:val="0"/>
                  <w:vAlign w:val="center"/>
                </w:tcPr>
                <w:p w14:paraId="33A98F9E">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p>
              </w:tc>
              <w:tc>
                <w:tcPr>
                  <w:tcW w:w="1503" w:type="pct"/>
                  <w:tcBorders>
                    <w:tl2br w:val="nil"/>
                    <w:tr2bl w:val="nil"/>
                  </w:tcBorders>
                  <w:noWrap w:val="0"/>
                  <w:vAlign w:val="center"/>
                </w:tcPr>
                <w:p w14:paraId="188F2859">
                  <w:pPr>
                    <w:widowControl w:val="0"/>
                    <w:spacing w:line="240" w:lineRule="auto"/>
                    <w:ind w:firstLine="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生活垃圾</w:t>
                  </w:r>
                </w:p>
              </w:tc>
              <w:tc>
                <w:tcPr>
                  <w:tcW w:w="1728" w:type="pct"/>
                  <w:tcBorders>
                    <w:tl2br w:val="nil"/>
                    <w:tr2bl w:val="nil"/>
                  </w:tcBorders>
                  <w:noWrap w:val="0"/>
                  <w:vAlign w:val="center"/>
                </w:tcPr>
                <w:p w14:paraId="2B03E41A">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交由环卫部门</w:t>
                  </w:r>
                </w:p>
              </w:tc>
              <w:tc>
                <w:tcPr>
                  <w:tcW w:w="840" w:type="pct"/>
                  <w:tcBorders>
                    <w:tl2br w:val="nil"/>
                    <w:tr2bl w:val="nil"/>
                  </w:tcBorders>
                  <w:noWrap w:val="0"/>
                  <w:vAlign w:val="center"/>
                </w:tcPr>
                <w:p w14:paraId="2A8EFCCB">
                  <w:pPr>
                    <w:widowControl w:val="0"/>
                    <w:spacing w:line="240" w:lineRule="auto"/>
                    <w:ind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r>
            <w:tr w14:paraId="4FE81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7" w:type="pct"/>
                  <w:tcBorders>
                    <w:tl2br w:val="nil"/>
                    <w:tr2bl w:val="nil"/>
                  </w:tcBorders>
                  <w:noWrap w:val="0"/>
                  <w:vAlign w:val="center"/>
                </w:tcPr>
                <w:p w14:paraId="391B0871">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4</w:t>
                  </w:r>
                </w:p>
              </w:tc>
              <w:tc>
                <w:tcPr>
                  <w:tcW w:w="1963" w:type="pct"/>
                  <w:gridSpan w:val="2"/>
                  <w:tcBorders>
                    <w:tl2br w:val="nil"/>
                    <w:tr2bl w:val="nil"/>
                  </w:tcBorders>
                  <w:noWrap w:val="0"/>
                  <w:vAlign w:val="center"/>
                </w:tcPr>
                <w:p w14:paraId="5A796E5C">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噪声</w:t>
                  </w:r>
                </w:p>
              </w:tc>
              <w:tc>
                <w:tcPr>
                  <w:tcW w:w="1728" w:type="pct"/>
                  <w:tcBorders>
                    <w:tl2br w:val="nil"/>
                    <w:tr2bl w:val="nil"/>
                  </w:tcBorders>
                  <w:noWrap w:val="0"/>
                  <w:vAlign w:val="center"/>
                </w:tcPr>
                <w:p w14:paraId="55264566">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隔声、减振等措施</w:t>
                  </w:r>
                </w:p>
              </w:tc>
              <w:tc>
                <w:tcPr>
                  <w:tcW w:w="840" w:type="pct"/>
                  <w:tcBorders>
                    <w:tl2br w:val="nil"/>
                    <w:tr2bl w:val="nil"/>
                  </w:tcBorders>
                  <w:noWrap w:val="0"/>
                  <w:vAlign w:val="center"/>
                </w:tcPr>
                <w:p w14:paraId="4968D310">
                  <w:pPr>
                    <w:widowControl w:val="0"/>
                    <w:spacing w:line="240" w:lineRule="auto"/>
                    <w:ind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r>
            <w:tr w14:paraId="17413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67" w:type="pct"/>
                  <w:tcBorders>
                    <w:tl2br w:val="nil"/>
                    <w:tr2bl w:val="nil"/>
                  </w:tcBorders>
                  <w:noWrap w:val="0"/>
                  <w:vAlign w:val="center"/>
                </w:tcPr>
                <w:p w14:paraId="05FE46FC">
                  <w:pPr>
                    <w:widowControl w:val="0"/>
                    <w:spacing w:line="240" w:lineRule="auto"/>
                    <w:ind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1963" w:type="pct"/>
                  <w:gridSpan w:val="2"/>
                  <w:tcBorders>
                    <w:tl2br w:val="nil"/>
                    <w:tr2bl w:val="nil"/>
                  </w:tcBorders>
                  <w:noWrap w:val="0"/>
                  <w:vAlign w:val="center"/>
                </w:tcPr>
                <w:p w14:paraId="0675AB5B">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bidi="ar-SA"/>
                    </w:rPr>
                    <w:t>地下水、土壤</w:t>
                  </w:r>
                </w:p>
              </w:tc>
              <w:tc>
                <w:tcPr>
                  <w:tcW w:w="1728" w:type="pct"/>
                  <w:tcBorders>
                    <w:tl2br w:val="nil"/>
                    <w:tr2bl w:val="nil"/>
                  </w:tcBorders>
                  <w:noWrap w:val="0"/>
                  <w:vAlign w:val="center"/>
                </w:tcPr>
                <w:p w14:paraId="1A6E266A">
                  <w:pPr>
                    <w:widowControl w:val="0"/>
                    <w:spacing w:line="240" w:lineRule="auto"/>
                    <w:ind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分区防渗</w:t>
                  </w:r>
                </w:p>
              </w:tc>
              <w:tc>
                <w:tcPr>
                  <w:tcW w:w="840" w:type="pct"/>
                  <w:tcBorders>
                    <w:tl2br w:val="nil"/>
                    <w:tr2bl w:val="nil"/>
                  </w:tcBorders>
                  <w:noWrap w:val="0"/>
                  <w:vAlign w:val="center"/>
                </w:tcPr>
                <w:p w14:paraId="3758D891">
                  <w:pPr>
                    <w:widowControl w:val="0"/>
                    <w:spacing w:line="240" w:lineRule="auto"/>
                    <w:ind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r>
            <w:tr w14:paraId="6BAEB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431" w:type="pct"/>
                  <w:gridSpan w:val="3"/>
                  <w:tcBorders>
                    <w:tl2br w:val="nil"/>
                    <w:tr2bl w:val="nil"/>
                  </w:tcBorders>
                  <w:noWrap w:val="0"/>
                  <w:vAlign w:val="center"/>
                </w:tcPr>
                <w:p w14:paraId="70ECFCBB">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合计</w:t>
                  </w:r>
                </w:p>
              </w:tc>
              <w:tc>
                <w:tcPr>
                  <w:tcW w:w="1728" w:type="pct"/>
                  <w:tcBorders>
                    <w:tl2br w:val="nil"/>
                    <w:tr2bl w:val="nil"/>
                  </w:tcBorders>
                  <w:noWrap w:val="0"/>
                  <w:vAlign w:val="center"/>
                </w:tcPr>
                <w:p w14:paraId="03D4E02A">
                  <w:pPr>
                    <w:widowControl w:val="0"/>
                    <w:spacing w:line="240" w:lineRule="auto"/>
                    <w:ind w:firstLine="0"/>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w:t>
                  </w:r>
                </w:p>
              </w:tc>
              <w:tc>
                <w:tcPr>
                  <w:tcW w:w="840" w:type="pct"/>
                  <w:tcBorders>
                    <w:tl2br w:val="nil"/>
                    <w:tr2bl w:val="nil"/>
                  </w:tcBorders>
                  <w:noWrap w:val="0"/>
                  <w:vAlign w:val="center"/>
                </w:tcPr>
                <w:p w14:paraId="5C8AB0D3">
                  <w:pPr>
                    <w:widowControl w:val="0"/>
                    <w:spacing w:line="240" w:lineRule="auto"/>
                    <w:ind w:firstLine="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59</w:t>
                  </w:r>
                </w:p>
              </w:tc>
            </w:tr>
          </w:tbl>
          <w:p w14:paraId="70C5EAC3">
            <w:pPr>
              <w:widowControl/>
              <w:overflowPunct w:val="0"/>
              <w:topLinePunct/>
              <w:autoSpaceDE w:val="0"/>
              <w:spacing w:line="360" w:lineRule="auto"/>
              <w:ind w:firstLine="482" w:firstLineChars="200"/>
              <w:textAlignment w:val="baseline"/>
              <w:rPr>
                <w:b/>
                <w:snapToGrid w:val="0"/>
                <w:color w:val="FF0000"/>
                <w:sz w:val="24"/>
                <w:szCs w:val="24"/>
              </w:rPr>
            </w:pPr>
            <w:commentRangeStart w:id="50"/>
            <w:r>
              <w:rPr>
                <w:rFonts w:hint="eastAsia"/>
                <w:b/>
                <w:snapToGrid w:val="0"/>
                <w:color w:val="FF0000"/>
                <w:sz w:val="24"/>
                <w:szCs w:val="24"/>
              </w:rPr>
              <w:t>九、</w:t>
            </w:r>
            <w:commentRangeEnd w:id="50"/>
            <w:r>
              <w:commentReference w:id="50"/>
            </w:r>
            <w:r>
              <w:rPr>
                <w:rFonts w:hint="eastAsia"/>
                <w:b/>
                <w:snapToGrid w:val="0"/>
                <w:color w:val="FF0000"/>
                <w:sz w:val="24"/>
                <w:szCs w:val="24"/>
                <w:lang w:val="en-US" w:eastAsia="zh-CN"/>
              </w:rPr>
              <w:t>项</w:t>
            </w:r>
            <w:r>
              <w:rPr>
                <w:rFonts w:hint="eastAsia" w:ascii="Times New Roman" w:hAnsi="Times New Roman" w:eastAsia="宋体" w:cs="Times New Roman"/>
                <w:b/>
                <w:bCs w:val="0"/>
                <w:snapToGrid w:val="0"/>
                <w:color w:val="FF0000"/>
                <w:sz w:val="24"/>
                <w:szCs w:val="24"/>
                <w:lang w:val="en-US" w:eastAsia="zh-CN"/>
              </w:rPr>
              <w:t>目变更前后“三废”产排量</w:t>
            </w:r>
            <w:r>
              <w:rPr>
                <w:rFonts w:hint="eastAsia" w:ascii="Times New Roman" w:hAnsi="Times New Roman" w:eastAsia="宋体" w:cs="Times New Roman"/>
                <w:b/>
                <w:bCs w:val="0"/>
                <w:snapToGrid w:val="0"/>
                <w:color w:val="FF0000"/>
                <w:sz w:val="24"/>
                <w:szCs w:val="24"/>
              </w:rPr>
              <w:t>分</w:t>
            </w:r>
            <w:r>
              <w:rPr>
                <w:b/>
                <w:snapToGrid w:val="0"/>
                <w:color w:val="FF0000"/>
                <w:sz w:val="24"/>
                <w:szCs w:val="24"/>
              </w:rPr>
              <w:t>析</w:t>
            </w:r>
          </w:p>
          <w:p w14:paraId="7619CDEA">
            <w:pPr>
              <w:spacing w:line="360" w:lineRule="auto"/>
              <w:ind w:firstLine="480" w:firstLineChars="200"/>
              <w:rPr>
                <w:b/>
                <w:bCs/>
                <w:color w:val="FF0000"/>
                <w:sz w:val="24"/>
                <w:szCs w:val="24"/>
              </w:rPr>
            </w:pPr>
            <w:r>
              <w:rPr>
                <w:bCs/>
                <w:snapToGrid w:val="0"/>
                <w:color w:val="FF0000"/>
                <w:sz w:val="24"/>
                <w:szCs w:val="24"/>
              </w:rPr>
              <w:t>本项目</w:t>
            </w:r>
            <w:r>
              <w:rPr>
                <w:rFonts w:hint="eastAsia"/>
                <w:bCs/>
                <w:snapToGrid w:val="0"/>
                <w:color w:val="FF0000"/>
                <w:sz w:val="24"/>
                <w:szCs w:val="24"/>
                <w:lang w:val="en-US" w:eastAsia="zh-CN"/>
              </w:rPr>
              <w:t>变动</w:t>
            </w:r>
            <w:r>
              <w:rPr>
                <w:bCs/>
                <w:snapToGrid w:val="0"/>
                <w:color w:val="FF0000"/>
                <w:sz w:val="24"/>
                <w:szCs w:val="24"/>
              </w:rPr>
              <w:t>后的项目产污情况与现有项目变化情况见</w:t>
            </w:r>
            <w:r>
              <w:rPr>
                <w:rFonts w:hint="eastAsia"/>
                <w:bCs/>
                <w:snapToGrid w:val="0"/>
                <w:color w:val="FF0000"/>
                <w:sz w:val="24"/>
                <w:szCs w:val="24"/>
                <w:lang w:val="en-US" w:eastAsia="zh-CN"/>
              </w:rPr>
              <w:t>下</w:t>
            </w:r>
            <w:r>
              <w:rPr>
                <w:bCs/>
                <w:snapToGrid w:val="0"/>
                <w:color w:val="FF0000"/>
                <w:sz w:val="24"/>
                <w:szCs w:val="24"/>
              </w:rPr>
              <w:t>表。</w:t>
            </w:r>
          </w:p>
          <w:p w14:paraId="7D2843F9">
            <w:pPr>
              <w:keepNext w:val="0"/>
              <w:keepLines w:val="0"/>
              <w:widowControl/>
              <w:suppressLineNumbers w:val="0"/>
              <w:spacing w:line="240" w:lineRule="auto"/>
              <w:jc w:val="center"/>
              <w:rPr>
                <w:rFonts w:hint="default" w:ascii="Times New Roman" w:hAnsi="Times New Roman" w:eastAsia="宋体" w:cs="Times New Roman"/>
                <w:b w:val="0"/>
                <w:bCs w:val="0"/>
                <w:color w:val="FF0000"/>
                <w:spacing w:val="0"/>
                <w:kern w:val="0"/>
                <w:sz w:val="24"/>
                <w:szCs w:val="24"/>
                <w:lang w:val="en-US" w:eastAsia="zh-CN"/>
              </w:rPr>
            </w:pPr>
            <w:r>
              <w:rPr>
                <w:b/>
                <w:bCs/>
                <w:color w:val="FF0000"/>
                <w:szCs w:val="22"/>
              </w:rPr>
              <w:t>表</w:t>
            </w:r>
            <w:r>
              <w:rPr>
                <w:rFonts w:hint="eastAsia"/>
                <w:b/>
                <w:bCs/>
                <w:color w:val="FF0000"/>
                <w:szCs w:val="22"/>
              </w:rPr>
              <w:t>4-</w:t>
            </w:r>
            <w:r>
              <w:rPr>
                <w:rFonts w:hint="eastAsia"/>
                <w:b/>
                <w:bCs/>
                <w:color w:val="FF0000"/>
                <w:szCs w:val="22"/>
                <w:lang w:val="en-US" w:eastAsia="zh-CN"/>
              </w:rPr>
              <w:t xml:space="preserve">25 </w:t>
            </w:r>
            <w:r>
              <w:rPr>
                <w:rFonts w:hint="eastAsia"/>
                <w:b/>
                <w:bCs/>
                <w:color w:val="FF0000"/>
                <w:szCs w:val="22"/>
              </w:rPr>
              <w:t xml:space="preserve"> </w:t>
            </w:r>
            <w:r>
              <w:rPr>
                <w:rFonts w:hint="eastAsia" w:ascii="Times New Roman" w:hAnsi="Times New Roman" w:eastAsia="宋体" w:cs="Times New Roman"/>
                <w:b/>
                <w:bCs/>
                <w:color w:val="FF0000"/>
                <w:szCs w:val="22"/>
                <w:lang w:val="en-US" w:eastAsia="zh-CN"/>
              </w:rPr>
              <w:t>变更前后“三废”产排量</w:t>
            </w:r>
            <w:r>
              <w:rPr>
                <w:rFonts w:ascii="Times New Roman" w:hAnsi="Times New Roman" w:eastAsia="宋体" w:cs="Times New Roman"/>
                <w:b/>
                <w:bCs/>
                <w:color w:val="FF0000"/>
                <w:szCs w:val="22"/>
              </w:rPr>
              <w:t>一览</w:t>
            </w:r>
            <w:r>
              <w:rPr>
                <w:b/>
                <w:bCs/>
                <w:color w:val="FF0000"/>
                <w:szCs w:val="22"/>
              </w:rPr>
              <w:t>表</w:t>
            </w:r>
          </w:p>
          <w:tbl>
            <w:tblPr>
              <w:tblStyle w:val="24"/>
              <w:tblW w:w="855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23"/>
              <w:gridCol w:w="1339"/>
              <w:gridCol w:w="498"/>
              <w:gridCol w:w="1148"/>
              <w:gridCol w:w="1098"/>
              <w:gridCol w:w="1228"/>
              <w:gridCol w:w="1439"/>
              <w:gridCol w:w="977"/>
            </w:tblGrid>
            <w:tr w14:paraId="1CB567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5" w:hRule="atLeast"/>
                <w:tblHeader/>
                <w:jc w:val="center"/>
              </w:trPr>
              <w:tc>
                <w:tcPr>
                  <w:tcW w:w="481" w:type="pct"/>
                  <w:tcBorders>
                    <w:tl2br w:val="nil"/>
                    <w:tr2bl w:val="nil"/>
                  </w:tcBorders>
                  <w:noWrap w:val="0"/>
                  <w:vAlign w:val="center"/>
                </w:tcPr>
                <w:p w14:paraId="4B6C4BA2">
                  <w:pPr>
                    <w:spacing w:before="60" w:after="60" w:line="240" w:lineRule="auto"/>
                    <w:jc w:val="center"/>
                    <w:rPr>
                      <w:rFonts w:hint="default" w:ascii="Times New Roman" w:hAnsi="Times New Roman" w:cs="Times New Roman"/>
                      <w:b/>
                      <w:color w:val="FF0000"/>
                      <w:sz w:val="21"/>
                      <w:szCs w:val="21"/>
                    </w:rPr>
                  </w:pPr>
                  <w:r>
                    <w:rPr>
                      <w:rFonts w:hint="default" w:ascii="Times New Roman" w:hAnsi="Times New Roman" w:cs="Times New Roman"/>
                      <w:b/>
                      <w:color w:val="FF0000"/>
                      <w:sz w:val="21"/>
                      <w:szCs w:val="21"/>
                    </w:rPr>
                    <w:t>类别</w:t>
                  </w:r>
                </w:p>
              </w:tc>
              <w:tc>
                <w:tcPr>
                  <w:tcW w:w="783" w:type="pct"/>
                  <w:tcBorders>
                    <w:tl2br w:val="nil"/>
                    <w:tr2bl w:val="nil"/>
                  </w:tcBorders>
                  <w:noWrap w:val="0"/>
                  <w:vAlign w:val="center"/>
                </w:tcPr>
                <w:p w14:paraId="68AA1FDE">
                  <w:pPr>
                    <w:spacing w:before="60" w:after="60" w:line="240" w:lineRule="auto"/>
                    <w:jc w:val="center"/>
                    <w:rPr>
                      <w:rFonts w:hint="default" w:ascii="Times New Roman" w:hAnsi="Times New Roman" w:cs="Times New Roman"/>
                      <w:b/>
                      <w:color w:val="FF0000"/>
                      <w:sz w:val="21"/>
                      <w:szCs w:val="21"/>
                    </w:rPr>
                  </w:pPr>
                  <w:r>
                    <w:rPr>
                      <w:rFonts w:hint="default" w:ascii="Times New Roman" w:hAnsi="Times New Roman" w:cs="Times New Roman"/>
                      <w:b/>
                      <w:color w:val="FF0000"/>
                      <w:sz w:val="21"/>
                      <w:szCs w:val="21"/>
                    </w:rPr>
                    <w:t>污染物名称</w:t>
                  </w:r>
                </w:p>
              </w:tc>
              <w:tc>
                <w:tcPr>
                  <w:tcW w:w="291" w:type="pct"/>
                  <w:tcBorders>
                    <w:tl2br w:val="nil"/>
                    <w:tr2bl w:val="nil"/>
                  </w:tcBorders>
                  <w:noWrap w:val="0"/>
                  <w:vAlign w:val="center"/>
                </w:tcPr>
                <w:p w14:paraId="33619A6C">
                  <w:pPr>
                    <w:spacing w:before="60" w:after="60" w:line="240" w:lineRule="auto"/>
                    <w:jc w:val="center"/>
                    <w:rPr>
                      <w:rFonts w:hint="default" w:ascii="Times New Roman" w:hAnsi="Times New Roman" w:cs="Times New Roman"/>
                      <w:b/>
                      <w:color w:val="FF0000"/>
                      <w:sz w:val="21"/>
                      <w:szCs w:val="21"/>
                    </w:rPr>
                  </w:pPr>
                  <w:r>
                    <w:rPr>
                      <w:rFonts w:hint="default" w:ascii="Times New Roman" w:hAnsi="Times New Roman" w:cs="Times New Roman"/>
                      <w:b/>
                      <w:color w:val="FF0000"/>
                      <w:sz w:val="21"/>
                      <w:szCs w:val="21"/>
                    </w:rPr>
                    <w:t>单位</w:t>
                  </w:r>
                </w:p>
              </w:tc>
              <w:tc>
                <w:tcPr>
                  <w:tcW w:w="671" w:type="pct"/>
                  <w:tcBorders>
                    <w:tl2br w:val="nil"/>
                    <w:tr2bl w:val="nil"/>
                  </w:tcBorders>
                  <w:noWrap w:val="0"/>
                  <w:vAlign w:val="center"/>
                </w:tcPr>
                <w:p w14:paraId="49AF7E66">
                  <w:pPr>
                    <w:spacing w:before="60" w:after="60" w:line="240" w:lineRule="auto"/>
                    <w:jc w:val="center"/>
                    <w:rPr>
                      <w:rFonts w:hint="default" w:ascii="Times New Roman" w:hAnsi="Times New Roman" w:cs="Times New Roman"/>
                      <w:b/>
                      <w:color w:val="FF0000"/>
                      <w:sz w:val="21"/>
                      <w:szCs w:val="21"/>
                    </w:rPr>
                  </w:pPr>
                  <w:r>
                    <w:rPr>
                      <w:rFonts w:hint="eastAsia" w:cs="Times New Roman"/>
                      <w:b/>
                      <w:color w:val="FF0000"/>
                      <w:sz w:val="21"/>
                      <w:szCs w:val="21"/>
                      <w:lang w:val="en-US" w:eastAsia="zh-CN"/>
                    </w:rPr>
                    <w:t>原环评项目</w:t>
                  </w:r>
                  <w:r>
                    <w:rPr>
                      <w:rFonts w:hint="default" w:ascii="Times New Roman" w:hAnsi="Times New Roman" w:cs="Times New Roman"/>
                      <w:b/>
                      <w:color w:val="FF0000"/>
                      <w:sz w:val="21"/>
                      <w:szCs w:val="21"/>
                    </w:rPr>
                    <w:t>排放量</w:t>
                  </w:r>
                </w:p>
              </w:tc>
              <w:tc>
                <w:tcPr>
                  <w:tcW w:w="642" w:type="pct"/>
                  <w:tcBorders>
                    <w:tl2br w:val="nil"/>
                    <w:tr2bl w:val="nil"/>
                  </w:tcBorders>
                  <w:noWrap w:val="0"/>
                  <w:vAlign w:val="center"/>
                </w:tcPr>
                <w:p w14:paraId="33B14E06">
                  <w:pPr>
                    <w:spacing w:before="60" w:after="60" w:line="240" w:lineRule="auto"/>
                    <w:jc w:val="center"/>
                    <w:rPr>
                      <w:rFonts w:hint="default" w:ascii="Times New Roman" w:hAnsi="Times New Roman" w:cs="Times New Roman"/>
                      <w:b/>
                      <w:color w:val="FF0000"/>
                      <w:sz w:val="21"/>
                      <w:szCs w:val="21"/>
                    </w:rPr>
                  </w:pPr>
                  <w:r>
                    <w:rPr>
                      <w:rFonts w:hint="eastAsia" w:cs="Times New Roman"/>
                      <w:b/>
                      <w:color w:val="FF0000"/>
                      <w:sz w:val="21"/>
                      <w:szCs w:val="21"/>
                      <w:lang w:val="en-US" w:eastAsia="zh-CN"/>
                    </w:rPr>
                    <w:t>变动后</w:t>
                  </w:r>
                  <w:r>
                    <w:rPr>
                      <w:rFonts w:hint="default" w:ascii="Times New Roman" w:hAnsi="Times New Roman" w:cs="Times New Roman"/>
                      <w:b/>
                      <w:color w:val="FF0000"/>
                      <w:sz w:val="21"/>
                      <w:szCs w:val="21"/>
                    </w:rPr>
                    <w:t>项目排放量</w:t>
                  </w:r>
                </w:p>
              </w:tc>
              <w:tc>
                <w:tcPr>
                  <w:tcW w:w="718" w:type="pct"/>
                  <w:tcBorders>
                    <w:tl2br w:val="nil"/>
                    <w:tr2bl w:val="nil"/>
                  </w:tcBorders>
                  <w:noWrap w:val="0"/>
                  <w:vAlign w:val="center"/>
                </w:tcPr>
                <w:p w14:paraId="6B89E6F6">
                  <w:pPr>
                    <w:spacing w:before="60" w:after="60" w:line="240" w:lineRule="auto"/>
                    <w:jc w:val="center"/>
                    <w:rPr>
                      <w:rFonts w:hint="default" w:ascii="Times New Roman" w:hAnsi="Times New Roman" w:cs="Times New Roman"/>
                      <w:b/>
                      <w:color w:val="FF0000"/>
                      <w:sz w:val="21"/>
                      <w:szCs w:val="21"/>
                    </w:rPr>
                  </w:pPr>
                  <w:r>
                    <w:rPr>
                      <w:rFonts w:hint="default" w:ascii="Times New Roman" w:hAnsi="Times New Roman" w:cs="Times New Roman"/>
                      <w:b/>
                      <w:color w:val="FF0000"/>
                      <w:sz w:val="21"/>
                      <w:szCs w:val="21"/>
                    </w:rPr>
                    <w:t>以新带老</w:t>
                  </w:r>
                </w:p>
                <w:p w14:paraId="0EDD81F9">
                  <w:pPr>
                    <w:spacing w:before="60" w:after="60" w:line="240" w:lineRule="auto"/>
                    <w:jc w:val="center"/>
                    <w:rPr>
                      <w:rFonts w:hint="default" w:ascii="Times New Roman" w:hAnsi="Times New Roman" w:cs="Times New Roman"/>
                      <w:b/>
                      <w:color w:val="FF0000"/>
                      <w:sz w:val="21"/>
                      <w:szCs w:val="21"/>
                    </w:rPr>
                  </w:pPr>
                  <w:r>
                    <w:rPr>
                      <w:rFonts w:hint="default" w:ascii="Times New Roman" w:hAnsi="Times New Roman" w:cs="Times New Roman"/>
                      <w:b/>
                      <w:color w:val="FF0000"/>
                      <w:sz w:val="21"/>
                      <w:szCs w:val="21"/>
                    </w:rPr>
                    <w:t>消减量</w:t>
                  </w:r>
                </w:p>
              </w:tc>
              <w:tc>
                <w:tcPr>
                  <w:tcW w:w="841" w:type="pct"/>
                  <w:tcBorders>
                    <w:tl2br w:val="nil"/>
                    <w:tr2bl w:val="nil"/>
                  </w:tcBorders>
                  <w:noWrap w:val="0"/>
                  <w:vAlign w:val="center"/>
                </w:tcPr>
                <w:p w14:paraId="79EFFF4C">
                  <w:pPr>
                    <w:spacing w:before="60" w:after="60" w:line="240" w:lineRule="auto"/>
                    <w:jc w:val="center"/>
                    <w:rPr>
                      <w:rFonts w:hint="default" w:ascii="Times New Roman" w:hAnsi="Times New Roman" w:cs="Times New Roman"/>
                      <w:b/>
                      <w:color w:val="FF0000"/>
                      <w:sz w:val="21"/>
                      <w:szCs w:val="21"/>
                    </w:rPr>
                  </w:pPr>
                  <w:r>
                    <w:rPr>
                      <w:rFonts w:hint="eastAsia" w:cs="Times New Roman"/>
                      <w:b/>
                      <w:color w:val="FF0000"/>
                      <w:sz w:val="21"/>
                      <w:szCs w:val="21"/>
                      <w:lang w:val="en-US" w:eastAsia="zh-CN"/>
                    </w:rPr>
                    <w:t>变动</w:t>
                  </w:r>
                  <w:r>
                    <w:rPr>
                      <w:rFonts w:hint="default" w:ascii="Times New Roman" w:hAnsi="Times New Roman" w:cs="Times New Roman"/>
                      <w:b/>
                      <w:color w:val="FF0000"/>
                      <w:sz w:val="21"/>
                      <w:szCs w:val="21"/>
                    </w:rPr>
                    <w:t>后</w:t>
                  </w:r>
                </w:p>
                <w:p w14:paraId="6551ADEC">
                  <w:pPr>
                    <w:spacing w:before="60" w:after="60" w:line="240" w:lineRule="auto"/>
                    <w:jc w:val="center"/>
                    <w:rPr>
                      <w:rFonts w:hint="default" w:ascii="Times New Roman" w:hAnsi="Times New Roman" w:cs="Times New Roman"/>
                      <w:b/>
                      <w:color w:val="FF0000"/>
                      <w:sz w:val="21"/>
                      <w:szCs w:val="21"/>
                    </w:rPr>
                  </w:pPr>
                  <w:r>
                    <w:rPr>
                      <w:rFonts w:hint="eastAsia" w:ascii="Times New Roman" w:hAnsi="Times New Roman" w:cs="Times New Roman"/>
                      <w:b/>
                      <w:color w:val="FF0000"/>
                      <w:sz w:val="21"/>
                      <w:szCs w:val="21"/>
                      <w:lang w:val="en-US" w:eastAsia="zh-CN"/>
                    </w:rPr>
                    <w:t>全厂</w:t>
                  </w:r>
                  <w:r>
                    <w:rPr>
                      <w:rFonts w:hint="default" w:ascii="Times New Roman" w:hAnsi="Times New Roman" w:cs="Times New Roman"/>
                      <w:b/>
                      <w:color w:val="FF0000"/>
                      <w:sz w:val="21"/>
                      <w:szCs w:val="21"/>
                    </w:rPr>
                    <w:t>排放量</w:t>
                  </w:r>
                </w:p>
              </w:tc>
              <w:tc>
                <w:tcPr>
                  <w:tcW w:w="571" w:type="pct"/>
                  <w:tcBorders>
                    <w:tl2br w:val="nil"/>
                    <w:tr2bl w:val="nil"/>
                  </w:tcBorders>
                  <w:noWrap w:val="0"/>
                  <w:vAlign w:val="center"/>
                </w:tcPr>
                <w:p w14:paraId="6FAD1365">
                  <w:pPr>
                    <w:spacing w:before="60" w:after="60" w:line="240" w:lineRule="auto"/>
                    <w:jc w:val="center"/>
                    <w:rPr>
                      <w:rFonts w:hint="default" w:ascii="Times New Roman" w:hAnsi="Times New Roman" w:cs="Times New Roman"/>
                      <w:b/>
                      <w:color w:val="FF0000"/>
                      <w:sz w:val="21"/>
                      <w:szCs w:val="21"/>
                    </w:rPr>
                  </w:pPr>
                  <w:r>
                    <w:rPr>
                      <w:rFonts w:hint="default" w:ascii="Times New Roman" w:hAnsi="Times New Roman" w:cs="Times New Roman"/>
                      <w:b/>
                      <w:color w:val="FF0000"/>
                      <w:sz w:val="21"/>
                      <w:szCs w:val="21"/>
                    </w:rPr>
                    <w:t>排放增</w:t>
                  </w:r>
                </w:p>
                <w:p w14:paraId="714E114F">
                  <w:pPr>
                    <w:spacing w:before="60" w:after="60" w:line="240" w:lineRule="auto"/>
                    <w:jc w:val="center"/>
                    <w:rPr>
                      <w:rFonts w:hint="default" w:ascii="Times New Roman" w:hAnsi="Times New Roman" w:cs="Times New Roman"/>
                      <w:b/>
                      <w:color w:val="FF0000"/>
                      <w:sz w:val="21"/>
                      <w:szCs w:val="21"/>
                    </w:rPr>
                  </w:pPr>
                  <w:r>
                    <w:rPr>
                      <w:rFonts w:hint="default" w:ascii="Times New Roman" w:hAnsi="Times New Roman" w:cs="Times New Roman"/>
                      <w:b/>
                      <w:color w:val="FF0000"/>
                      <w:sz w:val="21"/>
                      <w:szCs w:val="21"/>
                    </w:rPr>
                    <w:t>减量</w:t>
                  </w:r>
                </w:p>
              </w:tc>
            </w:tr>
            <w:tr w14:paraId="2A3DDD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0" w:hRule="atLeast"/>
                <w:jc w:val="center"/>
              </w:trPr>
              <w:tc>
                <w:tcPr>
                  <w:tcW w:w="481" w:type="pct"/>
                  <w:vMerge w:val="restart"/>
                  <w:tcBorders>
                    <w:tl2br w:val="nil"/>
                    <w:tr2bl w:val="nil"/>
                  </w:tcBorders>
                  <w:noWrap w:val="0"/>
                  <w:vAlign w:val="center"/>
                </w:tcPr>
                <w:p w14:paraId="13F4EE60">
                  <w:pPr>
                    <w:spacing w:before="60" w:after="60" w:line="240" w:lineRule="auto"/>
                    <w:jc w:val="center"/>
                    <w:rPr>
                      <w:rFonts w:hint="default" w:ascii="Times New Roman" w:hAnsi="Times New Roman" w:eastAsia="宋体" w:cs="Times New Roman"/>
                      <w:color w:val="FF0000"/>
                      <w:sz w:val="21"/>
                      <w:szCs w:val="21"/>
                      <w:lang w:eastAsia="zh-CN"/>
                    </w:rPr>
                  </w:pPr>
                  <w:r>
                    <w:rPr>
                      <w:rFonts w:hint="default" w:ascii="Times New Roman" w:hAnsi="Times New Roman" w:cs="Times New Roman"/>
                      <w:color w:val="FF0000"/>
                      <w:sz w:val="21"/>
                      <w:szCs w:val="21"/>
                    </w:rPr>
                    <w:t>废气</w:t>
                  </w:r>
                </w:p>
              </w:tc>
              <w:tc>
                <w:tcPr>
                  <w:tcW w:w="783" w:type="pct"/>
                  <w:tcBorders>
                    <w:tl2br w:val="nil"/>
                    <w:tr2bl w:val="nil"/>
                  </w:tcBorders>
                  <w:noWrap w:val="0"/>
                  <w:vAlign w:val="center"/>
                </w:tcPr>
                <w:p w14:paraId="029C13CB">
                  <w:pPr>
                    <w:pStyle w:val="52"/>
                    <w:spacing w:beforeLines="0" w:afterLines="0" w:line="240" w:lineRule="auto"/>
                    <w:ind w:firstLine="0" w:firstLineChars="0"/>
                    <w:rPr>
                      <w:rFonts w:hint="default" w:ascii="Times New Roman" w:hAnsi="Times New Roman" w:cs="Times New Roman"/>
                      <w:bCs/>
                      <w:color w:val="FF0000"/>
                      <w:sz w:val="21"/>
                      <w:szCs w:val="21"/>
                      <w:lang w:val="en-US" w:eastAsia="zh-CN" w:bidi="ar-SA"/>
                    </w:rPr>
                  </w:pPr>
                  <w:r>
                    <w:rPr>
                      <w:rFonts w:hint="default" w:ascii="Times New Roman" w:hAnsi="Times New Roman" w:eastAsia="宋体" w:cs="Times New Roman"/>
                      <w:snapToGrid w:val="0"/>
                      <w:color w:val="FF0000"/>
                      <w:kern w:val="21"/>
                      <w:sz w:val="21"/>
                      <w:szCs w:val="21"/>
                      <w:lang w:eastAsia="zh-CN"/>
                    </w:rPr>
                    <w:t>非甲烷总烃</w:t>
                  </w:r>
                </w:p>
              </w:tc>
              <w:tc>
                <w:tcPr>
                  <w:tcW w:w="291" w:type="pct"/>
                  <w:tcBorders>
                    <w:tl2br w:val="nil"/>
                    <w:tr2bl w:val="nil"/>
                  </w:tcBorders>
                  <w:noWrap w:val="0"/>
                  <w:vAlign w:val="center"/>
                </w:tcPr>
                <w:p w14:paraId="4A2C8F6F">
                  <w:pPr>
                    <w:spacing w:before="60" w:after="60" w:line="240" w:lineRule="auto"/>
                    <w:jc w:val="center"/>
                    <w:rPr>
                      <w:rFonts w:hint="default" w:ascii="Times New Roman" w:hAnsi="Times New Roman" w:cs="Times New Roman"/>
                      <w:color w:val="FF0000"/>
                      <w:kern w:val="2"/>
                      <w:sz w:val="21"/>
                      <w:szCs w:val="21"/>
                      <w:lang w:val="en-US" w:eastAsia="zh-CN" w:bidi="ar-SA"/>
                    </w:rPr>
                  </w:pPr>
                  <w:r>
                    <w:rPr>
                      <w:rFonts w:hint="default" w:ascii="Times New Roman" w:hAnsi="Times New Roman" w:cs="Times New Roman"/>
                      <w:color w:val="FF0000"/>
                      <w:sz w:val="21"/>
                      <w:szCs w:val="21"/>
                    </w:rPr>
                    <w:t>t/a</w:t>
                  </w:r>
                </w:p>
              </w:tc>
              <w:tc>
                <w:tcPr>
                  <w:tcW w:w="671" w:type="pct"/>
                  <w:tcBorders>
                    <w:tl2br w:val="nil"/>
                    <w:tr2bl w:val="nil"/>
                  </w:tcBorders>
                  <w:noWrap w:val="0"/>
                  <w:vAlign w:val="center"/>
                </w:tcPr>
                <w:p w14:paraId="661896EA">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w:t>
                  </w:r>
                </w:p>
              </w:tc>
              <w:tc>
                <w:tcPr>
                  <w:tcW w:w="642" w:type="pct"/>
                  <w:tcBorders>
                    <w:tl2br w:val="nil"/>
                    <w:tr2bl w:val="nil"/>
                  </w:tcBorders>
                  <w:noWrap w:val="0"/>
                  <w:vAlign w:val="center"/>
                </w:tcPr>
                <w:p w14:paraId="0125838D">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0.323</w:t>
                  </w:r>
                </w:p>
              </w:tc>
              <w:tc>
                <w:tcPr>
                  <w:tcW w:w="718" w:type="pct"/>
                  <w:tcBorders>
                    <w:tl2br w:val="nil"/>
                    <w:tr2bl w:val="nil"/>
                  </w:tcBorders>
                  <w:noWrap w:val="0"/>
                  <w:vAlign w:val="center"/>
                </w:tcPr>
                <w:p w14:paraId="64A0F67B">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w:t>
                  </w:r>
                </w:p>
              </w:tc>
              <w:tc>
                <w:tcPr>
                  <w:tcW w:w="841" w:type="pct"/>
                  <w:tcBorders>
                    <w:tl2br w:val="nil"/>
                    <w:tr2bl w:val="nil"/>
                  </w:tcBorders>
                  <w:noWrap w:val="0"/>
                  <w:vAlign w:val="center"/>
                </w:tcPr>
                <w:p w14:paraId="244E43AA">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0.323</w:t>
                  </w:r>
                </w:p>
              </w:tc>
              <w:tc>
                <w:tcPr>
                  <w:tcW w:w="571" w:type="pct"/>
                  <w:tcBorders>
                    <w:tl2br w:val="nil"/>
                    <w:tr2bl w:val="nil"/>
                  </w:tcBorders>
                  <w:noWrap w:val="0"/>
                  <w:vAlign w:val="center"/>
                </w:tcPr>
                <w:p w14:paraId="7BB5176E">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w:t>
                  </w:r>
                  <w:r>
                    <w:rPr>
                      <w:rFonts w:hint="eastAsia" w:ascii="Times New Roman" w:hAnsi="Times New Roman" w:eastAsia="宋体" w:cs="Times New Roman"/>
                      <w:b w:val="0"/>
                      <w:bCs w:val="0"/>
                      <w:color w:val="FF0000"/>
                      <w:kern w:val="2"/>
                      <w:sz w:val="21"/>
                      <w:szCs w:val="21"/>
                      <w:highlight w:val="none"/>
                      <w:lang w:val="en-US" w:eastAsia="zh-CN" w:bidi="ar-SA"/>
                    </w:rPr>
                    <w:t>0</w:t>
                  </w:r>
                  <w:r>
                    <w:rPr>
                      <w:rFonts w:hint="eastAsia" w:cs="Times New Roman"/>
                      <w:b w:val="0"/>
                      <w:bCs w:val="0"/>
                      <w:color w:val="FF0000"/>
                      <w:kern w:val="2"/>
                      <w:sz w:val="21"/>
                      <w:szCs w:val="21"/>
                      <w:highlight w:val="none"/>
                      <w:lang w:val="en-US" w:eastAsia="zh-CN" w:bidi="ar-SA"/>
                    </w:rPr>
                    <w:t>.323</w:t>
                  </w:r>
                </w:p>
              </w:tc>
            </w:tr>
            <w:tr w14:paraId="4847A2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21" w:hRule="atLeast"/>
                <w:jc w:val="center"/>
              </w:trPr>
              <w:tc>
                <w:tcPr>
                  <w:tcW w:w="481" w:type="pct"/>
                  <w:vMerge w:val="continue"/>
                  <w:tcBorders>
                    <w:tl2br w:val="nil"/>
                    <w:tr2bl w:val="nil"/>
                  </w:tcBorders>
                  <w:noWrap w:val="0"/>
                  <w:vAlign w:val="center"/>
                </w:tcPr>
                <w:p w14:paraId="00D2E937">
                  <w:pPr>
                    <w:spacing w:before="60" w:after="60" w:line="240" w:lineRule="auto"/>
                    <w:jc w:val="center"/>
                    <w:rPr>
                      <w:rFonts w:hint="default" w:ascii="Times New Roman" w:hAnsi="Times New Roman" w:cs="Times New Roman"/>
                      <w:color w:val="FF0000"/>
                      <w:sz w:val="21"/>
                      <w:szCs w:val="21"/>
                    </w:rPr>
                  </w:pPr>
                </w:p>
              </w:tc>
              <w:tc>
                <w:tcPr>
                  <w:tcW w:w="783" w:type="pct"/>
                  <w:tcBorders>
                    <w:tl2br w:val="nil"/>
                    <w:tr2bl w:val="nil"/>
                  </w:tcBorders>
                  <w:noWrap w:val="0"/>
                  <w:vAlign w:val="center"/>
                </w:tcPr>
                <w:p w14:paraId="74A681AA">
                  <w:pPr>
                    <w:pStyle w:val="52"/>
                    <w:spacing w:beforeLines="0" w:afterLines="0" w:line="240" w:lineRule="auto"/>
                    <w:ind w:firstLine="0" w:firstLineChars="0"/>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snapToGrid w:val="0"/>
                      <w:color w:val="FF0000"/>
                      <w:kern w:val="21"/>
                      <w:sz w:val="21"/>
                      <w:szCs w:val="21"/>
                      <w:lang w:val="en-US" w:eastAsia="zh-CN"/>
                    </w:rPr>
                    <w:t>颗粒物</w:t>
                  </w:r>
                </w:p>
              </w:tc>
              <w:tc>
                <w:tcPr>
                  <w:tcW w:w="291" w:type="pct"/>
                  <w:tcBorders>
                    <w:tl2br w:val="nil"/>
                    <w:tr2bl w:val="nil"/>
                  </w:tcBorders>
                  <w:noWrap w:val="0"/>
                  <w:vAlign w:val="center"/>
                </w:tcPr>
                <w:p w14:paraId="2AA7A05B">
                  <w:pPr>
                    <w:spacing w:before="60" w:after="60" w:line="240" w:lineRule="auto"/>
                    <w:jc w:val="center"/>
                    <w:rPr>
                      <w:rFonts w:hint="default" w:ascii="Times New Roman" w:hAnsi="Times New Roman" w:cs="Times New Roman"/>
                      <w:color w:val="FF0000"/>
                      <w:kern w:val="2"/>
                      <w:sz w:val="21"/>
                      <w:szCs w:val="21"/>
                      <w:lang w:val="en-US" w:eastAsia="zh-CN" w:bidi="ar-SA"/>
                    </w:rPr>
                  </w:pPr>
                  <w:r>
                    <w:rPr>
                      <w:rFonts w:hint="default" w:ascii="Times New Roman" w:hAnsi="Times New Roman" w:cs="Times New Roman"/>
                      <w:color w:val="FF0000"/>
                      <w:sz w:val="21"/>
                      <w:szCs w:val="21"/>
                    </w:rPr>
                    <w:t>t/a</w:t>
                  </w:r>
                </w:p>
              </w:tc>
              <w:tc>
                <w:tcPr>
                  <w:tcW w:w="671" w:type="pct"/>
                  <w:tcBorders>
                    <w:tl2br w:val="nil"/>
                    <w:tr2bl w:val="nil"/>
                  </w:tcBorders>
                  <w:noWrap w:val="0"/>
                  <w:vAlign w:val="center"/>
                </w:tcPr>
                <w:p w14:paraId="0DB132C1">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0.00138</w:t>
                  </w:r>
                </w:p>
              </w:tc>
              <w:tc>
                <w:tcPr>
                  <w:tcW w:w="642" w:type="pct"/>
                  <w:tcBorders>
                    <w:tl2br w:val="nil"/>
                    <w:tr2bl w:val="nil"/>
                  </w:tcBorders>
                  <w:noWrap w:val="0"/>
                  <w:vAlign w:val="center"/>
                </w:tcPr>
                <w:p w14:paraId="649D57DB">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0.001</w:t>
                  </w:r>
                  <w:r>
                    <w:rPr>
                      <w:rFonts w:hint="eastAsia" w:cs="Times New Roman"/>
                      <w:b w:val="0"/>
                      <w:bCs w:val="0"/>
                      <w:color w:val="FF0000"/>
                      <w:kern w:val="2"/>
                      <w:sz w:val="21"/>
                      <w:szCs w:val="21"/>
                      <w:highlight w:val="none"/>
                      <w:lang w:val="en-US" w:eastAsia="zh-CN" w:bidi="ar-SA"/>
                    </w:rPr>
                    <w:t>836</w:t>
                  </w:r>
                </w:p>
              </w:tc>
              <w:tc>
                <w:tcPr>
                  <w:tcW w:w="718" w:type="pct"/>
                  <w:tcBorders>
                    <w:tl2br w:val="nil"/>
                    <w:tr2bl w:val="nil"/>
                  </w:tcBorders>
                  <w:noWrap w:val="0"/>
                  <w:vAlign w:val="center"/>
                </w:tcPr>
                <w:p w14:paraId="1673CA58">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0.00138</w:t>
                  </w:r>
                </w:p>
              </w:tc>
              <w:tc>
                <w:tcPr>
                  <w:tcW w:w="841" w:type="pct"/>
                  <w:tcBorders>
                    <w:tl2br w:val="nil"/>
                    <w:tr2bl w:val="nil"/>
                  </w:tcBorders>
                  <w:noWrap w:val="0"/>
                  <w:vAlign w:val="center"/>
                </w:tcPr>
                <w:p w14:paraId="71945F29">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0.001</w:t>
                  </w:r>
                  <w:r>
                    <w:rPr>
                      <w:rFonts w:hint="eastAsia" w:cs="Times New Roman"/>
                      <w:b w:val="0"/>
                      <w:bCs w:val="0"/>
                      <w:color w:val="FF0000"/>
                      <w:kern w:val="2"/>
                      <w:sz w:val="21"/>
                      <w:szCs w:val="21"/>
                      <w:highlight w:val="none"/>
                      <w:lang w:val="en-US" w:eastAsia="zh-CN" w:bidi="ar-SA"/>
                    </w:rPr>
                    <w:t>836</w:t>
                  </w:r>
                </w:p>
              </w:tc>
              <w:tc>
                <w:tcPr>
                  <w:tcW w:w="571" w:type="pct"/>
                  <w:tcBorders>
                    <w:tl2br w:val="nil"/>
                    <w:tr2bl w:val="nil"/>
                  </w:tcBorders>
                  <w:noWrap w:val="0"/>
                  <w:vAlign w:val="center"/>
                </w:tcPr>
                <w:p w14:paraId="0B500329">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+0.000456</w:t>
                  </w:r>
                </w:p>
              </w:tc>
            </w:tr>
            <w:tr w14:paraId="7E8C2D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81" w:type="pct"/>
                  <w:vMerge w:val="continue"/>
                  <w:tcBorders>
                    <w:tl2br w:val="nil"/>
                    <w:tr2bl w:val="nil"/>
                  </w:tcBorders>
                  <w:noWrap w:val="0"/>
                  <w:vAlign w:val="center"/>
                </w:tcPr>
                <w:p w14:paraId="054CC3FA">
                  <w:pPr>
                    <w:spacing w:before="60" w:after="60" w:line="240" w:lineRule="auto"/>
                    <w:jc w:val="center"/>
                    <w:rPr>
                      <w:rFonts w:hint="default" w:ascii="Times New Roman" w:hAnsi="Times New Roman" w:cs="Times New Roman"/>
                      <w:color w:val="FF0000"/>
                      <w:sz w:val="21"/>
                      <w:szCs w:val="21"/>
                    </w:rPr>
                  </w:pPr>
                </w:p>
              </w:tc>
              <w:tc>
                <w:tcPr>
                  <w:tcW w:w="783" w:type="pct"/>
                  <w:tcBorders>
                    <w:tl2br w:val="nil"/>
                    <w:tr2bl w:val="nil"/>
                  </w:tcBorders>
                  <w:noWrap w:val="0"/>
                  <w:vAlign w:val="center"/>
                </w:tcPr>
                <w:p w14:paraId="12EC59AC">
                  <w:pPr>
                    <w:pStyle w:val="52"/>
                    <w:spacing w:beforeLines="0" w:afterLines="0" w:line="240" w:lineRule="auto"/>
                    <w:ind w:firstLine="0" w:firstLineChars="0"/>
                    <w:rPr>
                      <w:rFonts w:hint="default" w:ascii="Times New Roman" w:hAnsi="Times New Roman" w:cs="Times New Roman"/>
                      <w:bCs/>
                      <w:color w:val="FF0000"/>
                      <w:sz w:val="21"/>
                      <w:szCs w:val="21"/>
                      <w:lang w:val="en-US" w:eastAsia="zh-CN" w:bidi="ar-SA"/>
                    </w:rPr>
                  </w:pPr>
                  <w:r>
                    <w:rPr>
                      <w:rFonts w:hint="eastAsia" w:ascii="Times New Roman" w:hAnsi="Times New Roman" w:cs="Times New Roman"/>
                      <w:snapToGrid w:val="0"/>
                      <w:color w:val="FF0000"/>
                      <w:kern w:val="21"/>
                      <w:sz w:val="21"/>
                      <w:szCs w:val="21"/>
                      <w:lang w:val="en-US" w:eastAsia="zh-CN"/>
                    </w:rPr>
                    <w:t>氨</w:t>
                  </w:r>
                </w:p>
              </w:tc>
              <w:tc>
                <w:tcPr>
                  <w:tcW w:w="291" w:type="pct"/>
                  <w:tcBorders>
                    <w:tl2br w:val="nil"/>
                    <w:tr2bl w:val="nil"/>
                  </w:tcBorders>
                  <w:noWrap w:val="0"/>
                  <w:vAlign w:val="center"/>
                </w:tcPr>
                <w:p w14:paraId="32B0845C">
                  <w:pPr>
                    <w:spacing w:before="60" w:after="60" w:line="240" w:lineRule="auto"/>
                    <w:jc w:val="center"/>
                    <w:rPr>
                      <w:rFonts w:hint="default" w:ascii="Times New Roman" w:hAnsi="Times New Roman" w:cs="Times New Roman"/>
                      <w:color w:val="FF0000"/>
                      <w:kern w:val="2"/>
                      <w:sz w:val="21"/>
                      <w:szCs w:val="21"/>
                      <w:lang w:val="en-US" w:eastAsia="zh-CN" w:bidi="ar-SA"/>
                    </w:rPr>
                  </w:pPr>
                  <w:r>
                    <w:rPr>
                      <w:rFonts w:hint="default" w:ascii="Times New Roman" w:hAnsi="Times New Roman" w:cs="Times New Roman"/>
                      <w:color w:val="FF0000"/>
                      <w:sz w:val="21"/>
                      <w:szCs w:val="21"/>
                    </w:rPr>
                    <w:t>t/a</w:t>
                  </w:r>
                </w:p>
              </w:tc>
              <w:tc>
                <w:tcPr>
                  <w:tcW w:w="671" w:type="pct"/>
                  <w:tcBorders>
                    <w:tl2br w:val="nil"/>
                    <w:tr2bl w:val="nil"/>
                  </w:tcBorders>
                  <w:noWrap w:val="0"/>
                  <w:vAlign w:val="center"/>
                </w:tcPr>
                <w:p w14:paraId="00E3C93A">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w:t>
                  </w:r>
                </w:p>
              </w:tc>
              <w:tc>
                <w:tcPr>
                  <w:tcW w:w="642" w:type="pct"/>
                  <w:tcBorders>
                    <w:tl2br w:val="nil"/>
                    <w:tr2bl w:val="nil"/>
                  </w:tcBorders>
                  <w:noWrap w:val="0"/>
                  <w:vAlign w:val="center"/>
                </w:tcPr>
                <w:p w14:paraId="11B6BA16">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0.0025</w:t>
                  </w:r>
                </w:p>
              </w:tc>
              <w:tc>
                <w:tcPr>
                  <w:tcW w:w="718" w:type="pct"/>
                  <w:tcBorders>
                    <w:tl2br w:val="nil"/>
                    <w:tr2bl w:val="nil"/>
                  </w:tcBorders>
                  <w:noWrap w:val="0"/>
                  <w:vAlign w:val="center"/>
                </w:tcPr>
                <w:p w14:paraId="1540234B">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w:t>
                  </w:r>
                </w:p>
              </w:tc>
              <w:tc>
                <w:tcPr>
                  <w:tcW w:w="841" w:type="pct"/>
                  <w:tcBorders>
                    <w:tl2br w:val="nil"/>
                    <w:tr2bl w:val="nil"/>
                  </w:tcBorders>
                  <w:noWrap w:val="0"/>
                  <w:vAlign w:val="center"/>
                </w:tcPr>
                <w:p w14:paraId="4CA8F522">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0.0025</w:t>
                  </w:r>
                </w:p>
              </w:tc>
              <w:tc>
                <w:tcPr>
                  <w:tcW w:w="571" w:type="pct"/>
                  <w:tcBorders>
                    <w:tl2br w:val="nil"/>
                    <w:tr2bl w:val="nil"/>
                  </w:tcBorders>
                  <w:noWrap w:val="0"/>
                  <w:vAlign w:val="center"/>
                </w:tcPr>
                <w:p w14:paraId="32752B4C">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w:t>
                  </w:r>
                </w:p>
              </w:tc>
            </w:tr>
            <w:tr w14:paraId="7B51E9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481" w:type="pct"/>
                  <w:vMerge w:val="restart"/>
                  <w:tcBorders>
                    <w:tl2br w:val="nil"/>
                    <w:tr2bl w:val="nil"/>
                  </w:tcBorders>
                  <w:noWrap w:val="0"/>
                  <w:vAlign w:val="center"/>
                </w:tcPr>
                <w:p w14:paraId="4F6FC135">
                  <w:pPr>
                    <w:spacing w:before="60" w:after="60"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废水</w:t>
                  </w:r>
                </w:p>
              </w:tc>
              <w:tc>
                <w:tcPr>
                  <w:tcW w:w="783" w:type="pct"/>
                  <w:tcBorders>
                    <w:tl2br w:val="nil"/>
                    <w:tr2bl w:val="nil"/>
                  </w:tcBorders>
                  <w:noWrap w:val="0"/>
                  <w:vAlign w:val="center"/>
                </w:tcPr>
                <w:p w14:paraId="65BA5A84">
                  <w:pPr>
                    <w:widowControl/>
                    <w:adjustRightInd w:val="0"/>
                    <w:snapToGrid w:val="0"/>
                    <w:ind w:left="-105" w:leftChars="-50" w:right="-105" w:rightChars="-50"/>
                    <w:jc w:val="center"/>
                    <w:rPr>
                      <w:rFonts w:hint="default" w:ascii="Times New Roman" w:hAnsi="Times New Roman" w:cs="Times New Roman"/>
                      <w:color w:val="FF0000"/>
                      <w:sz w:val="21"/>
                      <w:szCs w:val="21"/>
                    </w:rPr>
                  </w:pPr>
                  <w:r>
                    <w:rPr>
                      <w:rFonts w:hint="default" w:ascii="Times New Roman" w:hAnsi="Times New Roman" w:eastAsia="宋体" w:cs="Times New Roman"/>
                      <w:color w:val="FF0000"/>
                      <w:kern w:val="0"/>
                      <w:sz w:val="21"/>
                      <w:szCs w:val="21"/>
                    </w:rPr>
                    <w:t>COD</w:t>
                  </w:r>
                  <w:r>
                    <w:rPr>
                      <w:rFonts w:hint="default" w:ascii="Times New Roman" w:hAnsi="Times New Roman" w:eastAsia="宋体" w:cs="Times New Roman"/>
                      <w:color w:val="FF0000"/>
                      <w:kern w:val="0"/>
                      <w:sz w:val="21"/>
                      <w:szCs w:val="21"/>
                      <w:vertAlign w:val="subscript"/>
                    </w:rPr>
                    <w:t>Cr</w:t>
                  </w:r>
                </w:p>
              </w:tc>
              <w:tc>
                <w:tcPr>
                  <w:tcW w:w="291" w:type="pct"/>
                  <w:tcBorders>
                    <w:tl2br w:val="nil"/>
                    <w:tr2bl w:val="nil"/>
                  </w:tcBorders>
                  <w:noWrap w:val="0"/>
                  <w:vAlign w:val="center"/>
                </w:tcPr>
                <w:p w14:paraId="10343A2E">
                  <w:pPr>
                    <w:snapToGrid w:val="0"/>
                    <w:spacing w:before="60" w:beforeLines="25" w:after="60" w:afterLines="25"/>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bCs/>
                      <w:color w:val="FF0000"/>
                      <w:sz w:val="21"/>
                      <w:szCs w:val="21"/>
                    </w:rPr>
                    <w:t>t/a</w:t>
                  </w:r>
                </w:p>
              </w:tc>
              <w:tc>
                <w:tcPr>
                  <w:tcW w:w="671" w:type="pct"/>
                  <w:tcBorders>
                    <w:tl2br w:val="nil"/>
                    <w:tr2bl w:val="nil"/>
                  </w:tcBorders>
                  <w:noWrap w:val="0"/>
                  <w:vAlign w:val="center"/>
                </w:tcPr>
                <w:p w14:paraId="754556D9">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color w:val="FF0000"/>
                      <w:spacing w:val="0"/>
                      <w:position w:val="0"/>
                      <w:sz w:val="21"/>
                      <w:szCs w:val="21"/>
                      <w:vertAlign w:val="baseline"/>
                      <w:lang w:val="en-US" w:eastAsia="zh-CN"/>
                    </w:rPr>
                    <w:t>0.371</w:t>
                  </w:r>
                </w:p>
              </w:tc>
              <w:tc>
                <w:tcPr>
                  <w:tcW w:w="642" w:type="pct"/>
                  <w:tcBorders>
                    <w:tl2br w:val="nil"/>
                    <w:tr2bl w:val="nil"/>
                  </w:tcBorders>
                  <w:noWrap w:val="0"/>
                  <w:vAlign w:val="center"/>
                </w:tcPr>
                <w:p w14:paraId="2DD4F411">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0.1718</w:t>
                  </w:r>
                </w:p>
              </w:tc>
              <w:tc>
                <w:tcPr>
                  <w:tcW w:w="718" w:type="pct"/>
                  <w:tcBorders>
                    <w:tl2br w:val="nil"/>
                    <w:tr2bl w:val="nil"/>
                  </w:tcBorders>
                  <w:noWrap w:val="0"/>
                  <w:vAlign w:val="center"/>
                </w:tcPr>
                <w:p w14:paraId="093F0D3B">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0.1718</w:t>
                  </w:r>
                </w:p>
              </w:tc>
              <w:tc>
                <w:tcPr>
                  <w:tcW w:w="841" w:type="pct"/>
                  <w:tcBorders>
                    <w:tl2br w:val="nil"/>
                    <w:tr2bl w:val="nil"/>
                  </w:tcBorders>
                  <w:noWrap/>
                  <w:vAlign w:val="center"/>
                </w:tcPr>
                <w:p w14:paraId="1E9A1469">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0.1718</w:t>
                  </w:r>
                </w:p>
              </w:tc>
              <w:tc>
                <w:tcPr>
                  <w:tcW w:w="571" w:type="pct"/>
                  <w:tcBorders>
                    <w:tl2br w:val="nil"/>
                    <w:tr2bl w:val="nil"/>
                  </w:tcBorders>
                  <w:noWrap w:val="0"/>
                  <w:vAlign w:val="center"/>
                </w:tcPr>
                <w:p w14:paraId="1D576BF3">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-0.1992</w:t>
                  </w:r>
                </w:p>
              </w:tc>
            </w:tr>
            <w:tr w14:paraId="4A7EE6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481" w:type="pct"/>
                  <w:vMerge w:val="continue"/>
                  <w:tcBorders>
                    <w:tl2br w:val="nil"/>
                    <w:tr2bl w:val="nil"/>
                  </w:tcBorders>
                  <w:noWrap w:val="0"/>
                  <w:vAlign w:val="center"/>
                </w:tcPr>
                <w:p w14:paraId="11DA0A32">
                  <w:pPr>
                    <w:spacing w:before="60" w:after="60" w:line="240" w:lineRule="auto"/>
                    <w:jc w:val="center"/>
                    <w:rPr>
                      <w:rFonts w:hint="default" w:ascii="Times New Roman" w:hAnsi="Times New Roman" w:cs="Times New Roman"/>
                      <w:color w:val="FF0000"/>
                      <w:sz w:val="21"/>
                      <w:szCs w:val="21"/>
                    </w:rPr>
                  </w:pPr>
                </w:p>
              </w:tc>
              <w:tc>
                <w:tcPr>
                  <w:tcW w:w="783" w:type="pct"/>
                  <w:tcBorders>
                    <w:tl2br w:val="nil"/>
                    <w:tr2bl w:val="nil"/>
                  </w:tcBorders>
                  <w:noWrap w:val="0"/>
                  <w:vAlign w:val="center"/>
                </w:tcPr>
                <w:p w14:paraId="5E4B0397">
                  <w:pPr>
                    <w:widowControl/>
                    <w:adjustRightInd w:val="0"/>
                    <w:snapToGrid w:val="0"/>
                    <w:ind w:left="-105" w:leftChars="-50" w:right="-105" w:rightChars="-50"/>
                    <w:jc w:val="center"/>
                    <w:rPr>
                      <w:rFonts w:hint="default" w:ascii="Times New Roman" w:hAnsi="Times New Roman" w:eastAsia="宋体" w:cs="Times New Roman"/>
                      <w:color w:val="FF0000"/>
                      <w:kern w:val="0"/>
                      <w:sz w:val="21"/>
                      <w:szCs w:val="21"/>
                      <w:lang w:val="en-US" w:eastAsia="zh-CN" w:bidi="ar-SA"/>
                    </w:rPr>
                  </w:pPr>
                  <w:r>
                    <w:rPr>
                      <w:rFonts w:hint="default" w:ascii="Times New Roman" w:hAnsi="Times New Roman" w:eastAsia="宋体" w:cs="Times New Roman"/>
                      <w:color w:val="FF0000"/>
                      <w:sz w:val="21"/>
                      <w:szCs w:val="21"/>
                    </w:rPr>
                    <w:t>NH</w:t>
                  </w:r>
                  <w:r>
                    <w:rPr>
                      <w:rFonts w:hint="default" w:ascii="Times New Roman" w:hAnsi="Times New Roman" w:eastAsia="宋体" w:cs="Times New Roman"/>
                      <w:color w:val="FF0000"/>
                      <w:sz w:val="21"/>
                      <w:szCs w:val="21"/>
                      <w:vertAlign w:val="subscript"/>
                    </w:rPr>
                    <w:t>3</w:t>
                  </w:r>
                  <w:r>
                    <w:rPr>
                      <w:rFonts w:hint="default" w:ascii="Times New Roman" w:hAnsi="Times New Roman" w:eastAsia="宋体" w:cs="Times New Roman"/>
                      <w:color w:val="FF0000"/>
                      <w:sz w:val="21"/>
                      <w:szCs w:val="21"/>
                    </w:rPr>
                    <w:t>-N</w:t>
                  </w:r>
                </w:p>
              </w:tc>
              <w:tc>
                <w:tcPr>
                  <w:tcW w:w="291" w:type="pct"/>
                  <w:tcBorders>
                    <w:tl2br w:val="nil"/>
                    <w:tr2bl w:val="nil"/>
                  </w:tcBorders>
                  <w:noWrap w:val="0"/>
                  <w:vAlign w:val="center"/>
                </w:tcPr>
                <w:p w14:paraId="13B56EAC">
                  <w:pPr>
                    <w:snapToGrid w:val="0"/>
                    <w:spacing w:before="60" w:beforeLines="25" w:after="60" w:afterLines="25"/>
                    <w:jc w:val="center"/>
                    <w:rPr>
                      <w:rFonts w:hint="default" w:ascii="Times New Roman" w:hAnsi="Times New Roman" w:cs="Times New Roman"/>
                      <w:color w:val="FF0000"/>
                      <w:sz w:val="21"/>
                      <w:szCs w:val="21"/>
                    </w:rPr>
                  </w:pPr>
                  <w:r>
                    <w:rPr>
                      <w:rFonts w:hint="default" w:ascii="Times New Roman" w:hAnsi="Times New Roman" w:eastAsia="宋体" w:cs="Times New Roman"/>
                      <w:bCs/>
                      <w:color w:val="FF0000"/>
                      <w:sz w:val="21"/>
                      <w:szCs w:val="21"/>
                    </w:rPr>
                    <w:t>t/a</w:t>
                  </w:r>
                </w:p>
              </w:tc>
              <w:tc>
                <w:tcPr>
                  <w:tcW w:w="671" w:type="pct"/>
                  <w:tcBorders>
                    <w:tl2br w:val="nil"/>
                    <w:tr2bl w:val="nil"/>
                  </w:tcBorders>
                  <w:noWrap w:val="0"/>
                  <w:vAlign w:val="center"/>
                </w:tcPr>
                <w:p w14:paraId="77671D82">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color w:val="FF0000"/>
                      <w:spacing w:val="0"/>
                      <w:position w:val="0"/>
                      <w:sz w:val="21"/>
                      <w:szCs w:val="21"/>
                      <w:vertAlign w:val="baseline"/>
                      <w:lang w:val="en-US" w:eastAsia="zh-CN"/>
                    </w:rPr>
                    <w:t>0.0171</w:t>
                  </w:r>
                </w:p>
              </w:tc>
              <w:tc>
                <w:tcPr>
                  <w:tcW w:w="642" w:type="pct"/>
                  <w:tcBorders>
                    <w:tl2br w:val="nil"/>
                    <w:tr2bl w:val="nil"/>
                  </w:tcBorders>
                  <w:noWrap w:val="0"/>
                  <w:vAlign w:val="center"/>
                </w:tcPr>
                <w:p w14:paraId="21AD5F06">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0.0215</w:t>
                  </w:r>
                </w:p>
              </w:tc>
              <w:tc>
                <w:tcPr>
                  <w:tcW w:w="718" w:type="pct"/>
                  <w:tcBorders>
                    <w:tl2br w:val="nil"/>
                    <w:tr2bl w:val="nil"/>
                  </w:tcBorders>
                  <w:noWrap w:val="0"/>
                  <w:vAlign w:val="center"/>
                </w:tcPr>
                <w:p w14:paraId="71EB6E26">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color w:val="FF0000"/>
                      <w:spacing w:val="0"/>
                      <w:position w:val="0"/>
                      <w:sz w:val="21"/>
                      <w:szCs w:val="21"/>
                      <w:vertAlign w:val="baseline"/>
                      <w:lang w:val="en-US" w:eastAsia="zh-CN"/>
                    </w:rPr>
                    <w:t>0.0171</w:t>
                  </w:r>
                </w:p>
              </w:tc>
              <w:tc>
                <w:tcPr>
                  <w:tcW w:w="841" w:type="pct"/>
                  <w:tcBorders>
                    <w:tl2br w:val="nil"/>
                    <w:tr2bl w:val="nil"/>
                  </w:tcBorders>
                  <w:noWrap/>
                  <w:vAlign w:val="center"/>
                </w:tcPr>
                <w:p w14:paraId="4F4DDBC9">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0.0215</w:t>
                  </w:r>
                </w:p>
              </w:tc>
              <w:tc>
                <w:tcPr>
                  <w:tcW w:w="571" w:type="pct"/>
                  <w:tcBorders>
                    <w:tl2br w:val="nil"/>
                    <w:tr2bl w:val="nil"/>
                  </w:tcBorders>
                  <w:noWrap w:val="0"/>
                  <w:vAlign w:val="center"/>
                </w:tcPr>
                <w:p w14:paraId="01B601D5">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+0.0044</w:t>
                  </w:r>
                </w:p>
              </w:tc>
            </w:tr>
            <w:tr w14:paraId="0B8C5A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46" w:hRule="atLeast"/>
                <w:jc w:val="center"/>
              </w:trPr>
              <w:tc>
                <w:tcPr>
                  <w:tcW w:w="481" w:type="pct"/>
                  <w:vMerge w:val="restart"/>
                  <w:tcBorders>
                    <w:tl2br w:val="nil"/>
                    <w:tr2bl w:val="nil"/>
                  </w:tcBorders>
                  <w:noWrap w:val="0"/>
                  <w:vAlign w:val="center"/>
                </w:tcPr>
                <w:p w14:paraId="443ACF5F">
                  <w:pPr>
                    <w:spacing w:before="60" w:after="60"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一般工业固废</w:t>
                  </w:r>
                </w:p>
              </w:tc>
              <w:tc>
                <w:tcPr>
                  <w:tcW w:w="783" w:type="pct"/>
                  <w:tcBorders>
                    <w:tl2br w:val="nil"/>
                    <w:tr2bl w:val="nil"/>
                  </w:tcBorders>
                  <w:noWrap w:val="0"/>
                  <w:vAlign w:val="center"/>
                </w:tcPr>
                <w:p w14:paraId="70072F5B">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废包装材料</w:t>
                  </w:r>
                </w:p>
              </w:tc>
              <w:tc>
                <w:tcPr>
                  <w:tcW w:w="291" w:type="pct"/>
                  <w:tcBorders>
                    <w:tl2br w:val="nil"/>
                    <w:tr2bl w:val="nil"/>
                  </w:tcBorders>
                  <w:noWrap w:val="0"/>
                  <w:vAlign w:val="center"/>
                </w:tcPr>
                <w:p w14:paraId="25AD1892">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default" w:ascii="Times New Roman" w:hAnsi="Times New Roman" w:eastAsia="宋体" w:cs="Times New Roman"/>
                      <w:b w:val="0"/>
                      <w:bCs w:val="0"/>
                      <w:color w:val="FF0000"/>
                      <w:kern w:val="2"/>
                      <w:sz w:val="21"/>
                      <w:szCs w:val="21"/>
                      <w:highlight w:val="none"/>
                      <w:lang w:val="en-US" w:eastAsia="zh-CN" w:bidi="ar-SA"/>
                    </w:rPr>
                    <w:t>t/a</w:t>
                  </w:r>
                </w:p>
              </w:tc>
              <w:tc>
                <w:tcPr>
                  <w:tcW w:w="671" w:type="pct"/>
                  <w:tcBorders>
                    <w:tl2br w:val="nil"/>
                    <w:tr2bl w:val="nil"/>
                  </w:tcBorders>
                  <w:noWrap w:val="0"/>
                  <w:vAlign w:val="center"/>
                </w:tcPr>
                <w:p w14:paraId="3A0ADFC8">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snapToGrid w:val="0"/>
                      <w:color w:val="FF0000"/>
                      <w:kern w:val="21"/>
                      <w:sz w:val="21"/>
                      <w:szCs w:val="21"/>
                      <w:lang w:val="en-US" w:eastAsia="zh-CN"/>
                    </w:rPr>
                    <w:t>1</w:t>
                  </w:r>
                </w:p>
              </w:tc>
              <w:tc>
                <w:tcPr>
                  <w:tcW w:w="642" w:type="pct"/>
                  <w:tcBorders>
                    <w:tl2br w:val="nil"/>
                    <w:tr2bl w:val="nil"/>
                  </w:tcBorders>
                  <w:noWrap w:val="0"/>
                  <w:vAlign w:val="center"/>
                </w:tcPr>
                <w:p w14:paraId="00DFAC46">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2</w:t>
                  </w:r>
                </w:p>
              </w:tc>
              <w:tc>
                <w:tcPr>
                  <w:tcW w:w="718" w:type="pct"/>
                  <w:tcBorders>
                    <w:tl2br w:val="nil"/>
                    <w:tr2bl w:val="nil"/>
                  </w:tcBorders>
                  <w:noWrap w:val="0"/>
                  <w:vAlign w:val="center"/>
                </w:tcPr>
                <w:p w14:paraId="578855F4">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1</w:t>
                  </w:r>
                </w:p>
              </w:tc>
              <w:tc>
                <w:tcPr>
                  <w:tcW w:w="841" w:type="pct"/>
                  <w:tcBorders>
                    <w:tl2br w:val="nil"/>
                    <w:tr2bl w:val="nil"/>
                  </w:tcBorders>
                  <w:noWrap/>
                  <w:vAlign w:val="center"/>
                </w:tcPr>
                <w:p w14:paraId="7B93759B">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2</w:t>
                  </w:r>
                </w:p>
              </w:tc>
              <w:tc>
                <w:tcPr>
                  <w:tcW w:w="571" w:type="pct"/>
                  <w:tcBorders>
                    <w:tl2br w:val="nil"/>
                    <w:tr2bl w:val="nil"/>
                  </w:tcBorders>
                  <w:noWrap w:val="0"/>
                  <w:vAlign w:val="center"/>
                </w:tcPr>
                <w:p w14:paraId="2DB4D739">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+1</w:t>
                  </w:r>
                </w:p>
              </w:tc>
            </w:tr>
            <w:tr w14:paraId="4394AE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481" w:type="pct"/>
                  <w:vMerge w:val="continue"/>
                  <w:tcBorders>
                    <w:tl2br w:val="nil"/>
                    <w:tr2bl w:val="nil"/>
                  </w:tcBorders>
                  <w:noWrap w:val="0"/>
                  <w:vAlign w:val="center"/>
                </w:tcPr>
                <w:p w14:paraId="0955901E">
                  <w:pPr>
                    <w:spacing w:before="60" w:after="60" w:line="240" w:lineRule="auto"/>
                    <w:jc w:val="center"/>
                    <w:rPr>
                      <w:rFonts w:hint="default" w:ascii="Times New Roman" w:hAnsi="Times New Roman" w:cs="Times New Roman"/>
                      <w:color w:val="FF0000"/>
                      <w:sz w:val="21"/>
                      <w:szCs w:val="21"/>
                    </w:rPr>
                  </w:pPr>
                </w:p>
              </w:tc>
              <w:tc>
                <w:tcPr>
                  <w:tcW w:w="783" w:type="pct"/>
                  <w:tcBorders>
                    <w:tl2br w:val="nil"/>
                    <w:tr2bl w:val="nil"/>
                  </w:tcBorders>
                  <w:noWrap w:val="0"/>
                  <w:vAlign w:val="center"/>
                </w:tcPr>
                <w:p w14:paraId="49736C57">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纯水机耗材</w:t>
                  </w:r>
                </w:p>
              </w:tc>
              <w:tc>
                <w:tcPr>
                  <w:tcW w:w="291" w:type="pct"/>
                  <w:tcBorders>
                    <w:tl2br w:val="nil"/>
                    <w:tr2bl w:val="nil"/>
                  </w:tcBorders>
                  <w:noWrap w:val="0"/>
                  <w:vAlign w:val="center"/>
                </w:tcPr>
                <w:p w14:paraId="7BB5B4FD">
                  <w:pPr>
                    <w:spacing w:before="60" w:after="60"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t/a</w:t>
                  </w:r>
                </w:p>
              </w:tc>
              <w:tc>
                <w:tcPr>
                  <w:tcW w:w="671" w:type="pct"/>
                  <w:tcBorders>
                    <w:tl2br w:val="nil"/>
                    <w:tr2bl w:val="nil"/>
                  </w:tcBorders>
                  <w:noWrap w:val="0"/>
                  <w:vAlign w:val="center"/>
                </w:tcPr>
                <w:p w14:paraId="1CC9066A">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eastAsia"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cs="Times New Roman"/>
                      <w:b w:val="0"/>
                      <w:bCs w:val="0"/>
                      <w:snapToGrid w:val="0"/>
                      <w:color w:val="FF0000"/>
                      <w:kern w:val="21"/>
                      <w:sz w:val="21"/>
                      <w:szCs w:val="21"/>
                      <w:lang w:val="en-US" w:eastAsia="zh-CN"/>
                    </w:rPr>
                    <w:t>1</w:t>
                  </w:r>
                </w:p>
              </w:tc>
              <w:tc>
                <w:tcPr>
                  <w:tcW w:w="642" w:type="pct"/>
                  <w:tcBorders>
                    <w:tl2br w:val="nil"/>
                    <w:tr2bl w:val="nil"/>
                  </w:tcBorders>
                  <w:noWrap w:val="0"/>
                  <w:vAlign w:val="center"/>
                </w:tcPr>
                <w:p w14:paraId="21E5DD80">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2</w:t>
                  </w:r>
                </w:p>
              </w:tc>
              <w:tc>
                <w:tcPr>
                  <w:tcW w:w="718" w:type="pct"/>
                  <w:tcBorders>
                    <w:tl2br w:val="nil"/>
                    <w:tr2bl w:val="nil"/>
                  </w:tcBorders>
                  <w:noWrap w:val="0"/>
                  <w:vAlign w:val="center"/>
                </w:tcPr>
                <w:p w14:paraId="43343F3B">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1</w:t>
                  </w:r>
                </w:p>
              </w:tc>
              <w:tc>
                <w:tcPr>
                  <w:tcW w:w="841" w:type="pct"/>
                  <w:tcBorders>
                    <w:tl2br w:val="nil"/>
                    <w:tr2bl w:val="nil"/>
                  </w:tcBorders>
                  <w:noWrap/>
                  <w:vAlign w:val="center"/>
                </w:tcPr>
                <w:p w14:paraId="40228DA4">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2</w:t>
                  </w:r>
                </w:p>
              </w:tc>
              <w:tc>
                <w:tcPr>
                  <w:tcW w:w="571" w:type="pct"/>
                  <w:tcBorders>
                    <w:tl2br w:val="nil"/>
                    <w:tr2bl w:val="nil"/>
                  </w:tcBorders>
                  <w:noWrap w:val="0"/>
                  <w:vAlign w:val="center"/>
                </w:tcPr>
                <w:p w14:paraId="674472B4">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+1</w:t>
                  </w:r>
                </w:p>
              </w:tc>
            </w:tr>
            <w:tr w14:paraId="7C8661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481" w:type="pct"/>
                  <w:vMerge w:val="continue"/>
                  <w:tcBorders>
                    <w:tl2br w:val="nil"/>
                    <w:tr2bl w:val="nil"/>
                  </w:tcBorders>
                  <w:noWrap w:val="0"/>
                  <w:vAlign w:val="center"/>
                </w:tcPr>
                <w:p w14:paraId="1357FF3C">
                  <w:pPr>
                    <w:spacing w:before="60" w:after="60" w:line="240" w:lineRule="auto"/>
                    <w:jc w:val="center"/>
                    <w:rPr>
                      <w:rFonts w:hint="default" w:ascii="Times New Roman" w:hAnsi="Times New Roman" w:cs="Times New Roman"/>
                      <w:color w:val="FF0000"/>
                      <w:sz w:val="21"/>
                      <w:szCs w:val="21"/>
                    </w:rPr>
                  </w:pPr>
                </w:p>
              </w:tc>
              <w:tc>
                <w:tcPr>
                  <w:tcW w:w="783" w:type="pct"/>
                  <w:tcBorders>
                    <w:tl2br w:val="nil"/>
                    <w:tr2bl w:val="nil"/>
                  </w:tcBorders>
                  <w:noWrap w:val="0"/>
                  <w:vAlign w:val="center"/>
                </w:tcPr>
                <w:p w14:paraId="0D1CFB38">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不合格品</w:t>
                  </w:r>
                </w:p>
              </w:tc>
              <w:tc>
                <w:tcPr>
                  <w:tcW w:w="291" w:type="pct"/>
                  <w:tcBorders>
                    <w:tl2br w:val="nil"/>
                    <w:tr2bl w:val="nil"/>
                  </w:tcBorders>
                  <w:noWrap w:val="0"/>
                  <w:vAlign w:val="center"/>
                </w:tcPr>
                <w:p w14:paraId="66625B62">
                  <w:pPr>
                    <w:spacing w:before="60" w:after="60"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t/a</w:t>
                  </w:r>
                </w:p>
              </w:tc>
              <w:tc>
                <w:tcPr>
                  <w:tcW w:w="671" w:type="pct"/>
                  <w:tcBorders>
                    <w:tl2br w:val="nil"/>
                    <w:tr2bl w:val="nil"/>
                  </w:tcBorders>
                  <w:noWrap w:val="0"/>
                  <w:vAlign w:val="center"/>
                </w:tcPr>
                <w:p w14:paraId="5574ADAE">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cs="Times New Roman"/>
                      <w:b w:val="0"/>
                      <w:bCs w:val="0"/>
                      <w:snapToGrid w:val="0"/>
                      <w:color w:val="FF0000"/>
                      <w:kern w:val="21"/>
                      <w:sz w:val="21"/>
                      <w:szCs w:val="21"/>
                      <w:lang w:val="en-US" w:eastAsia="zh-CN"/>
                    </w:rPr>
                    <w:t>10</w:t>
                  </w:r>
                </w:p>
              </w:tc>
              <w:tc>
                <w:tcPr>
                  <w:tcW w:w="642" w:type="pct"/>
                  <w:tcBorders>
                    <w:tl2br w:val="nil"/>
                    <w:tr2bl w:val="nil"/>
                  </w:tcBorders>
                  <w:noWrap w:val="0"/>
                  <w:vAlign w:val="center"/>
                </w:tcPr>
                <w:p w14:paraId="29CE317A">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1.45</w:t>
                  </w:r>
                </w:p>
              </w:tc>
              <w:tc>
                <w:tcPr>
                  <w:tcW w:w="718" w:type="pct"/>
                  <w:tcBorders>
                    <w:tl2br w:val="nil"/>
                    <w:tr2bl w:val="nil"/>
                  </w:tcBorders>
                  <w:noWrap w:val="0"/>
                  <w:vAlign w:val="center"/>
                </w:tcPr>
                <w:p w14:paraId="1C9D331D">
                  <w:pPr>
                    <w:tabs>
                      <w:tab w:val="right" w:pos="7832"/>
                    </w:tabs>
                    <w:jc w:val="center"/>
                    <w:rPr>
                      <w:rFonts w:hint="eastAsia"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1.45</w:t>
                  </w:r>
                </w:p>
              </w:tc>
              <w:tc>
                <w:tcPr>
                  <w:tcW w:w="841" w:type="pct"/>
                  <w:tcBorders>
                    <w:tl2br w:val="nil"/>
                    <w:tr2bl w:val="nil"/>
                  </w:tcBorders>
                  <w:noWrap/>
                  <w:vAlign w:val="center"/>
                </w:tcPr>
                <w:p w14:paraId="374BBDF1">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1.45</w:t>
                  </w:r>
                </w:p>
              </w:tc>
              <w:tc>
                <w:tcPr>
                  <w:tcW w:w="571" w:type="pct"/>
                  <w:tcBorders>
                    <w:tl2br w:val="nil"/>
                    <w:tr2bl w:val="nil"/>
                  </w:tcBorders>
                  <w:noWrap w:val="0"/>
                  <w:vAlign w:val="center"/>
                </w:tcPr>
                <w:p w14:paraId="40582313">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-8.55</w:t>
                  </w:r>
                </w:p>
              </w:tc>
            </w:tr>
            <w:tr w14:paraId="3E01AB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481" w:type="pct"/>
                  <w:vMerge w:val="continue"/>
                  <w:tcBorders>
                    <w:tl2br w:val="nil"/>
                    <w:tr2bl w:val="nil"/>
                  </w:tcBorders>
                  <w:noWrap w:val="0"/>
                  <w:vAlign w:val="center"/>
                </w:tcPr>
                <w:p w14:paraId="3515DB05">
                  <w:pPr>
                    <w:spacing w:before="60" w:after="60" w:line="240" w:lineRule="auto"/>
                    <w:jc w:val="center"/>
                    <w:rPr>
                      <w:rFonts w:hint="default" w:ascii="Times New Roman" w:hAnsi="Times New Roman" w:cs="Times New Roman"/>
                      <w:color w:val="FF0000"/>
                      <w:sz w:val="21"/>
                      <w:szCs w:val="21"/>
                    </w:rPr>
                  </w:pPr>
                </w:p>
              </w:tc>
              <w:tc>
                <w:tcPr>
                  <w:tcW w:w="783" w:type="pct"/>
                  <w:tcBorders>
                    <w:tl2br w:val="nil"/>
                    <w:tr2bl w:val="nil"/>
                  </w:tcBorders>
                  <w:noWrap w:val="0"/>
                  <w:vAlign w:val="center"/>
                </w:tcPr>
                <w:p w14:paraId="6FB56F92">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hAnsi="Times New Roman" w:eastAsia="宋体" w:cs="Times New Roman"/>
                      <w:b w:val="0"/>
                      <w:bCs w:val="0"/>
                      <w:color w:val="FF0000"/>
                      <w:kern w:val="2"/>
                      <w:sz w:val="21"/>
                      <w:szCs w:val="21"/>
                      <w:highlight w:val="none"/>
                      <w:lang w:val="en-US" w:eastAsia="zh-CN" w:bidi="ar-SA"/>
                    </w:rPr>
                    <w:t>边角料</w:t>
                  </w:r>
                </w:p>
              </w:tc>
              <w:tc>
                <w:tcPr>
                  <w:tcW w:w="291" w:type="pct"/>
                  <w:tcBorders>
                    <w:tl2br w:val="nil"/>
                    <w:tr2bl w:val="nil"/>
                  </w:tcBorders>
                  <w:noWrap w:val="0"/>
                  <w:vAlign w:val="center"/>
                </w:tcPr>
                <w:p w14:paraId="67E06B6E">
                  <w:pPr>
                    <w:spacing w:before="60" w:after="60"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t/a</w:t>
                  </w:r>
                </w:p>
              </w:tc>
              <w:tc>
                <w:tcPr>
                  <w:tcW w:w="671" w:type="pct"/>
                  <w:tcBorders>
                    <w:tl2br w:val="nil"/>
                    <w:tr2bl w:val="nil"/>
                  </w:tcBorders>
                  <w:noWrap w:val="0"/>
                  <w:vAlign w:val="center"/>
                </w:tcPr>
                <w:p w14:paraId="55BFE264">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ascii="Times New Roman" w:cs="Times New Roman"/>
                      <w:b w:val="0"/>
                      <w:bCs w:val="0"/>
                      <w:snapToGrid w:val="0"/>
                      <w:color w:val="FF0000"/>
                      <w:kern w:val="21"/>
                      <w:sz w:val="21"/>
                      <w:szCs w:val="21"/>
                      <w:lang w:val="en-US" w:eastAsia="zh-CN"/>
                    </w:rPr>
                    <w:t>1.5</w:t>
                  </w:r>
                </w:p>
              </w:tc>
              <w:tc>
                <w:tcPr>
                  <w:tcW w:w="642" w:type="pct"/>
                  <w:tcBorders>
                    <w:tl2br w:val="nil"/>
                    <w:tr2bl w:val="nil"/>
                  </w:tcBorders>
                  <w:noWrap w:val="0"/>
                  <w:vAlign w:val="center"/>
                </w:tcPr>
                <w:p w14:paraId="7D379246">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16.78</w:t>
                  </w:r>
                </w:p>
              </w:tc>
              <w:tc>
                <w:tcPr>
                  <w:tcW w:w="718" w:type="pct"/>
                  <w:tcBorders>
                    <w:tl2br w:val="nil"/>
                    <w:tr2bl w:val="nil"/>
                  </w:tcBorders>
                  <w:noWrap w:val="0"/>
                  <w:vAlign w:val="center"/>
                </w:tcPr>
                <w:p w14:paraId="6CE3E6F0">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1.5</w:t>
                  </w:r>
                </w:p>
              </w:tc>
              <w:tc>
                <w:tcPr>
                  <w:tcW w:w="841" w:type="pct"/>
                  <w:tcBorders>
                    <w:tl2br w:val="nil"/>
                    <w:tr2bl w:val="nil"/>
                  </w:tcBorders>
                  <w:noWrap/>
                  <w:vAlign w:val="center"/>
                </w:tcPr>
                <w:p w14:paraId="1E5F505F">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16.78</w:t>
                  </w:r>
                </w:p>
              </w:tc>
              <w:tc>
                <w:tcPr>
                  <w:tcW w:w="571" w:type="pct"/>
                  <w:tcBorders>
                    <w:tl2br w:val="nil"/>
                    <w:tr2bl w:val="nil"/>
                  </w:tcBorders>
                  <w:noWrap w:val="0"/>
                  <w:vAlign w:val="center"/>
                </w:tcPr>
                <w:p w14:paraId="6E01A4EA">
                  <w:pPr>
                    <w:tabs>
                      <w:tab w:val="right" w:pos="7832"/>
                    </w:tabs>
                    <w:jc w:val="center"/>
                    <w:rPr>
                      <w:rFonts w:hint="default" w:ascii="Times New Roman" w:hAnsi="Times New Roman" w:eastAsia="宋体" w:cs="Times New Roman"/>
                      <w:b w:val="0"/>
                      <w:bCs w:val="0"/>
                      <w:color w:val="FF0000"/>
                      <w:kern w:val="2"/>
                      <w:sz w:val="21"/>
                      <w:szCs w:val="21"/>
                      <w:highlight w:val="none"/>
                      <w:lang w:val="en-US" w:eastAsia="zh-CN" w:bidi="ar-SA"/>
                    </w:rPr>
                  </w:pPr>
                  <w:r>
                    <w:rPr>
                      <w:rFonts w:hint="eastAsia" w:cs="Times New Roman"/>
                      <w:b w:val="0"/>
                      <w:bCs w:val="0"/>
                      <w:color w:val="FF0000"/>
                      <w:kern w:val="2"/>
                      <w:sz w:val="21"/>
                      <w:szCs w:val="21"/>
                      <w:highlight w:val="none"/>
                      <w:lang w:val="en-US" w:eastAsia="zh-CN" w:bidi="ar-SA"/>
                    </w:rPr>
                    <w:t>+15.28</w:t>
                  </w:r>
                </w:p>
              </w:tc>
            </w:tr>
            <w:tr w14:paraId="2A05F9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735" w:hRule="atLeast"/>
                <w:jc w:val="center"/>
              </w:trPr>
              <w:tc>
                <w:tcPr>
                  <w:tcW w:w="481" w:type="pct"/>
                  <w:vMerge w:val="restart"/>
                  <w:tcBorders>
                    <w:tl2br w:val="nil"/>
                    <w:tr2bl w:val="nil"/>
                  </w:tcBorders>
                  <w:noWrap w:val="0"/>
                  <w:vAlign w:val="center"/>
                </w:tcPr>
                <w:p w14:paraId="5DA14D71">
                  <w:pPr>
                    <w:spacing w:before="60" w:after="60"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危险废物</w:t>
                  </w:r>
                </w:p>
              </w:tc>
              <w:tc>
                <w:tcPr>
                  <w:tcW w:w="783" w:type="pct"/>
                  <w:tcBorders>
                    <w:tl2br w:val="nil"/>
                    <w:tr2bl w:val="nil"/>
                  </w:tcBorders>
                  <w:noWrap w:val="0"/>
                  <w:vAlign w:val="center"/>
                </w:tcPr>
                <w:p w14:paraId="681DE104">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cs="Times New Roman"/>
                      <w:color w:val="FF0000"/>
                      <w:sz w:val="21"/>
                      <w:szCs w:val="21"/>
                    </w:rPr>
                  </w:pPr>
                  <w:r>
                    <w:rPr>
                      <w:rFonts w:hint="eastAsia" w:ascii="宋体" w:hAnsi="Times New Roman" w:eastAsia="宋体" w:cs="Times New Roman"/>
                      <w:b w:val="0"/>
                      <w:bCs w:val="0"/>
                      <w:color w:val="FF0000"/>
                      <w:kern w:val="0"/>
                      <w:sz w:val="21"/>
                      <w:szCs w:val="21"/>
                      <w:lang w:val="en-US" w:eastAsia="zh-CN" w:bidi="ar-SA"/>
                    </w:rPr>
                    <w:t>实验废液</w:t>
                  </w:r>
                </w:p>
              </w:tc>
              <w:tc>
                <w:tcPr>
                  <w:tcW w:w="291" w:type="pct"/>
                  <w:tcBorders>
                    <w:tl2br w:val="nil"/>
                    <w:tr2bl w:val="nil"/>
                  </w:tcBorders>
                  <w:noWrap w:val="0"/>
                  <w:vAlign w:val="center"/>
                </w:tcPr>
                <w:p w14:paraId="7FAC40E3">
                  <w:pPr>
                    <w:spacing w:before="60" w:after="60"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t/a</w:t>
                  </w:r>
                </w:p>
              </w:tc>
              <w:tc>
                <w:tcPr>
                  <w:tcW w:w="671" w:type="pct"/>
                  <w:tcBorders>
                    <w:tl2br w:val="nil"/>
                    <w:tr2bl w:val="nil"/>
                  </w:tcBorders>
                  <w:noWrap w:val="0"/>
                  <w:vAlign w:val="center"/>
                </w:tcPr>
                <w:p w14:paraId="2DCFF11D">
                  <w:pPr>
                    <w:pStyle w:val="52"/>
                    <w:spacing w:beforeLines="0" w:afterLines="0" w:line="240" w:lineRule="auto"/>
                    <w:ind w:firstLine="0" w:firstLineChars="0"/>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0.5</w:t>
                  </w:r>
                </w:p>
              </w:tc>
              <w:tc>
                <w:tcPr>
                  <w:tcW w:w="642" w:type="pct"/>
                  <w:tcBorders>
                    <w:tl2br w:val="nil"/>
                    <w:tr2bl w:val="nil"/>
                  </w:tcBorders>
                  <w:noWrap w:val="0"/>
                  <w:vAlign w:val="center"/>
                </w:tcPr>
                <w:p w14:paraId="78ED7E4F">
                  <w:pPr>
                    <w:pStyle w:val="52"/>
                    <w:spacing w:beforeLines="0" w:afterLines="0" w:line="240" w:lineRule="auto"/>
                    <w:ind w:firstLine="0" w:firstLineChars="0"/>
                    <w:rPr>
                      <w:rFonts w:hint="default"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0.5</w:t>
                  </w:r>
                </w:p>
              </w:tc>
              <w:tc>
                <w:tcPr>
                  <w:tcW w:w="718" w:type="pct"/>
                  <w:tcBorders>
                    <w:tl2br w:val="nil"/>
                    <w:tr2bl w:val="nil"/>
                  </w:tcBorders>
                  <w:noWrap w:val="0"/>
                  <w:vAlign w:val="center"/>
                </w:tcPr>
                <w:p w14:paraId="31715C2C">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w:t>
                  </w:r>
                </w:p>
              </w:tc>
              <w:tc>
                <w:tcPr>
                  <w:tcW w:w="841" w:type="pct"/>
                  <w:tcBorders>
                    <w:tl2br w:val="nil"/>
                    <w:tr2bl w:val="nil"/>
                  </w:tcBorders>
                  <w:noWrap/>
                  <w:vAlign w:val="center"/>
                </w:tcPr>
                <w:p w14:paraId="4C626EF5">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bidi="ar-SA"/>
                    </w:rPr>
                  </w:pPr>
                  <w:r>
                    <w:rPr>
                      <w:rFonts w:hint="eastAsia" w:ascii="Times New Roman" w:hAnsi="Times New Roman" w:cs="Times New Roman"/>
                      <w:color w:val="FF0000"/>
                      <w:sz w:val="21"/>
                      <w:szCs w:val="21"/>
                      <w:lang w:val="en-US" w:eastAsia="zh-CN"/>
                    </w:rPr>
                    <w:t>0.5</w:t>
                  </w:r>
                </w:p>
              </w:tc>
              <w:tc>
                <w:tcPr>
                  <w:tcW w:w="571" w:type="pct"/>
                  <w:tcBorders>
                    <w:tl2br w:val="nil"/>
                    <w:tr2bl w:val="nil"/>
                  </w:tcBorders>
                  <w:noWrap w:val="0"/>
                  <w:vAlign w:val="center"/>
                </w:tcPr>
                <w:p w14:paraId="27684696">
                  <w:pPr>
                    <w:pStyle w:val="52"/>
                    <w:spacing w:beforeLines="0" w:afterLines="0" w:line="240" w:lineRule="auto"/>
                    <w:ind w:firstLine="0" w:firstLineChars="0"/>
                    <w:rPr>
                      <w:rFonts w:hint="eastAsia" w:ascii="Times New Roman" w:hAnsi="Times New Roman" w:eastAsia="宋体" w:cs="Times New Roman"/>
                      <w:color w:val="FF0000"/>
                      <w:sz w:val="21"/>
                      <w:szCs w:val="21"/>
                      <w:lang w:val="en-US" w:eastAsia="zh-CN"/>
                    </w:rPr>
                  </w:pPr>
                  <w:r>
                    <w:rPr>
                      <w:rFonts w:hint="eastAsia" w:ascii="Times New Roman" w:hAnsi="Times New Roman" w:cs="Times New Roman"/>
                      <w:color w:val="FF0000"/>
                      <w:sz w:val="21"/>
                      <w:szCs w:val="21"/>
                      <w:lang w:val="en-US" w:eastAsia="zh-CN"/>
                    </w:rPr>
                    <w:t>0</w:t>
                  </w:r>
                </w:p>
              </w:tc>
            </w:tr>
            <w:tr w14:paraId="092E88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481" w:type="pct"/>
                  <w:vMerge w:val="continue"/>
                  <w:tcBorders>
                    <w:tl2br w:val="nil"/>
                    <w:tr2bl w:val="nil"/>
                  </w:tcBorders>
                  <w:noWrap w:val="0"/>
                  <w:vAlign w:val="center"/>
                </w:tcPr>
                <w:p w14:paraId="733F84CE">
                  <w:pPr>
                    <w:spacing w:before="60" w:after="60" w:line="240" w:lineRule="auto"/>
                    <w:jc w:val="center"/>
                    <w:rPr>
                      <w:rFonts w:hint="default" w:ascii="Times New Roman" w:hAnsi="Times New Roman" w:cs="Times New Roman"/>
                      <w:color w:val="FF0000"/>
                      <w:sz w:val="21"/>
                      <w:szCs w:val="21"/>
                    </w:rPr>
                  </w:pPr>
                </w:p>
              </w:tc>
              <w:tc>
                <w:tcPr>
                  <w:tcW w:w="783" w:type="pct"/>
                  <w:tcBorders>
                    <w:tl2br w:val="nil"/>
                    <w:tr2bl w:val="nil"/>
                  </w:tcBorders>
                  <w:noWrap w:val="0"/>
                  <w:vAlign w:val="center"/>
                </w:tcPr>
                <w:p w14:paraId="3F54B2DC">
                  <w:pPr>
                    <w:adjustRightInd w:val="0"/>
                    <w:snapToGrid w:val="0"/>
                    <w:spacing w:line="240" w:lineRule="atLeast"/>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b w:val="0"/>
                      <w:bCs w:val="0"/>
                      <w:color w:val="FF0000"/>
                      <w:sz w:val="21"/>
                      <w:szCs w:val="21"/>
                      <w:highlight w:val="none"/>
                      <w:lang w:val="en-US" w:eastAsia="zh-CN"/>
                    </w:rPr>
                    <w:t>废矿物油</w:t>
                  </w:r>
                </w:p>
              </w:tc>
              <w:tc>
                <w:tcPr>
                  <w:tcW w:w="291" w:type="pct"/>
                  <w:tcBorders>
                    <w:tl2br w:val="nil"/>
                    <w:tr2bl w:val="nil"/>
                  </w:tcBorders>
                  <w:noWrap w:val="0"/>
                  <w:vAlign w:val="center"/>
                </w:tcPr>
                <w:p w14:paraId="2034B4BD">
                  <w:pPr>
                    <w:spacing w:before="60" w:after="60" w:line="240" w:lineRule="auto"/>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t/a</w:t>
                  </w:r>
                </w:p>
              </w:tc>
              <w:tc>
                <w:tcPr>
                  <w:tcW w:w="671" w:type="pct"/>
                  <w:tcBorders>
                    <w:tl2br w:val="nil"/>
                    <w:tr2bl w:val="nil"/>
                  </w:tcBorders>
                  <w:noWrap w:val="0"/>
                  <w:vAlign w:val="center"/>
                </w:tcPr>
                <w:p w14:paraId="3E5654D1">
                  <w:pPr>
                    <w:pStyle w:val="52"/>
                    <w:spacing w:beforeLines="0" w:afterLines="0" w:line="240" w:lineRule="auto"/>
                    <w:ind w:firstLine="0" w:firstLineChars="0"/>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kern w:val="2"/>
                      <w:sz w:val="21"/>
                      <w:szCs w:val="21"/>
                      <w:lang w:val="en-US" w:eastAsia="zh-CN" w:bidi="ar-SA"/>
                    </w:rPr>
                    <w:t>0.05</w:t>
                  </w:r>
                </w:p>
              </w:tc>
              <w:tc>
                <w:tcPr>
                  <w:tcW w:w="642" w:type="pct"/>
                  <w:tcBorders>
                    <w:tl2br w:val="nil"/>
                    <w:tr2bl w:val="nil"/>
                  </w:tcBorders>
                  <w:noWrap w:val="0"/>
                  <w:vAlign w:val="center"/>
                </w:tcPr>
                <w:p w14:paraId="2C26090A">
                  <w:pPr>
                    <w:pStyle w:val="52"/>
                    <w:spacing w:beforeLines="0" w:afterLines="0" w:line="240" w:lineRule="auto"/>
                    <w:ind w:firstLine="0" w:firstLineChars="0"/>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kern w:val="2"/>
                      <w:sz w:val="21"/>
                      <w:szCs w:val="21"/>
                      <w:lang w:val="en-US" w:eastAsia="zh-CN" w:bidi="ar-SA"/>
                    </w:rPr>
                    <w:t>0.05</w:t>
                  </w:r>
                </w:p>
              </w:tc>
              <w:tc>
                <w:tcPr>
                  <w:tcW w:w="718" w:type="pct"/>
                  <w:tcBorders>
                    <w:tl2br w:val="nil"/>
                    <w:tr2bl w:val="nil"/>
                  </w:tcBorders>
                  <w:noWrap w:val="0"/>
                  <w:vAlign w:val="center"/>
                </w:tcPr>
                <w:p w14:paraId="49AED285">
                  <w:pPr>
                    <w:keepNext w:val="0"/>
                    <w:keepLines w:val="0"/>
                    <w:widowControl/>
                    <w:suppressLineNumbers w:val="0"/>
                    <w:jc w:val="center"/>
                    <w:textAlignment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0</w:t>
                  </w:r>
                </w:p>
              </w:tc>
              <w:tc>
                <w:tcPr>
                  <w:tcW w:w="841" w:type="pct"/>
                  <w:tcBorders>
                    <w:tl2br w:val="nil"/>
                    <w:tr2bl w:val="nil"/>
                  </w:tcBorders>
                  <w:noWrap/>
                  <w:vAlign w:val="center"/>
                </w:tcPr>
                <w:p w14:paraId="7ADD6B1A">
                  <w:pPr>
                    <w:keepNext w:val="0"/>
                    <w:keepLines w:val="0"/>
                    <w:widowControl/>
                    <w:suppressLineNumbers w:val="0"/>
                    <w:jc w:val="center"/>
                    <w:textAlignment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kern w:val="2"/>
                      <w:sz w:val="21"/>
                      <w:szCs w:val="21"/>
                      <w:lang w:val="en-US" w:eastAsia="zh-CN" w:bidi="ar-SA"/>
                    </w:rPr>
                    <w:t>0.05</w:t>
                  </w:r>
                </w:p>
              </w:tc>
              <w:tc>
                <w:tcPr>
                  <w:tcW w:w="571" w:type="pct"/>
                  <w:tcBorders>
                    <w:tl2br w:val="nil"/>
                    <w:tr2bl w:val="nil"/>
                  </w:tcBorders>
                  <w:noWrap w:val="0"/>
                  <w:vAlign w:val="center"/>
                </w:tcPr>
                <w:p w14:paraId="715332C0">
                  <w:pPr>
                    <w:pStyle w:val="52"/>
                    <w:spacing w:beforeLines="0" w:afterLines="0" w:line="240" w:lineRule="auto"/>
                    <w:ind w:firstLine="0" w:firstLineChars="0"/>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kern w:val="2"/>
                      <w:sz w:val="21"/>
                      <w:szCs w:val="21"/>
                      <w:lang w:val="en-US" w:eastAsia="zh-CN" w:bidi="ar-SA"/>
                    </w:rPr>
                    <w:t>0</w:t>
                  </w:r>
                </w:p>
              </w:tc>
            </w:tr>
            <w:tr w14:paraId="52F503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481" w:type="pct"/>
                  <w:vMerge w:val="continue"/>
                  <w:tcBorders>
                    <w:tl2br w:val="nil"/>
                    <w:tr2bl w:val="nil"/>
                  </w:tcBorders>
                  <w:noWrap w:val="0"/>
                  <w:vAlign w:val="center"/>
                </w:tcPr>
                <w:p w14:paraId="4FA49C8C">
                  <w:pPr>
                    <w:spacing w:before="60" w:after="60" w:line="240" w:lineRule="auto"/>
                    <w:jc w:val="center"/>
                    <w:rPr>
                      <w:rFonts w:hint="default" w:ascii="Times New Roman" w:hAnsi="Times New Roman" w:cs="Times New Roman"/>
                      <w:color w:val="FF0000"/>
                      <w:sz w:val="21"/>
                      <w:szCs w:val="21"/>
                    </w:rPr>
                  </w:pPr>
                </w:p>
              </w:tc>
              <w:tc>
                <w:tcPr>
                  <w:tcW w:w="783" w:type="pct"/>
                  <w:tcBorders>
                    <w:tl2br w:val="nil"/>
                    <w:tr2bl w:val="nil"/>
                  </w:tcBorders>
                  <w:noWrap w:val="0"/>
                  <w:vAlign w:val="center"/>
                </w:tcPr>
                <w:p w14:paraId="330AD444">
                  <w:pPr>
                    <w:adjustRightInd w:val="0"/>
                    <w:snapToGrid w:val="0"/>
                    <w:spacing w:line="240" w:lineRule="atLeast"/>
                    <w:jc w:val="center"/>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eastAsia="宋体" w:cs="Times New Roman"/>
                      <w:b w:val="0"/>
                      <w:bCs w:val="0"/>
                      <w:color w:val="FF0000"/>
                      <w:sz w:val="21"/>
                      <w:szCs w:val="21"/>
                      <w:highlight w:val="none"/>
                      <w:lang w:val="en-US" w:eastAsia="zh-CN"/>
                    </w:rPr>
                    <w:t>废矿物油桶</w:t>
                  </w:r>
                </w:p>
              </w:tc>
              <w:tc>
                <w:tcPr>
                  <w:tcW w:w="291" w:type="pct"/>
                  <w:tcBorders>
                    <w:tl2br w:val="nil"/>
                    <w:tr2bl w:val="nil"/>
                  </w:tcBorders>
                  <w:noWrap w:val="0"/>
                  <w:vAlign w:val="center"/>
                </w:tcPr>
                <w:p w14:paraId="443D9448">
                  <w:pPr>
                    <w:spacing w:before="60" w:after="60" w:line="240" w:lineRule="auto"/>
                    <w:jc w:val="center"/>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eastAsia="宋体" w:cs="Times New Roman"/>
                      <w:color w:val="FF0000"/>
                      <w:kern w:val="2"/>
                      <w:sz w:val="21"/>
                      <w:szCs w:val="21"/>
                      <w:lang w:val="en-US" w:eastAsia="zh-CN" w:bidi="ar-SA"/>
                    </w:rPr>
                    <w:t>t/a</w:t>
                  </w:r>
                </w:p>
              </w:tc>
              <w:tc>
                <w:tcPr>
                  <w:tcW w:w="671" w:type="pct"/>
                  <w:tcBorders>
                    <w:tl2br w:val="nil"/>
                    <w:tr2bl w:val="nil"/>
                  </w:tcBorders>
                  <w:noWrap w:val="0"/>
                  <w:vAlign w:val="center"/>
                </w:tcPr>
                <w:p w14:paraId="7D3183FD">
                  <w:pPr>
                    <w:pStyle w:val="52"/>
                    <w:spacing w:beforeLines="0" w:afterLines="0" w:line="240" w:lineRule="auto"/>
                    <w:ind w:firstLine="0" w:firstLineChars="0"/>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kern w:val="2"/>
                      <w:sz w:val="21"/>
                      <w:szCs w:val="21"/>
                      <w:lang w:val="en-US" w:eastAsia="zh-CN" w:bidi="ar-SA"/>
                    </w:rPr>
                    <w:t>0.1</w:t>
                  </w:r>
                </w:p>
              </w:tc>
              <w:tc>
                <w:tcPr>
                  <w:tcW w:w="642" w:type="pct"/>
                  <w:tcBorders>
                    <w:tl2br w:val="nil"/>
                    <w:tr2bl w:val="nil"/>
                  </w:tcBorders>
                  <w:noWrap w:val="0"/>
                  <w:vAlign w:val="center"/>
                </w:tcPr>
                <w:p w14:paraId="566B375B">
                  <w:pPr>
                    <w:pStyle w:val="52"/>
                    <w:spacing w:beforeLines="0" w:afterLines="0" w:line="240" w:lineRule="auto"/>
                    <w:ind w:firstLine="0" w:firstLineChars="0"/>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kern w:val="2"/>
                      <w:sz w:val="21"/>
                      <w:szCs w:val="21"/>
                      <w:lang w:val="en-US" w:eastAsia="zh-CN" w:bidi="ar-SA"/>
                    </w:rPr>
                    <w:t>0.1</w:t>
                  </w:r>
                </w:p>
              </w:tc>
              <w:tc>
                <w:tcPr>
                  <w:tcW w:w="718" w:type="pct"/>
                  <w:tcBorders>
                    <w:tl2br w:val="nil"/>
                    <w:tr2bl w:val="nil"/>
                  </w:tcBorders>
                  <w:noWrap w:val="0"/>
                  <w:vAlign w:val="center"/>
                </w:tcPr>
                <w:p w14:paraId="07D0DFE1">
                  <w:pPr>
                    <w:pStyle w:val="52"/>
                    <w:spacing w:beforeLines="0" w:afterLines="0" w:line="240" w:lineRule="auto"/>
                    <w:ind w:firstLine="0" w:firstLineChars="0"/>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kern w:val="2"/>
                      <w:sz w:val="21"/>
                      <w:szCs w:val="21"/>
                      <w:lang w:val="en-US" w:eastAsia="zh-CN" w:bidi="ar-SA"/>
                    </w:rPr>
                    <w:t>0</w:t>
                  </w:r>
                </w:p>
              </w:tc>
              <w:tc>
                <w:tcPr>
                  <w:tcW w:w="841" w:type="pct"/>
                  <w:tcBorders>
                    <w:tl2br w:val="nil"/>
                    <w:tr2bl w:val="nil"/>
                  </w:tcBorders>
                  <w:noWrap/>
                  <w:vAlign w:val="center"/>
                </w:tcPr>
                <w:p w14:paraId="22F20741">
                  <w:pPr>
                    <w:keepNext w:val="0"/>
                    <w:keepLines w:val="0"/>
                    <w:widowControl/>
                    <w:suppressLineNumbers w:val="0"/>
                    <w:jc w:val="center"/>
                    <w:textAlignment w:val="center"/>
                    <w:rPr>
                      <w:rFonts w:hint="default" w:ascii="Times New Roman" w:hAnsi="Times New Roman" w:eastAsia="宋体" w:cs="Times New Roman"/>
                      <w:color w:val="FF0000"/>
                      <w:kern w:val="2"/>
                      <w:sz w:val="21"/>
                      <w:szCs w:val="21"/>
                      <w:lang w:val="en-US" w:eastAsia="zh-CN" w:bidi="ar-SA"/>
                    </w:rPr>
                  </w:pPr>
                  <w:r>
                    <w:rPr>
                      <w:rFonts w:hint="eastAsia" w:cs="Times New Roman"/>
                      <w:color w:val="FF0000"/>
                      <w:kern w:val="2"/>
                      <w:sz w:val="21"/>
                      <w:szCs w:val="21"/>
                      <w:lang w:val="en-US" w:eastAsia="zh-CN" w:bidi="ar-SA"/>
                    </w:rPr>
                    <w:t>0.1</w:t>
                  </w:r>
                </w:p>
              </w:tc>
              <w:tc>
                <w:tcPr>
                  <w:tcW w:w="571" w:type="pct"/>
                  <w:tcBorders>
                    <w:tl2br w:val="nil"/>
                    <w:tr2bl w:val="nil"/>
                  </w:tcBorders>
                  <w:noWrap w:val="0"/>
                  <w:vAlign w:val="center"/>
                </w:tcPr>
                <w:p w14:paraId="1C428293">
                  <w:pPr>
                    <w:pStyle w:val="52"/>
                    <w:spacing w:beforeLines="0" w:afterLines="0" w:line="240" w:lineRule="auto"/>
                    <w:ind w:firstLine="0" w:firstLineChars="0"/>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FF0000"/>
                      <w:kern w:val="2"/>
                      <w:sz w:val="21"/>
                      <w:szCs w:val="21"/>
                      <w:lang w:val="en-US" w:eastAsia="zh-CN" w:bidi="ar-SA"/>
                    </w:rPr>
                    <w:t>0</w:t>
                  </w:r>
                </w:p>
              </w:tc>
            </w:tr>
            <w:tr w14:paraId="277C79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481" w:type="pct"/>
                  <w:vMerge w:val="continue"/>
                  <w:tcBorders>
                    <w:tl2br w:val="nil"/>
                    <w:tr2bl w:val="nil"/>
                  </w:tcBorders>
                  <w:noWrap w:val="0"/>
                  <w:vAlign w:val="center"/>
                </w:tcPr>
                <w:p w14:paraId="3D294B1A">
                  <w:pPr>
                    <w:spacing w:before="60" w:after="60" w:line="240" w:lineRule="auto"/>
                    <w:jc w:val="center"/>
                    <w:rPr>
                      <w:rFonts w:hint="default" w:ascii="Times New Roman" w:hAnsi="Times New Roman" w:cs="Times New Roman"/>
                      <w:color w:val="FF0000"/>
                      <w:sz w:val="21"/>
                      <w:szCs w:val="21"/>
                    </w:rPr>
                  </w:pPr>
                </w:p>
              </w:tc>
              <w:tc>
                <w:tcPr>
                  <w:tcW w:w="783" w:type="pct"/>
                  <w:tcBorders>
                    <w:tl2br w:val="nil"/>
                    <w:tr2bl w:val="nil"/>
                  </w:tcBorders>
                  <w:noWrap w:val="0"/>
                  <w:vAlign w:val="center"/>
                </w:tcPr>
                <w:p w14:paraId="66A3479F">
                  <w:pPr>
                    <w:adjustRightInd w:val="0"/>
                    <w:snapToGrid w:val="0"/>
                    <w:spacing w:line="240" w:lineRule="atLeast"/>
                    <w:jc w:val="center"/>
                    <w:rPr>
                      <w:rFonts w:hint="default" w:ascii="Times New Roman" w:hAnsi="Times New Roman" w:cs="Times New Roman"/>
                      <w:color w:val="FF0000"/>
                      <w:sz w:val="21"/>
                      <w:szCs w:val="21"/>
                    </w:rPr>
                  </w:pPr>
                  <w:r>
                    <w:rPr>
                      <w:rFonts w:hint="eastAsia" w:ascii="Times New Roman" w:hAnsi="Times New Roman" w:eastAsia="宋体" w:cs="Times New Roman"/>
                      <w:b w:val="0"/>
                      <w:bCs w:val="0"/>
                      <w:color w:val="FF0000"/>
                      <w:sz w:val="21"/>
                      <w:szCs w:val="21"/>
                      <w:highlight w:val="none"/>
                      <w:lang w:val="en-US" w:eastAsia="zh-CN"/>
                    </w:rPr>
                    <w:t>废油墨桶</w:t>
                  </w:r>
                </w:p>
              </w:tc>
              <w:tc>
                <w:tcPr>
                  <w:tcW w:w="291" w:type="pct"/>
                  <w:tcBorders>
                    <w:tl2br w:val="nil"/>
                    <w:tr2bl w:val="nil"/>
                  </w:tcBorders>
                  <w:noWrap w:val="0"/>
                  <w:vAlign w:val="center"/>
                </w:tcPr>
                <w:p w14:paraId="44043A19">
                  <w:pPr>
                    <w:spacing w:before="60" w:after="60"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t/a</w:t>
                  </w:r>
                </w:p>
              </w:tc>
              <w:tc>
                <w:tcPr>
                  <w:tcW w:w="671" w:type="pct"/>
                  <w:tcBorders>
                    <w:tl2br w:val="nil"/>
                    <w:tr2bl w:val="nil"/>
                  </w:tcBorders>
                  <w:noWrap w:val="0"/>
                  <w:vAlign w:val="center"/>
                </w:tcPr>
                <w:p w14:paraId="7212D5B8">
                  <w:pPr>
                    <w:pStyle w:val="52"/>
                    <w:spacing w:beforeLines="0" w:afterLines="0" w:line="240" w:lineRule="auto"/>
                    <w:ind w:firstLine="0" w:firstLineChars="0"/>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0</w:t>
                  </w:r>
                </w:p>
              </w:tc>
              <w:tc>
                <w:tcPr>
                  <w:tcW w:w="642" w:type="pct"/>
                  <w:tcBorders>
                    <w:tl2br w:val="nil"/>
                    <w:tr2bl w:val="nil"/>
                  </w:tcBorders>
                  <w:noWrap w:val="0"/>
                  <w:vAlign w:val="center"/>
                </w:tcPr>
                <w:p w14:paraId="17CDC265">
                  <w:pPr>
                    <w:pStyle w:val="52"/>
                    <w:spacing w:beforeLines="0" w:afterLines="0" w:line="240" w:lineRule="auto"/>
                    <w:ind w:firstLine="0" w:firstLineChars="0"/>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cs="Times New Roman"/>
                      <w:i w:val="0"/>
                      <w:iCs w:val="0"/>
                      <w:color w:val="FF0000"/>
                      <w:kern w:val="0"/>
                      <w:sz w:val="21"/>
                      <w:szCs w:val="21"/>
                      <w:u w:val="none"/>
                      <w:lang w:val="en-US" w:eastAsia="zh-CN" w:bidi="ar"/>
                    </w:rPr>
                    <w:t>0.004</w:t>
                  </w:r>
                </w:p>
              </w:tc>
              <w:tc>
                <w:tcPr>
                  <w:tcW w:w="718" w:type="pct"/>
                  <w:tcBorders>
                    <w:tl2br w:val="nil"/>
                    <w:tr2bl w:val="nil"/>
                  </w:tcBorders>
                  <w:noWrap w:val="0"/>
                  <w:vAlign w:val="center"/>
                </w:tcPr>
                <w:p w14:paraId="27014D29">
                  <w:pPr>
                    <w:pStyle w:val="52"/>
                    <w:spacing w:beforeLines="0" w:afterLines="0" w:line="240" w:lineRule="auto"/>
                    <w:ind w:firstLine="0" w:firstLineChars="0"/>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0</w:t>
                  </w:r>
                </w:p>
              </w:tc>
              <w:tc>
                <w:tcPr>
                  <w:tcW w:w="841" w:type="pct"/>
                  <w:tcBorders>
                    <w:tl2br w:val="nil"/>
                    <w:tr2bl w:val="nil"/>
                  </w:tcBorders>
                  <w:noWrap/>
                  <w:vAlign w:val="center"/>
                </w:tcPr>
                <w:p w14:paraId="4C1EA9FF">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0.004</w:t>
                  </w:r>
                </w:p>
              </w:tc>
              <w:tc>
                <w:tcPr>
                  <w:tcW w:w="571" w:type="pct"/>
                  <w:tcBorders>
                    <w:tl2br w:val="nil"/>
                    <w:tr2bl w:val="nil"/>
                  </w:tcBorders>
                  <w:noWrap w:val="0"/>
                  <w:vAlign w:val="center"/>
                </w:tcPr>
                <w:p w14:paraId="03A02164">
                  <w:pPr>
                    <w:pStyle w:val="52"/>
                    <w:spacing w:beforeLines="0" w:afterLines="0" w:line="240" w:lineRule="auto"/>
                    <w:ind w:firstLine="0" w:firstLineChars="0"/>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cs="Times New Roman"/>
                      <w:i w:val="0"/>
                      <w:iCs w:val="0"/>
                      <w:color w:val="FF0000"/>
                      <w:kern w:val="0"/>
                      <w:sz w:val="21"/>
                      <w:szCs w:val="21"/>
                      <w:u w:val="none"/>
                      <w:lang w:val="en-US" w:eastAsia="zh-CN" w:bidi="ar"/>
                    </w:rPr>
                    <w:t>0</w:t>
                  </w:r>
                </w:p>
              </w:tc>
            </w:tr>
            <w:tr w14:paraId="08F485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481" w:type="pct"/>
                  <w:vMerge w:val="continue"/>
                  <w:tcBorders>
                    <w:tl2br w:val="nil"/>
                    <w:tr2bl w:val="nil"/>
                  </w:tcBorders>
                  <w:noWrap w:val="0"/>
                  <w:vAlign w:val="center"/>
                </w:tcPr>
                <w:p w14:paraId="545F9200">
                  <w:pPr>
                    <w:spacing w:before="60" w:after="60" w:line="240" w:lineRule="auto"/>
                    <w:jc w:val="center"/>
                    <w:rPr>
                      <w:rFonts w:hint="default" w:ascii="Times New Roman" w:hAnsi="Times New Roman" w:cs="Times New Roman"/>
                      <w:color w:val="FF0000"/>
                      <w:sz w:val="21"/>
                      <w:szCs w:val="21"/>
                    </w:rPr>
                  </w:pPr>
                </w:p>
              </w:tc>
              <w:tc>
                <w:tcPr>
                  <w:tcW w:w="783" w:type="pct"/>
                  <w:tcBorders>
                    <w:tl2br w:val="nil"/>
                    <w:tr2bl w:val="nil"/>
                  </w:tcBorders>
                  <w:noWrap w:val="0"/>
                  <w:vAlign w:val="center"/>
                </w:tcPr>
                <w:p w14:paraId="4FE63B68">
                  <w:pPr>
                    <w:adjustRightInd w:val="0"/>
                    <w:snapToGrid w:val="0"/>
                    <w:spacing w:line="240" w:lineRule="atLeast"/>
                    <w:jc w:val="center"/>
                    <w:rPr>
                      <w:rFonts w:hint="default" w:ascii="Times New Roman" w:hAnsi="Times New Roman" w:cs="Times New Roman"/>
                      <w:color w:val="FF0000"/>
                      <w:sz w:val="21"/>
                      <w:szCs w:val="21"/>
                    </w:rPr>
                  </w:pPr>
                  <w:r>
                    <w:rPr>
                      <w:rFonts w:hint="eastAsia" w:ascii="Times New Roman" w:hAnsi="Times New Roman" w:eastAsia="宋体" w:cs="Times New Roman"/>
                      <w:b w:val="0"/>
                      <w:bCs w:val="0"/>
                      <w:color w:val="FF0000"/>
                      <w:sz w:val="21"/>
                      <w:szCs w:val="21"/>
                      <w:highlight w:val="none"/>
                      <w:lang w:val="en-US" w:eastAsia="zh-CN"/>
                    </w:rPr>
                    <w:t>废热熔胶桶</w:t>
                  </w:r>
                </w:p>
              </w:tc>
              <w:tc>
                <w:tcPr>
                  <w:tcW w:w="498" w:type="dxa"/>
                  <w:tcBorders>
                    <w:tl2br w:val="nil"/>
                    <w:tr2bl w:val="nil"/>
                  </w:tcBorders>
                  <w:noWrap w:val="0"/>
                  <w:vAlign w:val="center"/>
                </w:tcPr>
                <w:p w14:paraId="1EE45C31">
                  <w:pPr>
                    <w:spacing w:before="60" w:after="60" w:line="240" w:lineRule="auto"/>
                    <w:jc w:val="center"/>
                    <w:rPr>
                      <w:rFonts w:hint="default" w:ascii="Times New Roman" w:hAnsi="Times New Roman" w:cs="Times New Roman"/>
                      <w:color w:val="FF0000"/>
                      <w:sz w:val="21"/>
                      <w:szCs w:val="21"/>
                    </w:rPr>
                  </w:pPr>
                  <w:r>
                    <w:rPr>
                      <w:rFonts w:hint="default" w:ascii="Times New Roman" w:hAnsi="Times New Roman" w:eastAsia="宋体" w:cs="Times New Roman"/>
                      <w:color w:val="FF0000"/>
                      <w:kern w:val="2"/>
                      <w:sz w:val="21"/>
                      <w:szCs w:val="21"/>
                      <w:lang w:val="en-US" w:eastAsia="zh-CN" w:bidi="ar-SA"/>
                    </w:rPr>
                    <w:t>t/a</w:t>
                  </w:r>
                </w:p>
              </w:tc>
              <w:tc>
                <w:tcPr>
                  <w:tcW w:w="671" w:type="pct"/>
                  <w:tcBorders>
                    <w:tl2br w:val="nil"/>
                    <w:tr2bl w:val="nil"/>
                  </w:tcBorders>
                  <w:noWrap w:val="0"/>
                  <w:vAlign w:val="center"/>
                </w:tcPr>
                <w:p w14:paraId="522CAE44">
                  <w:pPr>
                    <w:pStyle w:val="52"/>
                    <w:spacing w:beforeLines="0" w:afterLines="0" w:line="240" w:lineRule="auto"/>
                    <w:ind w:firstLine="0" w:firstLineChars="0"/>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0</w:t>
                  </w:r>
                </w:p>
              </w:tc>
              <w:tc>
                <w:tcPr>
                  <w:tcW w:w="642" w:type="pct"/>
                  <w:tcBorders>
                    <w:tl2br w:val="nil"/>
                    <w:tr2bl w:val="nil"/>
                  </w:tcBorders>
                  <w:noWrap w:val="0"/>
                  <w:vAlign w:val="center"/>
                </w:tcPr>
                <w:p w14:paraId="1C63C96D">
                  <w:pPr>
                    <w:pStyle w:val="52"/>
                    <w:spacing w:beforeLines="0" w:afterLines="0" w:line="240" w:lineRule="auto"/>
                    <w:ind w:firstLine="0" w:firstLineChars="0"/>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cs="Times New Roman"/>
                      <w:i w:val="0"/>
                      <w:iCs w:val="0"/>
                      <w:color w:val="FF0000"/>
                      <w:kern w:val="0"/>
                      <w:sz w:val="21"/>
                      <w:szCs w:val="21"/>
                      <w:u w:val="none"/>
                      <w:lang w:val="en-US" w:eastAsia="zh-CN" w:bidi="ar"/>
                    </w:rPr>
                    <w:t>0.06</w:t>
                  </w:r>
                </w:p>
              </w:tc>
              <w:tc>
                <w:tcPr>
                  <w:tcW w:w="718" w:type="pct"/>
                  <w:tcBorders>
                    <w:tl2br w:val="nil"/>
                    <w:tr2bl w:val="nil"/>
                  </w:tcBorders>
                  <w:noWrap w:val="0"/>
                  <w:vAlign w:val="center"/>
                </w:tcPr>
                <w:p w14:paraId="454D84C2">
                  <w:pPr>
                    <w:pStyle w:val="52"/>
                    <w:spacing w:beforeLines="0" w:afterLines="0" w:line="240" w:lineRule="auto"/>
                    <w:ind w:firstLine="0" w:firstLineChars="0"/>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0</w:t>
                  </w:r>
                </w:p>
              </w:tc>
              <w:tc>
                <w:tcPr>
                  <w:tcW w:w="841" w:type="pct"/>
                  <w:tcBorders>
                    <w:tl2br w:val="nil"/>
                    <w:tr2bl w:val="nil"/>
                  </w:tcBorders>
                  <w:noWrap/>
                  <w:vAlign w:val="center"/>
                </w:tcPr>
                <w:p w14:paraId="1ED595B9">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0.06</w:t>
                  </w:r>
                </w:p>
              </w:tc>
              <w:tc>
                <w:tcPr>
                  <w:tcW w:w="571" w:type="pct"/>
                  <w:tcBorders>
                    <w:tl2br w:val="nil"/>
                    <w:tr2bl w:val="nil"/>
                  </w:tcBorders>
                  <w:noWrap w:val="0"/>
                  <w:vAlign w:val="center"/>
                </w:tcPr>
                <w:p w14:paraId="6D7EEA6B">
                  <w:pPr>
                    <w:pStyle w:val="52"/>
                    <w:spacing w:beforeLines="0" w:afterLines="0" w:line="240" w:lineRule="auto"/>
                    <w:ind w:firstLine="0" w:firstLineChars="0"/>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cs="Times New Roman"/>
                      <w:i w:val="0"/>
                      <w:iCs w:val="0"/>
                      <w:color w:val="FF0000"/>
                      <w:kern w:val="0"/>
                      <w:sz w:val="21"/>
                      <w:szCs w:val="21"/>
                      <w:u w:val="none"/>
                      <w:lang w:val="en-US" w:eastAsia="zh-CN" w:bidi="ar"/>
                    </w:rPr>
                    <w:t>0</w:t>
                  </w:r>
                </w:p>
              </w:tc>
            </w:tr>
            <w:tr w14:paraId="09B1BC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14" w:hRule="atLeast"/>
                <w:jc w:val="center"/>
              </w:trPr>
              <w:tc>
                <w:tcPr>
                  <w:tcW w:w="481" w:type="pct"/>
                  <w:vMerge w:val="continue"/>
                  <w:tcBorders>
                    <w:tl2br w:val="nil"/>
                    <w:tr2bl w:val="nil"/>
                  </w:tcBorders>
                  <w:noWrap w:val="0"/>
                  <w:vAlign w:val="center"/>
                </w:tcPr>
                <w:p w14:paraId="03CAE30F">
                  <w:pPr>
                    <w:spacing w:before="60" w:after="60" w:line="240" w:lineRule="auto"/>
                    <w:jc w:val="center"/>
                    <w:rPr>
                      <w:rFonts w:hint="default" w:ascii="Times New Roman" w:hAnsi="Times New Roman" w:cs="Times New Roman"/>
                      <w:color w:val="FF0000"/>
                      <w:sz w:val="21"/>
                      <w:szCs w:val="21"/>
                    </w:rPr>
                  </w:pPr>
                </w:p>
              </w:tc>
              <w:tc>
                <w:tcPr>
                  <w:tcW w:w="783" w:type="pct"/>
                  <w:tcBorders>
                    <w:tl2br w:val="nil"/>
                    <w:tr2bl w:val="nil"/>
                  </w:tcBorders>
                  <w:noWrap w:val="0"/>
                  <w:vAlign w:val="center"/>
                </w:tcPr>
                <w:p w14:paraId="5DDEA040">
                  <w:pPr>
                    <w:pStyle w:val="52"/>
                    <w:keepNext w:val="0"/>
                    <w:keepLines w:val="0"/>
                    <w:pageBreakBefore w:val="0"/>
                    <w:widowControl w:val="0"/>
                    <w:kinsoku/>
                    <w:wordWrap/>
                    <w:overflowPunct/>
                    <w:topLinePunct w:val="0"/>
                    <w:autoSpaceDE/>
                    <w:autoSpaceDN/>
                    <w:bidi w:val="0"/>
                    <w:spacing w:beforeLines="0" w:afterLines="0" w:line="240" w:lineRule="auto"/>
                    <w:ind w:left="0" w:leftChars="0" w:right="0" w:rightChars="0" w:firstLine="0" w:firstLineChars="0"/>
                    <w:jc w:val="center"/>
                    <w:textAlignment w:val="auto"/>
                    <w:rPr>
                      <w:rFonts w:hint="default" w:ascii="Times New Roman" w:hAnsi="Times New Roman" w:cs="Times New Roman"/>
                      <w:color w:val="FF0000"/>
                      <w:sz w:val="21"/>
                      <w:szCs w:val="21"/>
                    </w:rPr>
                  </w:pPr>
                  <w:r>
                    <w:rPr>
                      <w:rFonts w:hint="eastAsia" w:ascii="Times New Roman" w:hAnsi="Times New Roman" w:eastAsia="宋体" w:cs="Times New Roman"/>
                      <w:b w:val="0"/>
                      <w:bCs w:val="0"/>
                      <w:color w:val="FF0000"/>
                      <w:sz w:val="21"/>
                      <w:szCs w:val="21"/>
                      <w:highlight w:val="none"/>
                      <w:lang w:val="en-US" w:eastAsia="zh-CN"/>
                    </w:rPr>
                    <w:t>废含油抹布、手套</w:t>
                  </w:r>
                </w:p>
              </w:tc>
              <w:tc>
                <w:tcPr>
                  <w:tcW w:w="498" w:type="dxa"/>
                  <w:tcBorders>
                    <w:tl2br w:val="nil"/>
                    <w:tr2bl w:val="nil"/>
                  </w:tcBorders>
                  <w:noWrap w:val="0"/>
                  <w:vAlign w:val="center"/>
                </w:tcPr>
                <w:p w14:paraId="36E9FF27">
                  <w:pPr>
                    <w:spacing w:before="60" w:after="60"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t/a</w:t>
                  </w:r>
                </w:p>
              </w:tc>
              <w:tc>
                <w:tcPr>
                  <w:tcW w:w="671" w:type="pct"/>
                  <w:tcBorders>
                    <w:tl2br w:val="nil"/>
                    <w:tr2bl w:val="nil"/>
                  </w:tcBorders>
                  <w:noWrap w:val="0"/>
                  <w:vAlign w:val="center"/>
                </w:tcPr>
                <w:p w14:paraId="7BD64DC6">
                  <w:pPr>
                    <w:pStyle w:val="52"/>
                    <w:spacing w:beforeLines="0" w:afterLines="0" w:line="240" w:lineRule="auto"/>
                    <w:ind w:firstLine="0" w:firstLineChars="0"/>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0</w:t>
                  </w:r>
                </w:p>
              </w:tc>
              <w:tc>
                <w:tcPr>
                  <w:tcW w:w="642" w:type="pct"/>
                  <w:tcBorders>
                    <w:tl2br w:val="nil"/>
                    <w:tr2bl w:val="nil"/>
                  </w:tcBorders>
                  <w:noWrap w:val="0"/>
                  <w:vAlign w:val="center"/>
                </w:tcPr>
                <w:p w14:paraId="6059989E">
                  <w:pPr>
                    <w:pStyle w:val="52"/>
                    <w:spacing w:beforeLines="0" w:afterLines="0" w:line="240" w:lineRule="auto"/>
                    <w:ind w:firstLine="0" w:firstLineChars="0"/>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cs="Times New Roman"/>
                      <w:i w:val="0"/>
                      <w:iCs w:val="0"/>
                      <w:color w:val="FF0000"/>
                      <w:kern w:val="0"/>
                      <w:sz w:val="21"/>
                      <w:szCs w:val="21"/>
                      <w:u w:val="none"/>
                      <w:lang w:val="en-US" w:eastAsia="zh-CN" w:bidi="ar"/>
                    </w:rPr>
                    <w:t>0.02</w:t>
                  </w:r>
                </w:p>
              </w:tc>
              <w:tc>
                <w:tcPr>
                  <w:tcW w:w="718" w:type="pct"/>
                  <w:tcBorders>
                    <w:tl2br w:val="nil"/>
                    <w:tr2bl w:val="nil"/>
                  </w:tcBorders>
                  <w:noWrap w:val="0"/>
                  <w:vAlign w:val="center"/>
                </w:tcPr>
                <w:p w14:paraId="71A17A12">
                  <w:pPr>
                    <w:pStyle w:val="52"/>
                    <w:spacing w:beforeLines="0" w:afterLines="0" w:line="240" w:lineRule="auto"/>
                    <w:ind w:firstLine="0" w:firstLineChars="0"/>
                    <w:rPr>
                      <w:rFonts w:hint="default" w:ascii="Times New Roman" w:hAnsi="Times New Roman" w:cs="Times New Roman"/>
                      <w:color w:val="FF0000"/>
                      <w:sz w:val="21"/>
                      <w:szCs w:val="21"/>
                      <w:lang w:val="en-US" w:eastAsia="zh-CN"/>
                    </w:rPr>
                  </w:pPr>
                  <w:r>
                    <w:rPr>
                      <w:rFonts w:hint="eastAsia" w:ascii="Times New Roman" w:hAnsi="Times New Roman" w:cs="Times New Roman"/>
                      <w:color w:val="FF0000"/>
                      <w:sz w:val="21"/>
                      <w:szCs w:val="21"/>
                      <w:lang w:val="en-US" w:eastAsia="zh-CN"/>
                    </w:rPr>
                    <w:t>0</w:t>
                  </w:r>
                </w:p>
              </w:tc>
              <w:tc>
                <w:tcPr>
                  <w:tcW w:w="841" w:type="pct"/>
                  <w:tcBorders>
                    <w:tl2br w:val="nil"/>
                    <w:tr2bl w:val="nil"/>
                  </w:tcBorders>
                  <w:noWrap/>
                  <w:vAlign w:val="center"/>
                </w:tcPr>
                <w:p w14:paraId="4450E860">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0.02</w:t>
                  </w:r>
                </w:p>
              </w:tc>
              <w:tc>
                <w:tcPr>
                  <w:tcW w:w="571" w:type="pct"/>
                  <w:tcBorders>
                    <w:tl2br w:val="nil"/>
                    <w:tr2bl w:val="nil"/>
                  </w:tcBorders>
                  <w:noWrap w:val="0"/>
                  <w:vAlign w:val="center"/>
                </w:tcPr>
                <w:p w14:paraId="423B9AAC">
                  <w:pPr>
                    <w:pStyle w:val="52"/>
                    <w:spacing w:beforeLines="0" w:afterLines="0" w:line="240" w:lineRule="auto"/>
                    <w:ind w:firstLine="0" w:firstLineChars="0"/>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cs="Times New Roman"/>
                      <w:i w:val="0"/>
                      <w:iCs w:val="0"/>
                      <w:color w:val="FF0000"/>
                      <w:kern w:val="0"/>
                      <w:sz w:val="21"/>
                      <w:szCs w:val="21"/>
                      <w:u w:val="none"/>
                      <w:lang w:val="en-US" w:eastAsia="zh-CN" w:bidi="ar"/>
                    </w:rPr>
                    <w:t>0</w:t>
                  </w:r>
                </w:p>
              </w:tc>
            </w:tr>
            <w:tr w14:paraId="4C9CE5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9" w:hRule="atLeast"/>
                <w:jc w:val="center"/>
              </w:trPr>
              <w:tc>
                <w:tcPr>
                  <w:tcW w:w="1264" w:type="pct"/>
                  <w:gridSpan w:val="2"/>
                  <w:tcBorders>
                    <w:tl2br w:val="nil"/>
                    <w:tr2bl w:val="nil"/>
                  </w:tcBorders>
                  <w:noWrap w:val="0"/>
                  <w:vAlign w:val="center"/>
                </w:tcPr>
                <w:p w14:paraId="7CE9B46F">
                  <w:pPr>
                    <w:spacing w:before="60" w:after="60"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生活垃圾</w:t>
                  </w:r>
                </w:p>
              </w:tc>
              <w:tc>
                <w:tcPr>
                  <w:tcW w:w="291" w:type="pct"/>
                  <w:tcBorders>
                    <w:tl2br w:val="nil"/>
                    <w:tr2bl w:val="nil"/>
                  </w:tcBorders>
                  <w:noWrap w:val="0"/>
                  <w:vAlign w:val="center"/>
                </w:tcPr>
                <w:p w14:paraId="7633471F">
                  <w:pPr>
                    <w:spacing w:before="60" w:after="60" w:line="240" w:lineRule="auto"/>
                    <w:jc w:val="center"/>
                    <w:rPr>
                      <w:rFonts w:hint="default" w:ascii="Times New Roman" w:hAnsi="Times New Roman" w:cs="Times New Roman"/>
                      <w:color w:val="FF0000"/>
                      <w:sz w:val="21"/>
                      <w:szCs w:val="21"/>
                    </w:rPr>
                  </w:pPr>
                  <w:r>
                    <w:rPr>
                      <w:rFonts w:hint="default" w:ascii="Times New Roman" w:hAnsi="Times New Roman" w:cs="Times New Roman"/>
                      <w:color w:val="FF0000"/>
                      <w:sz w:val="21"/>
                      <w:szCs w:val="21"/>
                    </w:rPr>
                    <w:t>t/a</w:t>
                  </w:r>
                </w:p>
              </w:tc>
              <w:tc>
                <w:tcPr>
                  <w:tcW w:w="671" w:type="pct"/>
                  <w:tcBorders>
                    <w:tl2br w:val="nil"/>
                    <w:tr2bl w:val="nil"/>
                  </w:tcBorders>
                  <w:noWrap w:val="0"/>
                  <w:vAlign w:val="center"/>
                </w:tcPr>
                <w:p w14:paraId="424243E2">
                  <w:pPr>
                    <w:spacing w:line="240" w:lineRule="auto"/>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3</w:t>
                  </w:r>
                </w:p>
              </w:tc>
              <w:tc>
                <w:tcPr>
                  <w:tcW w:w="642" w:type="pct"/>
                  <w:tcBorders>
                    <w:tl2br w:val="nil"/>
                    <w:tr2bl w:val="nil"/>
                  </w:tcBorders>
                  <w:noWrap w:val="0"/>
                  <w:vAlign w:val="center"/>
                </w:tcPr>
                <w:p w14:paraId="0A1CBF18">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5.25</w:t>
                  </w:r>
                </w:p>
              </w:tc>
              <w:tc>
                <w:tcPr>
                  <w:tcW w:w="718" w:type="pct"/>
                  <w:tcBorders>
                    <w:tl2br w:val="nil"/>
                    <w:tr2bl w:val="nil"/>
                  </w:tcBorders>
                  <w:noWrap w:val="0"/>
                  <w:vAlign w:val="center"/>
                </w:tcPr>
                <w:p w14:paraId="63A4FF74">
                  <w:pPr>
                    <w:spacing w:line="240" w:lineRule="auto"/>
                    <w:jc w:val="center"/>
                    <w:rPr>
                      <w:rFonts w:hint="default" w:ascii="Times New Roman" w:hAnsi="Times New Roman" w:eastAsia="宋体" w:cs="Times New Roman"/>
                      <w:color w:val="FF0000"/>
                      <w:sz w:val="21"/>
                      <w:szCs w:val="21"/>
                      <w:lang w:val="en-US" w:eastAsia="zh-CN" w:bidi="ar-SA"/>
                    </w:rPr>
                  </w:pPr>
                  <w:r>
                    <w:rPr>
                      <w:rFonts w:hint="eastAsia" w:cs="Times New Roman"/>
                      <w:color w:val="FF0000"/>
                      <w:sz w:val="21"/>
                      <w:szCs w:val="21"/>
                      <w:lang w:val="en-US" w:eastAsia="zh-CN" w:bidi="ar-SA"/>
                    </w:rPr>
                    <w:t>3</w:t>
                  </w:r>
                </w:p>
              </w:tc>
              <w:tc>
                <w:tcPr>
                  <w:tcW w:w="841" w:type="pct"/>
                  <w:tcBorders>
                    <w:tl2br w:val="nil"/>
                    <w:tr2bl w:val="nil"/>
                  </w:tcBorders>
                  <w:noWrap/>
                  <w:vAlign w:val="center"/>
                </w:tcPr>
                <w:p w14:paraId="04144C11">
                  <w:pPr>
                    <w:keepNext w:val="0"/>
                    <w:keepLines w:val="0"/>
                    <w:widowControl/>
                    <w:suppressLineNumbers w:val="0"/>
                    <w:jc w:val="center"/>
                    <w:textAlignment w:val="center"/>
                    <w:rPr>
                      <w:rFonts w:hint="default" w:ascii="Times New Roman" w:hAnsi="Times New Roman" w:cs="Times New Roman"/>
                      <w:color w:val="FF0000"/>
                      <w:sz w:val="21"/>
                      <w:szCs w:val="21"/>
                      <w:lang w:val="en-US" w:eastAsia="zh-CN" w:bidi="ar-SA"/>
                    </w:rPr>
                  </w:pPr>
                  <w:r>
                    <w:rPr>
                      <w:rFonts w:hint="eastAsia" w:cs="Times New Roman"/>
                      <w:color w:val="FF0000"/>
                      <w:sz w:val="21"/>
                      <w:szCs w:val="21"/>
                      <w:lang w:val="en-US" w:eastAsia="zh-CN" w:bidi="ar-SA"/>
                    </w:rPr>
                    <w:t>5.25</w:t>
                  </w:r>
                </w:p>
              </w:tc>
              <w:tc>
                <w:tcPr>
                  <w:tcW w:w="571" w:type="pct"/>
                  <w:tcBorders>
                    <w:tl2br w:val="nil"/>
                    <w:tr2bl w:val="nil"/>
                  </w:tcBorders>
                  <w:noWrap w:val="0"/>
                  <w:vAlign w:val="center"/>
                </w:tcPr>
                <w:p w14:paraId="62697ABB">
                  <w:pPr>
                    <w:spacing w:line="240" w:lineRule="auto"/>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+2.25</w:t>
                  </w:r>
                </w:p>
              </w:tc>
            </w:tr>
          </w:tbl>
          <w:p w14:paraId="4B85707C">
            <w:pPr>
              <w:keepNext w:val="0"/>
              <w:keepLines w:val="0"/>
              <w:widowControl/>
              <w:suppressLineNumbers w:val="0"/>
              <w:spacing w:line="360" w:lineRule="auto"/>
              <w:jc w:val="left"/>
              <w:rPr>
                <w:rFonts w:hint="default" w:ascii="Times New Roman" w:hAnsi="Times New Roman" w:eastAsia="宋体" w:cs="Times New Roman"/>
                <w:b w:val="0"/>
                <w:bCs w:val="0"/>
                <w:color w:val="auto"/>
                <w:spacing w:val="0"/>
                <w:kern w:val="0"/>
                <w:sz w:val="24"/>
                <w:szCs w:val="24"/>
                <w:lang w:val="en-US" w:eastAsia="zh-CN"/>
              </w:rPr>
            </w:pPr>
          </w:p>
        </w:tc>
      </w:tr>
    </w:tbl>
    <w:p w14:paraId="28C4A72B">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717B76C">
      <w:pPr>
        <w:pStyle w:val="20"/>
        <w:jc w:val="center"/>
        <w:outlineLvl w:val="0"/>
        <w:rPr>
          <w:rFonts w:ascii="黑体" w:hAnsi="黑体" w:eastAsia="黑体"/>
          <w:snapToGrid w:val="0"/>
          <w:color w:val="auto"/>
          <w:sz w:val="30"/>
          <w:szCs w:val="30"/>
        </w:rPr>
      </w:pPr>
      <w:commentRangeStart w:id="51"/>
      <w:bookmarkStart w:id="90" w:name="_Toc25393"/>
      <w:r>
        <w:rPr>
          <w:rFonts w:hint="eastAsia" w:ascii="黑体" w:hAnsi="黑体" w:eastAsia="黑体"/>
          <w:snapToGrid w:val="0"/>
          <w:color w:val="FF0000"/>
          <w:sz w:val="30"/>
          <w:szCs w:val="30"/>
        </w:rPr>
        <w:t>五、</w:t>
      </w:r>
      <w:commentRangeEnd w:id="51"/>
      <w:r>
        <w:commentReference w:id="51"/>
      </w:r>
      <w:bookmarkStart w:id="91" w:name="_Hlk54167917"/>
      <w:r>
        <w:rPr>
          <w:rFonts w:hint="eastAsia" w:ascii="黑体" w:hAnsi="黑体" w:eastAsia="黑体"/>
          <w:snapToGrid w:val="0"/>
          <w:color w:val="FF0000"/>
          <w:sz w:val="30"/>
          <w:szCs w:val="30"/>
        </w:rPr>
        <w:t>环境保护措施监督检查清单</w:t>
      </w:r>
      <w:bookmarkEnd w:id="90"/>
      <w:bookmarkEnd w:id="91"/>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505"/>
        <w:gridCol w:w="866"/>
        <w:gridCol w:w="915"/>
        <w:gridCol w:w="1560"/>
        <w:gridCol w:w="2176"/>
      </w:tblGrid>
      <w:tr w14:paraId="23BD2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778" w:type="dxa"/>
            <w:tcBorders>
              <w:tl2br w:val="single" w:color="auto" w:sz="4" w:space="0"/>
            </w:tcBorders>
            <w:noWrap w:val="0"/>
            <w:vAlign w:val="top"/>
          </w:tcPr>
          <w:p w14:paraId="49F2C5A3">
            <w:pPr>
              <w:adjustRightInd w:val="0"/>
              <w:snapToGrid w:val="0"/>
              <w:ind w:firstLine="840"/>
              <w:rPr>
                <w:rFonts w:hint="eastAsia" w:ascii="宋体" w:hAnsi="宋体" w:cs="宋体"/>
                <w:color w:val="FF0000"/>
                <w:szCs w:val="21"/>
              </w:rPr>
            </w:pPr>
            <w:r>
              <w:rPr>
                <w:rFonts w:hint="eastAsia" w:ascii="宋体" w:hAnsi="宋体" w:cs="宋体"/>
                <w:color w:val="FF0000"/>
                <w:szCs w:val="21"/>
              </w:rPr>
              <w:t>内容</w:t>
            </w:r>
          </w:p>
          <w:p w14:paraId="6C0C1862">
            <w:pPr>
              <w:adjustRightInd w:val="0"/>
              <w:snapToGrid w:val="0"/>
              <w:rPr>
                <w:rFonts w:hint="eastAsia" w:ascii="宋体" w:hAnsi="宋体" w:cs="宋体"/>
                <w:color w:val="FF0000"/>
                <w:szCs w:val="21"/>
              </w:rPr>
            </w:pPr>
            <w:r>
              <w:rPr>
                <w:rFonts w:hint="eastAsia" w:ascii="宋体" w:hAnsi="宋体" w:cs="宋体"/>
                <w:color w:val="FF0000"/>
                <w:szCs w:val="21"/>
              </w:rPr>
              <w:t>要素</w:t>
            </w:r>
          </w:p>
        </w:tc>
        <w:tc>
          <w:tcPr>
            <w:tcW w:w="1505" w:type="dxa"/>
            <w:noWrap w:val="0"/>
            <w:vAlign w:val="center"/>
          </w:tcPr>
          <w:p w14:paraId="39E31B4C">
            <w:pPr>
              <w:adjustRightInd w:val="0"/>
              <w:snapToGrid w:val="0"/>
              <w:jc w:val="center"/>
              <w:rPr>
                <w:rFonts w:hint="eastAsia" w:ascii="宋体" w:hAnsi="宋体" w:cs="宋体"/>
                <w:color w:val="FF0000"/>
                <w:szCs w:val="21"/>
              </w:rPr>
            </w:pPr>
            <w:r>
              <w:rPr>
                <w:rFonts w:hint="eastAsia" w:ascii="宋体" w:hAnsi="宋体" w:cs="宋体"/>
                <w:color w:val="FF0000"/>
                <w:szCs w:val="21"/>
              </w:rPr>
              <w:t>排放口(编号、</w:t>
            </w:r>
          </w:p>
          <w:p w14:paraId="28428FAB">
            <w:pPr>
              <w:adjustRightInd w:val="0"/>
              <w:snapToGrid w:val="0"/>
              <w:jc w:val="center"/>
              <w:rPr>
                <w:rFonts w:hint="eastAsia" w:ascii="宋体" w:hAnsi="宋体" w:cs="宋体"/>
                <w:color w:val="FF0000"/>
                <w:szCs w:val="21"/>
              </w:rPr>
            </w:pPr>
            <w:r>
              <w:rPr>
                <w:rFonts w:hint="eastAsia" w:ascii="宋体" w:hAnsi="宋体" w:cs="宋体"/>
                <w:color w:val="FF0000"/>
                <w:szCs w:val="21"/>
              </w:rPr>
              <w:t>名称)/污染源</w:t>
            </w:r>
          </w:p>
        </w:tc>
        <w:tc>
          <w:tcPr>
            <w:tcW w:w="1781" w:type="dxa"/>
            <w:gridSpan w:val="2"/>
            <w:noWrap w:val="0"/>
            <w:vAlign w:val="center"/>
          </w:tcPr>
          <w:p w14:paraId="17799BFD">
            <w:pPr>
              <w:adjustRightInd w:val="0"/>
              <w:snapToGrid w:val="0"/>
              <w:jc w:val="center"/>
              <w:rPr>
                <w:rFonts w:hint="eastAsia" w:ascii="宋体" w:hAnsi="宋体" w:cs="宋体"/>
                <w:color w:val="FF0000"/>
                <w:szCs w:val="21"/>
              </w:rPr>
            </w:pPr>
            <w:r>
              <w:rPr>
                <w:rFonts w:hint="eastAsia" w:ascii="宋体" w:hAnsi="宋体" w:cs="宋体"/>
                <w:color w:val="FF0000"/>
                <w:szCs w:val="21"/>
              </w:rPr>
              <w:t>污染物项目</w:t>
            </w:r>
          </w:p>
        </w:tc>
        <w:tc>
          <w:tcPr>
            <w:tcW w:w="1560" w:type="dxa"/>
            <w:noWrap w:val="0"/>
            <w:vAlign w:val="center"/>
          </w:tcPr>
          <w:p w14:paraId="1BBD0159">
            <w:pPr>
              <w:adjustRightInd w:val="0"/>
              <w:snapToGrid w:val="0"/>
              <w:jc w:val="center"/>
              <w:rPr>
                <w:rFonts w:hint="eastAsia" w:ascii="宋体" w:hAnsi="宋体" w:cs="宋体"/>
                <w:color w:val="FF0000"/>
                <w:szCs w:val="21"/>
              </w:rPr>
            </w:pPr>
            <w:r>
              <w:rPr>
                <w:rFonts w:hint="eastAsia" w:ascii="宋体" w:hAnsi="宋体" w:cs="宋体"/>
                <w:color w:val="FF0000"/>
                <w:szCs w:val="21"/>
              </w:rPr>
              <w:t>环境保护措施</w:t>
            </w:r>
          </w:p>
        </w:tc>
        <w:tc>
          <w:tcPr>
            <w:tcW w:w="2176" w:type="dxa"/>
            <w:noWrap w:val="0"/>
            <w:vAlign w:val="center"/>
          </w:tcPr>
          <w:p w14:paraId="58C0D53D">
            <w:pPr>
              <w:adjustRightInd w:val="0"/>
              <w:snapToGrid w:val="0"/>
              <w:jc w:val="center"/>
              <w:rPr>
                <w:rFonts w:hint="eastAsia" w:ascii="宋体" w:hAnsi="宋体" w:cs="宋体"/>
                <w:color w:val="FF0000"/>
                <w:szCs w:val="21"/>
              </w:rPr>
            </w:pPr>
            <w:r>
              <w:rPr>
                <w:rFonts w:hint="eastAsia" w:ascii="宋体" w:hAnsi="宋体" w:cs="宋体"/>
                <w:color w:val="FF0000"/>
                <w:szCs w:val="21"/>
              </w:rPr>
              <w:t>执行标准</w:t>
            </w:r>
          </w:p>
        </w:tc>
      </w:tr>
      <w:tr w14:paraId="690BA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778" w:type="dxa"/>
            <w:vMerge w:val="restart"/>
            <w:noWrap w:val="0"/>
            <w:vAlign w:val="center"/>
          </w:tcPr>
          <w:p w14:paraId="45FD2F3C">
            <w:pPr>
              <w:adjustRightInd w:val="0"/>
              <w:snapToGrid w:val="0"/>
              <w:jc w:val="center"/>
              <w:rPr>
                <w:rFonts w:hint="eastAsia" w:ascii="宋体" w:hAnsi="宋体" w:cs="宋体"/>
                <w:color w:val="FF0000"/>
                <w:szCs w:val="21"/>
              </w:rPr>
            </w:pPr>
            <w:r>
              <w:rPr>
                <w:rFonts w:hint="eastAsia" w:ascii="宋体" w:hAnsi="宋体" w:cs="宋体"/>
                <w:color w:val="FF0000"/>
                <w:szCs w:val="21"/>
              </w:rPr>
              <w:t>大气环境</w:t>
            </w:r>
          </w:p>
        </w:tc>
        <w:tc>
          <w:tcPr>
            <w:tcW w:w="1505" w:type="dxa"/>
            <w:vMerge w:val="restart"/>
            <w:noWrap w:val="0"/>
            <w:vAlign w:val="center"/>
          </w:tcPr>
          <w:p w14:paraId="3F7D875B">
            <w:pPr>
              <w:adjustRightInd w:val="0"/>
              <w:snapToGrid w:val="0"/>
              <w:jc w:val="center"/>
              <w:rPr>
                <w:rFonts w:hint="default" w:ascii="宋体" w:hAnsi="宋体" w:eastAsia="宋体" w:cs="宋体"/>
                <w:color w:val="FF0000"/>
                <w:szCs w:val="21"/>
                <w:lang w:val="en-US" w:eastAsia="zh-CN"/>
              </w:rPr>
            </w:pPr>
            <w:r>
              <w:rPr>
                <w:rFonts w:hint="eastAsia" w:ascii="宋体" w:hAnsi="宋体" w:cs="宋体"/>
                <w:color w:val="FF0000"/>
                <w:szCs w:val="21"/>
                <w:lang w:val="en-US" w:eastAsia="zh-CN"/>
              </w:rPr>
              <w:t>无组织</w:t>
            </w:r>
          </w:p>
        </w:tc>
        <w:tc>
          <w:tcPr>
            <w:tcW w:w="1781" w:type="dxa"/>
            <w:gridSpan w:val="2"/>
            <w:noWrap w:val="0"/>
            <w:vAlign w:val="center"/>
          </w:tcPr>
          <w:p w14:paraId="2FFBB977">
            <w:pPr>
              <w:adjustRightInd w:val="0"/>
              <w:snapToGrid w:val="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颗粒物</w:t>
            </w:r>
          </w:p>
        </w:tc>
        <w:tc>
          <w:tcPr>
            <w:tcW w:w="1560" w:type="dxa"/>
            <w:noWrap w:val="0"/>
            <w:vAlign w:val="center"/>
          </w:tcPr>
          <w:p w14:paraId="31F2AC69">
            <w:pPr>
              <w:adjustRightInd w:val="0"/>
              <w:snapToGrid w:val="0"/>
              <w:jc w:val="center"/>
              <w:rPr>
                <w:rFonts w:hint="default" w:ascii="宋体" w:hAnsi="宋体" w:eastAsia="宋体" w:cs="宋体"/>
                <w:color w:val="FF0000"/>
                <w:szCs w:val="21"/>
                <w:lang w:val="en-US" w:eastAsia="zh-CN"/>
              </w:rPr>
            </w:pPr>
            <w:r>
              <w:rPr>
                <w:rFonts w:hint="eastAsia" w:ascii="Times New Roman" w:hAnsi="Times New Roman" w:eastAsia="宋体" w:cs="Times New Roman"/>
                <w:color w:val="FF0000"/>
                <w:sz w:val="21"/>
                <w:szCs w:val="21"/>
                <w:lang w:val="en-US" w:eastAsia="zh-CN"/>
              </w:rPr>
              <w:t>车间空气净化系统、厂区绿化</w:t>
            </w:r>
          </w:p>
        </w:tc>
        <w:tc>
          <w:tcPr>
            <w:tcW w:w="2176" w:type="dxa"/>
            <w:noWrap w:val="0"/>
            <w:vAlign w:val="center"/>
          </w:tcPr>
          <w:p w14:paraId="77D4F0CD">
            <w:pPr>
              <w:adjustRightInd w:val="0"/>
              <w:snapToGrid w:val="0"/>
              <w:jc w:val="center"/>
              <w:rPr>
                <w:rFonts w:hint="eastAsia"/>
                <w:color w:val="FF0000"/>
                <w:kern w:val="0"/>
                <w:sz w:val="21"/>
                <w:szCs w:val="21"/>
              </w:rPr>
            </w:pPr>
            <w:r>
              <w:rPr>
                <w:rFonts w:hint="eastAsia" w:ascii="Times New Roman" w:hAnsi="Times New Roman" w:eastAsia="宋体" w:cs="Times New Roman"/>
                <w:color w:val="FF0000"/>
                <w:kern w:val="0"/>
                <w:sz w:val="21"/>
                <w:szCs w:val="21"/>
                <w:lang w:val="en-US" w:eastAsia="zh-CN"/>
              </w:rPr>
              <w:t>《大气污染物综合排放标准》（DB31/933-2015）</w:t>
            </w:r>
          </w:p>
        </w:tc>
      </w:tr>
      <w:tr w14:paraId="7E830B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1778" w:type="dxa"/>
            <w:vMerge w:val="continue"/>
            <w:noWrap w:val="0"/>
            <w:vAlign w:val="center"/>
          </w:tcPr>
          <w:p w14:paraId="752742EF">
            <w:pPr>
              <w:adjustRightInd w:val="0"/>
              <w:snapToGrid w:val="0"/>
              <w:jc w:val="center"/>
              <w:rPr>
                <w:color w:val="FF0000"/>
              </w:rPr>
            </w:pPr>
          </w:p>
        </w:tc>
        <w:tc>
          <w:tcPr>
            <w:tcW w:w="1505" w:type="dxa"/>
            <w:vMerge w:val="continue"/>
            <w:noWrap w:val="0"/>
            <w:vAlign w:val="center"/>
          </w:tcPr>
          <w:p w14:paraId="36DB55A9">
            <w:pPr>
              <w:adjustRightInd w:val="0"/>
              <w:snapToGrid w:val="0"/>
              <w:jc w:val="center"/>
              <w:rPr>
                <w:color w:val="FF0000"/>
              </w:rPr>
            </w:pPr>
          </w:p>
        </w:tc>
        <w:tc>
          <w:tcPr>
            <w:tcW w:w="1781" w:type="dxa"/>
            <w:gridSpan w:val="2"/>
            <w:noWrap w:val="0"/>
            <w:vAlign w:val="center"/>
          </w:tcPr>
          <w:p w14:paraId="3B8BA4D7">
            <w:pPr>
              <w:adjustRightInd w:val="0"/>
              <w:snapToGrid w:val="0"/>
              <w:jc w:val="center"/>
              <w:rPr>
                <w:rFonts w:hint="default"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非甲烷总烃</w:t>
            </w:r>
          </w:p>
        </w:tc>
        <w:tc>
          <w:tcPr>
            <w:tcW w:w="1560" w:type="dxa"/>
            <w:vMerge w:val="restart"/>
            <w:noWrap w:val="0"/>
            <w:vAlign w:val="center"/>
          </w:tcPr>
          <w:p w14:paraId="22BF38F5">
            <w:pPr>
              <w:adjustRightInd w:val="0"/>
              <w:snapToGrid w:val="0"/>
              <w:jc w:val="center"/>
              <w:rPr>
                <w:color w:val="FF0000"/>
              </w:rPr>
            </w:pPr>
            <w:r>
              <w:rPr>
                <w:rFonts w:hint="eastAsia" w:ascii="Times New Roman" w:hAnsi="Times New Roman" w:eastAsia="宋体" w:cs="Times New Roman"/>
                <w:color w:val="FF0000"/>
                <w:sz w:val="21"/>
                <w:szCs w:val="21"/>
                <w:lang w:val="en-US" w:eastAsia="zh-CN"/>
              </w:rPr>
              <w:t>车间空气净化系统+活性炭吸附</w:t>
            </w:r>
          </w:p>
        </w:tc>
        <w:tc>
          <w:tcPr>
            <w:tcW w:w="2176" w:type="dxa"/>
            <w:noWrap w:val="0"/>
            <w:vAlign w:val="center"/>
          </w:tcPr>
          <w:p w14:paraId="0F51069E">
            <w:pPr>
              <w:adjustRightInd w:val="0"/>
              <w:snapToGrid w:val="0"/>
              <w:jc w:val="center"/>
              <w:rPr>
                <w:rFonts w:hint="eastAsia"/>
                <w:color w:val="FF0000"/>
                <w:kern w:val="0"/>
                <w:sz w:val="21"/>
                <w:szCs w:val="21"/>
              </w:rPr>
            </w:pPr>
            <w:r>
              <w:rPr>
                <w:rFonts w:hint="eastAsia" w:ascii="Times New Roman" w:hAnsi="Times New Roman" w:eastAsia="宋体" w:cs="Times New Roman"/>
                <w:color w:val="FF0000"/>
                <w:kern w:val="0"/>
                <w:sz w:val="21"/>
                <w:szCs w:val="21"/>
                <w:lang w:val="en-US" w:eastAsia="zh-CN"/>
              </w:rPr>
              <w:t>《挥发性有机物排放标准第3部分：医药制造业(DB36/1101.3-2019)</w:t>
            </w:r>
          </w:p>
        </w:tc>
      </w:tr>
      <w:tr w14:paraId="106ED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778" w:type="dxa"/>
            <w:vMerge w:val="continue"/>
            <w:noWrap w:val="0"/>
            <w:vAlign w:val="center"/>
          </w:tcPr>
          <w:p w14:paraId="7889FD95">
            <w:pPr>
              <w:adjustRightInd w:val="0"/>
              <w:snapToGrid w:val="0"/>
              <w:jc w:val="center"/>
              <w:rPr>
                <w:color w:val="FF0000"/>
              </w:rPr>
            </w:pPr>
          </w:p>
        </w:tc>
        <w:tc>
          <w:tcPr>
            <w:tcW w:w="1505" w:type="dxa"/>
            <w:vMerge w:val="continue"/>
            <w:noWrap w:val="0"/>
            <w:vAlign w:val="center"/>
          </w:tcPr>
          <w:p w14:paraId="604C8529">
            <w:pPr>
              <w:adjustRightInd w:val="0"/>
              <w:snapToGrid w:val="0"/>
              <w:jc w:val="center"/>
              <w:rPr>
                <w:color w:val="FF0000"/>
              </w:rPr>
            </w:pPr>
          </w:p>
        </w:tc>
        <w:tc>
          <w:tcPr>
            <w:tcW w:w="1781" w:type="dxa"/>
            <w:gridSpan w:val="2"/>
            <w:noWrap w:val="0"/>
            <w:vAlign w:val="center"/>
          </w:tcPr>
          <w:p w14:paraId="1D0A6E89">
            <w:pPr>
              <w:adjustRightInd w:val="0"/>
              <w:snapToGrid w:val="0"/>
              <w:jc w:val="center"/>
              <w:rPr>
                <w:rFonts w:hint="eastAsia" w:eastAsia="宋体"/>
                <w:color w:val="FF0000"/>
                <w:lang w:val="en-US" w:eastAsia="zh-CN"/>
              </w:rPr>
            </w:pPr>
            <w:r>
              <w:rPr>
                <w:rFonts w:hint="eastAsia"/>
                <w:color w:val="FF0000"/>
                <w:lang w:val="en-US" w:eastAsia="zh-CN"/>
              </w:rPr>
              <w:t>氨</w:t>
            </w:r>
          </w:p>
        </w:tc>
        <w:tc>
          <w:tcPr>
            <w:tcW w:w="1560" w:type="dxa"/>
            <w:vMerge w:val="continue"/>
            <w:noWrap w:val="0"/>
            <w:vAlign w:val="center"/>
          </w:tcPr>
          <w:p w14:paraId="1B2A7339">
            <w:pPr>
              <w:adjustRightInd w:val="0"/>
              <w:snapToGrid w:val="0"/>
              <w:jc w:val="center"/>
              <w:rPr>
                <w:color w:val="FF0000"/>
              </w:rPr>
            </w:pPr>
          </w:p>
        </w:tc>
        <w:tc>
          <w:tcPr>
            <w:tcW w:w="2176" w:type="dxa"/>
            <w:noWrap w:val="0"/>
            <w:vAlign w:val="center"/>
          </w:tcPr>
          <w:p w14:paraId="238A7BA9">
            <w:pPr>
              <w:adjustRightInd w:val="0"/>
              <w:snapToGrid w:val="0"/>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Cs w:val="21"/>
                <w:highlight w:val="none"/>
                <w:lang w:val="en-US" w:eastAsia="zh-CN"/>
              </w:rPr>
              <w:t>《恶臭污染物排放标准》（GB14554-93）</w:t>
            </w:r>
          </w:p>
        </w:tc>
      </w:tr>
      <w:tr w14:paraId="499A4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78" w:type="dxa"/>
            <w:vMerge w:val="restart"/>
            <w:noWrap w:val="0"/>
            <w:vAlign w:val="center"/>
          </w:tcPr>
          <w:p w14:paraId="7DBF2FAD">
            <w:pPr>
              <w:adjustRightInd w:val="0"/>
              <w:snapToGrid w:val="0"/>
              <w:jc w:val="center"/>
              <w:rPr>
                <w:rFonts w:hint="eastAsia" w:ascii="宋体" w:hAnsi="宋体" w:cs="宋体"/>
                <w:color w:val="FF0000"/>
                <w:szCs w:val="21"/>
              </w:rPr>
            </w:pPr>
            <w:r>
              <w:rPr>
                <w:rFonts w:hint="eastAsia" w:ascii="宋体" w:hAnsi="宋体" w:cs="宋体"/>
                <w:color w:val="FF0000"/>
                <w:szCs w:val="21"/>
              </w:rPr>
              <w:t>地表水环境</w:t>
            </w:r>
          </w:p>
        </w:tc>
        <w:tc>
          <w:tcPr>
            <w:tcW w:w="1505" w:type="dxa"/>
            <w:vMerge w:val="restart"/>
            <w:noWrap w:val="0"/>
            <w:vAlign w:val="center"/>
          </w:tcPr>
          <w:p w14:paraId="6E8E1FD0">
            <w:pPr>
              <w:adjustRightInd w:val="0"/>
              <w:snapToGrid w:val="0"/>
              <w:jc w:val="center"/>
              <w:rPr>
                <w:rFonts w:hint="eastAsia" w:ascii="宋体" w:hAnsi="宋体" w:cs="宋体"/>
                <w:color w:val="FF0000"/>
                <w:sz w:val="21"/>
                <w:szCs w:val="21"/>
              </w:rPr>
            </w:pPr>
            <w:r>
              <w:rPr>
                <w:rFonts w:hint="default" w:ascii="Times New Roman" w:hAnsi="Times New Roman" w:eastAsia="宋体" w:cs="Times New Roman"/>
                <w:color w:val="FF0000"/>
                <w:sz w:val="21"/>
                <w:szCs w:val="21"/>
                <w:lang w:val="en-US" w:eastAsia="zh-CN"/>
              </w:rPr>
              <w:t>污水</w:t>
            </w:r>
            <w:r>
              <w:rPr>
                <w:rFonts w:hint="eastAsia" w:ascii="Times New Roman" w:hAnsi="Times New Roman" w:eastAsia="宋体" w:cs="Times New Roman"/>
                <w:color w:val="FF0000"/>
                <w:sz w:val="21"/>
                <w:szCs w:val="21"/>
                <w:lang w:val="en-US" w:eastAsia="zh-CN"/>
              </w:rPr>
              <w:t>排放口</w:t>
            </w:r>
            <w:r>
              <w:rPr>
                <w:rFonts w:hint="eastAsia" w:ascii="Times New Roman" w:hAnsi="Times New Roman" w:eastAsia="宋体" w:cs="Times New Roman"/>
                <w:color w:val="FF0000"/>
                <w:sz w:val="21"/>
                <w:szCs w:val="21"/>
                <w:lang w:eastAsia="zh-CN"/>
              </w:rPr>
              <w:t>（</w:t>
            </w:r>
            <w:r>
              <w:rPr>
                <w:rFonts w:hint="eastAsia" w:ascii="Times New Roman" w:hAnsi="Times New Roman" w:eastAsia="宋体" w:cs="Times New Roman"/>
                <w:color w:val="FF0000"/>
                <w:sz w:val="21"/>
                <w:szCs w:val="21"/>
                <w:lang w:val="en-US" w:eastAsia="zh-CN"/>
              </w:rPr>
              <w:t>DW</w:t>
            </w:r>
            <w:r>
              <w:rPr>
                <w:rFonts w:hint="default" w:ascii="Times New Roman" w:hAnsi="Times New Roman" w:eastAsia="宋体" w:cs="Times New Roman"/>
                <w:color w:val="FF0000"/>
                <w:sz w:val="21"/>
                <w:szCs w:val="21"/>
              </w:rPr>
              <w:t>001）</w:t>
            </w:r>
          </w:p>
        </w:tc>
        <w:tc>
          <w:tcPr>
            <w:tcW w:w="866" w:type="dxa"/>
            <w:vMerge w:val="restart"/>
            <w:noWrap w:val="0"/>
            <w:vAlign w:val="center"/>
          </w:tcPr>
          <w:p w14:paraId="7844023D">
            <w:pPr>
              <w:adjustRightInd w:val="0"/>
              <w:snapToGrid w:val="0"/>
              <w:jc w:val="center"/>
              <w:rPr>
                <w:rFonts w:hint="eastAsia" w:ascii="Times New Roman" w:hAnsi="Times New Roman" w:eastAsia="宋体" w:cs="Times New Roman"/>
                <w:color w:val="FF0000"/>
                <w:sz w:val="21"/>
                <w:szCs w:val="21"/>
                <w:lang w:eastAsia="zh-CN"/>
              </w:rPr>
            </w:pPr>
            <w:r>
              <w:rPr>
                <w:rFonts w:hint="eastAsia" w:ascii="宋体" w:hAnsi="宋体" w:cs="宋体"/>
                <w:color w:val="FF0000"/>
                <w:sz w:val="21"/>
                <w:szCs w:val="21"/>
                <w:lang w:eastAsia="zh-CN"/>
              </w:rPr>
              <w:t>生活污水</w:t>
            </w:r>
          </w:p>
        </w:tc>
        <w:tc>
          <w:tcPr>
            <w:tcW w:w="915" w:type="dxa"/>
            <w:noWrap w:val="0"/>
            <w:vAlign w:val="center"/>
          </w:tcPr>
          <w:p w14:paraId="5AF6045A">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lang w:val="en-US" w:eastAsia="zh-CN"/>
              </w:rPr>
              <w:t>pH</w:t>
            </w:r>
          </w:p>
        </w:tc>
        <w:tc>
          <w:tcPr>
            <w:tcW w:w="1560" w:type="dxa"/>
            <w:vMerge w:val="restart"/>
            <w:noWrap w:val="0"/>
            <w:vAlign w:val="center"/>
          </w:tcPr>
          <w:p w14:paraId="481F0279">
            <w:pPr>
              <w:adjustRightInd w:val="0"/>
              <w:snapToGrid w:val="0"/>
              <w:jc w:val="center"/>
              <w:rPr>
                <w:rFonts w:hint="eastAsia" w:ascii="宋体" w:hAnsi="宋体" w:cs="宋体"/>
                <w:color w:val="FF0000"/>
                <w:sz w:val="21"/>
                <w:szCs w:val="21"/>
              </w:rPr>
            </w:pPr>
            <w:r>
              <w:rPr>
                <w:rFonts w:hint="default" w:ascii="Times New Roman" w:hAnsi="Times New Roman" w:eastAsia="宋体" w:cs="Times New Roman"/>
                <w:color w:val="FF0000"/>
                <w:sz w:val="21"/>
                <w:szCs w:val="21"/>
                <w:lang w:val="en-GB" w:eastAsia="zh-CN"/>
              </w:rPr>
              <w:t>经</w:t>
            </w:r>
            <w:r>
              <w:rPr>
                <w:rFonts w:hint="eastAsia" w:ascii="Times New Roman" w:hAnsi="Times New Roman" w:eastAsia="宋体" w:cs="Times New Roman"/>
                <w:color w:val="FF0000"/>
                <w:sz w:val="21"/>
                <w:szCs w:val="21"/>
                <w:lang w:val="en-GB" w:eastAsia="zh-CN"/>
              </w:rPr>
              <w:t>化粪池</w:t>
            </w:r>
            <w:r>
              <w:rPr>
                <w:rFonts w:hint="eastAsia" w:ascii="Times New Roman" w:hAnsi="Times New Roman" w:eastAsia="宋体" w:cs="Times New Roman"/>
                <w:color w:val="FF0000"/>
                <w:sz w:val="21"/>
                <w:szCs w:val="21"/>
                <w:lang w:val="en-US" w:eastAsia="zh-CN"/>
              </w:rPr>
              <w:t>处理</w:t>
            </w:r>
          </w:p>
        </w:tc>
        <w:tc>
          <w:tcPr>
            <w:tcW w:w="2176" w:type="dxa"/>
            <w:vMerge w:val="restart"/>
            <w:noWrap w:val="0"/>
            <w:vAlign w:val="center"/>
          </w:tcPr>
          <w:p w14:paraId="14C9F69E">
            <w:pPr>
              <w:adjustRightInd w:val="0"/>
              <w:snapToGrid w:val="0"/>
              <w:jc w:val="center"/>
              <w:rPr>
                <w:rFonts w:hint="eastAsia" w:ascii="宋体" w:hAnsi="宋体" w:cs="宋体"/>
                <w:color w:val="FF0000"/>
                <w:sz w:val="21"/>
                <w:szCs w:val="21"/>
              </w:rPr>
            </w:pPr>
            <w:r>
              <w:rPr>
                <w:rFonts w:hint="eastAsia" w:ascii="Times New Roman" w:hAnsi="Times New Roman" w:eastAsia="宋体" w:cs="Times New Roman"/>
                <w:color w:val="FF0000"/>
                <w:sz w:val="21"/>
                <w:szCs w:val="21"/>
                <w:lang w:eastAsia="zh-CN"/>
              </w:rPr>
              <w:t>庐山工业园污水处理厂接管标准</w:t>
            </w:r>
          </w:p>
        </w:tc>
      </w:tr>
      <w:tr w14:paraId="759FD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78" w:type="dxa"/>
            <w:vMerge w:val="continue"/>
            <w:noWrap w:val="0"/>
            <w:vAlign w:val="center"/>
          </w:tcPr>
          <w:p w14:paraId="07D96C68">
            <w:pPr>
              <w:adjustRightInd w:val="0"/>
              <w:snapToGrid w:val="0"/>
              <w:jc w:val="center"/>
            </w:pPr>
          </w:p>
        </w:tc>
        <w:tc>
          <w:tcPr>
            <w:tcW w:w="1505" w:type="dxa"/>
            <w:vMerge w:val="continue"/>
            <w:noWrap w:val="0"/>
            <w:vAlign w:val="center"/>
          </w:tcPr>
          <w:p w14:paraId="3A5C1D6A">
            <w:pPr>
              <w:adjustRightInd w:val="0"/>
              <w:snapToGrid w:val="0"/>
              <w:jc w:val="center"/>
            </w:pPr>
          </w:p>
        </w:tc>
        <w:tc>
          <w:tcPr>
            <w:tcW w:w="866" w:type="dxa"/>
            <w:vMerge w:val="continue"/>
            <w:noWrap w:val="0"/>
            <w:vAlign w:val="center"/>
          </w:tcPr>
          <w:p w14:paraId="0D8B6481">
            <w:pPr>
              <w:adjustRightInd w:val="0"/>
              <w:snapToGrid w:val="0"/>
              <w:jc w:val="center"/>
              <w:rPr>
                <w:color w:val="FF0000"/>
              </w:rPr>
            </w:pPr>
          </w:p>
        </w:tc>
        <w:tc>
          <w:tcPr>
            <w:tcW w:w="915" w:type="dxa"/>
            <w:noWrap w:val="0"/>
            <w:vAlign w:val="center"/>
          </w:tcPr>
          <w:p w14:paraId="76042665">
            <w:pPr>
              <w:adjustRightInd w:val="0"/>
              <w:snapToGrid w:val="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COD</w:t>
            </w:r>
          </w:p>
        </w:tc>
        <w:tc>
          <w:tcPr>
            <w:tcW w:w="1560" w:type="dxa"/>
            <w:vMerge w:val="continue"/>
            <w:noWrap w:val="0"/>
            <w:vAlign w:val="center"/>
          </w:tcPr>
          <w:p w14:paraId="6BC573D1">
            <w:pPr>
              <w:adjustRightInd w:val="0"/>
              <w:snapToGrid w:val="0"/>
              <w:jc w:val="center"/>
              <w:rPr>
                <w:rFonts w:hint="default" w:ascii="Times New Roman" w:hAnsi="Times New Roman" w:eastAsia="宋体" w:cs="Times New Roman"/>
                <w:color w:val="FF0000"/>
                <w:sz w:val="21"/>
                <w:szCs w:val="21"/>
                <w:lang w:val="en-US" w:eastAsia="zh-CN"/>
              </w:rPr>
            </w:pPr>
          </w:p>
        </w:tc>
        <w:tc>
          <w:tcPr>
            <w:tcW w:w="2176" w:type="dxa"/>
            <w:vMerge w:val="continue"/>
            <w:noWrap w:val="0"/>
            <w:vAlign w:val="center"/>
          </w:tcPr>
          <w:p w14:paraId="52494E4F">
            <w:pPr>
              <w:adjustRightInd w:val="0"/>
              <w:snapToGrid w:val="0"/>
              <w:jc w:val="center"/>
              <w:rPr>
                <w:rFonts w:hint="default" w:ascii="Times New Roman" w:hAnsi="Times New Roman" w:eastAsia="宋体" w:cs="Times New Roman"/>
                <w:color w:val="FF0000"/>
                <w:sz w:val="21"/>
                <w:szCs w:val="21"/>
                <w:lang w:val="en-US" w:eastAsia="zh-CN"/>
              </w:rPr>
            </w:pPr>
          </w:p>
        </w:tc>
      </w:tr>
      <w:tr w14:paraId="5721F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78" w:type="dxa"/>
            <w:vMerge w:val="continue"/>
            <w:noWrap w:val="0"/>
            <w:vAlign w:val="center"/>
          </w:tcPr>
          <w:p w14:paraId="002A5DFF">
            <w:pPr>
              <w:adjustRightInd w:val="0"/>
              <w:snapToGrid w:val="0"/>
              <w:jc w:val="center"/>
              <w:rPr>
                <w:rFonts w:hint="default" w:ascii="Times New Roman" w:hAnsi="Times New Roman" w:eastAsia="宋体" w:cs="Times New Roman"/>
                <w:color w:val="auto"/>
                <w:sz w:val="21"/>
                <w:szCs w:val="21"/>
                <w:lang w:val="en-US" w:eastAsia="zh-CN"/>
              </w:rPr>
            </w:pPr>
          </w:p>
        </w:tc>
        <w:tc>
          <w:tcPr>
            <w:tcW w:w="1505" w:type="dxa"/>
            <w:vMerge w:val="continue"/>
            <w:noWrap w:val="0"/>
            <w:vAlign w:val="center"/>
          </w:tcPr>
          <w:p w14:paraId="7632EBF4">
            <w:pPr>
              <w:adjustRightInd w:val="0"/>
              <w:snapToGrid w:val="0"/>
              <w:jc w:val="center"/>
              <w:rPr>
                <w:rFonts w:hint="default" w:ascii="Times New Roman" w:hAnsi="Times New Roman" w:eastAsia="宋体" w:cs="Times New Roman"/>
                <w:color w:val="auto"/>
                <w:sz w:val="21"/>
                <w:szCs w:val="21"/>
                <w:lang w:val="en-US" w:eastAsia="zh-CN"/>
              </w:rPr>
            </w:pPr>
          </w:p>
        </w:tc>
        <w:tc>
          <w:tcPr>
            <w:tcW w:w="866" w:type="dxa"/>
            <w:vMerge w:val="continue"/>
            <w:noWrap w:val="0"/>
            <w:vAlign w:val="center"/>
          </w:tcPr>
          <w:p w14:paraId="67CD24A0">
            <w:pPr>
              <w:adjustRightInd w:val="0"/>
              <w:snapToGrid w:val="0"/>
              <w:jc w:val="center"/>
              <w:rPr>
                <w:rFonts w:hint="default" w:ascii="Times New Roman" w:hAnsi="Times New Roman" w:eastAsia="宋体" w:cs="Times New Roman"/>
                <w:color w:val="FF0000"/>
                <w:sz w:val="21"/>
                <w:szCs w:val="21"/>
                <w:lang w:val="en-US" w:eastAsia="zh-CN"/>
              </w:rPr>
            </w:pPr>
          </w:p>
        </w:tc>
        <w:tc>
          <w:tcPr>
            <w:tcW w:w="915" w:type="dxa"/>
            <w:noWrap w:val="0"/>
            <w:vAlign w:val="center"/>
          </w:tcPr>
          <w:p w14:paraId="2E3312CC">
            <w:pPr>
              <w:adjustRightInd w:val="0"/>
              <w:snapToGrid w:val="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BOD</w:t>
            </w:r>
            <w:r>
              <w:rPr>
                <w:rFonts w:hint="default" w:ascii="Times New Roman" w:hAnsi="Times New Roman" w:eastAsia="宋体" w:cs="Times New Roman"/>
                <w:color w:val="FF0000"/>
                <w:sz w:val="21"/>
                <w:szCs w:val="21"/>
                <w:vertAlign w:val="subscript"/>
              </w:rPr>
              <w:t>5</w:t>
            </w:r>
          </w:p>
        </w:tc>
        <w:tc>
          <w:tcPr>
            <w:tcW w:w="1560" w:type="dxa"/>
            <w:vMerge w:val="continue"/>
            <w:noWrap w:val="0"/>
            <w:vAlign w:val="center"/>
          </w:tcPr>
          <w:p w14:paraId="0A291864">
            <w:pPr>
              <w:adjustRightInd w:val="0"/>
              <w:snapToGrid w:val="0"/>
              <w:jc w:val="center"/>
              <w:rPr>
                <w:rFonts w:hint="default" w:ascii="Times New Roman" w:hAnsi="Times New Roman" w:eastAsia="宋体" w:cs="Times New Roman"/>
                <w:color w:val="FF0000"/>
                <w:sz w:val="21"/>
                <w:szCs w:val="21"/>
                <w:lang w:val="en-US" w:eastAsia="zh-CN"/>
              </w:rPr>
            </w:pPr>
          </w:p>
        </w:tc>
        <w:tc>
          <w:tcPr>
            <w:tcW w:w="2176" w:type="dxa"/>
            <w:vMerge w:val="continue"/>
            <w:noWrap w:val="0"/>
            <w:vAlign w:val="center"/>
          </w:tcPr>
          <w:p w14:paraId="11567CC0">
            <w:pPr>
              <w:adjustRightInd w:val="0"/>
              <w:snapToGrid w:val="0"/>
              <w:jc w:val="center"/>
              <w:rPr>
                <w:rFonts w:hint="default" w:ascii="Times New Roman" w:hAnsi="Times New Roman" w:eastAsia="宋体" w:cs="Times New Roman"/>
                <w:color w:val="FF0000"/>
                <w:sz w:val="21"/>
                <w:szCs w:val="21"/>
                <w:lang w:val="en-US" w:eastAsia="zh-CN"/>
              </w:rPr>
            </w:pPr>
          </w:p>
        </w:tc>
      </w:tr>
      <w:tr w14:paraId="793ED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78" w:type="dxa"/>
            <w:vMerge w:val="continue"/>
            <w:noWrap w:val="0"/>
            <w:vAlign w:val="center"/>
          </w:tcPr>
          <w:p w14:paraId="1C51A4C8">
            <w:pPr>
              <w:adjustRightInd w:val="0"/>
              <w:snapToGrid w:val="0"/>
              <w:jc w:val="center"/>
              <w:rPr>
                <w:rFonts w:hint="default" w:ascii="Times New Roman" w:hAnsi="Times New Roman" w:eastAsia="宋体" w:cs="Times New Roman"/>
                <w:color w:val="auto"/>
                <w:sz w:val="21"/>
                <w:szCs w:val="21"/>
                <w:lang w:val="en-US" w:eastAsia="zh-CN"/>
              </w:rPr>
            </w:pPr>
          </w:p>
        </w:tc>
        <w:tc>
          <w:tcPr>
            <w:tcW w:w="1505" w:type="dxa"/>
            <w:vMerge w:val="continue"/>
            <w:noWrap w:val="0"/>
            <w:vAlign w:val="center"/>
          </w:tcPr>
          <w:p w14:paraId="38A7BE35">
            <w:pPr>
              <w:adjustRightInd w:val="0"/>
              <w:snapToGrid w:val="0"/>
              <w:jc w:val="center"/>
              <w:rPr>
                <w:rFonts w:hint="default" w:ascii="Times New Roman" w:hAnsi="Times New Roman" w:eastAsia="宋体" w:cs="Times New Roman"/>
                <w:color w:val="auto"/>
                <w:sz w:val="21"/>
                <w:szCs w:val="21"/>
                <w:lang w:val="en-US" w:eastAsia="zh-CN"/>
              </w:rPr>
            </w:pPr>
          </w:p>
        </w:tc>
        <w:tc>
          <w:tcPr>
            <w:tcW w:w="866" w:type="dxa"/>
            <w:vMerge w:val="continue"/>
            <w:noWrap w:val="0"/>
            <w:vAlign w:val="center"/>
          </w:tcPr>
          <w:p w14:paraId="1499320A">
            <w:pPr>
              <w:adjustRightInd w:val="0"/>
              <w:snapToGrid w:val="0"/>
              <w:jc w:val="center"/>
              <w:rPr>
                <w:rFonts w:hint="default" w:ascii="Times New Roman" w:hAnsi="Times New Roman" w:eastAsia="宋体" w:cs="Times New Roman"/>
                <w:color w:val="FF0000"/>
                <w:sz w:val="21"/>
                <w:szCs w:val="21"/>
                <w:lang w:val="en-US" w:eastAsia="zh-CN"/>
              </w:rPr>
            </w:pPr>
          </w:p>
        </w:tc>
        <w:tc>
          <w:tcPr>
            <w:tcW w:w="915" w:type="dxa"/>
            <w:noWrap w:val="0"/>
            <w:vAlign w:val="center"/>
          </w:tcPr>
          <w:p w14:paraId="690A4C04">
            <w:pPr>
              <w:adjustRightInd w:val="0"/>
              <w:snapToGrid w:val="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SS</w:t>
            </w:r>
          </w:p>
        </w:tc>
        <w:tc>
          <w:tcPr>
            <w:tcW w:w="1560" w:type="dxa"/>
            <w:vMerge w:val="continue"/>
            <w:noWrap w:val="0"/>
            <w:vAlign w:val="center"/>
          </w:tcPr>
          <w:p w14:paraId="2FA3110E">
            <w:pPr>
              <w:adjustRightInd w:val="0"/>
              <w:snapToGrid w:val="0"/>
              <w:jc w:val="center"/>
              <w:rPr>
                <w:rFonts w:hint="default" w:ascii="Times New Roman" w:hAnsi="Times New Roman" w:eastAsia="宋体" w:cs="Times New Roman"/>
                <w:color w:val="FF0000"/>
                <w:sz w:val="21"/>
                <w:szCs w:val="21"/>
                <w:lang w:val="en-US" w:eastAsia="zh-CN"/>
              </w:rPr>
            </w:pPr>
          </w:p>
        </w:tc>
        <w:tc>
          <w:tcPr>
            <w:tcW w:w="2176" w:type="dxa"/>
            <w:vMerge w:val="continue"/>
            <w:noWrap w:val="0"/>
            <w:vAlign w:val="center"/>
          </w:tcPr>
          <w:p w14:paraId="24FD3824">
            <w:pPr>
              <w:adjustRightInd w:val="0"/>
              <w:snapToGrid w:val="0"/>
              <w:jc w:val="center"/>
              <w:rPr>
                <w:rFonts w:hint="default" w:ascii="Times New Roman" w:hAnsi="Times New Roman" w:eastAsia="宋体" w:cs="Times New Roman"/>
                <w:color w:val="FF0000"/>
                <w:sz w:val="21"/>
                <w:szCs w:val="21"/>
                <w:lang w:val="en-US" w:eastAsia="zh-CN"/>
              </w:rPr>
            </w:pPr>
          </w:p>
        </w:tc>
      </w:tr>
      <w:tr w14:paraId="1D122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78" w:type="dxa"/>
            <w:vMerge w:val="continue"/>
            <w:noWrap w:val="0"/>
            <w:vAlign w:val="center"/>
          </w:tcPr>
          <w:p w14:paraId="46FE111D">
            <w:pPr>
              <w:adjustRightInd w:val="0"/>
              <w:snapToGrid w:val="0"/>
              <w:jc w:val="center"/>
              <w:rPr>
                <w:rFonts w:hint="default" w:ascii="Times New Roman" w:hAnsi="Times New Roman" w:eastAsia="宋体" w:cs="Times New Roman"/>
                <w:color w:val="auto"/>
                <w:sz w:val="21"/>
                <w:szCs w:val="21"/>
                <w:lang w:val="en-US" w:eastAsia="zh-CN"/>
              </w:rPr>
            </w:pPr>
          </w:p>
        </w:tc>
        <w:tc>
          <w:tcPr>
            <w:tcW w:w="1505" w:type="dxa"/>
            <w:vMerge w:val="continue"/>
            <w:noWrap w:val="0"/>
            <w:vAlign w:val="center"/>
          </w:tcPr>
          <w:p w14:paraId="7EEEA523">
            <w:pPr>
              <w:adjustRightInd w:val="0"/>
              <w:snapToGrid w:val="0"/>
              <w:jc w:val="center"/>
              <w:rPr>
                <w:rFonts w:hint="default" w:ascii="Times New Roman" w:hAnsi="Times New Roman" w:eastAsia="宋体" w:cs="Times New Roman"/>
                <w:color w:val="auto"/>
                <w:sz w:val="21"/>
                <w:szCs w:val="21"/>
                <w:lang w:val="en-US" w:eastAsia="zh-CN"/>
              </w:rPr>
            </w:pPr>
          </w:p>
        </w:tc>
        <w:tc>
          <w:tcPr>
            <w:tcW w:w="866" w:type="dxa"/>
            <w:vMerge w:val="continue"/>
            <w:noWrap w:val="0"/>
            <w:vAlign w:val="center"/>
          </w:tcPr>
          <w:p w14:paraId="40C7652C">
            <w:pPr>
              <w:adjustRightInd w:val="0"/>
              <w:snapToGrid w:val="0"/>
              <w:jc w:val="center"/>
              <w:rPr>
                <w:rFonts w:hint="default" w:ascii="Times New Roman" w:hAnsi="Times New Roman" w:eastAsia="宋体" w:cs="Times New Roman"/>
                <w:color w:val="FF0000"/>
                <w:sz w:val="21"/>
                <w:szCs w:val="21"/>
                <w:lang w:val="en-US" w:eastAsia="zh-CN"/>
              </w:rPr>
            </w:pPr>
          </w:p>
        </w:tc>
        <w:tc>
          <w:tcPr>
            <w:tcW w:w="915" w:type="dxa"/>
            <w:noWrap w:val="0"/>
            <w:vAlign w:val="center"/>
          </w:tcPr>
          <w:p w14:paraId="434CEFA3">
            <w:pPr>
              <w:adjustRightInd w:val="0"/>
              <w:snapToGrid w:val="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NH</w:t>
            </w:r>
            <w:r>
              <w:rPr>
                <w:rFonts w:hint="default" w:ascii="Times New Roman" w:hAnsi="Times New Roman" w:eastAsia="宋体" w:cs="Times New Roman"/>
                <w:color w:val="FF0000"/>
                <w:sz w:val="21"/>
                <w:szCs w:val="21"/>
                <w:vertAlign w:val="subscript"/>
              </w:rPr>
              <w:t>3</w:t>
            </w:r>
            <w:r>
              <w:rPr>
                <w:rFonts w:hint="default" w:ascii="Times New Roman" w:hAnsi="Times New Roman" w:eastAsia="宋体" w:cs="Times New Roman"/>
                <w:color w:val="FF0000"/>
                <w:sz w:val="21"/>
                <w:szCs w:val="21"/>
              </w:rPr>
              <w:t>-N</w:t>
            </w:r>
          </w:p>
        </w:tc>
        <w:tc>
          <w:tcPr>
            <w:tcW w:w="1560" w:type="dxa"/>
            <w:vMerge w:val="continue"/>
            <w:noWrap w:val="0"/>
            <w:vAlign w:val="center"/>
          </w:tcPr>
          <w:p w14:paraId="433979FB">
            <w:pPr>
              <w:adjustRightInd w:val="0"/>
              <w:snapToGrid w:val="0"/>
              <w:jc w:val="center"/>
              <w:rPr>
                <w:rFonts w:hint="default" w:ascii="Times New Roman" w:hAnsi="Times New Roman" w:eastAsia="宋体" w:cs="Times New Roman"/>
                <w:color w:val="FF0000"/>
                <w:sz w:val="21"/>
                <w:szCs w:val="21"/>
                <w:lang w:val="en-US" w:eastAsia="zh-CN"/>
              </w:rPr>
            </w:pPr>
          </w:p>
        </w:tc>
        <w:tc>
          <w:tcPr>
            <w:tcW w:w="2176" w:type="dxa"/>
            <w:vMerge w:val="continue"/>
            <w:noWrap w:val="0"/>
            <w:vAlign w:val="center"/>
          </w:tcPr>
          <w:p w14:paraId="03E71022">
            <w:pPr>
              <w:adjustRightInd w:val="0"/>
              <w:snapToGrid w:val="0"/>
              <w:jc w:val="center"/>
              <w:rPr>
                <w:rFonts w:hint="default" w:ascii="Times New Roman" w:hAnsi="Times New Roman" w:eastAsia="宋体" w:cs="Times New Roman"/>
                <w:color w:val="FF0000"/>
                <w:sz w:val="21"/>
                <w:szCs w:val="21"/>
                <w:lang w:val="en-US" w:eastAsia="zh-CN"/>
              </w:rPr>
            </w:pPr>
          </w:p>
        </w:tc>
      </w:tr>
      <w:tr w14:paraId="52ED69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778" w:type="dxa"/>
            <w:vMerge w:val="continue"/>
            <w:noWrap w:val="0"/>
            <w:vAlign w:val="center"/>
          </w:tcPr>
          <w:p w14:paraId="20F3F52F">
            <w:pPr>
              <w:adjustRightInd w:val="0"/>
              <w:snapToGrid w:val="0"/>
              <w:jc w:val="center"/>
              <w:rPr>
                <w:rFonts w:hint="default" w:ascii="Times New Roman" w:hAnsi="Times New Roman" w:eastAsia="宋体" w:cs="Times New Roman"/>
                <w:color w:val="auto"/>
                <w:sz w:val="21"/>
                <w:szCs w:val="21"/>
                <w:lang w:val="en-US" w:eastAsia="zh-CN"/>
              </w:rPr>
            </w:pPr>
          </w:p>
        </w:tc>
        <w:tc>
          <w:tcPr>
            <w:tcW w:w="1505" w:type="dxa"/>
            <w:vMerge w:val="continue"/>
            <w:noWrap w:val="0"/>
            <w:vAlign w:val="center"/>
          </w:tcPr>
          <w:p w14:paraId="14F155A9">
            <w:pPr>
              <w:adjustRightInd w:val="0"/>
              <w:snapToGrid w:val="0"/>
              <w:jc w:val="center"/>
              <w:rPr>
                <w:rFonts w:hint="default" w:ascii="Times New Roman" w:hAnsi="Times New Roman" w:eastAsia="宋体" w:cs="Times New Roman"/>
                <w:color w:val="auto"/>
                <w:sz w:val="21"/>
                <w:szCs w:val="21"/>
                <w:lang w:val="en-US" w:eastAsia="zh-CN"/>
              </w:rPr>
            </w:pPr>
          </w:p>
        </w:tc>
        <w:tc>
          <w:tcPr>
            <w:tcW w:w="866" w:type="dxa"/>
            <w:vMerge w:val="continue"/>
            <w:noWrap w:val="0"/>
            <w:vAlign w:val="center"/>
          </w:tcPr>
          <w:p w14:paraId="36A412ED">
            <w:pPr>
              <w:adjustRightInd w:val="0"/>
              <w:snapToGrid w:val="0"/>
              <w:jc w:val="center"/>
              <w:rPr>
                <w:rFonts w:hint="default" w:ascii="Times New Roman" w:hAnsi="Times New Roman" w:eastAsia="宋体" w:cs="Times New Roman"/>
                <w:color w:val="FF0000"/>
                <w:sz w:val="21"/>
                <w:szCs w:val="21"/>
                <w:lang w:val="en-US" w:eastAsia="zh-CN"/>
              </w:rPr>
            </w:pPr>
          </w:p>
        </w:tc>
        <w:tc>
          <w:tcPr>
            <w:tcW w:w="915" w:type="dxa"/>
            <w:noWrap w:val="0"/>
            <w:vAlign w:val="center"/>
          </w:tcPr>
          <w:p w14:paraId="6CCBA868">
            <w:pPr>
              <w:adjustRightInd w:val="0"/>
              <w:snapToGrid w:val="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TP</w:t>
            </w:r>
          </w:p>
        </w:tc>
        <w:tc>
          <w:tcPr>
            <w:tcW w:w="1560" w:type="dxa"/>
            <w:vMerge w:val="continue"/>
            <w:noWrap w:val="0"/>
            <w:vAlign w:val="center"/>
          </w:tcPr>
          <w:p w14:paraId="3F427936">
            <w:pPr>
              <w:adjustRightInd w:val="0"/>
              <w:snapToGrid w:val="0"/>
              <w:jc w:val="center"/>
              <w:rPr>
                <w:rFonts w:hint="default" w:ascii="Times New Roman" w:hAnsi="Times New Roman" w:eastAsia="宋体" w:cs="Times New Roman"/>
                <w:color w:val="FF0000"/>
                <w:sz w:val="21"/>
                <w:szCs w:val="21"/>
                <w:lang w:val="en-US" w:eastAsia="zh-CN"/>
              </w:rPr>
            </w:pPr>
          </w:p>
        </w:tc>
        <w:tc>
          <w:tcPr>
            <w:tcW w:w="2176" w:type="dxa"/>
            <w:vMerge w:val="continue"/>
            <w:noWrap w:val="0"/>
            <w:vAlign w:val="center"/>
          </w:tcPr>
          <w:p w14:paraId="10C24D10">
            <w:pPr>
              <w:adjustRightInd w:val="0"/>
              <w:snapToGrid w:val="0"/>
              <w:jc w:val="center"/>
              <w:rPr>
                <w:rFonts w:hint="default" w:ascii="Times New Roman" w:hAnsi="Times New Roman" w:eastAsia="宋体" w:cs="Times New Roman"/>
                <w:color w:val="FF0000"/>
                <w:sz w:val="21"/>
                <w:szCs w:val="21"/>
                <w:lang w:val="en-US" w:eastAsia="zh-CN"/>
              </w:rPr>
            </w:pPr>
          </w:p>
        </w:tc>
      </w:tr>
      <w:tr w14:paraId="19751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778" w:type="dxa"/>
            <w:vMerge w:val="continue"/>
            <w:noWrap w:val="0"/>
            <w:vAlign w:val="center"/>
          </w:tcPr>
          <w:p w14:paraId="3272BF5A">
            <w:pPr>
              <w:adjustRightInd w:val="0"/>
              <w:snapToGrid w:val="0"/>
              <w:jc w:val="center"/>
            </w:pPr>
          </w:p>
        </w:tc>
        <w:tc>
          <w:tcPr>
            <w:tcW w:w="1505" w:type="dxa"/>
            <w:vMerge w:val="continue"/>
            <w:noWrap w:val="0"/>
            <w:vAlign w:val="center"/>
          </w:tcPr>
          <w:p w14:paraId="1247A9E9">
            <w:pPr>
              <w:adjustRightInd w:val="0"/>
              <w:snapToGrid w:val="0"/>
              <w:jc w:val="center"/>
            </w:pPr>
          </w:p>
        </w:tc>
        <w:tc>
          <w:tcPr>
            <w:tcW w:w="866" w:type="dxa"/>
            <w:vMerge w:val="continue"/>
            <w:noWrap w:val="0"/>
            <w:vAlign w:val="center"/>
          </w:tcPr>
          <w:p w14:paraId="642F6162">
            <w:pPr>
              <w:adjustRightInd w:val="0"/>
              <w:snapToGrid w:val="0"/>
              <w:jc w:val="center"/>
              <w:rPr>
                <w:color w:val="FF0000"/>
              </w:rPr>
            </w:pPr>
          </w:p>
        </w:tc>
        <w:tc>
          <w:tcPr>
            <w:tcW w:w="915" w:type="dxa"/>
            <w:noWrap w:val="0"/>
            <w:vAlign w:val="center"/>
          </w:tcPr>
          <w:p w14:paraId="3C552A65">
            <w:pPr>
              <w:adjustRightInd w:val="0"/>
              <w:snapToGrid w:val="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TN</w:t>
            </w:r>
          </w:p>
        </w:tc>
        <w:tc>
          <w:tcPr>
            <w:tcW w:w="1560" w:type="dxa"/>
            <w:vMerge w:val="continue"/>
            <w:noWrap w:val="0"/>
            <w:vAlign w:val="center"/>
          </w:tcPr>
          <w:p w14:paraId="3A38F4AE">
            <w:pPr>
              <w:adjustRightInd w:val="0"/>
              <w:snapToGrid w:val="0"/>
              <w:jc w:val="center"/>
              <w:rPr>
                <w:rFonts w:hint="default" w:ascii="Times New Roman" w:hAnsi="Times New Roman" w:eastAsia="宋体" w:cs="Times New Roman"/>
                <w:color w:val="FF0000"/>
                <w:sz w:val="21"/>
                <w:szCs w:val="21"/>
                <w:lang w:val="en-US" w:eastAsia="zh-CN"/>
              </w:rPr>
            </w:pPr>
          </w:p>
        </w:tc>
        <w:tc>
          <w:tcPr>
            <w:tcW w:w="2176" w:type="dxa"/>
            <w:vMerge w:val="continue"/>
            <w:noWrap w:val="0"/>
            <w:vAlign w:val="center"/>
          </w:tcPr>
          <w:p w14:paraId="2EA83E10">
            <w:pPr>
              <w:adjustRightInd w:val="0"/>
              <w:snapToGrid w:val="0"/>
              <w:jc w:val="center"/>
              <w:rPr>
                <w:rFonts w:hint="default" w:ascii="Times New Roman" w:hAnsi="Times New Roman" w:eastAsia="宋体" w:cs="Times New Roman"/>
                <w:color w:val="FF0000"/>
                <w:sz w:val="21"/>
                <w:szCs w:val="21"/>
                <w:lang w:val="en-US" w:eastAsia="zh-CN"/>
              </w:rPr>
            </w:pPr>
          </w:p>
        </w:tc>
      </w:tr>
      <w:tr w14:paraId="36DB7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778" w:type="dxa"/>
            <w:vMerge w:val="continue"/>
            <w:noWrap w:val="0"/>
            <w:vAlign w:val="center"/>
          </w:tcPr>
          <w:p w14:paraId="69D6A624">
            <w:pPr>
              <w:adjustRightInd w:val="0"/>
              <w:snapToGrid w:val="0"/>
              <w:jc w:val="center"/>
              <w:rPr>
                <w:color w:val="auto"/>
              </w:rPr>
            </w:pPr>
          </w:p>
        </w:tc>
        <w:tc>
          <w:tcPr>
            <w:tcW w:w="1505" w:type="dxa"/>
            <w:vMerge w:val="continue"/>
            <w:noWrap w:val="0"/>
            <w:vAlign w:val="center"/>
          </w:tcPr>
          <w:p w14:paraId="14FA7FC6">
            <w:pPr>
              <w:adjustRightInd w:val="0"/>
              <w:snapToGrid w:val="0"/>
              <w:jc w:val="center"/>
              <w:rPr>
                <w:color w:val="auto"/>
              </w:rPr>
            </w:pPr>
          </w:p>
        </w:tc>
        <w:tc>
          <w:tcPr>
            <w:tcW w:w="866" w:type="dxa"/>
            <w:vMerge w:val="restart"/>
            <w:noWrap w:val="0"/>
            <w:vAlign w:val="center"/>
          </w:tcPr>
          <w:p w14:paraId="545CA37C">
            <w:pPr>
              <w:adjustRightInd w:val="0"/>
              <w:snapToGrid w:val="0"/>
              <w:jc w:val="center"/>
              <w:rPr>
                <w:color w:val="FF0000"/>
              </w:rPr>
            </w:pPr>
            <w:r>
              <w:rPr>
                <w:rFonts w:hint="eastAsia" w:ascii="宋体" w:hAnsi="宋体" w:cs="宋体"/>
                <w:color w:val="FF0000"/>
                <w:sz w:val="21"/>
                <w:szCs w:val="21"/>
                <w:lang w:val="en-US" w:eastAsia="zh-CN"/>
              </w:rPr>
              <w:t>纯水制备</w:t>
            </w:r>
            <w:r>
              <w:rPr>
                <w:rFonts w:hint="eastAsia" w:cs="Times New Roman"/>
                <w:color w:val="FF0000"/>
                <w:sz w:val="21"/>
                <w:szCs w:val="21"/>
                <w:lang w:eastAsia="zh-CN"/>
              </w:rPr>
              <w:t>浓水</w:t>
            </w:r>
          </w:p>
        </w:tc>
        <w:tc>
          <w:tcPr>
            <w:tcW w:w="915" w:type="dxa"/>
            <w:noWrap w:val="0"/>
            <w:vAlign w:val="center"/>
          </w:tcPr>
          <w:p w14:paraId="35EC3440">
            <w:pPr>
              <w:adjustRightInd w:val="0"/>
              <w:snapToGrid w:val="0"/>
              <w:jc w:val="center"/>
              <w:rPr>
                <w:rFonts w:hint="eastAsia" w:eastAsia="宋体"/>
                <w:color w:val="FF0000"/>
                <w:lang w:val="en-US" w:eastAsia="zh-CN"/>
              </w:rPr>
            </w:pPr>
            <w:r>
              <w:rPr>
                <w:rFonts w:hint="default" w:ascii="Times New Roman" w:hAnsi="Times New Roman" w:eastAsia="宋体" w:cs="Times New Roman"/>
                <w:color w:val="FF0000"/>
                <w:sz w:val="21"/>
                <w:szCs w:val="21"/>
                <w:lang w:val="en-US" w:eastAsia="zh-CN"/>
              </w:rPr>
              <w:t>pH</w:t>
            </w:r>
          </w:p>
        </w:tc>
        <w:tc>
          <w:tcPr>
            <w:tcW w:w="1560" w:type="dxa"/>
            <w:vMerge w:val="restart"/>
            <w:noWrap w:val="0"/>
            <w:vAlign w:val="center"/>
          </w:tcPr>
          <w:p w14:paraId="39E03A5A">
            <w:pPr>
              <w:adjustRightInd w:val="0"/>
              <w:snapToGrid w:val="0"/>
              <w:jc w:val="center"/>
              <w:rPr>
                <w:rFonts w:hint="eastAsia" w:eastAsia="宋体"/>
                <w:color w:val="FF0000"/>
                <w:lang w:val="en-US" w:eastAsia="zh-CN"/>
              </w:rPr>
            </w:pPr>
            <w:r>
              <w:rPr>
                <w:rFonts w:hint="eastAsia"/>
                <w:color w:val="FF0000"/>
                <w:lang w:val="en-US" w:eastAsia="zh-CN"/>
              </w:rPr>
              <w:t>/</w:t>
            </w:r>
          </w:p>
        </w:tc>
        <w:tc>
          <w:tcPr>
            <w:tcW w:w="2176" w:type="dxa"/>
            <w:vMerge w:val="continue"/>
            <w:noWrap w:val="0"/>
            <w:vAlign w:val="center"/>
          </w:tcPr>
          <w:p w14:paraId="4D60D8F1">
            <w:pPr>
              <w:adjustRightInd w:val="0"/>
              <w:snapToGrid w:val="0"/>
              <w:jc w:val="center"/>
              <w:rPr>
                <w:color w:val="FF0000"/>
              </w:rPr>
            </w:pPr>
          </w:p>
        </w:tc>
      </w:tr>
      <w:tr w14:paraId="20B916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778" w:type="dxa"/>
            <w:vMerge w:val="continue"/>
            <w:noWrap w:val="0"/>
            <w:vAlign w:val="center"/>
          </w:tcPr>
          <w:p w14:paraId="3FC29399">
            <w:pPr>
              <w:adjustRightInd w:val="0"/>
              <w:snapToGrid w:val="0"/>
              <w:jc w:val="center"/>
            </w:pPr>
          </w:p>
        </w:tc>
        <w:tc>
          <w:tcPr>
            <w:tcW w:w="1505" w:type="dxa"/>
            <w:vMerge w:val="continue"/>
            <w:noWrap w:val="0"/>
            <w:vAlign w:val="center"/>
          </w:tcPr>
          <w:p w14:paraId="40AEDF67">
            <w:pPr>
              <w:adjustRightInd w:val="0"/>
              <w:snapToGrid w:val="0"/>
              <w:jc w:val="center"/>
            </w:pPr>
          </w:p>
        </w:tc>
        <w:tc>
          <w:tcPr>
            <w:tcW w:w="866" w:type="dxa"/>
            <w:vMerge w:val="continue"/>
            <w:noWrap w:val="0"/>
            <w:vAlign w:val="center"/>
          </w:tcPr>
          <w:p w14:paraId="5FE514B8">
            <w:pPr>
              <w:adjustRightInd w:val="0"/>
              <w:snapToGrid w:val="0"/>
              <w:jc w:val="center"/>
              <w:rPr>
                <w:color w:val="FF0000"/>
              </w:rPr>
            </w:pPr>
          </w:p>
        </w:tc>
        <w:tc>
          <w:tcPr>
            <w:tcW w:w="915" w:type="dxa"/>
            <w:noWrap w:val="0"/>
            <w:vAlign w:val="center"/>
          </w:tcPr>
          <w:p w14:paraId="5605623D">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rPr>
              <w:t>SS</w:t>
            </w:r>
          </w:p>
        </w:tc>
        <w:tc>
          <w:tcPr>
            <w:tcW w:w="1560" w:type="dxa"/>
            <w:vMerge w:val="continue"/>
            <w:noWrap w:val="0"/>
            <w:vAlign w:val="center"/>
          </w:tcPr>
          <w:p w14:paraId="1BD24E0F">
            <w:pPr>
              <w:adjustRightInd w:val="0"/>
              <w:snapToGrid w:val="0"/>
              <w:jc w:val="center"/>
              <w:rPr>
                <w:rFonts w:hint="default" w:ascii="Times New Roman" w:hAnsi="Times New Roman" w:eastAsia="宋体" w:cs="Times New Roman"/>
                <w:color w:val="FF0000"/>
                <w:sz w:val="21"/>
                <w:szCs w:val="21"/>
                <w:lang w:val="en-US" w:eastAsia="zh-CN"/>
              </w:rPr>
            </w:pPr>
          </w:p>
        </w:tc>
        <w:tc>
          <w:tcPr>
            <w:tcW w:w="2176" w:type="dxa"/>
            <w:vMerge w:val="continue"/>
            <w:noWrap w:val="0"/>
            <w:vAlign w:val="center"/>
          </w:tcPr>
          <w:p w14:paraId="0F60AF08">
            <w:pPr>
              <w:adjustRightInd w:val="0"/>
              <w:snapToGrid w:val="0"/>
              <w:jc w:val="center"/>
              <w:rPr>
                <w:rFonts w:hint="default" w:ascii="Times New Roman" w:hAnsi="Times New Roman" w:eastAsia="宋体" w:cs="Times New Roman"/>
                <w:color w:val="FF0000"/>
                <w:sz w:val="21"/>
                <w:szCs w:val="21"/>
                <w:lang w:val="en-US" w:eastAsia="zh-CN"/>
              </w:rPr>
            </w:pPr>
          </w:p>
        </w:tc>
      </w:tr>
      <w:tr w14:paraId="1F1FD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778" w:type="dxa"/>
            <w:vMerge w:val="continue"/>
            <w:noWrap w:val="0"/>
            <w:vAlign w:val="center"/>
          </w:tcPr>
          <w:p w14:paraId="740BB3A6">
            <w:pPr>
              <w:adjustRightInd w:val="0"/>
              <w:snapToGrid w:val="0"/>
              <w:jc w:val="center"/>
              <w:rPr>
                <w:rFonts w:hint="default" w:ascii="Times New Roman" w:hAnsi="Times New Roman" w:eastAsia="宋体" w:cs="Times New Roman"/>
                <w:color w:val="auto"/>
                <w:sz w:val="21"/>
                <w:szCs w:val="21"/>
                <w:lang w:val="en-US" w:eastAsia="zh-CN"/>
              </w:rPr>
            </w:pPr>
          </w:p>
        </w:tc>
        <w:tc>
          <w:tcPr>
            <w:tcW w:w="1505" w:type="dxa"/>
            <w:vMerge w:val="continue"/>
            <w:noWrap w:val="0"/>
            <w:vAlign w:val="center"/>
          </w:tcPr>
          <w:p w14:paraId="307A06A5">
            <w:pPr>
              <w:adjustRightInd w:val="0"/>
              <w:snapToGrid w:val="0"/>
              <w:jc w:val="center"/>
              <w:rPr>
                <w:rFonts w:hint="default" w:ascii="Times New Roman" w:hAnsi="Times New Roman" w:eastAsia="宋体" w:cs="Times New Roman"/>
                <w:color w:val="auto"/>
                <w:sz w:val="21"/>
                <w:szCs w:val="21"/>
                <w:lang w:val="en-US" w:eastAsia="zh-CN"/>
              </w:rPr>
            </w:pPr>
          </w:p>
        </w:tc>
        <w:tc>
          <w:tcPr>
            <w:tcW w:w="866" w:type="dxa"/>
            <w:vMerge w:val="continue"/>
            <w:noWrap w:val="0"/>
            <w:vAlign w:val="center"/>
          </w:tcPr>
          <w:p w14:paraId="1038D939">
            <w:pPr>
              <w:adjustRightInd w:val="0"/>
              <w:snapToGrid w:val="0"/>
              <w:jc w:val="center"/>
              <w:rPr>
                <w:rFonts w:hint="default" w:ascii="Times New Roman" w:hAnsi="Times New Roman" w:eastAsia="宋体" w:cs="Times New Roman"/>
                <w:color w:val="FF0000"/>
                <w:sz w:val="21"/>
                <w:szCs w:val="21"/>
                <w:lang w:val="en-US" w:eastAsia="zh-CN"/>
              </w:rPr>
            </w:pPr>
          </w:p>
        </w:tc>
        <w:tc>
          <w:tcPr>
            <w:tcW w:w="915" w:type="dxa"/>
            <w:noWrap w:val="0"/>
            <w:vAlign w:val="center"/>
          </w:tcPr>
          <w:p w14:paraId="5AA47CA7">
            <w:pPr>
              <w:adjustRightInd w:val="0"/>
              <w:snapToGrid w:val="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全盐量</w:t>
            </w:r>
          </w:p>
        </w:tc>
        <w:tc>
          <w:tcPr>
            <w:tcW w:w="1560" w:type="dxa"/>
            <w:vMerge w:val="continue"/>
            <w:noWrap w:val="0"/>
            <w:vAlign w:val="center"/>
          </w:tcPr>
          <w:p w14:paraId="3E8D711C">
            <w:pPr>
              <w:adjustRightInd w:val="0"/>
              <w:snapToGrid w:val="0"/>
              <w:jc w:val="center"/>
              <w:rPr>
                <w:rFonts w:hint="default" w:ascii="Times New Roman" w:hAnsi="Times New Roman" w:eastAsia="宋体" w:cs="Times New Roman"/>
                <w:color w:val="FF0000"/>
                <w:sz w:val="21"/>
                <w:szCs w:val="21"/>
                <w:lang w:val="en-US" w:eastAsia="zh-CN"/>
              </w:rPr>
            </w:pPr>
          </w:p>
        </w:tc>
        <w:tc>
          <w:tcPr>
            <w:tcW w:w="2176" w:type="dxa"/>
            <w:vMerge w:val="continue"/>
            <w:noWrap w:val="0"/>
            <w:vAlign w:val="center"/>
          </w:tcPr>
          <w:p w14:paraId="6EBDAAED">
            <w:pPr>
              <w:adjustRightInd w:val="0"/>
              <w:snapToGrid w:val="0"/>
              <w:jc w:val="center"/>
              <w:rPr>
                <w:rFonts w:hint="default" w:ascii="Times New Roman" w:hAnsi="Times New Roman" w:eastAsia="宋体" w:cs="Times New Roman"/>
                <w:color w:val="FF0000"/>
                <w:sz w:val="21"/>
                <w:szCs w:val="21"/>
                <w:lang w:val="en-US" w:eastAsia="zh-CN"/>
              </w:rPr>
            </w:pPr>
          </w:p>
        </w:tc>
      </w:tr>
      <w:tr w14:paraId="050DF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778" w:type="dxa"/>
            <w:vMerge w:val="continue"/>
            <w:noWrap w:val="0"/>
            <w:vAlign w:val="center"/>
          </w:tcPr>
          <w:p w14:paraId="0E22CB89">
            <w:pPr>
              <w:adjustRightInd w:val="0"/>
              <w:snapToGrid w:val="0"/>
              <w:jc w:val="center"/>
              <w:rPr>
                <w:color w:val="auto"/>
              </w:rPr>
            </w:pPr>
          </w:p>
        </w:tc>
        <w:tc>
          <w:tcPr>
            <w:tcW w:w="1505" w:type="dxa"/>
            <w:vMerge w:val="continue"/>
            <w:noWrap w:val="0"/>
            <w:vAlign w:val="center"/>
          </w:tcPr>
          <w:p w14:paraId="5B6416D2">
            <w:pPr>
              <w:adjustRightInd w:val="0"/>
              <w:snapToGrid w:val="0"/>
              <w:jc w:val="center"/>
              <w:rPr>
                <w:color w:val="auto"/>
              </w:rPr>
            </w:pPr>
          </w:p>
        </w:tc>
        <w:tc>
          <w:tcPr>
            <w:tcW w:w="866" w:type="dxa"/>
            <w:vMerge w:val="restart"/>
            <w:noWrap w:val="0"/>
            <w:vAlign w:val="center"/>
          </w:tcPr>
          <w:p w14:paraId="0FA353D5">
            <w:pPr>
              <w:adjustRightInd w:val="0"/>
              <w:snapToGrid w:val="0"/>
              <w:jc w:val="center"/>
              <w:rPr>
                <w:rFonts w:hint="default" w:ascii="宋体" w:hAnsi="宋体" w:cs="宋体"/>
                <w:color w:val="FF0000"/>
                <w:sz w:val="21"/>
                <w:szCs w:val="21"/>
                <w:lang w:val="en-US" w:eastAsia="zh-CN"/>
              </w:rPr>
            </w:pPr>
            <w:r>
              <w:rPr>
                <w:rFonts w:hint="eastAsia" w:ascii="宋体" w:hAnsi="宋体" w:cs="宋体"/>
                <w:color w:val="FF0000"/>
                <w:sz w:val="21"/>
                <w:szCs w:val="21"/>
                <w:lang w:val="en-US" w:eastAsia="zh-CN"/>
              </w:rPr>
              <w:t>设备清洗废水</w:t>
            </w:r>
          </w:p>
        </w:tc>
        <w:tc>
          <w:tcPr>
            <w:tcW w:w="915" w:type="dxa"/>
            <w:noWrap w:val="0"/>
            <w:vAlign w:val="center"/>
          </w:tcPr>
          <w:p w14:paraId="650BCEB4">
            <w:pPr>
              <w:adjustRightInd w:val="0"/>
              <w:snapToGrid w:val="0"/>
              <w:jc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rPr>
              <w:t>COD</w:t>
            </w:r>
          </w:p>
        </w:tc>
        <w:tc>
          <w:tcPr>
            <w:tcW w:w="1560" w:type="dxa"/>
            <w:vMerge w:val="restart"/>
            <w:noWrap w:val="0"/>
            <w:vAlign w:val="center"/>
          </w:tcPr>
          <w:p w14:paraId="40926F09">
            <w:pPr>
              <w:adjustRightInd w:val="0"/>
              <w:snapToGrid w:val="0"/>
              <w:jc w:val="center"/>
              <w:rPr>
                <w:rFonts w:hint="default"/>
                <w:color w:val="FF0000"/>
                <w:lang w:val="en-US" w:eastAsia="zh-CN"/>
              </w:rPr>
            </w:pPr>
            <w:r>
              <w:rPr>
                <w:rFonts w:hint="eastAsia"/>
                <w:color w:val="FF0000"/>
                <w:lang w:val="en-US" w:eastAsia="zh-CN"/>
              </w:rPr>
              <w:t>沉淀池/化粪池</w:t>
            </w:r>
          </w:p>
        </w:tc>
        <w:tc>
          <w:tcPr>
            <w:tcW w:w="2176" w:type="dxa"/>
            <w:vMerge w:val="restart"/>
            <w:noWrap w:val="0"/>
            <w:vAlign w:val="center"/>
          </w:tcPr>
          <w:p w14:paraId="40849CDC">
            <w:pPr>
              <w:adjustRightInd w:val="0"/>
              <w:snapToGrid w:val="0"/>
              <w:jc w:val="center"/>
              <w:rPr>
                <w:rFonts w:hint="default"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lang w:eastAsia="zh-CN"/>
              </w:rPr>
              <w:t>庐山工业园污水处理厂接管标准</w:t>
            </w:r>
          </w:p>
        </w:tc>
      </w:tr>
      <w:tr w14:paraId="3E2A78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778" w:type="dxa"/>
            <w:vMerge w:val="continue"/>
            <w:noWrap w:val="0"/>
            <w:vAlign w:val="center"/>
          </w:tcPr>
          <w:p w14:paraId="46591A57">
            <w:pPr>
              <w:adjustRightInd w:val="0"/>
              <w:snapToGrid w:val="0"/>
              <w:jc w:val="center"/>
            </w:pPr>
          </w:p>
        </w:tc>
        <w:tc>
          <w:tcPr>
            <w:tcW w:w="1505" w:type="dxa"/>
            <w:vMerge w:val="continue"/>
            <w:noWrap w:val="0"/>
            <w:vAlign w:val="center"/>
          </w:tcPr>
          <w:p w14:paraId="4A198638">
            <w:pPr>
              <w:adjustRightInd w:val="0"/>
              <w:snapToGrid w:val="0"/>
              <w:jc w:val="center"/>
            </w:pPr>
          </w:p>
        </w:tc>
        <w:tc>
          <w:tcPr>
            <w:tcW w:w="866" w:type="dxa"/>
            <w:vMerge w:val="continue"/>
            <w:noWrap w:val="0"/>
            <w:vAlign w:val="center"/>
          </w:tcPr>
          <w:p w14:paraId="69FBA33E">
            <w:pPr>
              <w:adjustRightInd w:val="0"/>
              <w:snapToGrid w:val="0"/>
              <w:jc w:val="center"/>
              <w:rPr>
                <w:color w:val="FF0000"/>
              </w:rPr>
            </w:pPr>
          </w:p>
        </w:tc>
        <w:tc>
          <w:tcPr>
            <w:tcW w:w="915" w:type="dxa"/>
            <w:noWrap w:val="0"/>
            <w:vAlign w:val="center"/>
          </w:tcPr>
          <w:p w14:paraId="32E33DE2">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BOD</w:t>
            </w:r>
            <w:r>
              <w:rPr>
                <w:rFonts w:hint="default" w:ascii="Times New Roman" w:hAnsi="Times New Roman" w:eastAsia="宋体" w:cs="Times New Roman"/>
                <w:color w:val="FF0000"/>
                <w:sz w:val="21"/>
                <w:szCs w:val="21"/>
                <w:vertAlign w:val="subscript"/>
              </w:rPr>
              <w:t>5</w:t>
            </w:r>
          </w:p>
        </w:tc>
        <w:tc>
          <w:tcPr>
            <w:tcW w:w="1560" w:type="dxa"/>
            <w:vMerge w:val="continue"/>
            <w:noWrap w:val="0"/>
            <w:vAlign w:val="center"/>
          </w:tcPr>
          <w:p w14:paraId="51C63933">
            <w:pPr>
              <w:adjustRightInd w:val="0"/>
              <w:snapToGrid w:val="0"/>
              <w:jc w:val="center"/>
              <w:rPr>
                <w:rFonts w:hint="default" w:ascii="Times New Roman" w:hAnsi="Times New Roman" w:eastAsia="宋体" w:cs="Times New Roman"/>
                <w:color w:val="FF0000"/>
                <w:sz w:val="21"/>
                <w:szCs w:val="21"/>
              </w:rPr>
            </w:pPr>
          </w:p>
        </w:tc>
        <w:tc>
          <w:tcPr>
            <w:tcW w:w="2176" w:type="dxa"/>
            <w:vMerge w:val="continue"/>
            <w:noWrap w:val="0"/>
            <w:vAlign w:val="center"/>
          </w:tcPr>
          <w:p w14:paraId="26ADC951">
            <w:pPr>
              <w:adjustRightInd w:val="0"/>
              <w:snapToGrid w:val="0"/>
              <w:jc w:val="center"/>
              <w:rPr>
                <w:rFonts w:hint="default" w:ascii="Times New Roman" w:hAnsi="Times New Roman" w:eastAsia="宋体" w:cs="Times New Roman"/>
                <w:color w:val="FF0000"/>
                <w:sz w:val="21"/>
                <w:szCs w:val="21"/>
              </w:rPr>
            </w:pPr>
          </w:p>
        </w:tc>
      </w:tr>
      <w:tr w14:paraId="3F720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778" w:type="dxa"/>
            <w:vMerge w:val="continue"/>
            <w:noWrap w:val="0"/>
            <w:vAlign w:val="center"/>
          </w:tcPr>
          <w:p w14:paraId="5FD4E651">
            <w:pPr>
              <w:adjustRightInd w:val="0"/>
              <w:snapToGrid w:val="0"/>
              <w:jc w:val="center"/>
              <w:rPr>
                <w:rFonts w:hint="default" w:ascii="Times New Roman" w:hAnsi="Times New Roman" w:eastAsia="宋体" w:cs="Times New Roman"/>
                <w:color w:val="auto"/>
                <w:sz w:val="21"/>
                <w:szCs w:val="21"/>
              </w:rPr>
            </w:pPr>
          </w:p>
        </w:tc>
        <w:tc>
          <w:tcPr>
            <w:tcW w:w="1505" w:type="dxa"/>
            <w:vMerge w:val="continue"/>
            <w:noWrap w:val="0"/>
            <w:vAlign w:val="center"/>
          </w:tcPr>
          <w:p w14:paraId="0A919151">
            <w:pPr>
              <w:adjustRightInd w:val="0"/>
              <w:snapToGrid w:val="0"/>
              <w:jc w:val="center"/>
              <w:rPr>
                <w:rFonts w:hint="default" w:ascii="Times New Roman" w:hAnsi="Times New Roman" w:eastAsia="宋体" w:cs="Times New Roman"/>
                <w:color w:val="auto"/>
                <w:sz w:val="21"/>
                <w:szCs w:val="21"/>
              </w:rPr>
            </w:pPr>
          </w:p>
        </w:tc>
        <w:tc>
          <w:tcPr>
            <w:tcW w:w="866" w:type="dxa"/>
            <w:vMerge w:val="continue"/>
            <w:noWrap w:val="0"/>
            <w:vAlign w:val="center"/>
          </w:tcPr>
          <w:p w14:paraId="43D940BB">
            <w:pPr>
              <w:adjustRightInd w:val="0"/>
              <w:snapToGrid w:val="0"/>
              <w:jc w:val="center"/>
              <w:rPr>
                <w:rFonts w:hint="default" w:ascii="Times New Roman" w:hAnsi="Times New Roman" w:eastAsia="宋体" w:cs="Times New Roman"/>
                <w:color w:val="FF0000"/>
                <w:sz w:val="21"/>
                <w:szCs w:val="21"/>
              </w:rPr>
            </w:pPr>
          </w:p>
        </w:tc>
        <w:tc>
          <w:tcPr>
            <w:tcW w:w="915" w:type="dxa"/>
            <w:noWrap w:val="0"/>
            <w:vAlign w:val="center"/>
          </w:tcPr>
          <w:p w14:paraId="64DA16FF">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SS</w:t>
            </w:r>
          </w:p>
        </w:tc>
        <w:tc>
          <w:tcPr>
            <w:tcW w:w="1560" w:type="dxa"/>
            <w:vMerge w:val="continue"/>
            <w:noWrap w:val="0"/>
            <w:vAlign w:val="center"/>
          </w:tcPr>
          <w:p w14:paraId="725D7601">
            <w:pPr>
              <w:adjustRightInd w:val="0"/>
              <w:snapToGrid w:val="0"/>
              <w:jc w:val="center"/>
              <w:rPr>
                <w:rFonts w:hint="default" w:ascii="Times New Roman" w:hAnsi="Times New Roman" w:eastAsia="宋体" w:cs="Times New Roman"/>
                <w:color w:val="FF0000"/>
                <w:sz w:val="21"/>
                <w:szCs w:val="21"/>
              </w:rPr>
            </w:pPr>
          </w:p>
        </w:tc>
        <w:tc>
          <w:tcPr>
            <w:tcW w:w="2176" w:type="dxa"/>
            <w:vMerge w:val="continue"/>
            <w:noWrap w:val="0"/>
            <w:vAlign w:val="center"/>
          </w:tcPr>
          <w:p w14:paraId="0F28E269">
            <w:pPr>
              <w:adjustRightInd w:val="0"/>
              <w:snapToGrid w:val="0"/>
              <w:jc w:val="center"/>
              <w:rPr>
                <w:rFonts w:hint="default" w:ascii="Times New Roman" w:hAnsi="Times New Roman" w:eastAsia="宋体" w:cs="Times New Roman"/>
                <w:color w:val="FF0000"/>
                <w:sz w:val="21"/>
                <w:szCs w:val="21"/>
              </w:rPr>
            </w:pPr>
          </w:p>
        </w:tc>
      </w:tr>
      <w:tr w14:paraId="74BA4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778" w:type="dxa"/>
            <w:vMerge w:val="continue"/>
            <w:noWrap w:val="0"/>
            <w:vAlign w:val="center"/>
          </w:tcPr>
          <w:p w14:paraId="371C9B04">
            <w:pPr>
              <w:adjustRightInd w:val="0"/>
              <w:snapToGrid w:val="0"/>
              <w:jc w:val="center"/>
              <w:rPr>
                <w:rFonts w:hint="default" w:ascii="Times New Roman" w:hAnsi="Times New Roman" w:eastAsia="宋体" w:cs="Times New Roman"/>
                <w:color w:val="auto"/>
                <w:sz w:val="21"/>
                <w:szCs w:val="21"/>
              </w:rPr>
            </w:pPr>
          </w:p>
        </w:tc>
        <w:tc>
          <w:tcPr>
            <w:tcW w:w="1505" w:type="dxa"/>
            <w:vMerge w:val="continue"/>
            <w:noWrap w:val="0"/>
            <w:vAlign w:val="center"/>
          </w:tcPr>
          <w:p w14:paraId="368CC1FA">
            <w:pPr>
              <w:adjustRightInd w:val="0"/>
              <w:snapToGrid w:val="0"/>
              <w:jc w:val="center"/>
              <w:rPr>
                <w:rFonts w:hint="default" w:ascii="Times New Roman" w:hAnsi="Times New Roman" w:eastAsia="宋体" w:cs="Times New Roman"/>
                <w:color w:val="auto"/>
                <w:sz w:val="21"/>
                <w:szCs w:val="21"/>
              </w:rPr>
            </w:pPr>
          </w:p>
        </w:tc>
        <w:tc>
          <w:tcPr>
            <w:tcW w:w="866" w:type="dxa"/>
            <w:vMerge w:val="continue"/>
            <w:noWrap w:val="0"/>
            <w:vAlign w:val="center"/>
          </w:tcPr>
          <w:p w14:paraId="3FE7F6CA">
            <w:pPr>
              <w:adjustRightInd w:val="0"/>
              <w:snapToGrid w:val="0"/>
              <w:jc w:val="center"/>
              <w:rPr>
                <w:rFonts w:hint="default" w:ascii="Times New Roman" w:hAnsi="Times New Roman" w:eastAsia="宋体" w:cs="Times New Roman"/>
                <w:color w:val="FF0000"/>
                <w:sz w:val="21"/>
                <w:szCs w:val="21"/>
              </w:rPr>
            </w:pPr>
          </w:p>
        </w:tc>
        <w:tc>
          <w:tcPr>
            <w:tcW w:w="915" w:type="dxa"/>
            <w:noWrap w:val="0"/>
            <w:vAlign w:val="center"/>
          </w:tcPr>
          <w:p w14:paraId="2FCAA9B0">
            <w:pPr>
              <w:adjustRightInd w:val="0"/>
              <w:snapToGrid w:val="0"/>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NH</w:t>
            </w:r>
            <w:r>
              <w:rPr>
                <w:rFonts w:hint="default" w:ascii="Times New Roman" w:hAnsi="Times New Roman" w:eastAsia="宋体" w:cs="Times New Roman"/>
                <w:color w:val="FF0000"/>
                <w:sz w:val="21"/>
                <w:szCs w:val="21"/>
                <w:vertAlign w:val="subscript"/>
              </w:rPr>
              <w:t>3</w:t>
            </w:r>
            <w:r>
              <w:rPr>
                <w:rFonts w:hint="default" w:ascii="Times New Roman" w:hAnsi="Times New Roman" w:eastAsia="宋体" w:cs="Times New Roman"/>
                <w:color w:val="FF0000"/>
                <w:sz w:val="21"/>
                <w:szCs w:val="21"/>
              </w:rPr>
              <w:t>-N</w:t>
            </w:r>
          </w:p>
        </w:tc>
        <w:tc>
          <w:tcPr>
            <w:tcW w:w="1560" w:type="dxa"/>
            <w:vMerge w:val="continue"/>
            <w:noWrap w:val="0"/>
            <w:vAlign w:val="center"/>
          </w:tcPr>
          <w:p w14:paraId="1B4D8D70">
            <w:pPr>
              <w:adjustRightInd w:val="0"/>
              <w:snapToGrid w:val="0"/>
              <w:jc w:val="center"/>
              <w:rPr>
                <w:rFonts w:hint="default" w:ascii="Times New Roman" w:hAnsi="Times New Roman" w:eastAsia="宋体" w:cs="Times New Roman"/>
                <w:color w:val="FF0000"/>
                <w:sz w:val="21"/>
                <w:szCs w:val="21"/>
              </w:rPr>
            </w:pPr>
          </w:p>
        </w:tc>
        <w:tc>
          <w:tcPr>
            <w:tcW w:w="2176" w:type="dxa"/>
            <w:vMerge w:val="continue"/>
            <w:noWrap w:val="0"/>
            <w:vAlign w:val="center"/>
          </w:tcPr>
          <w:p w14:paraId="04F6766E">
            <w:pPr>
              <w:adjustRightInd w:val="0"/>
              <w:snapToGrid w:val="0"/>
              <w:jc w:val="center"/>
              <w:rPr>
                <w:rFonts w:hint="default" w:ascii="Times New Roman" w:hAnsi="Times New Roman" w:eastAsia="宋体" w:cs="Times New Roman"/>
                <w:color w:val="FF0000"/>
                <w:sz w:val="21"/>
                <w:szCs w:val="21"/>
              </w:rPr>
            </w:pPr>
          </w:p>
        </w:tc>
      </w:tr>
      <w:tr w14:paraId="5077F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778" w:type="dxa"/>
            <w:vMerge w:val="continue"/>
            <w:noWrap w:val="0"/>
            <w:vAlign w:val="center"/>
          </w:tcPr>
          <w:p w14:paraId="6551E030">
            <w:pPr>
              <w:adjustRightInd w:val="0"/>
              <w:snapToGrid w:val="0"/>
              <w:jc w:val="center"/>
            </w:pPr>
          </w:p>
        </w:tc>
        <w:tc>
          <w:tcPr>
            <w:tcW w:w="1505" w:type="dxa"/>
            <w:vMerge w:val="continue"/>
            <w:noWrap w:val="0"/>
            <w:vAlign w:val="center"/>
          </w:tcPr>
          <w:p w14:paraId="325247AE">
            <w:pPr>
              <w:adjustRightInd w:val="0"/>
              <w:snapToGrid w:val="0"/>
              <w:jc w:val="center"/>
            </w:pPr>
          </w:p>
        </w:tc>
        <w:tc>
          <w:tcPr>
            <w:tcW w:w="866" w:type="dxa"/>
            <w:vMerge w:val="continue"/>
            <w:noWrap w:val="0"/>
            <w:vAlign w:val="center"/>
          </w:tcPr>
          <w:p w14:paraId="64179DCD">
            <w:pPr>
              <w:adjustRightInd w:val="0"/>
              <w:snapToGrid w:val="0"/>
              <w:jc w:val="center"/>
            </w:pPr>
          </w:p>
        </w:tc>
        <w:tc>
          <w:tcPr>
            <w:tcW w:w="915" w:type="dxa"/>
            <w:noWrap w:val="0"/>
            <w:vAlign w:val="center"/>
          </w:tcPr>
          <w:p w14:paraId="679E080A">
            <w:pPr>
              <w:adjustRightInd w:val="0"/>
              <w:snapToGrid w:val="0"/>
              <w:jc w:val="center"/>
              <w:rPr>
                <w:rFonts w:hint="eastAsia" w:eastAsia="宋体"/>
                <w:lang w:val="en-US" w:eastAsia="zh-CN"/>
              </w:rPr>
            </w:pPr>
            <w:r>
              <w:rPr>
                <w:rFonts w:hint="eastAsia"/>
                <w:lang w:val="en-US" w:eastAsia="zh-CN"/>
              </w:rPr>
              <w:t>总有机碳</w:t>
            </w:r>
          </w:p>
        </w:tc>
        <w:tc>
          <w:tcPr>
            <w:tcW w:w="1560" w:type="dxa"/>
            <w:vMerge w:val="continue"/>
            <w:noWrap w:val="0"/>
            <w:vAlign w:val="center"/>
          </w:tcPr>
          <w:p w14:paraId="0CF451F9">
            <w:pPr>
              <w:adjustRightInd w:val="0"/>
              <w:snapToGrid w:val="0"/>
              <w:jc w:val="center"/>
            </w:pPr>
          </w:p>
        </w:tc>
        <w:tc>
          <w:tcPr>
            <w:tcW w:w="2176" w:type="dxa"/>
            <w:noWrap w:val="0"/>
            <w:vAlign w:val="center"/>
          </w:tcPr>
          <w:p w14:paraId="0C41FA37">
            <w:pPr>
              <w:adjustRightInd w:val="0"/>
              <w:snapToGrid w:val="0"/>
              <w:jc w:val="center"/>
              <w:rPr>
                <w:rFonts w:hint="eastAsia" w:ascii="Times New Roman" w:hAnsi="Times New Roman" w:eastAsia="宋体" w:cs="Times New Roman"/>
                <w:color w:val="FF0000"/>
                <w:sz w:val="21"/>
                <w:szCs w:val="21"/>
                <w:lang w:eastAsia="zh-CN"/>
              </w:rPr>
            </w:pPr>
            <w:r>
              <w:rPr>
                <w:rFonts w:hint="default" w:cs="Times New Roman"/>
                <w:color w:val="FF0000"/>
                <w:sz w:val="21"/>
                <w:szCs w:val="21"/>
                <w:lang w:val="en-US" w:eastAsia="zh-CN"/>
              </w:rPr>
              <w:t>《混装制剂类制药工业水污染物排放标准》</w:t>
            </w:r>
            <w:r>
              <w:rPr>
                <w:rFonts w:hint="default" w:ascii="Times New Roman" w:hAnsi="Times New Roman" w:eastAsia="宋体" w:cs="Times New Roman"/>
                <w:color w:val="FF0000"/>
                <w:sz w:val="21"/>
                <w:szCs w:val="21"/>
                <w:lang w:val="en-US" w:eastAsia="zh-CN"/>
              </w:rPr>
              <w:t>（GB</w:t>
            </w:r>
            <w:r>
              <w:rPr>
                <w:rFonts w:hint="eastAsia" w:cs="Times New Roman"/>
                <w:color w:val="FF0000"/>
                <w:sz w:val="21"/>
                <w:szCs w:val="21"/>
                <w:lang w:val="en-US" w:eastAsia="zh-CN"/>
              </w:rPr>
              <w:t>21908</w:t>
            </w:r>
            <w:r>
              <w:rPr>
                <w:rFonts w:hint="default" w:ascii="Times New Roman" w:hAnsi="Times New Roman" w:eastAsia="宋体" w:cs="Times New Roman"/>
                <w:color w:val="FF0000"/>
                <w:sz w:val="21"/>
                <w:szCs w:val="21"/>
                <w:lang w:val="en-US" w:eastAsia="zh-CN"/>
              </w:rPr>
              <w:t>-</w:t>
            </w:r>
            <w:r>
              <w:rPr>
                <w:rFonts w:hint="eastAsia" w:cs="Times New Roman"/>
                <w:color w:val="FF0000"/>
                <w:sz w:val="21"/>
                <w:szCs w:val="21"/>
                <w:lang w:val="en-US" w:eastAsia="zh-CN"/>
              </w:rPr>
              <w:t>2008</w:t>
            </w:r>
            <w:r>
              <w:rPr>
                <w:rFonts w:hint="default" w:ascii="Times New Roman" w:hAnsi="Times New Roman" w:eastAsia="宋体" w:cs="Times New Roman"/>
                <w:color w:val="FF0000"/>
                <w:sz w:val="21"/>
                <w:szCs w:val="21"/>
                <w:lang w:val="en-US" w:eastAsia="zh-CN"/>
              </w:rPr>
              <w:t>）</w:t>
            </w:r>
          </w:p>
        </w:tc>
      </w:tr>
      <w:tr w14:paraId="53803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778" w:type="dxa"/>
            <w:noWrap w:val="0"/>
            <w:vAlign w:val="center"/>
          </w:tcPr>
          <w:p w14:paraId="02E891B6">
            <w:pPr>
              <w:adjustRightInd w:val="0"/>
              <w:snapToGrid w:val="0"/>
              <w:jc w:val="center"/>
              <w:rPr>
                <w:rFonts w:hint="eastAsia" w:ascii="宋体" w:hAnsi="宋体" w:cs="宋体"/>
                <w:color w:val="auto"/>
                <w:szCs w:val="21"/>
              </w:rPr>
            </w:pPr>
            <w:r>
              <w:rPr>
                <w:rFonts w:hint="eastAsia" w:ascii="宋体" w:hAnsi="宋体" w:cs="宋体"/>
                <w:color w:val="auto"/>
                <w:szCs w:val="21"/>
              </w:rPr>
              <w:t>声环境</w:t>
            </w:r>
          </w:p>
        </w:tc>
        <w:tc>
          <w:tcPr>
            <w:tcW w:w="1505" w:type="dxa"/>
            <w:noWrap w:val="0"/>
            <w:vAlign w:val="center"/>
          </w:tcPr>
          <w:p w14:paraId="5CC9AFB5">
            <w:pPr>
              <w:adjustRightInd w:val="0"/>
              <w:snapToGrid w:val="0"/>
              <w:jc w:val="center"/>
              <w:rPr>
                <w:rFonts w:hint="eastAsia" w:ascii="宋体" w:hAnsi="宋体" w:cs="宋体"/>
                <w:color w:val="auto"/>
                <w:sz w:val="21"/>
                <w:szCs w:val="21"/>
              </w:rPr>
            </w:pPr>
            <w:r>
              <w:rPr>
                <w:rFonts w:hint="eastAsia" w:ascii="Times New Roman" w:hAnsi="Times New Roman" w:cs="Times New Roman"/>
                <w:color w:val="auto"/>
                <w:sz w:val="21"/>
                <w:szCs w:val="21"/>
                <w:lang w:eastAsia="zh-CN"/>
              </w:rPr>
              <w:t>设备噪声</w:t>
            </w:r>
          </w:p>
        </w:tc>
        <w:tc>
          <w:tcPr>
            <w:tcW w:w="1781" w:type="dxa"/>
            <w:gridSpan w:val="2"/>
            <w:noWrap w:val="0"/>
            <w:vAlign w:val="center"/>
          </w:tcPr>
          <w:p w14:paraId="173DA421">
            <w:pPr>
              <w:adjustRightInd w:val="0"/>
              <w:snapToGrid w:val="0"/>
              <w:jc w:val="center"/>
              <w:rPr>
                <w:rFonts w:hint="eastAsia" w:ascii="宋体" w:hAnsi="宋体" w:cs="宋体"/>
                <w:color w:val="auto"/>
                <w:sz w:val="21"/>
                <w:szCs w:val="21"/>
              </w:rPr>
            </w:pPr>
            <w:r>
              <w:rPr>
                <w:rFonts w:hint="eastAsia" w:ascii="Times New Roman" w:hAnsi="Times New Roman" w:cs="Times New Roman"/>
                <w:color w:val="auto"/>
                <w:sz w:val="21"/>
                <w:szCs w:val="21"/>
                <w:lang w:eastAsia="zh-CN"/>
              </w:rPr>
              <w:t>噪声</w:t>
            </w:r>
          </w:p>
        </w:tc>
        <w:tc>
          <w:tcPr>
            <w:tcW w:w="1560" w:type="dxa"/>
            <w:noWrap w:val="0"/>
            <w:vAlign w:val="center"/>
          </w:tcPr>
          <w:p w14:paraId="72C00801">
            <w:pPr>
              <w:adjustRightInd w:val="0"/>
              <w:snapToGrid w:val="0"/>
              <w:jc w:val="center"/>
              <w:rPr>
                <w:rFonts w:hint="eastAsia" w:ascii="宋体" w:hAnsi="宋体" w:cs="宋体"/>
                <w:color w:val="auto"/>
                <w:sz w:val="21"/>
                <w:szCs w:val="21"/>
              </w:rPr>
            </w:pPr>
            <w:r>
              <w:rPr>
                <w:rFonts w:hint="eastAsia" w:ascii="Times New Roman" w:hAnsi="Times New Roman" w:eastAsia="宋体"/>
                <w:color w:val="auto"/>
                <w:sz w:val="21"/>
                <w:szCs w:val="21"/>
                <w:lang w:eastAsia="zh-CN"/>
              </w:rPr>
              <w:t>选用低噪声设备，</w:t>
            </w:r>
          </w:p>
        </w:tc>
        <w:tc>
          <w:tcPr>
            <w:tcW w:w="2176" w:type="dxa"/>
            <w:noWrap w:val="0"/>
            <w:vAlign w:val="center"/>
          </w:tcPr>
          <w:p w14:paraId="50314DBC">
            <w:pPr>
              <w:adjustRightInd w:val="0"/>
              <w:snapToGrid w:val="0"/>
              <w:jc w:val="center"/>
              <w:rPr>
                <w:rFonts w:hint="eastAsia" w:ascii="宋体" w:hAnsi="宋体" w:cs="宋体"/>
                <w:color w:val="auto"/>
                <w:sz w:val="21"/>
                <w:szCs w:val="21"/>
              </w:rPr>
            </w:pPr>
            <w:r>
              <w:rPr>
                <w:rFonts w:ascii="Times New Roman" w:hAnsi="Times New Roman"/>
                <w:color w:val="auto"/>
                <w:sz w:val="21"/>
                <w:szCs w:val="21"/>
              </w:rPr>
              <w:t>《工业企业厂界环境噪声排放标准》（GB 12348-2008）3类标准</w:t>
            </w:r>
          </w:p>
        </w:tc>
      </w:tr>
      <w:tr w14:paraId="0303C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778" w:type="dxa"/>
            <w:noWrap w:val="0"/>
            <w:vAlign w:val="center"/>
          </w:tcPr>
          <w:p w14:paraId="23B28952">
            <w:pPr>
              <w:adjustRightInd w:val="0"/>
              <w:snapToGrid w:val="0"/>
              <w:jc w:val="center"/>
              <w:rPr>
                <w:rFonts w:hint="eastAsia" w:ascii="宋体" w:hAnsi="宋体" w:cs="宋体"/>
                <w:color w:val="auto"/>
                <w:szCs w:val="21"/>
              </w:rPr>
            </w:pPr>
            <w:r>
              <w:rPr>
                <w:rFonts w:hint="eastAsia" w:ascii="宋体" w:hAnsi="宋体" w:cs="宋体"/>
                <w:color w:val="auto"/>
                <w:szCs w:val="21"/>
              </w:rPr>
              <w:t>电磁辐射</w:t>
            </w:r>
          </w:p>
        </w:tc>
        <w:tc>
          <w:tcPr>
            <w:tcW w:w="1505" w:type="dxa"/>
            <w:noWrap w:val="0"/>
            <w:vAlign w:val="center"/>
          </w:tcPr>
          <w:p w14:paraId="2235D455">
            <w:pPr>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c>
          <w:tcPr>
            <w:tcW w:w="1781" w:type="dxa"/>
            <w:gridSpan w:val="2"/>
            <w:noWrap w:val="0"/>
            <w:vAlign w:val="center"/>
          </w:tcPr>
          <w:p w14:paraId="747741BB">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c>
          <w:tcPr>
            <w:tcW w:w="1560" w:type="dxa"/>
            <w:noWrap w:val="0"/>
            <w:vAlign w:val="center"/>
          </w:tcPr>
          <w:p w14:paraId="413536C8">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c>
          <w:tcPr>
            <w:tcW w:w="2176" w:type="dxa"/>
            <w:noWrap w:val="0"/>
            <w:vAlign w:val="center"/>
          </w:tcPr>
          <w:p w14:paraId="61599677">
            <w:pPr>
              <w:adjustRightInd w:val="0"/>
              <w:snapToGrid w:val="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r>
      <w:tr w14:paraId="10204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351997DB">
            <w:pPr>
              <w:adjustRightInd w:val="0"/>
              <w:snapToGrid w:val="0"/>
              <w:jc w:val="center"/>
              <w:rPr>
                <w:rFonts w:hint="eastAsia" w:ascii="宋体" w:hAnsi="宋体" w:cs="宋体"/>
                <w:color w:val="auto"/>
                <w:szCs w:val="21"/>
              </w:rPr>
            </w:pPr>
            <w:r>
              <w:rPr>
                <w:rFonts w:hint="eastAsia" w:ascii="宋体" w:hAnsi="宋体" w:cs="宋体"/>
                <w:color w:val="auto"/>
                <w:szCs w:val="21"/>
              </w:rPr>
              <w:t>固体废物</w:t>
            </w:r>
          </w:p>
        </w:tc>
        <w:tc>
          <w:tcPr>
            <w:tcW w:w="7022" w:type="dxa"/>
            <w:gridSpan w:val="5"/>
            <w:noWrap w:val="0"/>
            <w:vAlign w:val="center"/>
          </w:tcPr>
          <w:p w14:paraId="3DCB6EBC">
            <w:pPr>
              <w:adjustRightInd w:val="0"/>
              <w:snapToGrid w:val="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rPr>
              <w:t>废包装材料</w:t>
            </w:r>
            <w:r>
              <w:rPr>
                <w:rFonts w:hint="eastAsia" w:ascii="Times New Roman" w:hAnsi="Times New Roman" w:eastAsia="宋体" w:cs="Times New Roman"/>
                <w:color w:val="auto"/>
                <w:spacing w:val="0"/>
                <w:kern w:val="0"/>
                <w:sz w:val="21"/>
                <w:szCs w:val="21"/>
                <w:lang w:val="en-US" w:eastAsia="zh-CN" w:bidi="ar"/>
              </w:rPr>
              <w:t>交由物资回收部门</w:t>
            </w:r>
            <w:r>
              <w:rPr>
                <w:rFonts w:hint="eastAsia" w:ascii="Times New Roman" w:hAnsi="Times New Roman" w:cs="Times New Roman"/>
                <w:color w:val="auto"/>
                <w:sz w:val="21"/>
                <w:szCs w:val="21"/>
              </w:rPr>
              <w:t>，</w:t>
            </w:r>
            <w:r>
              <w:rPr>
                <w:rFonts w:hint="eastAsia" w:cs="Times New Roman"/>
                <w:color w:val="auto"/>
                <w:sz w:val="21"/>
                <w:szCs w:val="21"/>
                <w:lang w:eastAsia="zh-CN"/>
              </w:rPr>
              <w:t>纯水机耗材</w:t>
            </w:r>
            <w:r>
              <w:rPr>
                <w:rFonts w:hint="eastAsia" w:cs="Times New Roman"/>
                <w:color w:val="auto"/>
                <w:sz w:val="21"/>
                <w:szCs w:val="21"/>
                <w:lang w:val="en-US" w:eastAsia="zh-CN"/>
              </w:rPr>
              <w:t>交由</w:t>
            </w:r>
            <w:r>
              <w:rPr>
                <w:rFonts w:hint="eastAsia" w:ascii="Times New Roman" w:hAnsi="Times New Roman" w:eastAsia="宋体" w:cs="Times New Roman"/>
                <w:color w:val="auto"/>
                <w:spacing w:val="0"/>
                <w:kern w:val="0"/>
                <w:sz w:val="21"/>
                <w:szCs w:val="21"/>
                <w:lang w:val="en-US" w:eastAsia="zh-CN" w:bidi="ar"/>
              </w:rPr>
              <w:t>厂家回收处理，不合格品</w:t>
            </w:r>
            <w:r>
              <w:rPr>
                <w:rFonts w:hint="eastAsia" w:cs="Times New Roman"/>
                <w:color w:val="auto"/>
                <w:spacing w:val="0"/>
                <w:kern w:val="0"/>
                <w:sz w:val="21"/>
                <w:szCs w:val="21"/>
                <w:lang w:val="en-US" w:eastAsia="zh-CN" w:bidi="ar"/>
              </w:rPr>
              <w:t>、边角料</w:t>
            </w:r>
            <w:r>
              <w:rPr>
                <w:rFonts w:hint="eastAsia" w:ascii="Times New Roman" w:hAnsi="Times New Roman" w:eastAsia="宋体" w:cs="Times New Roman"/>
                <w:color w:val="auto"/>
                <w:spacing w:val="0"/>
                <w:kern w:val="0"/>
                <w:sz w:val="21"/>
                <w:szCs w:val="21"/>
                <w:lang w:val="en-US" w:eastAsia="zh-CN" w:bidi="ar"/>
              </w:rPr>
              <w:t>交由相关单位进行处理，</w:t>
            </w:r>
            <w:r>
              <w:rPr>
                <w:rFonts w:hint="eastAsia" w:ascii="Times New Roman" w:hAnsi="Times New Roman" w:cs="Times New Roman"/>
                <w:color w:val="auto"/>
                <w:sz w:val="21"/>
                <w:szCs w:val="21"/>
              </w:rPr>
              <w:t>生活垃圾分类收集后定期交由环卫处理，</w:t>
            </w:r>
            <w:r>
              <w:rPr>
                <w:rFonts w:hint="eastAsia" w:cs="Times New Roman"/>
                <w:color w:val="auto"/>
                <w:sz w:val="21"/>
                <w:szCs w:val="21"/>
                <w:lang w:eastAsia="zh-CN"/>
              </w:rPr>
              <w:t>一般固废</w:t>
            </w:r>
            <w:r>
              <w:rPr>
                <w:rFonts w:hint="eastAsia" w:ascii="Times New Roman" w:hAnsi="Times New Roman" w:cs="Times New Roman"/>
                <w:color w:val="auto"/>
                <w:sz w:val="21"/>
                <w:szCs w:val="21"/>
              </w:rPr>
              <w:t>暂存</w:t>
            </w:r>
            <w:r>
              <w:rPr>
                <w:rFonts w:hint="eastAsia" w:cs="Times New Roman"/>
                <w:color w:val="auto"/>
                <w:sz w:val="21"/>
                <w:szCs w:val="21"/>
                <w:lang w:eastAsia="zh-CN"/>
              </w:rPr>
              <w:t>一般固废间</w:t>
            </w:r>
            <w:r>
              <w:rPr>
                <w:rFonts w:hint="eastAsia" w:ascii="Times New Roman" w:hAnsi="Times New Roman" w:cs="Times New Roman"/>
                <w:color w:val="auto"/>
                <w:sz w:val="21"/>
                <w:szCs w:val="21"/>
              </w:rPr>
              <w:t>内（</w:t>
            </w:r>
            <w:r>
              <w:rPr>
                <w:rFonts w:hint="eastAsia" w:ascii="Times New Roman" w:hAnsi="Times New Roman" w:cs="Times New Roman"/>
                <w:color w:val="auto"/>
                <w:sz w:val="21"/>
                <w:szCs w:val="21"/>
                <w:lang w:val="en-US" w:eastAsia="zh-CN"/>
              </w:rPr>
              <w:t>15</w:t>
            </w:r>
            <w:r>
              <w:rPr>
                <w:rFonts w:hint="eastAsia" w:ascii="Times New Roman" w:hAnsi="Times New Roman" w:cs="Times New Roman"/>
                <w:color w:val="auto"/>
                <w:sz w:val="21"/>
                <w:szCs w:val="21"/>
              </w:rPr>
              <w:t>m</w:t>
            </w:r>
            <w:r>
              <w:rPr>
                <w:rFonts w:hint="eastAsia" w:ascii="Times New Roman" w:hAnsi="Times New Roman" w:cs="Times New Roman"/>
                <w:color w:val="auto"/>
                <w:sz w:val="21"/>
                <w:szCs w:val="21"/>
                <w:vertAlign w:val="superscript"/>
              </w:rPr>
              <w:t>2</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eastAsia="zh-CN"/>
              </w:rPr>
              <w:t>。</w:t>
            </w:r>
            <w:r>
              <w:rPr>
                <w:rFonts w:hint="eastAsia" w:cs="Times New Roman"/>
                <w:color w:val="auto"/>
                <w:sz w:val="21"/>
                <w:szCs w:val="21"/>
                <w:lang w:eastAsia="zh-CN"/>
              </w:rPr>
              <w:t>实验废液、</w:t>
            </w:r>
            <w:r>
              <w:rPr>
                <w:rFonts w:hint="eastAsia" w:ascii="Times New Roman" w:hAnsi="Times New Roman" w:eastAsia="宋体" w:cs="Times New Roman"/>
                <w:b w:val="0"/>
                <w:bCs w:val="0"/>
                <w:color w:val="auto"/>
                <w:sz w:val="21"/>
                <w:szCs w:val="21"/>
                <w:highlight w:val="none"/>
                <w:lang w:val="en-US" w:eastAsia="zh-CN"/>
              </w:rPr>
              <w:t>废油墨桶、废热熔胶桶、废矿物油、废矿物油桶、废含油抹布、手套</w:t>
            </w:r>
            <w:r>
              <w:rPr>
                <w:rFonts w:hint="eastAsia" w:cs="Times New Roman"/>
                <w:color w:val="auto"/>
                <w:sz w:val="21"/>
                <w:szCs w:val="21"/>
                <w:lang w:eastAsia="zh-CN"/>
              </w:rPr>
              <w:t>暂存于危险废物暂存间内（</w:t>
            </w:r>
            <w:r>
              <w:rPr>
                <w:rFonts w:hint="eastAsia" w:cs="Times New Roman"/>
                <w:color w:val="auto"/>
                <w:sz w:val="21"/>
                <w:szCs w:val="21"/>
                <w:lang w:val="en-US" w:eastAsia="zh-CN"/>
              </w:rPr>
              <w:t>5m</w:t>
            </w:r>
            <w:r>
              <w:rPr>
                <w:rFonts w:hint="eastAsia" w:cs="Times New Roman"/>
                <w:color w:val="auto"/>
                <w:sz w:val="21"/>
                <w:szCs w:val="21"/>
                <w:vertAlign w:val="superscript"/>
                <w:lang w:val="en-US" w:eastAsia="zh-CN"/>
              </w:rPr>
              <w:t>2</w:t>
            </w:r>
            <w:r>
              <w:rPr>
                <w:rFonts w:hint="eastAsia" w:cs="Times New Roman"/>
                <w:color w:val="auto"/>
                <w:sz w:val="21"/>
                <w:szCs w:val="21"/>
                <w:lang w:eastAsia="zh-CN"/>
              </w:rPr>
              <w:t>），定期交由资质单位处理。</w:t>
            </w:r>
          </w:p>
        </w:tc>
      </w:tr>
      <w:tr w14:paraId="1477F9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422863C6">
            <w:pPr>
              <w:adjustRightInd w:val="0"/>
              <w:snapToGrid w:val="0"/>
              <w:jc w:val="center"/>
              <w:rPr>
                <w:rFonts w:hint="eastAsia" w:ascii="宋体" w:hAnsi="宋体" w:cs="宋体"/>
                <w:color w:val="auto"/>
                <w:szCs w:val="21"/>
              </w:rPr>
            </w:pPr>
            <w:r>
              <w:rPr>
                <w:rFonts w:hint="eastAsia" w:ascii="宋体" w:hAnsi="宋体" w:cs="宋体"/>
                <w:color w:val="auto"/>
                <w:szCs w:val="21"/>
              </w:rPr>
              <w:t>土壤及地下水</w:t>
            </w:r>
          </w:p>
          <w:p w14:paraId="493630A5">
            <w:pPr>
              <w:adjustRightInd w:val="0"/>
              <w:snapToGrid w:val="0"/>
              <w:jc w:val="center"/>
              <w:rPr>
                <w:rFonts w:hint="eastAsia" w:ascii="宋体" w:hAnsi="宋体" w:cs="宋体"/>
                <w:color w:val="auto"/>
                <w:szCs w:val="21"/>
              </w:rPr>
            </w:pPr>
            <w:r>
              <w:rPr>
                <w:rFonts w:hint="eastAsia" w:ascii="宋体" w:hAnsi="宋体" w:cs="宋体"/>
                <w:color w:val="auto"/>
                <w:szCs w:val="21"/>
              </w:rPr>
              <w:t>污染防治措施</w:t>
            </w:r>
          </w:p>
        </w:tc>
        <w:tc>
          <w:tcPr>
            <w:tcW w:w="7022" w:type="dxa"/>
            <w:gridSpan w:val="5"/>
            <w:noWrap w:val="0"/>
            <w:vAlign w:val="center"/>
          </w:tcPr>
          <w:p w14:paraId="4775261D">
            <w:pPr>
              <w:adjustRightInd w:val="0"/>
              <w:snapToGrid w:val="0"/>
              <w:jc w:val="center"/>
              <w:rPr>
                <w:rFonts w:hint="default" w:ascii="宋体" w:hAnsi="宋体" w:eastAsia="宋体" w:cs="宋体"/>
                <w:color w:val="auto"/>
                <w:szCs w:val="21"/>
                <w:lang w:val="en-US" w:eastAsia="zh-CN"/>
              </w:rPr>
            </w:pPr>
            <w:r>
              <w:rPr>
                <w:color w:val="auto"/>
                <w:szCs w:val="21"/>
              </w:rPr>
              <w:t>全厂污染区参照相应标准要求铺设防渗层，以阻止泄漏到地面的污染物进入地下水中；全厂污染区防渗区域内设置渗漏污染物收集系统，将滞留在地面的污染物收集起来，集中处理。</w:t>
            </w:r>
          </w:p>
        </w:tc>
      </w:tr>
      <w:tr w14:paraId="79F9D8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14:paraId="470D9799">
            <w:pPr>
              <w:adjustRightInd w:val="0"/>
              <w:snapToGrid w:val="0"/>
              <w:jc w:val="center"/>
              <w:rPr>
                <w:rFonts w:hint="eastAsia" w:ascii="宋体" w:hAnsi="宋体" w:cs="宋体"/>
                <w:color w:val="auto"/>
                <w:szCs w:val="21"/>
              </w:rPr>
            </w:pPr>
            <w:r>
              <w:rPr>
                <w:rFonts w:hint="eastAsia" w:ascii="宋体" w:hAnsi="宋体" w:cs="宋体"/>
                <w:color w:val="auto"/>
                <w:szCs w:val="21"/>
              </w:rPr>
              <w:t>生态保护措施</w:t>
            </w:r>
          </w:p>
        </w:tc>
        <w:tc>
          <w:tcPr>
            <w:tcW w:w="7022" w:type="dxa"/>
            <w:gridSpan w:val="5"/>
            <w:noWrap w:val="0"/>
            <w:vAlign w:val="center"/>
          </w:tcPr>
          <w:p w14:paraId="1ABED7E6">
            <w:pPr>
              <w:adjustRightInd w:val="0"/>
              <w:snapToGrid w:val="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14:paraId="58EBB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778" w:type="dxa"/>
            <w:noWrap w:val="0"/>
            <w:vAlign w:val="center"/>
          </w:tcPr>
          <w:p w14:paraId="1C7582A1">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环境风险</w:t>
            </w:r>
          </w:p>
          <w:p w14:paraId="3B51787E">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防范措施</w:t>
            </w:r>
          </w:p>
        </w:tc>
        <w:tc>
          <w:tcPr>
            <w:tcW w:w="7022" w:type="dxa"/>
            <w:gridSpan w:val="5"/>
            <w:noWrap w:val="0"/>
            <w:vAlign w:val="center"/>
          </w:tcPr>
          <w:p w14:paraId="4B4EE54D">
            <w:pPr>
              <w:keepNext w:val="0"/>
              <w:keepLines w:val="0"/>
              <w:pageBreakBefore w:val="0"/>
              <w:widowControl/>
              <w:suppressLineNumbers w:val="0"/>
              <w:kinsoku/>
              <w:wordWrap/>
              <w:overflowPunct/>
              <w:topLinePunct w:val="0"/>
              <w:autoSpaceDE/>
              <w:autoSpaceDN/>
              <w:bidi w:val="0"/>
              <w:spacing w:line="360" w:lineRule="auto"/>
              <w:jc w:val="center"/>
              <w:textAlignment w:val="auto"/>
              <w:rPr>
                <w:rFonts w:ascii="Times New Roman" w:hAnsi="Times New Roman" w:eastAsia="宋体" w:cs="Times New Roman"/>
                <w:color w:val="auto"/>
                <w:sz w:val="21"/>
              </w:rPr>
            </w:pPr>
            <w:r>
              <w:rPr>
                <w:rFonts w:hint="eastAsia" w:ascii="Times New Roman" w:hAnsi="Times New Roman" w:eastAsia="宋体" w:cs="Times New Roman"/>
                <w:color w:val="auto"/>
                <w:kern w:val="0"/>
                <w:sz w:val="21"/>
                <w:szCs w:val="20"/>
                <w:lang w:val="en-US" w:eastAsia="zh-CN" w:bidi="ar"/>
              </w:rPr>
              <w:t>项目车间应配备有消防箱、手提式干粉灭火器等，生产区域张贴禁火标识，</w:t>
            </w:r>
          </w:p>
          <w:p w14:paraId="1E7128C6">
            <w:pPr>
              <w:keepNext w:val="0"/>
              <w:keepLines w:val="0"/>
              <w:pageBreakBefore w:val="0"/>
              <w:widowControl/>
              <w:suppressLineNumbers w:val="0"/>
              <w:kinsoku/>
              <w:wordWrap/>
              <w:overflowPunct/>
              <w:topLinePunct w:val="0"/>
              <w:autoSpaceDE/>
              <w:autoSpaceDN/>
              <w:bidi w:val="0"/>
              <w:spacing w:line="360" w:lineRule="auto"/>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0"/>
                <w:lang w:val="en-US" w:eastAsia="zh-CN" w:bidi="ar"/>
              </w:rPr>
              <w:t>严禁火源等标识</w:t>
            </w:r>
          </w:p>
        </w:tc>
      </w:tr>
      <w:tr w14:paraId="678CC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14:paraId="59E374AE">
            <w:pPr>
              <w:adjustRightInd w:val="0"/>
              <w:snapToGrid w:val="0"/>
              <w:jc w:val="center"/>
              <w:rPr>
                <w:rFonts w:ascii="宋体" w:hAnsi="宋体" w:cs="宋体"/>
                <w:color w:val="auto"/>
                <w:spacing w:val="-8"/>
                <w:szCs w:val="21"/>
              </w:rPr>
            </w:pPr>
            <w:r>
              <w:rPr>
                <w:rFonts w:hint="eastAsia" w:ascii="宋体" w:hAnsi="宋体" w:cs="宋体"/>
                <w:color w:val="auto"/>
                <w:spacing w:val="-8"/>
                <w:szCs w:val="21"/>
              </w:rPr>
              <w:t>其他环境</w:t>
            </w:r>
          </w:p>
          <w:p w14:paraId="6EC99541">
            <w:pPr>
              <w:adjustRightInd w:val="0"/>
              <w:snapToGrid w:val="0"/>
              <w:jc w:val="center"/>
              <w:rPr>
                <w:rFonts w:hint="eastAsia" w:ascii="宋体" w:hAnsi="宋体" w:cs="宋体"/>
                <w:color w:val="auto"/>
                <w:spacing w:val="-8"/>
                <w:szCs w:val="21"/>
              </w:rPr>
            </w:pPr>
            <w:r>
              <w:rPr>
                <w:rFonts w:hint="eastAsia" w:ascii="宋体" w:hAnsi="宋体" w:cs="宋体"/>
                <w:color w:val="auto"/>
                <w:spacing w:val="-8"/>
                <w:szCs w:val="21"/>
              </w:rPr>
              <w:t>管理要求</w:t>
            </w:r>
          </w:p>
        </w:tc>
        <w:tc>
          <w:tcPr>
            <w:tcW w:w="7022" w:type="dxa"/>
            <w:gridSpan w:val="5"/>
            <w:noWrap w:val="0"/>
            <w:vAlign w:val="center"/>
          </w:tcPr>
          <w:p w14:paraId="06D2014C">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Times New Roman" w:hAnsi="Times New Roman" w:eastAsia="宋体" w:cs="Times New Roman"/>
                <w:b/>
                <w:bCs/>
                <w:color w:val="auto"/>
                <w:sz w:val="21"/>
                <w:szCs w:val="24"/>
                <w:lang w:val="en-US" w:eastAsia="zh-CN"/>
              </w:rPr>
            </w:pPr>
            <w:r>
              <w:rPr>
                <w:rFonts w:hint="default" w:ascii="Times New Roman" w:hAnsi="Times New Roman" w:eastAsia="宋体" w:cs="Times New Roman"/>
                <w:b/>
                <w:bCs/>
                <w:color w:val="auto"/>
                <w:sz w:val="21"/>
                <w:szCs w:val="24"/>
                <w:lang w:val="en-US" w:eastAsia="zh-CN"/>
              </w:rPr>
              <w:t>（一）排污口规范化</w:t>
            </w:r>
          </w:p>
          <w:p w14:paraId="508AE6C5">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各污染源排放设置标牌，图标按国家标准要求设置。各排污口（源）提示标志形状采用正方形边框，背景颜色为深绿，图形为白色，标志牌应贴于醒目处，并保持清晰、完整。</w:t>
            </w:r>
          </w:p>
          <w:p w14:paraId="65350587">
            <w:pPr>
              <w:pStyle w:val="74"/>
              <w:keepNext w:val="0"/>
              <w:keepLines w:val="0"/>
              <w:pageBreakBefore w:val="0"/>
              <w:widowControl w:val="0"/>
              <w:kinsoku/>
              <w:wordWrap/>
              <w:overflowPunct/>
              <w:topLinePunct w:val="0"/>
              <w:autoSpaceDE/>
              <w:autoSpaceDN/>
              <w:bidi w:val="0"/>
              <w:spacing w:before="0" w:beforeLines="0" w:after="0" w:afterLines="0" w:line="360" w:lineRule="auto"/>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zh-CN" w:eastAsia="zh-CN"/>
              </w:rPr>
              <w:t>表</w:t>
            </w:r>
            <w:r>
              <w:rPr>
                <w:rFonts w:hint="default" w:ascii="Times New Roman" w:hAnsi="Times New Roman" w:eastAsia="宋体" w:cs="Times New Roman"/>
                <w:color w:val="auto"/>
                <w:sz w:val="21"/>
                <w:lang w:val="en-US" w:eastAsia="zh-CN"/>
              </w:rPr>
              <w:t>5-1</w:t>
            </w:r>
            <w:r>
              <w:rPr>
                <w:rFonts w:hint="default" w:ascii="Times New Roman" w:hAnsi="Times New Roman" w:eastAsia="宋体" w:cs="Times New Roman"/>
                <w:color w:val="auto"/>
                <w:sz w:val="21"/>
                <w:lang w:val="zh-CN" w:eastAsia="zh-CN"/>
              </w:rPr>
              <w:t xml:space="preserve"> 环境保护图形符号一览表</w:t>
            </w:r>
          </w:p>
          <w:tbl>
            <w:tblPr>
              <w:tblStyle w:val="24"/>
              <w:tblW w:w="490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6"/>
              <w:gridCol w:w="1235"/>
              <w:gridCol w:w="1335"/>
              <w:gridCol w:w="1273"/>
              <w:gridCol w:w="2155"/>
            </w:tblGrid>
            <w:tr w14:paraId="5903A0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5" w:hRule="atLeast"/>
                <w:jc w:val="center"/>
              </w:trPr>
              <w:tc>
                <w:tcPr>
                  <w:tcW w:w="699" w:type="dxa"/>
                  <w:tcBorders>
                    <w:tl2br w:val="nil"/>
                    <w:tr2bl w:val="nil"/>
                  </w:tcBorders>
                  <w:noWrap w:val="0"/>
                  <w:vAlign w:val="center"/>
                </w:tcPr>
                <w:p w14:paraId="7359FD9C">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序号</w:t>
                  </w:r>
                </w:p>
              </w:tc>
              <w:tc>
                <w:tcPr>
                  <w:tcW w:w="1276" w:type="dxa"/>
                  <w:tcBorders>
                    <w:tl2br w:val="nil"/>
                    <w:tr2bl w:val="nil"/>
                  </w:tcBorders>
                  <w:noWrap w:val="0"/>
                  <w:vAlign w:val="center"/>
                </w:tcPr>
                <w:p w14:paraId="4457A22A">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提示图形符号</w:t>
                  </w:r>
                </w:p>
              </w:tc>
              <w:tc>
                <w:tcPr>
                  <w:tcW w:w="1379" w:type="dxa"/>
                  <w:tcBorders>
                    <w:tl2br w:val="nil"/>
                    <w:tr2bl w:val="nil"/>
                  </w:tcBorders>
                  <w:noWrap w:val="0"/>
                  <w:vAlign w:val="center"/>
                </w:tcPr>
                <w:p w14:paraId="0CF15583">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警告图形符号</w:t>
                  </w:r>
                </w:p>
              </w:tc>
              <w:tc>
                <w:tcPr>
                  <w:tcW w:w="1315" w:type="dxa"/>
                  <w:tcBorders>
                    <w:tl2br w:val="nil"/>
                    <w:tr2bl w:val="nil"/>
                  </w:tcBorders>
                  <w:noWrap w:val="0"/>
                  <w:vAlign w:val="center"/>
                </w:tcPr>
                <w:p w14:paraId="4E39E71C">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名称</w:t>
                  </w:r>
                </w:p>
              </w:tc>
              <w:tc>
                <w:tcPr>
                  <w:tcW w:w="2227" w:type="dxa"/>
                  <w:tcBorders>
                    <w:tl2br w:val="nil"/>
                    <w:tr2bl w:val="nil"/>
                  </w:tcBorders>
                  <w:noWrap w:val="0"/>
                  <w:vAlign w:val="center"/>
                </w:tcPr>
                <w:p w14:paraId="189C24A5">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功能</w:t>
                  </w:r>
                </w:p>
              </w:tc>
            </w:tr>
            <w:tr w14:paraId="07BB73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51" w:hRule="atLeast"/>
                <w:jc w:val="center"/>
              </w:trPr>
              <w:tc>
                <w:tcPr>
                  <w:tcW w:w="699" w:type="dxa"/>
                  <w:tcBorders>
                    <w:tl2br w:val="nil"/>
                    <w:tr2bl w:val="nil"/>
                  </w:tcBorders>
                  <w:noWrap w:val="0"/>
                  <w:vAlign w:val="center"/>
                </w:tcPr>
                <w:p w14:paraId="66CA9AEE">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276" w:type="dxa"/>
                  <w:tcBorders>
                    <w:tl2br w:val="nil"/>
                    <w:tr2bl w:val="nil"/>
                  </w:tcBorders>
                  <w:noWrap w:val="0"/>
                  <w:vAlign w:val="center"/>
                </w:tcPr>
                <w:p w14:paraId="1A31F6D6">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drawing>
                      <wp:inline distT="0" distB="0" distL="114300" distR="114300">
                        <wp:extent cx="649605" cy="655955"/>
                        <wp:effectExtent l="0" t="0" r="17145" b="10795"/>
                        <wp:docPr id="29" name="图片 16"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13001"/>
                                <pic:cNvPicPr>
                                  <a:picLocks noChangeAspect="1"/>
                                </pic:cNvPicPr>
                              </pic:nvPicPr>
                              <pic:blipFill>
                                <a:blip r:embed="rId85"/>
                                <a:stretch>
                                  <a:fillRect/>
                                </a:stretch>
                              </pic:blipFill>
                              <pic:spPr>
                                <a:xfrm>
                                  <a:off x="0" y="0"/>
                                  <a:ext cx="649605" cy="655955"/>
                                </a:xfrm>
                                <a:prstGeom prst="rect">
                                  <a:avLst/>
                                </a:prstGeom>
                                <a:noFill/>
                                <a:ln>
                                  <a:noFill/>
                                </a:ln>
                              </pic:spPr>
                            </pic:pic>
                          </a:graphicData>
                        </a:graphic>
                      </wp:inline>
                    </w:drawing>
                  </w:r>
                </w:p>
              </w:tc>
              <w:tc>
                <w:tcPr>
                  <w:tcW w:w="1379" w:type="dxa"/>
                  <w:tcBorders>
                    <w:tl2br w:val="nil"/>
                    <w:tr2bl w:val="nil"/>
                  </w:tcBorders>
                  <w:noWrap w:val="0"/>
                  <w:vAlign w:val="center"/>
                </w:tcPr>
                <w:p w14:paraId="524231C8">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drawing>
                      <wp:inline distT="0" distB="0" distL="114300" distR="114300">
                        <wp:extent cx="647065" cy="654685"/>
                        <wp:effectExtent l="0" t="0" r="635" b="12065"/>
                        <wp:docPr id="30" name="图片 17"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13002"/>
                                <pic:cNvPicPr>
                                  <a:picLocks noChangeAspect="1"/>
                                </pic:cNvPicPr>
                              </pic:nvPicPr>
                              <pic:blipFill>
                                <a:blip r:embed="rId86"/>
                                <a:stretch>
                                  <a:fillRect/>
                                </a:stretch>
                              </pic:blipFill>
                              <pic:spPr>
                                <a:xfrm>
                                  <a:off x="0" y="0"/>
                                  <a:ext cx="647065" cy="654685"/>
                                </a:xfrm>
                                <a:prstGeom prst="rect">
                                  <a:avLst/>
                                </a:prstGeom>
                                <a:noFill/>
                                <a:ln>
                                  <a:noFill/>
                                </a:ln>
                              </pic:spPr>
                            </pic:pic>
                          </a:graphicData>
                        </a:graphic>
                      </wp:inline>
                    </w:drawing>
                  </w:r>
                </w:p>
              </w:tc>
              <w:tc>
                <w:tcPr>
                  <w:tcW w:w="1315" w:type="dxa"/>
                  <w:tcBorders>
                    <w:tl2br w:val="nil"/>
                    <w:tr2bl w:val="nil"/>
                  </w:tcBorders>
                  <w:noWrap w:val="0"/>
                  <w:vAlign w:val="center"/>
                </w:tcPr>
                <w:p w14:paraId="599ED498">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废水排放口</w:t>
                  </w:r>
                </w:p>
              </w:tc>
              <w:tc>
                <w:tcPr>
                  <w:tcW w:w="2227" w:type="dxa"/>
                  <w:tcBorders>
                    <w:tl2br w:val="nil"/>
                    <w:tr2bl w:val="nil"/>
                  </w:tcBorders>
                  <w:noWrap w:val="0"/>
                  <w:vAlign w:val="center"/>
                </w:tcPr>
                <w:p w14:paraId="6CD0E10C">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表示废水向外环境排放</w:t>
                  </w:r>
                </w:p>
              </w:tc>
            </w:tr>
            <w:tr w14:paraId="7C92A8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09" w:hRule="atLeast"/>
                <w:jc w:val="center"/>
              </w:trPr>
              <w:tc>
                <w:tcPr>
                  <w:tcW w:w="699" w:type="dxa"/>
                  <w:tcBorders>
                    <w:tl2br w:val="nil"/>
                    <w:tr2bl w:val="nil"/>
                  </w:tcBorders>
                  <w:noWrap w:val="0"/>
                  <w:vAlign w:val="center"/>
                </w:tcPr>
                <w:p w14:paraId="402B3817">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276" w:type="dxa"/>
                  <w:tcBorders>
                    <w:tl2br w:val="nil"/>
                    <w:tr2bl w:val="nil"/>
                  </w:tcBorders>
                  <w:noWrap w:val="0"/>
                  <w:vAlign w:val="center"/>
                </w:tcPr>
                <w:p w14:paraId="6C625340">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drawing>
                      <wp:inline distT="0" distB="0" distL="114300" distR="114300">
                        <wp:extent cx="621665" cy="628015"/>
                        <wp:effectExtent l="0" t="0" r="6985" b="635"/>
                        <wp:docPr id="28" name="图片 18"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descr="13003"/>
                                <pic:cNvPicPr>
                                  <a:picLocks noChangeAspect="1"/>
                                </pic:cNvPicPr>
                              </pic:nvPicPr>
                              <pic:blipFill>
                                <a:blip r:embed="rId87"/>
                                <a:stretch>
                                  <a:fillRect/>
                                </a:stretch>
                              </pic:blipFill>
                              <pic:spPr>
                                <a:xfrm>
                                  <a:off x="0" y="0"/>
                                  <a:ext cx="621665" cy="628015"/>
                                </a:xfrm>
                                <a:prstGeom prst="rect">
                                  <a:avLst/>
                                </a:prstGeom>
                                <a:noFill/>
                                <a:ln>
                                  <a:noFill/>
                                </a:ln>
                              </pic:spPr>
                            </pic:pic>
                          </a:graphicData>
                        </a:graphic>
                      </wp:inline>
                    </w:drawing>
                  </w:r>
                </w:p>
              </w:tc>
              <w:tc>
                <w:tcPr>
                  <w:tcW w:w="1379" w:type="dxa"/>
                  <w:tcBorders>
                    <w:tl2br w:val="nil"/>
                    <w:tr2bl w:val="nil"/>
                  </w:tcBorders>
                  <w:noWrap w:val="0"/>
                  <w:vAlign w:val="center"/>
                </w:tcPr>
                <w:p w14:paraId="29096F91">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drawing>
                      <wp:inline distT="0" distB="0" distL="114300" distR="114300">
                        <wp:extent cx="686435" cy="687070"/>
                        <wp:effectExtent l="0" t="0" r="18415" b="17780"/>
                        <wp:docPr id="37"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4"/>
                                <pic:cNvPicPr>
                                  <a:picLocks noChangeAspect="1"/>
                                </pic:cNvPicPr>
                              </pic:nvPicPr>
                              <pic:blipFill>
                                <a:blip r:embed="rId88"/>
                                <a:stretch>
                                  <a:fillRect/>
                                </a:stretch>
                              </pic:blipFill>
                              <pic:spPr>
                                <a:xfrm>
                                  <a:off x="0" y="0"/>
                                  <a:ext cx="686435" cy="687070"/>
                                </a:xfrm>
                                <a:prstGeom prst="rect">
                                  <a:avLst/>
                                </a:prstGeom>
                                <a:noFill/>
                                <a:ln>
                                  <a:noFill/>
                                </a:ln>
                              </pic:spPr>
                            </pic:pic>
                          </a:graphicData>
                        </a:graphic>
                      </wp:inline>
                    </w:drawing>
                  </w:r>
                </w:p>
              </w:tc>
              <w:tc>
                <w:tcPr>
                  <w:tcW w:w="1315" w:type="dxa"/>
                  <w:tcBorders>
                    <w:tl2br w:val="nil"/>
                    <w:tr2bl w:val="nil"/>
                  </w:tcBorders>
                  <w:noWrap w:val="0"/>
                  <w:vAlign w:val="center"/>
                </w:tcPr>
                <w:p w14:paraId="721E96C3">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废气排放口</w:t>
                  </w:r>
                </w:p>
              </w:tc>
              <w:tc>
                <w:tcPr>
                  <w:tcW w:w="2227" w:type="dxa"/>
                  <w:tcBorders>
                    <w:tl2br w:val="nil"/>
                    <w:tr2bl w:val="nil"/>
                  </w:tcBorders>
                  <w:noWrap w:val="0"/>
                  <w:vAlign w:val="center"/>
                </w:tcPr>
                <w:p w14:paraId="76E5E374">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表示废气向大气环境排放</w:t>
                  </w:r>
                </w:p>
              </w:tc>
            </w:tr>
            <w:tr w14:paraId="25C6FE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95" w:hRule="atLeast"/>
                <w:jc w:val="center"/>
              </w:trPr>
              <w:tc>
                <w:tcPr>
                  <w:tcW w:w="699" w:type="dxa"/>
                  <w:tcBorders>
                    <w:tl2br w:val="nil"/>
                    <w:tr2bl w:val="nil"/>
                  </w:tcBorders>
                  <w:noWrap w:val="0"/>
                  <w:vAlign w:val="center"/>
                </w:tcPr>
                <w:p w14:paraId="1E7C39CC">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1276" w:type="dxa"/>
                  <w:tcBorders>
                    <w:tl2br w:val="nil"/>
                    <w:tr2bl w:val="nil"/>
                  </w:tcBorders>
                  <w:noWrap w:val="0"/>
                  <w:vAlign w:val="center"/>
                </w:tcPr>
                <w:p w14:paraId="44EBD789">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drawing>
                      <wp:inline distT="0" distB="0" distL="114300" distR="114300">
                        <wp:extent cx="657860" cy="664845"/>
                        <wp:effectExtent l="0" t="0" r="8890" b="1905"/>
                        <wp:docPr id="36" name="图片 20"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14001"/>
                                <pic:cNvPicPr>
                                  <a:picLocks noChangeAspect="1"/>
                                </pic:cNvPicPr>
                              </pic:nvPicPr>
                              <pic:blipFill>
                                <a:blip r:embed="rId89"/>
                                <a:stretch>
                                  <a:fillRect/>
                                </a:stretch>
                              </pic:blipFill>
                              <pic:spPr>
                                <a:xfrm>
                                  <a:off x="0" y="0"/>
                                  <a:ext cx="657860" cy="664845"/>
                                </a:xfrm>
                                <a:prstGeom prst="rect">
                                  <a:avLst/>
                                </a:prstGeom>
                                <a:noFill/>
                                <a:ln>
                                  <a:noFill/>
                                </a:ln>
                              </pic:spPr>
                            </pic:pic>
                          </a:graphicData>
                        </a:graphic>
                      </wp:inline>
                    </w:drawing>
                  </w:r>
                </w:p>
              </w:tc>
              <w:tc>
                <w:tcPr>
                  <w:tcW w:w="1379" w:type="dxa"/>
                  <w:tcBorders>
                    <w:tl2br w:val="nil"/>
                    <w:tr2bl w:val="nil"/>
                  </w:tcBorders>
                  <w:noWrap w:val="0"/>
                  <w:vAlign w:val="center"/>
                </w:tcPr>
                <w:p w14:paraId="37FB861D">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drawing>
                      <wp:inline distT="0" distB="0" distL="114300" distR="114300">
                        <wp:extent cx="724535" cy="679450"/>
                        <wp:effectExtent l="0" t="0" r="18415" b="6350"/>
                        <wp:docPr id="35" name="图片 21"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14002"/>
                                <pic:cNvPicPr>
                                  <a:picLocks noChangeAspect="1"/>
                                </pic:cNvPicPr>
                              </pic:nvPicPr>
                              <pic:blipFill>
                                <a:blip r:embed="rId90"/>
                                <a:stretch>
                                  <a:fillRect/>
                                </a:stretch>
                              </pic:blipFill>
                              <pic:spPr>
                                <a:xfrm>
                                  <a:off x="0" y="0"/>
                                  <a:ext cx="724535" cy="679450"/>
                                </a:xfrm>
                                <a:prstGeom prst="rect">
                                  <a:avLst/>
                                </a:prstGeom>
                                <a:noFill/>
                                <a:ln>
                                  <a:noFill/>
                                </a:ln>
                              </pic:spPr>
                            </pic:pic>
                          </a:graphicData>
                        </a:graphic>
                      </wp:inline>
                    </w:drawing>
                  </w:r>
                </w:p>
              </w:tc>
              <w:tc>
                <w:tcPr>
                  <w:tcW w:w="1315" w:type="dxa"/>
                  <w:tcBorders>
                    <w:tl2br w:val="nil"/>
                    <w:tr2bl w:val="nil"/>
                  </w:tcBorders>
                  <w:noWrap w:val="0"/>
                  <w:vAlign w:val="center"/>
                </w:tcPr>
                <w:p w14:paraId="77005FE7">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一般固体废物</w:t>
                  </w:r>
                </w:p>
              </w:tc>
              <w:tc>
                <w:tcPr>
                  <w:tcW w:w="2227" w:type="dxa"/>
                  <w:tcBorders>
                    <w:tl2br w:val="nil"/>
                    <w:tr2bl w:val="nil"/>
                  </w:tcBorders>
                  <w:noWrap w:val="0"/>
                  <w:vAlign w:val="center"/>
                </w:tcPr>
                <w:p w14:paraId="5FCB4D6D">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表示一般固体废物贮存、处置场</w:t>
                  </w:r>
                </w:p>
              </w:tc>
            </w:tr>
            <w:tr w14:paraId="4E4468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10" w:hRule="atLeast"/>
                <w:jc w:val="center"/>
              </w:trPr>
              <w:tc>
                <w:tcPr>
                  <w:tcW w:w="699" w:type="dxa"/>
                  <w:tcBorders>
                    <w:tl2br w:val="nil"/>
                    <w:tr2bl w:val="nil"/>
                  </w:tcBorders>
                  <w:noWrap w:val="0"/>
                  <w:vAlign w:val="center"/>
                </w:tcPr>
                <w:p w14:paraId="1E69B8B3">
                  <w:pPr>
                    <w:pStyle w:val="75"/>
                    <w:keepNext w:val="0"/>
                    <w:keepLines w:val="0"/>
                    <w:pageBreakBefore w:val="0"/>
                    <w:widowControl w:val="0"/>
                    <w:kinsoku/>
                    <w:wordWrap/>
                    <w:overflowPunct/>
                    <w:topLinePunct w:val="0"/>
                    <w:autoSpaceDE/>
                    <w:autoSpaceDN/>
                    <w:bidi w:val="0"/>
                    <w:adjustRightInd w:val="0"/>
                    <w:spacing w:line="360" w:lineRule="auto"/>
                    <w:ind w:firstLine="0" w:firstLineChars="0"/>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w:t>
                  </w:r>
                </w:p>
              </w:tc>
              <w:tc>
                <w:tcPr>
                  <w:tcW w:w="1276" w:type="dxa"/>
                  <w:tcBorders>
                    <w:tl2br w:val="nil"/>
                    <w:tr2bl w:val="nil"/>
                  </w:tcBorders>
                  <w:noWrap w:val="0"/>
                  <w:vAlign w:val="center"/>
                </w:tcPr>
                <w:p w14:paraId="48F140D4">
                  <w:pPr>
                    <w:pStyle w:val="75"/>
                    <w:keepNext w:val="0"/>
                    <w:keepLines w:val="0"/>
                    <w:pageBreakBefore w:val="0"/>
                    <w:widowControl w:val="0"/>
                    <w:kinsoku/>
                    <w:wordWrap/>
                    <w:overflowPunct/>
                    <w:topLinePunct w:val="0"/>
                    <w:autoSpaceDE/>
                    <w:autoSpaceDN/>
                    <w:bidi w:val="0"/>
                    <w:adjustRightInd w:val="0"/>
                    <w:spacing w:line="360" w:lineRule="auto"/>
                    <w:ind w:firstLine="0" w:firstLineChars="0"/>
                    <w:textAlignment w:val="auto"/>
                    <w:rPr>
                      <w:rFonts w:hint="default" w:ascii="Times New Roman" w:hAnsi="Times New Roman" w:eastAsia="宋体" w:cs="Times New Roman"/>
                      <w:color w:val="auto"/>
                      <w:sz w:val="21"/>
                      <w:lang w:val="en-US" w:eastAsia="zh-CN"/>
                    </w:rPr>
                  </w:pPr>
                  <w:r>
                    <w:rPr>
                      <w:rFonts w:hint="eastAsia" w:cs="Times New Roman"/>
                      <w:color w:val="auto"/>
                      <w:sz w:val="21"/>
                      <w:lang w:val="en-US" w:eastAsia="zh-CN"/>
                    </w:rPr>
                    <w:t>/</w:t>
                  </w:r>
                </w:p>
              </w:tc>
              <w:tc>
                <w:tcPr>
                  <w:tcW w:w="1379" w:type="dxa"/>
                  <w:tcBorders>
                    <w:tl2br w:val="nil"/>
                    <w:tr2bl w:val="nil"/>
                  </w:tcBorders>
                  <w:noWrap w:val="0"/>
                  <w:vAlign w:val="center"/>
                </w:tcPr>
                <w:p w14:paraId="44374CE2">
                  <w:pPr>
                    <w:pStyle w:val="75"/>
                    <w:keepNext w:val="0"/>
                    <w:keepLines w:val="0"/>
                    <w:pageBreakBefore w:val="0"/>
                    <w:widowControl w:val="0"/>
                    <w:kinsoku/>
                    <w:wordWrap/>
                    <w:overflowPunct/>
                    <w:topLinePunct w:val="0"/>
                    <w:autoSpaceDE/>
                    <w:autoSpaceDN/>
                    <w:bidi w:val="0"/>
                    <w:adjustRightInd w:val="0"/>
                    <w:spacing w:line="360" w:lineRule="auto"/>
                    <w:ind w:firstLine="0" w:firstLineChars="0"/>
                    <w:textAlignment w:val="auto"/>
                    <w:rPr>
                      <w:rFonts w:hint="default" w:ascii="Times New Roman" w:hAnsi="Times New Roman" w:eastAsia="宋体" w:cs="Times New Roman"/>
                      <w:color w:val="auto"/>
                      <w:sz w:val="21"/>
                    </w:rPr>
                  </w:pPr>
                  <w:r>
                    <w:rPr>
                      <w:rFonts w:hint="eastAsia" w:ascii="Times New Roman" w:hAnsi="Times New Roman" w:eastAsia="宋体" w:cs="Times New Roman"/>
                      <w:color w:val="auto"/>
                      <w:sz w:val="21"/>
                      <w:lang w:eastAsia="zh-CN"/>
                    </w:rPr>
                    <w:drawing>
                      <wp:inline distT="0" distB="0" distL="114300" distR="114300">
                        <wp:extent cx="638810" cy="680720"/>
                        <wp:effectExtent l="0" t="0" r="8890" b="5080"/>
                        <wp:docPr id="4" name="图片 4" descr="贮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贮存"/>
                                <pic:cNvPicPr>
                                  <a:picLocks noChangeAspect="1"/>
                                </pic:cNvPicPr>
                              </pic:nvPicPr>
                              <pic:blipFill>
                                <a:blip r:embed="rId91"/>
                                <a:srcRect l="49836" t="9182" r="4693" b="14456"/>
                                <a:stretch>
                                  <a:fillRect/>
                                </a:stretch>
                              </pic:blipFill>
                              <pic:spPr>
                                <a:xfrm>
                                  <a:off x="0" y="0"/>
                                  <a:ext cx="638810" cy="680720"/>
                                </a:xfrm>
                                <a:prstGeom prst="rect">
                                  <a:avLst/>
                                </a:prstGeom>
                              </pic:spPr>
                            </pic:pic>
                          </a:graphicData>
                        </a:graphic>
                      </wp:inline>
                    </w:drawing>
                  </w:r>
                </w:p>
              </w:tc>
              <w:tc>
                <w:tcPr>
                  <w:tcW w:w="1315" w:type="dxa"/>
                  <w:tcBorders>
                    <w:tl2br w:val="nil"/>
                    <w:tr2bl w:val="nil"/>
                  </w:tcBorders>
                  <w:noWrap w:val="0"/>
                  <w:vAlign w:val="center"/>
                </w:tcPr>
                <w:p w14:paraId="6F50803A">
                  <w:pPr>
                    <w:pStyle w:val="75"/>
                    <w:keepNext w:val="0"/>
                    <w:keepLines w:val="0"/>
                    <w:pageBreakBefore w:val="0"/>
                    <w:widowControl w:val="0"/>
                    <w:kinsoku/>
                    <w:wordWrap/>
                    <w:overflowPunct/>
                    <w:topLinePunct w:val="0"/>
                    <w:autoSpaceDE/>
                    <w:autoSpaceDN/>
                    <w:bidi w:val="0"/>
                    <w:adjustRightInd w:val="0"/>
                    <w:spacing w:line="36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危险废物</w:t>
                  </w:r>
                </w:p>
              </w:tc>
              <w:tc>
                <w:tcPr>
                  <w:tcW w:w="2227" w:type="dxa"/>
                  <w:tcBorders>
                    <w:tl2br w:val="nil"/>
                    <w:tr2bl w:val="nil"/>
                  </w:tcBorders>
                  <w:noWrap w:val="0"/>
                  <w:vAlign w:val="center"/>
                </w:tcPr>
                <w:p w14:paraId="19751EE2">
                  <w:pPr>
                    <w:pStyle w:val="75"/>
                    <w:keepNext w:val="0"/>
                    <w:keepLines w:val="0"/>
                    <w:pageBreakBefore w:val="0"/>
                    <w:widowControl w:val="0"/>
                    <w:kinsoku/>
                    <w:wordWrap/>
                    <w:overflowPunct/>
                    <w:topLinePunct w:val="0"/>
                    <w:autoSpaceDE/>
                    <w:autoSpaceDN/>
                    <w:bidi w:val="0"/>
                    <w:adjustRightInd w:val="0"/>
                    <w:spacing w:line="360" w:lineRule="auto"/>
                    <w:ind w:firstLine="0" w:firstLineChars="0"/>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表示危险废物贮存场所</w:t>
                  </w:r>
                </w:p>
              </w:tc>
            </w:tr>
            <w:tr w14:paraId="18A971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71" w:hRule="atLeast"/>
                <w:jc w:val="center"/>
              </w:trPr>
              <w:tc>
                <w:tcPr>
                  <w:tcW w:w="699" w:type="dxa"/>
                  <w:tcBorders>
                    <w:tl2br w:val="nil"/>
                    <w:tr2bl w:val="nil"/>
                  </w:tcBorders>
                  <w:noWrap w:val="0"/>
                  <w:vAlign w:val="center"/>
                </w:tcPr>
                <w:p w14:paraId="5FF0FF85">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5</w:t>
                  </w:r>
                </w:p>
              </w:tc>
              <w:tc>
                <w:tcPr>
                  <w:tcW w:w="1276" w:type="dxa"/>
                  <w:tcBorders>
                    <w:tl2br w:val="nil"/>
                    <w:tr2bl w:val="nil"/>
                  </w:tcBorders>
                  <w:noWrap w:val="0"/>
                  <w:vAlign w:val="center"/>
                </w:tcPr>
                <w:p w14:paraId="19EC6FE9">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drawing>
                      <wp:inline distT="0" distB="0" distL="114300" distR="114300">
                        <wp:extent cx="647700" cy="647700"/>
                        <wp:effectExtent l="0" t="0" r="0" b="0"/>
                        <wp:docPr id="32" name="图片 24"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descr="200602201518049853"/>
                                <pic:cNvPicPr>
                                  <a:picLocks noChangeAspect="1"/>
                                </pic:cNvPicPr>
                              </pic:nvPicPr>
                              <pic:blipFill>
                                <a:blip r:embed="rId92"/>
                                <a:stretch>
                                  <a:fillRect/>
                                </a:stretch>
                              </pic:blipFill>
                              <pic:spPr>
                                <a:xfrm>
                                  <a:off x="0" y="0"/>
                                  <a:ext cx="647700" cy="647700"/>
                                </a:xfrm>
                                <a:prstGeom prst="rect">
                                  <a:avLst/>
                                </a:prstGeom>
                                <a:noFill/>
                                <a:ln>
                                  <a:noFill/>
                                </a:ln>
                              </pic:spPr>
                            </pic:pic>
                          </a:graphicData>
                        </a:graphic>
                      </wp:inline>
                    </w:drawing>
                  </w:r>
                </w:p>
              </w:tc>
              <w:tc>
                <w:tcPr>
                  <w:tcW w:w="1379" w:type="dxa"/>
                  <w:tcBorders>
                    <w:tl2br w:val="nil"/>
                    <w:tr2bl w:val="nil"/>
                  </w:tcBorders>
                  <w:noWrap w:val="0"/>
                  <w:vAlign w:val="center"/>
                </w:tcPr>
                <w:p w14:paraId="1F9DE05C">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drawing>
                      <wp:inline distT="0" distB="0" distL="114300" distR="114300">
                        <wp:extent cx="676910" cy="601345"/>
                        <wp:effectExtent l="0" t="0" r="8890" b="8255"/>
                        <wp:docPr id="31" name="图片 25"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200602201519018631"/>
                                <pic:cNvPicPr>
                                  <a:picLocks noChangeAspect="1"/>
                                </pic:cNvPicPr>
                              </pic:nvPicPr>
                              <pic:blipFill>
                                <a:blip r:embed="rId93"/>
                                <a:stretch>
                                  <a:fillRect/>
                                </a:stretch>
                              </pic:blipFill>
                              <pic:spPr>
                                <a:xfrm>
                                  <a:off x="0" y="0"/>
                                  <a:ext cx="676910" cy="601345"/>
                                </a:xfrm>
                                <a:prstGeom prst="rect">
                                  <a:avLst/>
                                </a:prstGeom>
                                <a:noFill/>
                                <a:ln>
                                  <a:noFill/>
                                </a:ln>
                              </pic:spPr>
                            </pic:pic>
                          </a:graphicData>
                        </a:graphic>
                      </wp:inline>
                    </w:drawing>
                  </w:r>
                </w:p>
              </w:tc>
              <w:tc>
                <w:tcPr>
                  <w:tcW w:w="1315" w:type="dxa"/>
                  <w:tcBorders>
                    <w:tl2br w:val="nil"/>
                    <w:tr2bl w:val="nil"/>
                  </w:tcBorders>
                  <w:noWrap w:val="0"/>
                  <w:vAlign w:val="center"/>
                </w:tcPr>
                <w:p w14:paraId="39DFDA26">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噪声排放源</w:t>
                  </w:r>
                </w:p>
              </w:tc>
              <w:tc>
                <w:tcPr>
                  <w:tcW w:w="2227" w:type="dxa"/>
                  <w:tcBorders>
                    <w:tl2br w:val="nil"/>
                    <w:tr2bl w:val="nil"/>
                  </w:tcBorders>
                  <w:noWrap w:val="0"/>
                  <w:vAlign w:val="center"/>
                </w:tcPr>
                <w:p w14:paraId="488D3429">
                  <w:pPr>
                    <w:pStyle w:val="75"/>
                    <w:keepNext w:val="0"/>
                    <w:keepLines w:val="0"/>
                    <w:pageBreakBefore w:val="0"/>
                    <w:widowControl w:val="0"/>
                    <w:kinsoku/>
                    <w:wordWrap/>
                    <w:overflowPunct/>
                    <w:topLinePunct w:val="0"/>
                    <w:autoSpaceDE/>
                    <w:autoSpaceDN/>
                    <w:bidi w:val="0"/>
                    <w:adjustRightInd w:val="0"/>
                    <w:spacing w:line="360" w:lineRule="auto"/>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表示噪声向外环境排放</w:t>
                  </w:r>
                </w:p>
              </w:tc>
            </w:tr>
          </w:tbl>
          <w:p w14:paraId="44A62166">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（二）建立企业台账</w:t>
            </w:r>
          </w:p>
          <w:p w14:paraId="777E3F6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（1）环境管理台账记录要求 </w:t>
            </w:r>
          </w:p>
          <w:p w14:paraId="11D5AE1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应按本标准规定，在《排污许可证申请表》中明确环境管理台账记录要求。可根据自行监测管理的要求补充填报其他必要内容。排污单位应建立环境管理台账制度，设置专人专职进行台账的记录、整理、维护和管理，并对台账记录结果的真实性、准确性、完整性负责。 </w:t>
            </w:r>
          </w:p>
          <w:p w14:paraId="7C41B63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（2）台账记录内容 </w:t>
            </w:r>
          </w:p>
          <w:p w14:paraId="30C5E70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企业应真实记录生产设施和污染防治设施信息，其中，生产设施信息包括基本信息和生产设施运行管理信息，污染防治设施信息包括基本信息、污染防治设施运行管理 信息、监测记录信息、其他环境管理信息等内容。</w:t>
            </w:r>
          </w:p>
          <w:p w14:paraId="591797B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①生产设施信息 </w:t>
            </w:r>
          </w:p>
          <w:p w14:paraId="17C47B7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记录生产设施运行参数，包括设备名称、主要生产设施参数、设计生产能力、产品产量、生产负荷、原辅料及燃料使用情况等。a）产品产量：记录最终产品产量；b）生产负荷：记录实际产品产量与实际核定产能之比；c）原辅料：记录名称、种类、用量等；d）燃料：记录总硫含量、硫化氢含量等。 </w:t>
            </w:r>
          </w:p>
          <w:p w14:paraId="418A28B1">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②污染防治设施运行管理信息 </w:t>
            </w:r>
          </w:p>
          <w:p w14:paraId="3D7A061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4"/>
                <w:szCs w:val="24"/>
                <w:lang w:val="en-US" w:eastAsia="zh-CN"/>
              </w:rPr>
              <w:t>记录所有污染治理设施的规格参数、污染物排放情况、停运时段、主要药剂添加情况等。a）污染物排放情况：废水防治设施台账应包括所有防治设施的运行参数及排放情况等。废气治理设施应记录入口风量、污染物项目、排放浓度、排放量、治理效率、数据来源，还应明确 排放口烟气温度、压力、排气筒高度、排放时间等。b）停运时段：开始时间、结束时间，记录内容反映排污单位污染防治设施运行状况。c）主要药剂添加情况：记录添加药剂名称、添加时间、添加量。</w:t>
            </w:r>
          </w:p>
        </w:tc>
      </w:tr>
    </w:tbl>
    <w:p w14:paraId="0ABD75EF">
      <w:pPr>
        <w:pStyle w:val="20"/>
        <w:jc w:val="center"/>
        <w:outlineLvl w:val="0"/>
        <w:rPr>
          <w:rFonts w:ascii="黑体" w:hAnsi="黑体" w:eastAsia="黑体"/>
          <w:snapToGrid w:val="0"/>
          <w:color w:val="auto"/>
          <w:sz w:val="30"/>
          <w:szCs w:val="30"/>
        </w:rPr>
      </w:pPr>
      <w:r>
        <w:rPr>
          <w:snapToGrid w:val="0"/>
          <w:color w:val="auto"/>
        </w:rPr>
        <w:br w:type="page"/>
      </w:r>
      <w:bookmarkStart w:id="92" w:name="_Toc31841"/>
      <w:r>
        <w:rPr>
          <w:rFonts w:hint="eastAsia" w:ascii="黑体" w:hAnsi="黑体" w:eastAsia="黑体"/>
          <w:snapToGrid w:val="0"/>
          <w:color w:val="auto"/>
          <w:sz w:val="30"/>
          <w:szCs w:val="30"/>
        </w:rPr>
        <w:t>六、结论</w:t>
      </w:r>
      <w:bookmarkEnd w:id="92"/>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7235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4B09EACE">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0" w:firstLineChars="200"/>
              <w:jc w:val="both"/>
              <w:textAlignment w:val="auto"/>
              <w:rPr>
                <w:rFonts w:hint="default" w:ascii="Times New Roman" w:hAnsi="Times New Roman" w:cs="Times New Roman"/>
                <w:b/>
                <w:color w:val="auto"/>
                <w:sz w:val="24"/>
                <w:szCs w:val="24"/>
                <w:highlight w:val="none"/>
                <w:shd w:val="clear" w:color="auto" w:fill="auto"/>
              </w:rPr>
            </w:pPr>
            <w:r>
              <w:rPr>
                <w:rFonts w:hint="default" w:ascii="Times New Roman" w:hAnsi="Times New Roman" w:cs="Times New Roman"/>
                <w:color w:val="auto"/>
                <w:kern w:val="0"/>
                <w:sz w:val="24"/>
                <w:szCs w:val="24"/>
                <w:highlight w:val="none"/>
                <w:shd w:val="clear" w:color="auto" w:fill="auto"/>
              </w:rPr>
              <w:t>综上所述，该项目符合国家产业政策，选址</w:t>
            </w:r>
            <w:r>
              <w:rPr>
                <w:rFonts w:hint="default" w:ascii="Times New Roman" w:hAnsi="Times New Roman" w:cs="Times New Roman"/>
                <w:color w:val="auto"/>
                <w:kern w:val="0"/>
                <w:sz w:val="24"/>
                <w:szCs w:val="24"/>
                <w:highlight w:val="none"/>
                <w:shd w:val="clear" w:color="auto" w:fill="auto"/>
                <w:lang w:eastAsia="zh-CN"/>
              </w:rPr>
              <w:t>可行</w:t>
            </w:r>
            <w:r>
              <w:rPr>
                <w:rFonts w:hint="default" w:ascii="Times New Roman" w:hAnsi="Times New Roman" w:cs="Times New Roman"/>
                <w:color w:val="auto"/>
                <w:kern w:val="0"/>
                <w:sz w:val="24"/>
                <w:szCs w:val="24"/>
                <w:highlight w:val="none"/>
                <w:shd w:val="clear" w:color="auto" w:fill="auto"/>
              </w:rPr>
              <w:t>。只要保证在营运期间加强设备检修及维护，确保各环保处理设施稳定运行，可做到对周边环境影响</w:t>
            </w:r>
            <w:r>
              <w:rPr>
                <w:rFonts w:hint="default" w:ascii="Times New Roman" w:hAnsi="Times New Roman" w:cs="Times New Roman"/>
                <w:color w:val="auto"/>
                <w:kern w:val="0"/>
                <w:sz w:val="24"/>
                <w:szCs w:val="24"/>
                <w:highlight w:val="none"/>
                <w:shd w:val="clear" w:color="auto" w:fill="auto"/>
                <w:lang w:eastAsia="zh-CN"/>
              </w:rPr>
              <w:t>较小</w:t>
            </w:r>
            <w:r>
              <w:rPr>
                <w:rFonts w:hint="default" w:ascii="Times New Roman" w:hAnsi="Times New Roman" w:cs="Times New Roman"/>
                <w:color w:val="auto"/>
                <w:kern w:val="0"/>
                <w:sz w:val="24"/>
                <w:szCs w:val="24"/>
                <w:highlight w:val="none"/>
                <w:shd w:val="clear" w:color="auto" w:fill="auto"/>
              </w:rPr>
              <w:t>。同时，建设单位应按照环境保护的原则，认真执行“三同时”政策，落实各项污染防治措施，并切实保证污染治理设施正常稳定的运行，在此基础上，本项目的环境影响可得到有效控制。从环境保护的角度来看</w:t>
            </w:r>
            <w:r>
              <w:rPr>
                <w:rFonts w:hint="eastAsia" w:ascii="Times New Roman" w:hAnsi="Times New Roman" w:cs="Times New Roman"/>
                <w:color w:val="auto"/>
                <w:kern w:val="0"/>
                <w:sz w:val="24"/>
                <w:szCs w:val="24"/>
                <w:highlight w:val="none"/>
                <w:shd w:val="clear" w:color="auto" w:fill="auto"/>
                <w:lang w:eastAsia="zh-CN"/>
              </w:rPr>
              <w:t>，</w:t>
            </w:r>
            <w:r>
              <w:rPr>
                <w:rFonts w:hint="default" w:ascii="Times New Roman" w:hAnsi="Times New Roman" w:cs="Times New Roman"/>
                <w:color w:val="auto"/>
                <w:kern w:val="0"/>
                <w:sz w:val="24"/>
                <w:szCs w:val="24"/>
                <w:highlight w:val="none"/>
                <w:shd w:val="clear" w:color="auto" w:fill="auto"/>
              </w:rPr>
              <w:t>本</w:t>
            </w:r>
            <w:r>
              <w:rPr>
                <w:rFonts w:hint="default" w:ascii="Times New Roman" w:hAnsi="Times New Roman" w:cs="Times New Roman"/>
                <w:color w:val="auto"/>
                <w:sz w:val="24"/>
                <w:szCs w:val="24"/>
                <w:highlight w:val="none"/>
                <w:shd w:val="clear" w:color="auto" w:fill="auto"/>
              </w:rPr>
              <w:t>项目</w:t>
            </w:r>
            <w:r>
              <w:rPr>
                <w:rFonts w:hint="default" w:ascii="Times New Roman" w:hAnsi="Times New Roman" w:cs="Times New Roman"/>
                <w:color w:val="auto"/>
                <w:kern w:val="0"/>
                <w:sz w:val="24"/>
                <w:szCs w:val="24"/>
                <w:highlight w:val="none"/>
                <w:shd w:val="clear" w:color="auto" w:fill="auto"/>
              </w:rPr>
              <w:t>建设是</w:t>
            </w:r>
            <w:r>
              <w:rPr>
                <w:rFonts w:hint="default" w:ascii="Times New Roman" w:hAnsi="Times New Roman" w:cs="Times New Roman"/>
                <w:b/>
                <w:bCs/>
                <w:color w:val="auto"/>
                <w:kern w:val="0"/>
                <w:sz w:val="24"/>
                <w:szCs w:val="24"/>
                <w:highlight w:val="none"/>
                <w:shd w:val="clear" w:color="auto" w:fill="auto"/>
              </w:rPr>
              <w:t>可行的</w:t>
            </w:r>
            <w:r>
              <w:rPr>
                <w:rFonts w:hint="default" w:ascii="Times New Roman" w:hAnsi="Times New Roman" w:cs="Times New Roman"/>
                <w:color w:val="auto"/>
                <w:kern w:val="0"/>
                <w:sz w:val="24"/>
                <w:szCs w:val="24"/>
                <w:highlight w:val="none"/>
                <w:shd w:val="clear" w:color="auto" w:fill="auto"/>
              </w:rPr>
              <w:t>。</w:t>
            </w:r>
          </w:p>
          <w:p w14:paraId="37D37E6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highlight w:val="none"/>
                <w:shd w:val="clear" w:color="auto" w:fill="auto"/>
              </w:rPr>
            </w:pPr>
            <w:r>
              <w:rPr>
                <w:rFonts w:hint="default" w:ascii="Times New Roman" w:hAnsi="Times New Roman" w:cs="Times New Roman"/>
                <w:b/>
                <w:bCs/>
                <w:color w:val="auto"/>
                <w:sz w:val="24"/>
                <w:szCs w:val="24"/>
                <w:highlight w:val="none"/>
                <w:shd w:val="clear" w:color="auto" w:fill="auto"/>
              </w:rPr>
              <w:t>注：项目基础资料均由建设单位提供，并对其准确性和有效性负责。建设单位未来如需增加本报告表所涉及之外的污染源或对其功能进行调整，则应按要求向有关环保部门进行申报，并按污染控制目标采取相应的污染治理措施。</w:t>
            </w:r>
          </w:p>
          <w:p w14:paraId="7B1986DF">
            <w:pPr>
              <w:spacing w:line="360" w:lineRule="auto"/>
              <w:ind w:firstLine="480" w:firstLineChars="200"/>
              <w:jc w:val="both"/>
              <w:rPr>
                <w:rFonts w:ascii="宋体" w:cs="宋体"/>
                <w:color w:val="auto"/>
                <w:sz w:val="24"/>
              </w:rPr>
            </w:pPr>
          </w:p>
        </w:tc>
      </w:tr>
    </w:tbl>
    <w:p w14:paraId="11758A5E">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2ADBF00">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textAlignment w:val="auto"/>
        <w:outlineLvl w:val="9"/>
        <w:rPr>
          <w:rFonts w:ascii="黑体" w:hAnsi="黑体" w:eastAsia="黑体"/>
          <w:snapToGrid w:val="0"/>
          <w:color w:val="auto"/>
          <w:sz w:val="32"/>
          <w:szCs w:val="32"/>
          <w:highlight w:val="none"/>
        </w:rPr>
      </w:pPr>
      <w:r>
        <w:rPr>
          <w:rFonts w:hint="eastAsia" w:ascii="黑体" w:hAnsi="黑体" w:eastAsia="黑体"/>
          <w:snapToGrid w:val="0"/>
          <w:color w:val="auto"/>
          <w:sz w:val="32"/>
          <w:szCs w:val="32"/>
          <w:highlight w:val="none"/>
        </w:rPr>
        <w:t>附表</w:t>
      </w:r>
    </w:p>
    <w:p w14:paraId="2AA8AE40">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color w:val="auto"/>
          <w:sz w:val="38"/>
          <w:szCs w:val="38"/>
          <w:highlight w:val="none"/>
        </w:rPr>
      </w:pPr>
      <w:bookmarkStart w:id="93" w:name="_Toc8621"/>
      <w:r>
        <w:rPr>
          <w:rFonts w:hint="eastAsia" w:ascii="方正小标宋_GBK" w:hAnsi="黑体" w:eastAsia="方正小标宋_GBK"/>
          <w:snapToGrid w:val="0"/>
          <w:color w:val="auto"/>
          <w:sz w:val="38"/>
          <w:szCs w:val="38"/>
          <w:highlight w:val="none"/>
        </w:rPr>
        <w:t>建设项目污染物排放量汇总表</w:t>
      </w:r>
      <w:bookmarkEnd w:id="93"/>
    </w:p>
    <w:tbl>
      <w:tblPr>
        <w:tblStyle w:val="24"/>
        <w:tblW w:w="1371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1309"/>
        <w:gridCol w:w="1380"/>
        <w:gridCol w:w="1682"/>
        <w:gridCol w:w="1692"/>
        <w:gridCol w:w="1551"/>
        <w:gridCol w:w="1690"/>
        <w:gridCol w:w="1430"/>
        <w:gridCol w:w="1403"/>
      </w:tblGrid>
      <w:tr w14:paraId="242D6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0" w:type="dxa"/>
            <w:tcBorders>
              <w:tl2br w:val="single" w:color="auto" w:sz="4" w:space="0"/>
            </w:tcBorders>
            <w:noWrap w:val="0"/>
            <w:tcMar>
              <w:left w:w="28" w:type="dxa"/>
              <w:right w:w="28" w:type="dxa"/>
            </w:tcMar>
            <w:vAlign w:val="center"/>
          </w:tcPr>
          <w:p w14:paraId="2A718533">
            <w:pPr>
              <w:pStyle w:val="52"/>
              <w:spacing w:beforeLines="0" w:afterLines="0" w:line="240" w:lineRule="auto"/>
              <w:jc w:val="right"/>
              <w:rPr>
                <w:rFonts w:hint="eastAsia"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项目</w:t>
            </w:r>
          </w:p>
          <w:p w14:paraId="66CAFEF0">
            <w:pPr>
              <w:pStyle w:val="52"/>
              <w:spacing w:beforeLines="0" w:afterLines="0" w:line="240" w:lineRule="auto"/>
              <w:ind w:left="0" w:leftChars="0" w:firstLine="0" w:firstLineChars="0"/>
              <w:jc w:val="both"/>
              <w:rPr>
                <w:rFonts w:hint="eastAsia"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分类</w:t>
            </w:r>
          </w:p>
        </w:tc>
        <w:tc>
          <w:tcPr>
            <w:tcW w:w="1309" w:type="dxa"/>
            <w:noWrap w:val="0"/>
            <w:tcMar>
              <w:left w:w="28" w:type="dxa"/>
              <w:right w:w="28" w:type="dxa"/>
            </w:tcMar>
            <w:vAlign w:val="center"/>
          </w:tcPr>
          <w:p w14:paraId="5A3EB032">
            <w:pPr>
              <w:pStyle w:val="52"/>
              <w:spacing w:beforeLines="0" w:afterLines="0" w:line="240" w:lineRule="auto"/>
              <w:ind w:left="0" w:leftChars="0" w:firstLine="0" w:firstLineChars="0"/>
              <w:jc w:val="center"/>
              <w:rPr>
                <w:rFonts w:hint="eastAsia" w:ascii="黑体" w:hAnsi="黑体" w:eastAsia="黑体" w:cs="宋体"/>
                <w:snapToGrid w:val="0"/>
                <w:color w:val="auto"/>
                <w:spacing w:val="-6"/>
                <w:kern w:val="21"/>
                <w:szCs w:val="21"/>
                <w:highlight w:val="none"/>
              </w:rPr>
            </w:pPr>
            <w:r>
              <w:rPr>
                <w:rFonts w:hint="eastAsia" w:ascii="黑体" w:hAnsi="黑体" w:eastAsia="黑体" w:cs="宋体"/>
                <w:snapToGrid w:val="0"/>
                <w:color w:val="auto"/>
                <w:spacing w:val="-6"/>
                <w:kern w:val="21"/>
                <w:szCs w:val="21"/>
                <w:highlight w:val="none"/>
              </w:rPr>
              <w:t>污染物名称</w:t>
            </w:r>
          </w:p>
        </w:tc>
        <w:tc>
          <w:tcPr>
            <w:tcW w:w="1380" w:type="dxa"/>
            <w:noWrap w:val="0"/>
            <w:tcMar>
              <w:left w:w="28" w:type="dxa"/>
              <w:right w:w="28" w:type="dxa"/>
            </w:tcMar>
            <w:vAlign w:val="center"/>
          </w:tcPr>
          <w:p w14:paraId="6BD5B395">
            <w:pPr>
              <w:pStyle w:val="52"/>
              <w:spacing w:beforeLines="0" w:afterLines="0" w:line="240" w:lineRule="auto"/>
              <w:ind w:left="0" w:leftChars="0" w:firstLine="0" w:firstLineChars="0"/>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1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①</w:t>
            </w:r>
            <w:r>
              <w:rPr>
                <w:rFonts w:ascii="黑体" w:hAnsi="黑体" w:eastAsia="黑体"/>
                <w:snapToGrid w:val="0"/>
                <w:color w:val="auto"/>
                <w:spacing w:val="-6"/>
                <w:kern w:val="21"/>
                <w:szCs w:val="21"/>
                <w:highlight w:val="none"/>
              </w:rPr>
              <w:fldChar w:fldCharType="end"/>
            </w:r>
          </w:p>
        </w:tc>
        <w:tc>
          <w:tcPr>
            <w:tcW w:w="1682" w:type="dxa"/>
            <w:noWrap w:val="0"/>
            <w:tcMar>
              <w:left w:w="28" w:type="dxa"/>
              <w:right w:w="28" w:type="dxa"/>
            </w:tcMar>
            <w:vAlign w:val="center"/>
          </w:tcPr>
          <w:p w14:paraId="33F78A78">
            <w:pPr>
              <w:pStyle w:val="52"/>
              <w:spacing w:beforeLines="0" w:afterLines="0" w:line="240" w:lineRule="auto"/>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现有工程许可排放量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2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snapToGrid w:val="0"/>
                <w:color w:val="auto"/>
                <w:spacing w:val="-6"/>
                <w:kern w:val="21"/>
                <w:szCs w:val="21"/>
                <w:highlight w:val="none"/>
              </w:rPr>
              <w:t>②</w:t>
            </w:r>
            <w:r>
              <w:rPr>
                <w:rFonts w:ascii="黑体" w:hAnsi="黑体" w:eastAsia="黑体"/>
                <w:snapToGrid w:val="0"/>
                <w:color w:val="auto"/>
                <w:spacing w:val="-6"/>
                <w:kern w:val="21"/>
                <w:szCs w:val="21"/>
                <w:highlight w:val="none"/>
              </w:rPr>
              <w:fldChar w:fldCharType="end"/>
            </w:r>
          </w:p>
        </w:tc>
        <w:tc>
          <w:tcPr>
            <w:tcW w:w="1692" w:type="dxa"/>
            <w:noWrap w:val="0"/>
            <w:tcMar>
              <w:left w:w="28" w:type="dxa"/>
              <w:right w:w="28" w:type="dxa"/>
            </w:tcMar>
            <w:vAlign w:val="center"/>
          </w:tcPr>
          <w:p w14:paraId="7A84CEA2">
            <w:pPr>
              <w:pStyle w:val="52"/>
              <w:spacing w:beforeLines="0" w:afterLines="0" w:line="240" w:lineRule="auto"/>
              <w:ind w:left="0" w:leftChars="0" w:firstLine="0" w:firstLineChars="0"/>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在建工程排放量（固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3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③</w:t>
            </w:r>
            <w:r>
              <w:rPr>
                <w:rFonts w:ascii="黑体" w:hAnsi="黑体" w:eastAsia="黑体"/>
                <w:snapToGrid w:val="0"/>
                <w:color w:val="auto"/>
                <w:spacing w:val="-6"/>
                <w:kern w:val="21"/>
                <w:szCs w:val="21"/>
                <w:highlight w:val="none"/>
              </w:rPr>
              <w:fldChar w:fldCharType="end"/>
            </w:r>
          </w:p>
        </w:tc>
        <w:tc>
          <w:tcPr>
            <w:tcW w:w="1551" w:type="dxa"/>
            <w:noWrap w:val="0"/>
            <w:tcMar>
              <w:left w:w="28" w:type="dxa"/>
              <w:right w:w="28" w:type="dxa"/>
            </w:tcMar>
            <w:vAlign w:val="center"/>
          </w:tcPr>
          <w:p w14:paraId="29F816DC">
            <w:pPr>
              <w:pStyle w:val="52"/>
              <w:spacing w:beforeLines="0" w:afterLines="0" w:line="240" w:lineRule="auto"/>
              <w:ind w:left="0" w:leftChars="0" w:firstLine="0" w:firstLineChars="0"/>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本项目排放量（固</w:t>
            </w:r>
            <w:r>
              <w:rPr>
                <w:rFonts w:hint="eastAsia" w:ascii="黑体" w:hAnsi="黑体" w:eastAsia="黑体"/>
                <w:snapToGrid w:val="0"/>
                <w:color w:val="auto"/>
                <w:spacing w:val="-6"/>
                <w:kern w:val="21"/>
                <w:szCs w:val="21"/>
                <w:highlight w:val="none"/>
              </w:rPr>
              <w:t>体</w:t>
            </w:r>
            <w:r>
              <w:rPr>
                <w:rFonts w:ascii="黑体" w:hAnsi="黑体" w:eastAsia="黑体"/>
                <w:snapToGrid w:val="0"/>
                <w:color w:val="auto"/>
                <w:spacing w:val="-6"/>
                <w:kern w:val="21"/>
                <w:szCs w:val="21"/>
                <w:highlight w:val="none"/>
              </w:rPr>
              <w:t>废</w:t>
            </w:r>
            <w:r>
              <w:rPr>
                <w:rFonts w:hint="eastAsia" w:ascii="黑体" w:hAnsi="黑体" w:eastAsia="黑体"/>
                <w:snapToGrid w:val="0"/>
                <w:color w:val="auto"/>
                <w:spacing w:val="-6"/>
                <w:kern w:val="21"/>
                <w:szCs w:val="21"/>
                <w:highlight w:val="none"/>
              </w:rPr>
              <w:t>物</w:t>
            </w:r>
            <w:r>
              <w:rPr>
                <w:rFonts w:ascii="黑体" w:hAnsi="黑体" w:eastAsia="黑体"/>
                <w:snapToGrid w:val="0"/>
                <w:color w:val="auto"/>
                <w:spacing w:val="-6"/>
                <w:kern w:val="21"/>
                <w:szCs w:val="21"/>
                <w:highlight w:val="none"/>
              </w:rPr>
              <w:t>产生量）</w:t>
            </w: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4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④</w:t>
            </w:r>
            <w:r>
              <w:rPr>
                <w:rFonts w:ascii="黑体" w:hAnsi="黑体" w:eastAsia="黑体"/>
                <w:snapToGrid w:val="0"/>
                <w:color w:val="auto"/>
                <w:spacing w:val="-6"/>
                <w:kern w:val="21"/>
                <w:szCs w:val="21"/>
                <w:highlight w:val="none"/>
              </w:rPr>
              <w:fldChar w:fldCharType="end"/>
            </w:r>
          </w:p>
        </w:tc>
        <w:tc>
          <w:tcPr>
            <w:tcW w:w="1690" w:type="dxa"/>
            <w:noWrap w:val="0"/>
            <w:tcMar>
              <w:left w:w="28" w:type="dxa"/>
              <w:right w:w="28" w:type="dxa"/>
            </w:tcMar>
            <w:vAlign w:val="center"/>
          </w:tcPr>
          <w:p w14:paraId="6C38799B">
            <w:pPr>
              <w:pStyle w:val="52"/>
              <w:spacing w:beforeLines="0" w:afterLines="0" w:line="240" w:lineRule="auto"/>
              <w:ind w:left="0" w:leftChars="0" w:firstLine="0" w:firstLineChars="0"/>
              <w:jc w:val="center"/>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以新带老削减量（新建项目不填）</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5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⑤</w:t>
            </w:r>
            <w:r>
              <w:rPr>
                <w:rFonts w:ascii="黑体" w:hAnsi="黑体" w:eastAsia="黑体"/>
                <w:snapToGrid w:val="0"/>
                <w:color w:val="auto"/>
                <w:spacing w:val="-16"/>
                <w:kern w:val="21"/>
                <w:szCs w:val="21"/>
                <w:highlight w:val="none"/>
              </w:rPr>
              <w:fldChar w:fldCharType="end"/>
            </w:r>
          </w:p>
        </w:tc>
        <w:tc>
          <w:tcPr>
            <w:tcW w:w="1430" w:type="dxa"/>
            <w:noWrap w:val="0"/>
            <w:tcMar>
              <w:left w:w="28" w:type="dxa"/>
              <w:right w:w="28" w:type="dxa"/>
            </w:tcMar>
            <w:vAlign w:val="center"/>
          </w:tcPr>
          <w:p w14:paraId="5CB4694F">
            <w:pPr>
              <w:pStyle w:val="52"/>
              <w:spacing w:beforeLines="0" w:afterLines="0" w:line="240" w:lineRule="auto"/>
              <w:ind w:left="0" w:leftChars="0" w:firstLine="0" w:firstLineChars="0"/>
              <w:jc w:val="center"/>
              <w:rPr>
                <w:rFonts w:ascii="黑体" w:hAnsi="黑体" w:eastAsia="黑体"/>
                <w:snapToGrid w:val="0"/>
                <w:color w:val="auto"/>
                <w:spacing w:val="-16"/>
                <w:kern w:val="21"/>
                <w:szCs w:val="21"/>
                <w:highlight w:val="none"/>
              </w:rPr>
            </w:pPr>
            <w:r>
              <w:rPr>
                <w:rFonts w:ascii="黑体" w:hAnsi="黑体" w:eastAsia="黑体"/>
                <w:snapToGrid w:val="0"/>
                <w:color w:val="auto"/>
                <w:spacing w:val="-16"/>
                <w:kern w:val="21"/>
                <w:szCs w:val="21"/>
                <w:highlight w:val="none"/>
              </w:rPr>
              <w:t>本项目建成后</w:t>
            </w:r>
            <w:r>
              <w:rPr>
                <w:rFonts w:hint="eastAsia" w:ascii="黑体" w:hAnsi="黑体" w:eastAsia="黑体"/>
                <w:snapToGrid w:val="0"/>
                <w:color w:val="auto"/>
                <w:spacing w:val="-16"/>
                <w:kern w:val="21"/>
                <w:szCs w:val="21"/>
                <w:highlight w:val="none"/>
              </w:rPr>
              <w:t>全厂</w:t>
            </w:r>
            <w:r>
              <w:rPr>
                <w:rFonts w:ascii="黑体" w:hAnsi="黑体" w:eastAsia="黑体"/>
                <w:snapToGrid w:val="0"/>
                <w:color w:val="auto"/>
                <w:spacing w:val="-16"/>
                <w:kern w:val="21"/>
                <w:szCs w:val="21"/>
                <w:highlight w:val="none"/>
              </w:rPr>
              <w:t>排放量（固</w:t>
            </w:r>
            <w:r>
              <w:rPr>
                <w:rFonts w:hint="eastAsia" w:ascii="黑体" w:hAnsi="黑体" w:eastAsia="黑体"/>
                <w:snapToGrid w:val="0"/>
                <w:color w:val="auto"/>
                <w:spacing w:val="-16"/>
                <w:kern w:val="21"/>
                <w:szCs w:val="21"/>
                <w:highlight w:val="none"/>
              </w:rPr>
              <w:t>体</w:t>
            </w:r>
            <w:r>
              <w:rPr>
                <w:rFonts w:ascii="黑体" w:hAnsi="黑体" w:eastAsia="黑体"/>
                <w:snapToGrid w:val="0"/>
                <w:color w:val="auto"/>
                <w:spacing w:val="-16"/>
                <w:kern w:val="21"/>
                <w:szCs w:val="21"/>
                <w:highlight w:val="none"/>
              </w:rPr>
              <w:t>废</w:t>
            </w:r>
            <w:r>
              <w:rPr>
                <w:rFonts w:hint="eastAsia" w:ascii="黑体" w:hAnsi="黑体" w:eastAsia="黑体"/>
                <w:snapToGrid w:val="0"/>
                <w:color w:val="auto"/>
                <w:spacing w:val="-16"/>
                <w:kern w:val="21"/>
                <w:szCs w:val="21"/>
                <w:highlight w:val="none"/>
              </w:rPr>
              <w:t>物</w:t>
            </w:r>
            <w:r>
              <w:rPr>
                <w:rFonts w:ascii="黑体" w:hAnsi="黑体" w:eastAsia="黑体"/>
                <w:snapToGrid w:val="0"/>
                <w:color w:val="auto"/>
                <w:spacing w:val="-16"/>
                <w:kern w:val="21"/>
                <w:szCs w:val="21"/>
                <w:highlight w:val="none"/>
              </w:rPr>
              <w:t>产生量）</w:t>
            </w:r>
            <w:r>
              <w:rPr>
                <w:rFonts w:ascii="黑体" w:hAnsi="黑体" w:eastAsia="黑体"/>
                <w:snapToGrid w:val="0"/>
                <w:color w:val="auto"/>
                <w:spacing w:val="-16"/>
                <w:kern w:val="21"/>
                <w:szCs w:val="21"/>
                <w:highlight w:val="none"/>
              </w:rPr>
              <w:fldChar w:fldCharType="begin"/>
            </w:r>
            <w:r>
              <w:rPr>
                <w:rFonts w:ascii="黑体" w:hAnsi="黑体" w:eastAsia="黑体"/>
                <w:snapToGrid w:val="0"/>
                <w:color w:val="auto"/>
                <w:spacing w:val="-16"/>
                <w:kern w:val="21"/>
                <w:szCs w:val="21"/>
                <w:highlight w:val="none"/>
              </w:rPr>
              <w:instrText xml:space="preserve"> = 6 \* GB3 \* MERGEFORMAT </w:instrText>
            </w:r>
            <w:r>
              <w:rPr>
                <w:rFonts w:ascii="黑体" w:hAnsi="黑体" w:eastAsia="黑体"/>
                <w:snapToGrid w:val="0"/>
                <w:color w:val="auto"/>
                <w:spacing w:val="-16"/>
                <w:kern w:val="21"/>
                <w:szCs w:val="21"/>
                <w:highlight w:val="none"/>
              </w:rPr>
              <w:fldChar w:fldCharType="separate"/>
            </w:r>
            <w:r>
              <w:rPr>
                <w:rFonts w:hint="eastAsia" w:ascii="黑体" w:hAnsi="黑体" w:eastAsia="黑体" w:cs="宋体"/>
                <w:color w:val="auto"/>
                <w:kern w:val="2"/>
                <w:szCs w:val="21"/>
                <w:highlight w:val="none"/>
              </w:rPr>
              <w:t>⑥</w:t>
            </w:r>
            <w:r>
              <w:rPr>
                <w:rFonts w:ascii="黑体" w:hAnsi="黑体" w:eastAsia="黑体"/>
                <w:snapToGrid w:val="0"/>
                <w:color w:val="auto"/>
                <w:spacing w:val="-16"/>
                <w:kern w:val="21"/>
                <w:szCs w:val="21"/>
                <w:highlight w:val="none"/>
              </w:rPr>
              <w:fldChar w:fldCharType="end"/>
            </w:r>
          </w:p>
        </w:tc>
        <w:tc>
          <w:tcPr>
            <w:tcW w:w="1403" w:type="dxa"/>
            <w:noWrap w:val="0"/>
            <w:tcMar>
              <w:left w:w="28" w:type="dxa"/>
              <w:right w:w="28" w:type="dxa"/>
            </w:tcMar>
            <w:vAlign w:val="center"/>
          </w:tcPr>
          <w:p w14:paraId="0AE157BE">
            <w:pPr>
              <w:pStyle w:val="52"/>
              <w:spacing w:beforeLines="0" w:afterLines="0" w:line="240" w:lineRule="auto"/>
              <w:ind w:left="0" w:leftChars="0" w:firstLine="0" w:firstLineChars="0"/>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t>变化量</w:t>
            </w:r>
          </w:p>
          <w:p w14:paraId="7A3E672E">
            <w:pPr>
              <w:pStyle w:val="52"/>
              <w:spacing w:beforeLines="0" w:afterLines="0" w:line="240" w:lineRule="auto"/>
              <w:ind w:left="0" w:leftChars="0" w:firstLine="0" w:firstLineChars="0"/>
              <w:jc w:val="center"/>
              <w:rPr>
                <w:rFonts w:ascii="黑体" w:hAnsi="黑体" w:eastAsia="黑体"/>
                <w:snapToGrid w:val="0"/>
                <w:color w:val="auto"/>
                <w:spacing w:val="-6"/>
                <w:kern w:val="21"/>
                <w:szCs w:val="21"/>
                <w:highlight w:val="none"/>
              </w:rPr>
            </w:pPr>
            <w:r>
              <w:rPr>
                <w:rFonts w:ascii="黑体" w:hAnsi="黑体" w:eastAsia="黑体"/>
                <w:snapToGrid w:val="0"/>
                <w:color w:val="auto"/>
                <w:spacing w:val="-6"/>
                <w:kern w:val="21"/>
                <w:szCs w:val="21"/>
                <w:highlight w:val="none"/>
              </w:rPr>
              <w:fldChar w:fldCharType="begin"/>
            </w:r>
            <w:r>
              <w:rPr>
                <w:rFonts w:ascii="黑体" w:hAnsi="黑体" w:eastAsia="黑体"/>
                <w:snapToGrid w:val="0"/>
                <w:color w:val="auto"/>
                <w:spacing w:val="-6"/>
                <w:kern w:val="21"/>
                <w:szCs w:val="21"/>
                <w:highlight w:val="none"/>
              </w:rPr>
              <w:instrText xml:space="preserve"> = 7 \* GB3 \* MERGEFORMAT </w:instrText>
            </w:r>
            <w:r>
              <w:rPr>
                <w:rFonts w:ascii="黑体" w:hAnsi="黑体" w:eastAsia="黑体"/>
                <w:snapToGrid w:val="0"/>
                <w:color w:val="auto"/>
                <w:spacing w:val="-6"/>
                <w:kern w:val="21"/>
                <w:szCs w:val="21"/>
                <w:highlight w:val="none"/>
              </w:rPr>
              <w:fldChar w:fldCharType="separate"/>
            </w:r>
            <w:r>
              <w:rPr>
                <w:rFonts w:hint="eastAsia" w:ascii="黑体" w:hAnsi="黑体" w:eastAsia="黑体" w:cs="宋体"/>
                <w:color w:val="auto"/>
                <w:kern w:val="2"/>
                <w:szCs w:val="21"/>
                <w:highlight w:val="none"/>
              </w:rPr>
              <w:t>⑦</w:t>
            </w:r>
            <w:r>
              <w:rPr>
                <w:rFonts w:ascii="黑体" w:hAnsi="黑体" w:eastAsia="黑体"/>
                <w:snapToGrid w:val="0"/>
                <w:color w:val="auto"/>
                <w:spacing w:val="-6"/>
                <w:kern w:val="21"/>
                <w:szCs w:val="21"/>
                <w:highlight w:val="none"/>
              </w:rPr>
              <w:fldChar w:fldCharType="end"/>
            </w:r>
          </w:p>
        </w:tc>
      </w:tr>
      <w:tr w14:paraId="0D6D9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580" w:type="dxa"/>
            <w:vMerge w:val="restart"/>
            <w:noWrap w:val="0"/>
            <w:vAlign w:val="center"/>
          </w:tcPr>
          <w:p w14:paraId="5ABEF55C">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废气</w:t>
            </w:r>
          </w:p>
        </w:tc>
        <w:tc>
          <w:tcPr>
            <w:tcW w:w="1309" w:type="dxa"/>
            <w:noWrap w:val="0"/>
            <w:vAlign w:val="center"/>
          </w:tcPr>
          <w:p w14:paraId="7864F2B9">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颗粒物</w:t>
            </w:r>
          </w:p>
        </w:tc>
        <w:tc>
          <w:tcPr>
            <w:tcW w:w="1380" w:type="dxa"/>
            <w:noWrap w:val="0"/>
            <w:vAlign w:val="center"/>
          </w:tcPr>
          <w:p w14:paraId="04CC32E5">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b w:val="0"/>
                <w:bCs/>
                <w:snapToGrid w:val="0"/>
                <w:color w:val="auto"/>
                <w:kern w:val="21"/>
                <w:szCs w:val="21"/>
                <w:lang w:val="en-US" w:eastAsia="zh-CN"/>
              </w:rPr>
              <w:t>0.00138t/a</w:t>
            </w:r>
          </w:p>
        </w:tc>
        <w:tc>
          <w:tcPr>
            <w:tcW w:w="1682" w:type="dxa"/>
            <w:noWrap w:val="0"/>
            <w:vAlign w:val="center"/>
          </w:tcPr>
          <w:p w14:paraId="4D4046A0">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57B011E9">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728312BE">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b w:val="0"/>
                <w:bCs/>
                <w:color w:val="auto"/>
                <w:spacing w:val="0"/>
                <w:sz w:val="21"/>
                <w:szCs w:val="24"/>
                <w:vertAlign w:val="baseline"/>
                <w:lang w:val="en-US" w:eastAsia="zh-CN"/>
              </w:rPr>
              <w:t>0.001836</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532A60A9">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b w:val="0"/>
                <w:bCs/>
                <w:color w:val="auto"/>
                <w:spacing w:val="0"/>
                <w:sz w:val="21"/>
                <w:szCs w:val="24"/>
                <w:vertAlign w:val="baseline"/>
                <w:lang w:val="en-US" w:eastAsia="zh-CN"/>
              </w:rPr>
              <w:t>0.00138</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30" w:type="dxa"/>
            <w:noWrap w:val="0"/>
            <w:vAlign w:val="center"/>
          </w:tcPr>
          <w:p w14:paraId="27FC09EE">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b w:val="0"/>
                <w:bCs/>
                <w:color w:val="auto"/>
                <w:spacing w:val="0"/>
                <w:sz w:val="21"/>
                <w:szCs w:val="24"/>
                <w:vertAlign w:val="baseline"/>
                <w:lang w:val="en-US" w:eastAsia="zh-CN"/>
              </w:rPr>
              <w:t>0.001836</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5A2EA5FE">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+0.000456</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25CA6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580" w:type="dxa"/>
            <w:vMerge w:val="continue"/>
            <w:noWrap w:val="0"/>
            <w:vAlign w:val="center"/>
          </w:tcPr>
          <w:p w14:paraId="2FB3066F">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7728DEA9">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非甲烷总烃</w:t>
            </w:r>
          </w:p>
        </w:tc>
        <w:tc>
          <w:tcPr>
            <w:tcW w:w="1380" w:type="dxa"/>
            <w:noWrap w:val="0"/>
            <w:vAlign w:val="center"/>
          </w:tcPr>
          <w:p w14:paraId="1ED8BC84">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82" w:type="dxa"/>
            <w:noWrap w:val="0"/>
            <w:vAlign w:val="center"/>
          </w:tcPr>
          <w:p w14:paraId="73EF7706">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158F2264">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1FB95E2E">
            <w:pPr>
              <w:widowControl w:val="0"/>
              <w:autoSpaceDE w:val="0"/>
              <w:autoSpaceDN w:val="0"/>
              <w:jc w:val="center"/>
              <w:rPr>
                <w:rFonts w:hint="default"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44"/>
                <w:sz w:val="21"/>
                <w:szCs w:val="21"/>
                <w:highlight w:val="none"/>
                <w:lang w:val="en-US" w:eastAsia="zh-CN" w:bidi="ar-SA"/>
              </w:rPr>
              <w:t>0.</w:t>
            </w:r>
            <w:r>
              <w:rPr>
                <w:rFonts w:hint="eastAsia" w:cs="Times New Roman"/>
                <w:color w:val="auto"/>
                <w:kern w:val="44"/>
                <w:sz w:val="21"/>
                <w:szCs w:val="21"/>
                <w:highlight w:val="none"/>
                <w:lang w:val="en-US" w:eastAsia="zh-CN" w:bidi="ar-SA"/>
              </w:rPr>
              <w:t>323</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1A19B0E3">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430" w:type="dxa"/>
            <w:noWrap w:val="0"/>
            <w:vAlign w:val="center"/>
          </w:tcPr>
          <w:p w14:paraId="26EE1D4B">
            <w:pPr>
              <w:widowControl w:val="0"/>
              <w:autoSpaceDE w:val="0"/>
              <w:autoSpaceDN w:val="0"/>
              <w:jc w:val="center"/>
              <w:rPr>
                <w:rFonts w:hint="eastAsia" w:ascii="Times New Roman" w:hAnsi="Times New Roman" w:eastAsia="宋体" w:cs="Times New Roman"/>
                <w:color w:val="auto"/>
                <w:kern w:val="44"/>
                <w:sz w:val="21"/>
                <w:szCs w:val="21"/>
                <w:highlight w:val="none"/>
                <w:lang w:val="en-US" w:eastAsia="zh-CN" w:bidi="ar-SA"/>
              </w:rPr>
            </w:pPr>
            <w:r>
              <w:rPr>
                <w:rFonts w:hint="eastAsia" w:ascii="Times New Roman" w:hAnsi="Times New Roman" w:eastAsia="宋体" w:cs="Times New Roman"/>
                <w:color w:val="auto"/>
                <w:kern w:val="44"/>
                <w:sz w:val="21"/>
                <w:szCs w:val="21"/>
                <w:highlight w:val="none"/>
                <w:lang w:val="en-US" w:eastAsia="zh-CN" w:bidi="ar-SA"/>
              </w:rPr>
              <w:t>0.</w:t>
            </w:r>
            <w:r>
              <w:rPr>
                <w:rFonts w:hint="eastAsia" w:cs="Times New Roman"/>
                <w:color w:val="auto"/>
                <w:kern w:val="44"/>
                <w:sz w:val="21"/>
                <w:szCs w:val="21"/>
                <w:highlight w:val="none"/>
                <w:lang w:val="en-US" w:eastAsia="zh-CN" w:bidi="ar-SA"/>
              </w:rPr>
              <w:t>323</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754FFD78">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r>
              <w:rPr>
                <w:rFonts w:hint="eastAsia" w:ascii="Times New Roman" w:hAnsi="Times New Roman" w:eastAsia="宋体" w:cs="Times New Roman"/>
                <w:color w:val="auto"/>
                <w:kern w:val="44"/>
                <w:sz w:val="21"/>
                <w:szCs w:val="21"/>
                <w:highlight w:val="none"/>
                <w:lang w:val="en-US" w:eastAsia="zh-CN" w:bidi="ar-SA"/>
              </w:rPr>
              <w:t>0.</w:t>
            </w:r>
            <w:r>
              <w:rPr>
                <w:rFonts w:hint="eastAsia" w:cs="Times New Roman"/>
                <w:color w:val="auto"/>
                <w:kern w:val="44"/>
                <w:sz w:val="21"/>
                <w:szCs w:val="21"/>
                <w:highlight w:val="none"/>
                <w:lang w:val="en-US" w:eastAsia="zh-CN" w:bidi="ar-SA"/>
              </w:rPr>
              <w:t>323</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70AE2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580" w:type="dxa"/>
            <w:vMerge w:val="continue"/>
            <w:noWrap w:val="0"/>
            <w:vAlign w:val="center"/>
          </w:tcPr>
          <w:p w14:paraId="1A94C142">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1661F8E1">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氨</w:t>
            </w:r>
          </w:p>
        </w:tc>
        <w:tc>
          <w:tcPr>
            <w:tcW w:w="1380" w:type="dxa"/>
            <w:noWrap w:val="0"/>
            <w:vAlign w:val="center"/>
          </w:tcPr>
          <w:p w14:paraId="0916EFE0">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w:t>
            </w:r>
          </w:p>
        </w:tc>
        <w:tc>
          <w:tcPr>
            <w:tcW w:w="1682" w:type="dxa"/>
            <w:noWrap w:val="0"/>
            <w:vAlign w:val="center"/>
          </w:tcPr>
          <w:p w14:paraId="01D892FC">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w:t>
            </w:r>
          </w:p>
        </w:tc>
        <w:tc>
          <w:tcPr>
            <w:tcW w:w="1692" w:type="dxa"/>
            <w:noWrap w:val="0"/>
            <w:vAlign w:val="center"/>
          </w:tcPr>
          <w:p w14:paraId="6095F497">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w:t>
            </w:r>
          </w:p>
        </w:tc>
        <w:tc>
          <w:tcPr>
            <w:tcW w:w="1551" w:type="dxa"/>
            <w:noWrap w:val="0"/>
            <w:vAlign w:val="center"/>
          </w:tcPr>
          <w:p w14:paraId="2FB6650C">
            <w:pPr>
              <w:widowControl w:val="0"/>
              <w:autoSpaceDE w:val="0"/>
              <w:autoSpaceDN w:val="0"/>
              <w:jc w:val="center"/>
              <w:rPr>
                <w:rFonts w:hint="default" w:ascii="Times New Roman" w:hAnsi="Times New Roman" w:eastAsia="宋体" w:cs="Times New Roman"/>
                <w:color w:val="auto"/>
                <w:kern w:val="44"/>
                <w:sz w:val="21"/>
                <w:szCs w:val="21"/>
                <w:highlight w:val="none"/>
                <w:lang w:val="en-US" w:eastAsia="zh-CN" w:bidi="ar-SA"/>
              </w:rPr>
            </w:pPr>
            <w:r>
              <w:rPr>
                <w:rFonts w:hint="eastAsia" w:cs="Times New Roman"/>
                <w:color w:val="auto"/>
                <w:kern w:val="44"/>
                <w:sz w:val="21"/>
                <w:szCs w:val="21"/>
                <w:highlight w:val="none"/>
                <w:lang w:val="en-US" w:eastAsia="zh-CN" w:bidi="ar-SA"/>
              </w:rPr>
              <w:t>0.005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202E2CBC">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430" w:type="dxa"/>
            <w:noWrap w:val="0"/>
            <w:vAlign w:val="center"/>
          </w:tcPr>
          <w:p w14:paraId="69EBEA07">
            <w:pPr>
              <w:widowControl w:val="0"/>
              <w:autoSpaceDE w:val="0"/>
              <w:autoSpaceDN w:val="0"/>
              <w:jc w:val="center"/>
              <w:rPr>
                <w:rFonts w:hint="eastAsia" w:ascii="Times New Roman" w:hAnsi="Times New Roman" w:eastAsia="宋体" w:cs="Times New Roman"/>
                <w:color w:val="auto"/>
                <w:kern w:val="44"/>
                <w:sz w:val="21"/>
                <w:szCs w:val="21"/>
                <w:highlight w:val="none"/>
                <w:lang w:val="en-US" w:eastAsia="zh-CN" w:bidi="ar-SA"/>
              </w:rPr>
            </w:pPr>
            <w:r>
              <w:rPr>
                <w:rFonts w:hint="eastAsia" w:cs="Times New Roman"/>
                <w:color w:val="auto"/>
                <w:kern w:val="44"/>
                <w:sz w:val="21"/>
                <w:szCs w:val="21"/>
                <w:highlight w:val="none"/>
                <w:lang w:val="en-US" w:eastAsia="zh-CN" w:bidi="ar-SA"/>
              </w:rPr>
              <w:t>0.005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2F5DDD07">
            <w:pPr>
              <w:widowControl w:val="0"/>
              <w:autoSpaceDE w:val="0"/>
              <w:autoSpaceDN w:val="0"/>
              <w:jc w:val="center"/>
              <w:rPr>
                <w:rFonts w:hint="eastAsia" w:cs="Times New Roman"/>
                <w:color w:val="auto"/>
                <w:kern w:val="2"/>
                <w:sz w:val="21"/>
                <w:szCs w:val="21"/>
                <w:highlight w:val="none"/>
                <w:vertAlign w:val="baseline"/>
                <w:lang w:val="en-US" w:eastAsia="zh-CN" w:bidi="ar-SA"/>
              </w:rPr>
            </w:pPr>
            <w:r>
              <w:rPr>
                <w:rFonts w:hint="eastAsia" w:cs="Times New Roman"/>
                <w:color w:val="auto"/>
                <w:kern w:val="44"/>
                <w:sz w:val="21"/>
                <w:szCs w:val="21"/>
                <w:highlight w:val="none"/>
                <w:lang w:val="en-US" w:eastAsia="zh-CN" w:bidi="ar-SA"/>
              </w:rPr>
              <w:t>+0.005</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4B0AB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580" w:type="dxa"/>
            <w:vMerge w:val="restart"/>
            <w:noWrap w:val="0"/>
            <w:vAlign w:val="center"/>
          </w:tcPr>
          <w:p w14:paraId="1E7153F0">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废水</w:t>
            </w:r>
          </w:p>
        </w:tc>
        <w:tc>
          <w:tcPr>
            <w:tcW w:w="1309" w:type="dxa"/>
            <w:noWrap w:val="0"/>
            <w:vAlign w:val="center"/>
          </w:tcPr>
          <w:p w14:paraId="52330D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COD</w:t>
            </w:r>
          </w:p>
        </w:tc>
        <w:tc>
          <w:tcPr>
            <w:tcW w:w="1380" w:type="dxa"/>
            <w:noWrap w:val="0"/>
            <w:vAlign w:val="center"/>
          </w:tcPr>
          <w:p w14:paraId="25F185C9">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0.371</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82" w:type="dxa"/>
            <w:noWrap w:val="0"/>
            <w:vAlign w:val="center"/>
          </w:tcPr>
          <w:p w14:paraId="1680ECAD">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19795160">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61A2699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0.168</w:t>
            </w:r>
            <w:r>
              <w:rPr>
                <w:rFonts w:hint="eastAsia" w:ascii="Times New Roman" w:hAnsi="Times New Roman" w:eastAsia="宋体" w:cs="Times New Roman"/>
                <w:color w:val="auto"/>
                <w:kern w:val="2"/>
                <w:sz w:val="21"/>
                <w:szCs w:val="21"/>
                <w:highlight w:val="none"/>
                <w:vertAlign w:val="baseline"/>
                <w:lang w:val="en-US" w:eastAsia="zh-CN" w:bidi="ar-SA"/>
              </w:rPr>
              <w:t>t/at/a</w:t>
            </w:r>
          </w:p>
        </w:tc>
        <w:tc>
          <w:tcPr>
            <w:tcW w:w="1690" w:type="dxa"/>
            <w:noWrap w:val="0"/>
            <w:vAlign w:val="center"/>
          </w:tcPr>
          <w:p w14:paraId="02119548">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430" w:type="dxa"/>
            <w:noWrap w:val="0"/>
            <w:vAlign w:val="center"/>
          </w:tcPr>
          <w:p w14:paraId="2AE744B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0.168</w:t>
            </w:r>
            <w:r>
              <w:rPr>
                <w:rFonts w:hint="eastAsia" w:ascii="Times New Roman" w:hAnsi="Times New Roman" w:eastAsia="宋体" w:cs="Times New Roman"/>
                <w:color w:val="auto"/>
                <w:kern w:val="2"/>
                <w:sz w:val="21"/>
                <w:szCs w:val="21"/>
                <w:highlight w:val="none"/>
                <w:vertAlign w:val="baseline"/>
                <w:lang w:val="en-US" w:eastAsia="zh-CN" w:bidi="ar-SA"/>
              </w:rPr>
              <w:t>t/at/a</w:t>
            </w:r>
          </w:p>
        </w:tc>
        <w:tc>
          <w:tcPr>
            <w:tcW w:w="1403" w:type="dxa"/>
            <w:noWrap w:val="0"/>
            <w:vAlign w:val="center"/>
          </w:tcPr>
          <w:p w14:paraId="5ECA74E7">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r>
              <w:rPr>
                <w:rFonts w:hint="eastAsia" w:ascii="Times New Roman" w:hAnsi="Times New Roman" w:eastAsia="宋体" w:cs="Times New Roman"/>
                <w:color w:val="auto"/>
                <w:kern w:val="2"/>
                <w:sz w:val="21"/>
                <w:szCs w:val="21"/>
                <w:highlight w:val="none"/>
                <w:vertAlign w:val="baseline"/>
                <w:lang w:val="en-US" w:eastAsia="zh-CN" w:bidi="ar-SA"/>
              </w:rPr>
              <w:t>0</w:t>
            </w:r>
            <w:r>
              <w:rPr>
                <w:rFonts w:hint="eastAsia" w:cs="Times New Roman"/>
                <w:color w:val="auto"/>
                <w:kern w:val="2"/>
                <w:sz w:val="21"/>
                <w:szCs w:val="21"/>
                <w:highlight w:val="none"/>
                <w:vertAlign w:val="baseline"/>
                <w:lang w:val="en-US" w:eastAsia="zh-CN" w:bidi="ar-SA"/>
              </w:rPr>
              <w:t>.203</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16304A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580" w:type="dxa"/>
            <w:vMerge w:val="continue"/>
            <w:noWrap w:val="0"/>
            <w:vAlign w:val="center"/>
          </w:tcPr>
          <w:p w14:paraId="59D5E127">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42C0AB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rPr>
              <w:t>BOD</w:t>
            </w:r>
            <w:r>
              <w:rPr>
                <w:rFonts w:hint="default" w:ascii="Times New Roman" w:hAnsi="Times New Roman" w:eastAsia="宋体" w:cs="Times New Roman"/>
                <w:color w:val="auto"/>
                <w:kern w:val="0"/>
                <w:sz w:val="21"/>
                <w:szCs w:val="21"/>
                <w:highlight w:val="none"/>
                <w:vertAlign w:val="subscript"/>
              </w:rPr>
              <w:t>5</w:t>
            </w:r>
          </w:p>
        </w:tc>
        <w:tc>
          <w:tcPr>
            <w:tcW w:w="1380" w:type="dxa"/>
            <w:noWrap w:val="0"/>
            <w:vAlign w:val="center"/>
          </w:tcPr>
          <w:p w14:paraId="0285A489">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0.17</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82" w:type="dxa"/>
            <w:noWrap w:val="0"/>
            <w:vAlign w:val="center"/>
          </w:tcPr>
          <w:p w14:paraId="13CA4085">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09F0970F">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25A4AB2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0.113</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75E0C564">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430" w:type="dxa"/>
            <w:noWrap w:val="0"/>
            <w:vAlign w:val="center"/>
          </w:tcPr>
          <w:p w14:paraId="38186D7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0.113</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16761FBD">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-0.057</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21FA9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580" w:type="dxa"/>
            <w:vMerge w:val="continue"/>
            <w:noWrap w:val="0"/>
            <w:vAlign w:val="center"/>
          </w:tcPr>
          <w:p w14:paraId="7553C4F3">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46BFCD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SS</w:t>
            </w:r>
          </w:p>
        </w:tc>
        <w:tc>
          <w:tcPr>
            <w:tcW w:w="1380" w:type="dxa"/>
            <w:noWrap w:val="0"/>
            <w:vAlign w:val="center"/>
          </w:tcPr>
          <w:p w14:paraId="675FDB88">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0.24</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82" w:type="dxa"/>
            <w:noWrap w:val="0"/>
            <w:vAlign w:val="center"/>
          </w:tcPr>
          <w:p w14:paraId="105DD110">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48A26D8F">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438C958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0.088</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2ED8EDE8">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430" w:type="dxa"/>
            <w:noWrap w:val="0"/>
            <w:vAlign w:val="center"/>
          </w:tcPr>
          <w:p w14:paraId="373F5E5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0.088</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7E343487">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-0.152</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12937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580" w:type="dxa"/>
            <w:vMerge w:val="continue"/>
            <w:noWrap w:val="0"/>
            <w:vAlign w:val="center"/>
          </w:tcPr>
          <w:p w14:paraId="7DBBC396">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720F04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rPr>
              <w:t>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w:t>
            </w:r>
          </w:p>
        </w:tc>
        <w:tc>
          <w:tcPr>
            <w:tcW w:w="1380" w:type="dxa"/>
            <w:noWrap w:val="0"/>
            <w:vAlign w:val="center"/>
          </w:tcPr>
          <w:p w14:paraId="3C493637">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position w:val="0"/>
                <w:sz w:val="21"/>
                <w:szCs w:val="21"/>
                <w:vertAlign w:val="baseline"/>
                <w:lang w:val="en-US" w:eastAsia="zh-CN"/>
              </w:rPr>
              <w:t>0.0171</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82" w:type="dxa"/>
            <w:noWrap w:val="0"/>
            <w:vAlign w:val="center"/>
          </w:tcPr>
          <w:p w14:paraId="2C926643">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4731D4E8">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7506B15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0.021</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0E59F579">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430" w:type="dxa"/>
            <w:noWrap w:val="0"/>
            <w:vAlign w:val="center"/>
          </w:tcPr>
          <w:p w14:paraId="1683E35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0.021</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3E378B38">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+0.0039</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45164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580" w:type="dxa"/>
            <w:vMerge w:val="continue"/>
            <w:noWrap w:val="0"/>
            <w:vAlign w:val="center"/>
          </w:tcPr>
          <w:p w14:paraId="08010C71">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0F97CD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TP</w:t>
            </w:r>
          </w:p>
        </w:tc>
        <w:tc>
          <w:tcPr>
            <w:tcW w:w="1380" w:type="dxa"/>
            <w:noWrap w:val="0"/>
            <w:vAlign w:val="center"/>
          </w:tcPr>
          <w:p w14:paraId="0BE9E664">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lang w:val="en-US" w:eastAsia="zh-CN"/>
              </w:rPr>
              <w:t>0.0036</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82" w:type="dxa"/>
            <w:noWrap w:val="0"/>
            <w:vAlign w:val="center"/>
          </w:tcPr>
          <w:p w14:paraId="1A165718">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54B6F563">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2D3B206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lang w:val="en-US" w:eastAsia="zh-CN" w:bidi="ar-SA"/>
              </w:rPr>
              <w:t>0.003</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71E68F4D">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430" w:type="dxa"/>
            <w:noWrap w:val="0"/>
            <w:vAlign w:val="center"/>
          </w:tcPr>
          <w:p w14:paraId="6460D894">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lang w:val="en-US" w:eastAsia="zh-CN" w:bidi="ar-SA"/>
              </w:rPr>
              <w:t>0.003</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47938052">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-0.0006</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4CBA1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580" w:type="dxa"/>
            <w:vMerge w:val="continue"/>
            <w:noWrap w:val="0"/>
            <w:vAlign w:val="center"/>
          </w:tcPr>
          <w:p w14:paraId="533CE2C9">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5F8A50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TN</w:t>
            </w:r>
          </w:p>
        </w:tc>
        <w:tc>
          <w:tcPr>
            <w:tcW w:w="1380" w:type="dxa"/>
            <w:noWrap w:val="0"/>
            <w:vAlign w:val="center"/>
          </w:tcPr>
          <w:p w14:paraId="53722C8E">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color w:val="auto"/>
                <w:spacing w:val="0"/>
                <w:sz w:val="21"/>
                <w:szCs w:val="21"/>
                <w:lang w:val="en-US" w:eastAsia="zh-CN"/>
              </w:rPr>
              <w:t>0.0265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82" w:type="dxa"/>
            <w:noWrap w:val="0"/>
            <w:vAlign w:val="center"/>
          </w:tcPr>
          <w:p w14:paraId="41E1F842">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7440FA79">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581DAA5F">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lang w:val="en-US" w:eastAsia="zh-CN" w:bidi="ar-SA"/>
              </w:rPr>
              <w:t>0.034</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0990DAAA">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430" w:type="dxa"/>
            <w:noWrap w:val="0"/>
            <w:vAlign w:val="center"/>
          </w:tcPr>
          <w:p w14:paraId="1A9E9507">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lang w:val="en-US" w:eastAsia="zh-CN" w:bidi="ar-SA"/>
              </w:rPr>
              <w:t>0.034</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742D2401">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+0.0075</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123E1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580" w:type="dxa"/>
            <w:vMerge w:val="continue"/>
            <w:noWrap w:val="0"/>
            <w:vAlign w:val="center"/>
          </w:tcPr>
          <w:p w14:paraId="5A146648">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128C79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总有机碳</w:t>
            </w:r>
          </w:p>
        </w:tc>
        <w:tc>
          <w:tcPr>
            <w:tcW w:w="1380" w:type="dxa"/>
            <w:noWrap w:val="0"/>
            <w:vAlign w:val="center"/>
          </w:tcPr>
          <w:p w14:paraId="209379F4">
            <w:pPr>
              <w:widowControl w:val="0"/>
              <w:autoSpaceDE w:val="0"/>
              <w:autoSpaceDN w:val="0"/>
              <w:jc w:val="center"/>
              <w:rPr>
                <w:rFonts w:hint="default" w:ascii="Times New Roman" w:hAnsi="Times New Roman" w:eastAsia="宋体" w:cs="Times New Roman"/>
                <w:b w:val="0"/>
                <w:bCs/>
                <w:color w:val="auto"/>
                <w:spacing w:val="0"/>
                <w:sz w:val="21"/>
                <w:szCs w:val="21"/>
                <w:lang w:val="en-US" w:eastAsia="zh-CN"/>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82" w:type="dxa"/>
            <w:noWrap w:val="0"/>
            <w:vAlign w:val="center"/>
          </w:tcPr>
          <w:p w14:paraId="5524525E">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47A384CC">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22CEF897">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eastAsia" w:cs="Times New Roman"/>
                <w:b w:val="0"/>
                <w:bCs/>
                <w:color w:val="auto"/>
                <w:spacing w:val="0"/>
                <w:sz w:val="21"/>
                <w:szCs w:val="21"/>
                <w:lang w:val="en-US" w:eastAsia="zh-CN"/>
              </w:rPr>
              <w:t>0.0002</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3503A0A6">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w:t>
            </w:r>
          </w:p>
        </w:tc>
        <w:tc>
          <w:tcPr>
            <w:tcW w:w="1430" w:type="dxa"/>
            <w:noWrap w:val="0"/>
            <w:vAlign w:val="center"/>
          </w:tcPr>
          <w:p w14:paraId="389E94CA">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bidi="ar-SA"/>
              </w:rPr>
            </w:pPr>
            <w:r>
              <w:rPr>
                <w:rFonts w:hint="eastAsia" w:cs="Times New Roman"/>
                <w:b w:val="0"/>
                <w:bCs/>
                <w:color w:val="auto"/>
                <w:spacing w:val="0"/>
                <w:sz w:val="21"/>
                <w:szCs w:val="21"/>
                <w:lang w:val="en-US" w:eastAsia="zh-CN"/>
              </w:rPr>
              <w:t>0.0002</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63B482D2">
            <w:pPr>
              <w:widowControl w:val="0"/>
              <w:autoSpaceDE w:val="0"/>
              <w:autoSpaceDN w:val="0"/>
              <w:jc w:val="center"/>
              <w:rPr>
                <w:rFonts w:hint="eastAsia"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w:t>
            </w:r>
            <w:r>
              <w:rPr>
                <w:rFonts w:hint="eastAsia" w:cs="Times New Roman"/>
                <w:b w:val="0"/>
                <w:bCs/>
                <w:color w:val="auto"/>
                <w:spacing w:val="0"/>
                <w:sz w:val="21"/>
                <w:szCs w:val="21"/>
                <w:lang w:val="en-US" w:eastAsia="zh-CN"/>
              </w:rPr>
              <w:t>0.0002</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6C2EBF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580" w:type="dxa"/>
            <w:vMerge w:val="restart"/>
            <w:noWrap w:val="0"/>
            <w:vAlign w:val="center"/>
          </w:tcPr>
          <w:p w14:paraId="1DBC7FFE">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一般工业</w:t>
            </w:r>
          </w:p>
          <w:p w14:paraId="273491EE">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固体废物</w:t>
            </w:r>
          </w:p>
        </w:tc>
        <w:tc>
          <w:tcPr>
            <w:tcW w:w="1309" w:type="dxa"/>
            <w:noWrap w:val="0"/>
            <w:vAlign w:val="center"/>
          </w:tcPr>
          <w:p w14:paraId="69A141A9">
            <w:pPr>
              <w:adjustRightInd w:val="0"/>
              <w:snapToGrid w:val="0"/>
              <w:spacing w:line="240" w:lineRule="atLeast"/>
              <w:jc w:val="center"/>
              <w:rPr>
                <w:rFonts w:hint="default" w:ascii="Times New Roman" w:hAnsi="Times New Roman" w:eastAsia="宋体" w:cs="Times New Roman"/>
                <w:color w:val="auto"/>
                <w:kern w:val="2"/>
                <w:sz w:val="21"/>
                <w:szCs w:val="21"/>
                <w:highlight w:val="none"/>
                <w:vertAlign w:val="baseline"/>
                <w:lang w:val="zh-CN" w:eastAsia="zh-CN" w:bidi="ar-SA"/>
              </w:rPr>
            </w:pPr>
            <w:r>
              <w:rPr>
                <w:rFonts w:hint="eastAsia" w:ascii="Times New Roman" w:hAnsi="Times New Roman" w:eastAsia="宋体" w:cs="Times New Roman"/>
                <w:b w:val="0"/>
                <w:bCs w:val="0"/>
                <w:color w:val="auto"/>
                <w:sz w:val="21"/>
                <w:szCs w:val="21"/>
                <w:highlight w:val="none"/>
                <w:lang w:val="en-US" w:eastAsia="zh-CN"/>
              </w:rPr>
              <w:t>废包装材料</w:t>
            </w:r>
          </w:p>
        </w:tc>
        <w:tc>
          <w:tcPr>
            <w:tcW w:w="1380" w:type="dxa"/>
            <w:noWrap w:val="0"/>
            <w:vAlign w:val="center"/>
          </w:tcPr>
          <w:p w14:paraId="03A15853">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82" w:type="dxa"/>
            <w:noWrap w:val="0"/>
            <w:vAlign w:val="center"/>
          </w:tcPr>
          <w:p w14:paraId="70F5D75B">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6AD1954D">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08E3285F">
            <w:pPr>
              <w:pStyle w:val="71"/>
              <w:ind w:firstLine="0" w:firstLineChars="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2</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5FCAA12F">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30" w:type="dxa"/>
            <w:noWrap w:val="0"/>
            <w:vAlign w:val="center"/>
          </w:tcPr>
          <w:p w14:paraId="20D22189">
            <w:pPr>
              <w:pStyle w:val="71"/>
              <w:ind w:firstLine="0" w:firstLineChars="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2</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4BE72F1C">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5B174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580" w:type="dxa"/>
            <w:vMerge w:val="continue"/>
            <w:noWrap w:val="0"/>
            <w:vAlign w:val="center"/>
          </w:tcPr>
          <w:p w14:paraId="4A496E0A">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1CBB5996">
            <w:pPr>
              <w:adjustRightInd w:val="0"/>
              <w:snapToGrid w:val="0"/>
              <w:spacing w:line="240" w:lineRule="atLeast"/>
              <w:jc w:val="center"/>
              <w:rPr>
                <w:rFonts w:hint="eastAsia" w:ascii="Times New Roman" w:hAnsi="Times New Roman" w:eastAsia="宋体" w:cs="Times New Roman"/>
                <w:color w:val="auto"/>
                <w:kern w:val="2"/>
                <w:sz w:val="21"/>
                <w:szCs w:val="21"/>
                <w:highlight w:val="none"/>
                <w:vertAlign w:val="baseline"/>
                <w:lang w:val="zh-CN" w:eastAsia="zh-CN" w:bidi="ar-SA"/>
              </w:rPr>
            </w:pPr>
            <w:r>
              <w:rPr>
                <w:rFonts w:hint="eastAsia" w:ascii="Times New Roman" w:hAnsi="Times New Roman" w:eastAsia="宋体" w:cs="Times New Roman"/>
                <w:b w:val="0"/>
                <w:bCs w:val="0"/>
                <w:color w:val="auto"/>
                <w:sz w:val="21"/>
                <w:szCs w:val="21"/>
                <w:highlight w:val="none"/>
                <w:lang w:val="en-US" w:eastAsia="zh-CN"/>
              </w:rPr>
              <w:t>纯水机耗材</w:t>
            </w:r>
          </w:p>
        </w:tc>
        <w:tc>
          <w:tcPr>
            <w:tcW w:w="1380" w:type="dxa"/>
            <w:noWrap w:val="0"/>
            <w:vAlign w:val="center"/>
          </w:tcPr>
          <w:p w14:paraId="60B6F192">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82" w:type="dxa"/>
            <w:noWrap w:val="0"/>
            <w:vAlign w:val="center"/>
          </w:tcPr>
          <w:p w14:paraId="5AD4BD19">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4C748096">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3BCFABDE">
            <w:pPr>
              <w:pStyle w:val="71"/>
              <w:ind w:firstLine="0" w:firstLineChars="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2</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15F29A38">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30" w:type="dxa"/>
            <w:noWrap w:val="0"/>
            <w:vAlign w:val="center"/>
          </w:tcPr>
          <w:p w14:paraId="39605DB2">
            <w:pPr>
              <w:pStyle w:val="71"/>
              <w:ind w:firstLine="0" w:firstLineChars="0"/>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2</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5FD12096">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16831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80" w:type="dxa"/>
            <w:vMerge w:val="continue"/>
            <w:noWrap w:val="0"/>
            <w:vAlign w:val="center"/>
          </w:tcPr>
          <w:p w14:paraId="63E0E86A">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5F6E1147">
            <w:pPr>
              <w:adjustRightInd w:val="0"/>
              <w:snapToGrid w:val="0"/>
              <w:spacing w:line="24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pacing w:val="0"/>
                <w:sz w:val="21"/>
                <w:szCs w:val="21"/>
                <w:lang w:val="en-US" w:eastAsia="zh-CN"/>
              </w:rPr>
              <w:t>不合格品</w:t>
            </w:r>
          </w:p>
        </w:tc>
        <w:tc>
          <w:tcPr>
            <w:tcW w:w="1380" w:type="dxa"/>
            <w:noWrap w:val="0"/>
            <w:vAlign w:val="center"/>
          </w:tcPr>
          <w:p w14:paraId="53CCDD70">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10</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82" w:type="dxa"/>
            <w:noWrap w:val="0"/>
            <w:vAlign w:val="center"/>
          </w:tcPr>
          <w:p w14:paraId="56D56D4F">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57AF93B6">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5237AB85">
            <w:pPr>
              <w:pStyle w:val="71"/>
              <w:ind w:firstLine="0" w:firstLineChars="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1.45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14396118">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1.45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30" w:type="dxa"/>
            <w:noWrap w:val="0"/>
            <w:vAlign w:val="center"/>
          </w:tcPr>
          <w:p w14:paraId="7FABF4EE">
            <w:pPr>
              <w:pStyle w:val="71"/>
              <w:ind w:firstLine="0" w:firstLineChars="0"/>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1.45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05B380BA">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-8.55</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10397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80" w:type="dxa"/>
            <w:vMerge w:val="continue"/>
            <w:noWrap w:val="0"/>
            <w:vAlign w:val="center"/>
          </w:tcPr>
          <w:p w14:paraId="6F49C62A">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3325AB4D">
            <w:pPr>
              <w:adjustRightInd w:val="0"/>
              <w:snapToGrid w:val="0"/>
              <w:spacing w:line="240" w:lineRule="atLeast"/>
              <w:jc w:val="center"/>
              <w:rPr>
                <w:rFonts w:hint="eastAsia" w:ascii="Times New Roman" w:hAnsi="Times New Roman" w:cs="Times New Roman"/>
                <w:color w:val="auto"/>
                <w:sz w:val="21"/>
                <w:szCs w:val="21"/>
                <w:highlight w:val="none"/>
              </w:rPr>
            </w:pPr>
            <w:r>
              <w:rPr>
                <w:rFonts w:hint="eastAsia" w:cs="Times New Roman"/>
                <w:b w:val="0"/>
                <w:bCs w:val="0"/>
                <w:color w:val="auto"/>
                <w:spacing w:val="0"/>
                <w:sz w:val="21"/>
                <w:szCs w:val="21"/>
                <w:lang w:val="en-US" w:eastAsia="zh-CN"/>
              </w:rPr>
              <w:t>边角料</w:t>
            </w:r>
          </w:p>
        </w:tc>
        <w:tc>
          <w:tcPr>
            <w:tcW w:w="1380" w:type="dxa"/>
            <w:noWrap w:val="0"/>
            <w:vAlign w:val="center"/>
          </w:tcPr>
          <w:p w14:paraId="50CBF2F7">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82" w:type="dxa"/>
            <w:noWrap w:val="0"/>
            <w:vAlign w:val="center"/>
          </w:tcPr>
          <w:p w14:paraId="49E57252">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0D7F8ABC">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1B94E858">
            <w:pPr>
              <w:pStyle w:val="71"/>
              <w:ind w:firstLine="0" w:firstLineChars="0"/>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16.78</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26699383">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30" w:type="dxa"/>
            <w:noWrap w:val="0"/>
            <w:vAlign w:val="center"/>
          </w:tcPr>
          <w:p w14:paraId="1929D7ED">
            <w:pPr>
              <w:pStyle w:val="71"/>
              <w:ind w:firstLine="0" w:firstLineChars="0"/>
              <w:rPr>
                <w:rFonts w:hint="eastAsia"/>
                <w:b w:val="0"/>
                <w:bCs w:val="0"/>
                <w:color w:val="auto"/>
                <w:sz w:val="21"/>
                <w:szCs w:val="21"/>
                <w:highlight w:val="none"/>
                <w:lang w:val="en-US" w:eastAsia="zh-CN"/>
              </w:rPr>
            </w:pPr>
            <w:r>
              <w:rPr>
                <w:rFonts w:hint="eastAsia"/>
                <w:b w:val="0"/>
                <w:bCs w:val="0"/>
                <w:color w:val="auto"/>
                <w:sz w:val="21"/>
                <w:szCs w:val="21"/>
                <w:highlight w:val="none"/>
                <w:lang w:val="en-US" w:eastAsia="zh-CN"/>
              </w:rPr>
              <w:t>16.78</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6DD9DB38">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+15.28</w:t>
            </w:r>
            <w:r>
              <w:rPr>
                <w:rFonts w:hint="eastAsia" w:ascii="Times New Roman" w:hAnsi="Times New Roman" w:eastAsia="宋体" w:cs="Times New Roman"/>
                <w:color w:val="auto"/>
                <w:kern w:val="2"/>
                <w:sz w:val="21"/>
                <w:szCs w:val="21"/>
                <w:highlight w:val="none"/>
                <w:vertAlign w:val="baseline"/>
                <w:lang w:val="en-US" w:eastAsia="zh-CN" w:bidi="ar-SA"/>
              </w:rPr>
              <w:t>t/a</w:t>
            </w:r>
          </w:p>
        </w:tc>
      </w:tr>
      <w:tr w14:paraId="29D9A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580" w:type="dxa"/>
            <w:vMerge w:val="restart"/>
            <w:noWrap w:val="0"/>
            <w:vAlign w:val="center"/>
          </w:tcPr>
          <w:p w14:paraId="1919BB92">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危险废物</w:t>
            </w:r>
          </w:p>
        </w:tc>
        <w:tc>
          <w:tcPr>
            <w:tcW w:w="1309" w:type="dxa"/>
            <w:noWrap w:val="0"/>
            <w:vAlign w:val="center"/>
          </w:tcPr>
          <w:p w14:paraId="35CD8607">
            <w:pPr>
              <w:adjustRightInd w:val="0"/>
              <w:snapToGrid w:val="0"/>
              <w:spacing w:line="24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b w:val="0"/>
                <w:bCs w:val="0"/>
                <w:color w:val="auto"/>
                <w:spacing w:val="0"/>
                <w:sz w:val="21"/>
                <w:szCs w:val="21"/>
                <w:lang w:val="en-US" w:eastAsia="zh-CN"/>
              </w:rPr>
              <w:t>实验废液</w:t>
            </w:r>
          </w:p>
        </w:tc>
        <w:tc>
          <w:tcPr>
            <w:tcW w:w="1380" w:type="dxa"/>
            <w:noWrap w:val="0"/>
            <w:vAlign w:val="center"/>
          </w:tcPr>
          <w:p w14:paraId="39FE843A">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82" w:type="dxa"/>
            <w:noWrap w:val="0"/>
            <w:vAlign w:val="center"/>
          </w:tcPr>
          <w:p w14:paraId="2B2161EB">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5B3F67EE">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60B9682E">
            <w:pPr>
              <w:pStyle w:val="71"/>
              <w:ind w:firstLine="0" w:firstLineChars="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345AF4C0">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30" w:type="dxa"/>
            <w:noWrap w:val="0"/>
            <w:vAlign w:val="center"/>
          </w:tcPr>
          <w:p w14:paraId="6C682A4F">
            <w:pPr>
              <w:pStyle w:val="71"/>
              <w:ind w:firstLine="0" w:firstLineChars="0"/>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767B1289">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r>
      <w:tr w14:paraId="699A1D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580" w:type="dxa"/>
            <w:vMerge w:val="continue"/>
            <w:noWrap w:val="0"/>
            <w:vAlign w:val="center"/>
          </w:tcPr>
          <w:p w14:paraId="358F2D7C">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179DC1C4">
            <w:pPr>
              <w:adjustRightInd w:val="0"/>
              <w:snapToGrid w:val="0"/>
              <w:spacing w:line="24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废油墨桶</w:t>
            </w:r>
          </w:p>
        </w:tc>
        <w:tc>
          <w:tcPr>
            <w:tcW w:w="1380" w:type="dxa"/>
            <w:noWrap w:val="0"/>
            <w:vAlign w:val="center"/>
          </w:tcPr>
          <w:p w14:paraId="6A8356EF">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82" w:type="dxa"/>
            <w:noWrap w:val="0"/>
            <w:vAlign w:val="center"/>
          </w:tcPr>
          <w:p w14:paraId="1C12CFC1">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772C9362">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2E9283CA">
            <w:pPr>
              <w:pStyle w:val="71"/>
              <w:ind w:firstLine="0" w:firstLineChars="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0.004</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2A9D0AC9">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430" w:type="dxa"/>
            <w:noWrap w:val="0"/>
            <w:vAlign w:val="center"/>
          </w:tcPr>
          <w:p w14:paraId="66705E7A">
            <w:pPr>
              <w:pStyle w:val="71"/>
              <w:ind w:firstLine="0" w:firstLineChars="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0.004</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49C9C512">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r>
      <w:tr w14:paraId="7CDDC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580" w:type="dxa"/>
            <w:vMerge w:val="continue"/>
            <w:noWrap w:val="0"/>
            <w:vAlign w:val="center"/>
          </w:tcPr>
          <w:p w14:paraId="5AA55E44">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547DCF05">
            <w:pPr>
              <w:adjustRightInd w:val="0"/>
              <w:snapToGrid w:val="0"/>
              <w:spacing w:line="24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废热熔胶桶</w:t>
            </w:r>
          </w:p>
        </w:tc>
        <w:tc>
          <w:tcPr>
            <w:tcW w:w="1380" w:type="dxa"/>
            <w:noWrap w:val="0"/>
            <w:vAlign w:val="center"/>
          </w:tcPr>
          <w:p w14:paraId="3E2541AA">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82" w:type="dxa"/>
            <w:noWrap w:val="0"/>
            <w:vAlign w:val="center"/>
          </w:tcPr>
          <w:p w14:paraId="4AE42CB5">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3809C031">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75EA9BA7">
            <w:pPr>
              <w:pStyle w:val="71"/>
              <w:ind w:firstLine="0" w:firstLineChars="0"/>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0.06</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323AB2A3">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430" w:type="dxa"/>
            <w:noWrap w:val="0"/>
            <w:vAlign w:val="center"/>
          </w:tcPr>
          <w:p w14:paraId="1351C949">
            <w:pPr>
              <w:pStyle w:val="71"/>
              <w:ind w:firstLine="0" w:firstLineChars="0"/>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0.06</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085FEBA9">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r>
      <w:tr w14:paraId="0F4C98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580" w:type="dxa"/>
            <w:vMerge w:val="continue"/>
            <w:noWrap w:val="0"/>
            <w:vAlign w:val="center"/>
          </w:tcPr>
          <w:p w14:paraId="1D8AB528">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203C7DF3">
            <w:pPr>
              <w:adjustRightInd w:val="0"/>
              <w:snapToGrid w:val="0"/>
              <w:spacing w:line="240" w:lineRule="atLeast"/>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废矿物油</w:t>
            </w:r>
          </w:p>
        </w:tc>
        <w:tc>
          <w:tcPr>
            <w:tcW w:w="1380" w:type="dxa"/>
            <w:noWrap w:val="0"/>
            <w:vAlign w:val="center"/>
          </w:tcPr>
          <w:p w14:paraId="1C0C4D3E">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0.05</w:t>
            </w:r>
          </w:p>
        </w:tc>
        <w:tc>
          <w:tcPr>
            <w:tcW w:w="1682" w:type="dxa"/>
            <w:noWrap w:val="0"/>
            <w:vAlign w:val="center"/>
          </w:tcPr>
          <w:p w14:paraId="732F380E">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285A3D1C">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0E8C4018">
            <w:pPr>
              <w:pStyle w:val="71"/>
              <w:ind w:firstLine="0" w:firstLineChars="0"/>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0.05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78A6CA63">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0.05</w:t>
            </w:r>
          </w:p>
        </w:tc>
        <w:tc>
          <w:tcPr>
            <w:tcW w:w="1430" w:type="dxa"/>
            <w:noWrap w:val="0"/>
            <w:vAlign w:val="center"/>
          </w:tcPr>
          <w:p w14:paraId="3F938550">
            <w:pPr>
              <w:pStyle w:val="71"/>
              <w:ind w:firstLine="0" w:firstLineChars="0"/>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0.05</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1866CE3D">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w:t>
            </w:r>
          </w:p>
        </w:tc>
      </w:tr>
      <w:tr w14:paraId="12020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580" w:type="dxa"/>
            <w:vMerge w:val="continue"/>
            <w:noWrap w:val="0"/>
            <w:vAlign w:val="center"/>
          </w:tcPr>
          <w:p w14:paraId="54D694B3">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175A07D4">
            <w:pPr>
              <w:adjustRightInd w:val="0"/>
              <w:snapToGrid w:val="0"/>
              <w:spacing w:line="240" w:lineRule="atLeast"/>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废矿物油桶</w:t>
            </w:r>
          </w:p>
        </w:tc>
        <w:tc>
          <w:tcPr>
            <w:tcW w:w="1380" w:type="dxa"/>
            <w:noWrap w:val="0"/>
            <w:vAlign w:val="center"/>
          </w:tcPr>
          <w:p w14:paraId="6DD9C820">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r>
              <w:rPr>
                <w:rFonts w:hint="eastAsia" w:cs="Times New Roman"/>
                <w:color w:val="auto"/>
                <w:kern w:val="2"/>
                <w:sz w:val="21"/>
                <w:szCs w:val="21"/>
                <w:highlight w:val="none"/>
                <w:vertAlign w:val="baseline"/>
                <w:lang w:val="en-US" w:eastAsia="zh-CN" w:bidi="ar-SA"/>
              </w:rPr>
              <w:t>.1</w:t>
            </w:r>
          </w:p>
        </w:tc>
        <w:tc>
          <w:tcPr>
            <w:tcW w:w="1682" w:type="dxa"/>
            <w:noWrap w:val="0"/>
            <w:vAlign w:val="center"/>
          </w:tcPr>
          <w:p w14:paraId="61C25F16">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2D86259B">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5C8948A6">
            <w:pPr>
              <w:pStyle w:val="71"/>
              <w:ind w:firstLine="0" w:firstLineChars="0"/>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0.1</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09B61064">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r>
              <w:rPr>
                <w:rFonts w:hint="eastAsia" w:cs="Times New Roman"/>
                <w:color w:val="auto"/>
                <w:kern w:val="2"/>
                <w:sz w:val="21"/>
                <w:szCs w:val="21"/>
                <w:highlight w:val="none"/>
                <w:vertAlign w:val="baseline"/>
                <w:lang w:val="en-US" w:eastAsia="zh-CN" w:bidi="ar-SA"/>
              </w:rPr>
              <w:t>.1</w:t>
            </w:r>
          </w:p>
        </w:tc>
        <w:tc>
          <w:tcPr>
            <w:tcW w:w="1430" w:type="dxa"/>
            <w:noWrap w:val="0"/>
            <w:vAlign w:val="center"/>
          </w:tcPr>
          <w:p w14:paraId="78F48A84">
            <w:pPr>
              <w:pStyle w:val="71"/>
              <w:ind w:firstLine="0" w:firstLineChars="0"/>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b w:val="0"/>
                <w:bCs w:val="0"/>
                <w:color w:val="auto"/>
                <w:sz w:val="21"/>
                <w:szCs w:val="21"/>
                <w:highlight w:val="none"/>
                <w:lang w:val="en-US" w:eastAsia="zh-CN"/>
              </w:rPr>
              <w:t>0.1</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4B20E829">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0</w:t>
            </w:r>
          </w:p>
        </w:tc>
      </w:tr>
      <w:tr w14:paraId="43043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580" w:type="dxa"/>
            <w:vMerge w:val="continue"/>
            <w:noWrap w:val="0"/>
            <w:vAlign w:val="center"/>
          </w:tcPr>
          <w:p w14:paraId="0CE63C73">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p>
        </w:tc>
        <w:tc>
          <w:tcPr>
            <w:tcW w:w="1309" w:type="dxa"/>
            <w:noWrap w:val="0"/>
            <w:vAlign w:val="center"/>
          </w:tcPr>
          <w:p w14:paraId="5927DBFE">
            <w:pPr>
              <w:adjustRightInd w:val="0"/>
              <w:snapToGrid w:val="0"/>
              <w:spacing w:line="240" w:lineRule="atLeast"/>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b w:val="0"/>
                <w:bCs w:val="0"/>
                <w:color w:val="auto"/>
                <w:sz w:val="21"/>
                <w:szCs w:val="21"/>
                <w:highlight w:val="none"/>
                <w:lang w:val="en-US" w:eastAsia="zh-CN"/>
              </w:rPr>
              <w:t>废含油抹布及手套</w:t>
            </w:r>
          </w:p>
        </w:tc>
        <w:tc>
          <w:tcPr>
            <w:tcW w:w="1380" w:type="dxa"/>
            <w:noWrap w:val="0"/>
            <w:vAlign w:val="center"/>
          </w:tcPr>
          <w:p w14:paraId="4C938692">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82" w:type="dxa"/>
            <w:noWrap w:val="0"/>
            <w:vAlign w:val="center"/>
          </w:tcPr>
          <w:p w14:paraId="7CA75755">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40ACC994">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63C4E9E5">
            <w:pPr>
              <w:tabs>
                <w:tab w:val="right" w:pos="7832"/>
              </w:tabs>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0.02</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690" w:type="dxa"/>
            <w:noWrap w:val="0"/>
            <w:vAlign w:val="center"/>
          </w:tcPr>
          <w:p w14:paraId="24113FF6">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430" w:type="dxa"/>
            <w:noWrap w:val="0"/>
            <w:vAlign w:val="center"/>
          </w:tcPr>
          <w:p w14:paraId="6C2DA050">
            <w:pPr>
              <w:tabs>
                <w:tab w:val="right" w:pos="7832"/>
              </w:tabs>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0.02</w:t>
            </w:r>
            <w:r>
              <w:rPr>
                <w:rFonts w:hint="eastAsia" w:ascii="Times New Roman" w:hAnsi="Times New Roman" w:eastAsia="宋体" w:cs="Times New Roman"/>
                <w:color w:val="auto"/>
                <w:kern w:val="2"/>
                <w:sz w:val="21"/>
                <w:szCs w:val="21"/>
                <w:highlight w:val="none"/>
                <w:vertAlign w:val="baseline"/>
                <w:lang w:val="en-US" w:eastAsia="zh-CN" w:bidi="ar-SA"/>
              </w:rPr>
              <w:t>t/a</w:t>
            </w:r>
          </w:p>
        </w:tc>
        <w:tc>
          <w:tcPr>
            <w:tcW w:w="1403" w:type="dxa"/>
            <w:noWrap w:val="0"/>
            <w:vAlign w:val="center"/>
          </w:tcPr>
          <w:p w14:paraId="7F0D0F4C">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0</w:t>
            </w:r>
          </w:p>
        </w:tc>
      </w:tr>
      <w:tr w14:paraId="3E0ED4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580" w:type="dxa"/>
            <w:noWrap w:val="0"/>
            <w:vAlign w:val="center"/>
          </w:tcPr>
          <w:p w14:paraId="583990A5">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生活垃圾</w:t>
            </w:r>
          </w:p>
        </w:tc>
        <w:tc>
          <w:tcPr>
            <w:tcW w:w="1309" w:type="dxa"/>
            <w:noWrap w:val="0"/>
            <w:vAlign w:val="center"/>
          </w:tcPr>
          <w:p w14:paraId="754B23AF">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生活垃圾</w:t>
            </w:r>
          </w:p>
        </w:tc>
        <w:tc>
          <w:tcPr>
            <w:tcW w:w="1380" w:type="dxa"/>
            <w:noWrap w:val="0"/>
            <w:vAlign w:val="center"/>
          </w:tcPr>
          <w:p w14:paraId="60969CF9">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w:t>
            </w:r>
          </w:p>
        </w:tc>
        <w:tc>
          <w:tcPr>
            <w:tcW w:w="1682" w:type="dxa"/>
            <w:noWrap w:val="0"/>
            <w:vAlign w:val="center"/>
          </w:tcPr>
          <w:p w14:paraId="27C430C3">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692" w:type="dxa"/>
            <w:noWrap w:val="0"/>
            <w:vAlign w:val="center"/>
          </w:tcPr>
          <w:p w14:paraId="21D707EC">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w:t>
            </w:r>
          </w:p>
        </w:tc>
        <w:tc>
          <w:tcPr>
            <w:tcW w:w="1551" w:type="dxa"/>
            <w:noWrap w:val="0"/>
            <w:vAlign w:val="center"/>
          </w:tcPr>
          <w:p w14:paraId="6BF03A0E">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5.25t/a</w:t>
            </w:r>
          </w:p>
        </w:tc>
        <w:tc>
          <w:tcPr>
            <w:tcW w:w="1690" w:type="dxa"/>
            <w:noWrap w:val="0"/>
            <w:vAlign w:val="center"/>
          </w:tcPr>
          <w:p w14:paraId="269D1B08">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3</w:t>
            </w:r>
          </w:p>
        </w:tc>
        <w:tc>
          <w:tcPr>
            <w:tcW w:w="1430" w:type="dxa"/>
            <w:noWrap w:val="0"/>
            <w:vAlign w:val="center"/>
          </w:tcPr>
          <w:p w14:paraId="2E8BF4AC">
            <w:pPr>
              <w:widowControl w:val="0"/>
              <w:autoSpaceDE w:val="0"/>
              <w:autoSpaceDN w:val="0"/>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5.25t/a</w:t>
            </w:r>
          </w:p>
        </w:tc>
        <w:tc>
          <w:tcPr>
            <w:tcW w:w="1403" w:type="dxa"/>
            <w:noWrap w:val="0"/>
            <w:vAlign w:val="center"/>
          </w:tcPr>
          <w:p w14:paraId="652D3B9D">
            <w:pPr>
              <w:widowControl w:val="0"/>
              <w:autoSpaceDE w:val="0"/>
              <w:autoSpaceDN w:val="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+2.25</w:t>
            </w:r>
            <w:r>
              <w:rPr>
                <w:rFonts w:hint="eastAsia" w:ascii="Times New Roman" w:hAnsi="Times New Roman" w:eastAsia="宋体" w:cs="Times New Roman"/>
                <w:color w:val="auto"/>
                <w:kern w:val="2"/>
                <w:sz w:val="21"/>
                <w:szCs w:val="21"/>
                <w:highlight w:val="none"/>
                <w:vertAlign w:val="baseline"/>
                <w:lang w:val="en-US" w:eastAsia="zh-CN" w:bidi="ar-SA"/>
              </w:rPr>
              <w:t>t/a</w:t>
            </w:r>
          </w:p>
        </w:tc>
      </w:tr>
    </w:tbl>
    <w:p w14:paraId="3BE60E36">
      <w:pPr>
        <w:pStyle w:val="52"/>
        <w:spacing w:before="192" w:beforeLines="80" w:after="24"/>
        <w:jc w:val="left"/>
        <w:rPr>
          <w:color w:val="auto"/>
        </w:r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int="eastAsia"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int="eastAsia" w:hAnsi="宋体"/>
          <w:color w:val="auto"/>
          <w:szCs w:val="21"/>
          <w:highlight w:val="none"/>
        </w:rPr>
        <w:t>①</w:t>
      </w:r>
      <w:r>
        <w:rPr>
          <w:rFonts w:hAnsi="宋体"/>
          <w:snapToGrid w:val="0"/>
          <w:color w:val="auto"/>
          <w:spacing w:val="-6"/>
          <w:kern w:val="21"/>
          <w:szCs w:val="21"/>
          <w:highlight w:val="none"/>
        </w:rPr>
        <w:fldChar w:fldCharType="end"/>
      </w:r>
    </w:p>
    <w:p w14:paraId="03058FE2">
      <w:pPr>
        <w:rPr>
          <w:color w:val="auto"/>
        </w:rPr>
      </w:pPr>
    </w:p>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领航环保" w:date="2024-10-18T15:56:11Z" w:initials="">
    <w:p w14:paraId="6D345FF9">
      <w:pPr>
        <w:pStyle w:val="9"/>
      </w:pPr>
      <w:r>
        <w:rPr>
          <w:rFonts w:hint="eastAsia" w:ascii="宋体" w:hAnsi="宋体" w:eastAsia="宋体" w:cs="宋体"/>
          <w:color w:val="000000"/>
          <w:kern w:val="0"/>
          <w:sz w:val="24"/>
          <w:szCs w:val="24"/>
          <w:lang w:val="en-US" w:eastAsia="zh-CN" w:bidi="ar"/>
        </w:rPr>
        <w:t>进一步核实本项目建设性质（是否属于新建项目）。</w:t>
      </w:r>
    </w:p>
  </w:comment>
  <w:comment w:id="1" w:author="领航环保" w:date="2024-10-14T09:14:04Z" w:initials="">
    <w:p w14:paraId="1F449E66">
      <w:pPr>
        <w:keepNext w:val="0"/>
        <w:keepLines w:val="0"/>
        <w:widowControl/>
        <w:suppressLineNumbers w:val="0"/>
        <w:jc w:val="left"/>
      </w:pPr>
      <w:r>
        <w:rPr>
          <w:rFonts w:hint="eastAsia" w:ascii="宋体" w:hAnsi="宋体" w:eastAsia="宋体" w:cs="宋体"/>
          <w:color w:val="000000"/>
          <w:kern w:val="0"/>
          <w:sz w:val="24"/>
          <w:szCs w:val="24"/>
          <w:lang w:val="en-US" w:eastAsia="zh-CN" w:bidi="ar"/>
        </w:rPr>
        <w:t>补充项目与庐山市国土空间规划分析</w:t>
      </w:r>
    </w:p>
  </w:comment>
  <w:comment w:id="2" w:author="领航环保" w:date="2024-09-24T15:31:18Z" w:initials="">
    <w:p w14:paraId="09C3F4A0">
      <w:pPr>
        <w:pStyle w:val="11"/>
        <w:keepNext w:val="0"/>
        <w:keepLines w:val="0"/>
        <w:pageBreakBefore w:val="0"/>
        <w:widowControl w:val="0"/>
        <w:kinsoku/>
        <w:wordWrap/>
        <w:overflowPunct/>
        <w:topLinePunct w:val="0"/>
        <w:autoSpaceDE/>
        <w:autoSpaceDN/>
        <w:bidi w:val="0"/>
        <w:adjustRightInd/>
        <w:snapToGrid/>
        <w:spacing w:line="400" w:lineRule="exact"/>
        <w:ind w:firstLine="351" w:firstLineChars="0"/>
        <w:jc w:val="left"/>
        <w:textAlignment w:val="auto"/>
        <w:outlineLvl w:val="9"/>
      </w:pPr>
      <w:r>
        <w:rPr>
          <w:rFonts w:hint="eastAsia" w:ascii="仿宋_GB2312" w:hAnsi="仿宋_GB2312" w:eastAsia="仿宋_GB2312" w:cs="仿宋_GB2312"/>
          <w:sz w:val="28"/>
          <w:szCs w:val="28"/>
          <w:lang w:val="en-US" w:eastAsia="zh-CN"/>
        </w:rPr>
        <w:t>1、根据项目所在片区产业定位，结合规划环评、规划环评批复及园区负面清单，进一步论证项目选址合理性。</w:t>
      </w:r>
    </w:p>
  </w:comment>
  <w:comment w:id="3" w:author="领航环保" w:date="2024-10-14T10:26:11Z" w:initials="">
    <w:p w14:paraId="16E0A8E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细化项目与《重点行业挥发性有机物综合治理方案》分析，核实相关描述（很多原辅料涉及 </w:t>
      </w:r>
      <w:r>
        <w:rPr>
          <w:rFonts w:hint="default" w:ascii="Times New Roman" w:hAnsi="Times New Roman" w:eastAsia="宋体" w:cs="Times New Roman"/>
          <w:color w:val="000000"/>
          <w:kern w:val="0"/>
          <w:sz w:val="24"/>
          <w:szCs w:val="24"/>
          <w:lang w:val="en-US" w:eastAsia="zh-CN" w:bidi="ar"/>
        </w:rPr>
        <w:t>VOCs</w:t>
      </w:r>
      <w:r>
        <w:rPr>
          <w:rFonts w:hint="eastAsia" w:ascii="宋体" w:hAnsi="宋体" w:eastAsia="宋体" w:cs="宋体"/>
          <w:color w:val="000000"/>
          <w:kern w:val="0"/>
          <w:sz w:val="24"/>
          <w:szCs w:val="24"/>
          <w:lang w:val="en-US" w:eastAsia="zh-CN" w:bidi="ar"/>
        </w:rPr>
        <w:t>，不仅仅热熔胶、喷码油墨）</w:t>
      </w:r>
    </w:p>
  </w:comment>
  <w:comment w:id="4" w:author="领航环保" w:date="2024-10-17T11:18:55Z" w:initials="">
    <w:p w14:paraId="39DD9018">
      <w:pPr>
        <w:keepNext w:val="0"/>
        <w:keepLines w:val="0"/>
        <w:widowControl/>
        <w:suppressLineNumbers w:val="0"/>
        <w:jc w:val="left"/>
      </w:pPr>
      <w:r>
        <w:rPr>
          <w:rFonts w:hint="eastAsia" w:ascii="宋体" w:hAnsi="宋体" w:eastAsia="宋体" w:cs="宋体"/>
          <w:color w:val="000000"/>
          <w:kern w:val="0"/>
          <w:sz w:val="24"/>
          <w:szCs w:val="24"/>
          <w:lang w:val="en-US" w:eastAsia="zh-CN" w:bidi="ar"/>
        </w:rPr>
        <w:t>完善与九江市生态环境总体准入要求分析；</w:t>
      </w:r>
    </w:p>
  </w:comment>
  <w:comment w:id="5" w:author="领航环保" w:date="2024-10-15T17:19:46Z" w:initials="">
    <w:p w14:paraId="4A2DCBD8">
      <w:pPr>
        <w:pStyle w:val="9"/>
        <w:rPr>
          <w:color w:val="auto"/>
        </w:rPr>
      </w:pPr>
      <w:r>
        <w:rPr>
          <w:rFonts w:hint="eastAsia" w:ascii="仿宋_GB2312" w:hAnsi="仿宋_GB2312" w:eastAsia="仿宋_GB2312" w:cs="仿宋_GB2312"/>
          <w:color w:val="auto"/>
          <w:sz w:val="28"/>
          <w:szCs w:val="28"/>
          <w:lang w:val="en-US" w:eastAsia="zh-CN"/>
        </w:rPr>
        <w:t>核实项目建设内容，P35环保工程中是否有设备清洗废水</w:t>
      </w:r>
    </w:p>
  </w:comment>
  <w:comment w:id="6" w:author="领航环保" w:date="2024-10-17T15:41:08Z" w:initials="">
    <w:p w14:paraId="65C081E6">
      <w:pPr>
        <w:pStyle w:val="9"/>
      </w:pPr>
      <w:r>
        <w:rPr>
          <w:rFonts w:hint="eastAsia" w:ascii="仿宋_GB2312" w:hAnsi="仿宋_GB2312" w:eastAsia="仿宋_GB2312" w:cs="仿宋_GB2312"/>
          <w:sz w:val="28"/>
          <w:szCs w:val="28"/>
          <w:lang w:val="en-US" w:eastAsia="zh-CN"/>
        </w:rPr>
        <w:t>另外补充本次变更依托现有的可行性及合理性。</w:t>
      </w:r>
    </w:p>
  </w:comment>
  <w:comment w:id="7" w:author="领航环保" w:date="2024-10-17T15:18:42Z" w:initials="">
    <w:p w14:paraId="79A27D6D">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核实原辅料包装形式；</w:t>
      </w:r>
    </w:p>
  </w:comment>
  <w:comment w:id="8" w:author="领航环保" w:date="2024-09-25T14:55:57Z" w:initials="">
    <w:p w14:paraId="6126A616">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核实原辅料种类及数量（例如壳聚糖止血粉总产量为 </w:t>
      </w:r>
      <w:r>
        <w:rPr>
          <w:rFonts w:hint="default" w:ascii="Times New Roman" w:hAnsi="Times New Roman" w:eastAsia="宋体" w:cs="Times New Roman"/>
          <w:color w:val="000000"/>
          <w:kern w:val="0"/>
          <w:sz w:val="28"/>
          <w:szCs w:val="28"/>
          <w:lang w:val="en-US" w:eastAsia="zh-CN" w:bidi="ar"/>
        </w:rPr>
        <w:t xml:space="preserve">1g </w:t>
      </w:r>
      <w:r>
        <w:rPr>
          <w:rFonts w:hint="eastAsia" w:ascii="宋体" w:hAnsi="宋体" w:eastAsia="宋体" w:cs="宋体"/>
          <w:color w:val="000000"/>
          <w:kern w:val="0"/>
          <w:sz w:val="28"/>
          <w:szCs w:val="28"/>
          <w:lang w:val="en-US" w:eastAsia="zh-CN" w:bidi="ar"/>
        </w:rPr>
        <w:t xml:space="preserve">瓶装的 </w:t>
      </w:r>
      <w:r>
        <w:rPr>
          <w:rFonts w:hint="default" w:ascii="Times New Roman" w:hAnsi="Times New Roman" w:eastAsia="宋体" w:cs="Times New Roman"/>
          <w:color w:val="000000"/>
          <w:kern w:val="0"/>
          <w:sz w:val="28"/>
          <w:szCs w:val="28"/>
          <w:lang w:val="en-US" w:eastAsia="zh-CN" w:bidi="ar"/>
        </w:rPr>
        <w:t xml:space="preserve">100 </w:t>
      </w:r>
      <w:r>
        <w:rPr>
          <w:rFonts w:hint="eastAsia" w:ascii="宋体" w:hAnsi="宋体" w:eastAsia="宋体" w:cs="宋体"/>
          <w:color w:val="000000"/>
          <w:kern w:val="0"/>
          <w:sz w:val="28"/>
          <w:szCs w:val="28"/>
          <w:lang w:val="en-US" w:eastAsia="zh-CN" w:bidi="ar"/>
        </w:rPr>
        <w:t>万瓶、</w:t>
      </w:r>
      <w:r>
        <w:rPr>
          <w:rFonts w:hint="default" w:ascii="Times New Roman" w:hAnsi="Times New Roman" w:eastAsia="宋体" w:cs="Times New Roman"/>
          <w:color w:val="000000"/>
          <w:kern w:val="0"/>
          <w:sz w:val="28"/>
          <w:szCs w:val="28"/>
          <w:lang w:val="en-US" w:eastAsia="zh-CN" w:bidi="ar"/>
        </w:rPr>
        <w:t xml:space="preserve">3g </w:t>
      </w:r>
      <w:r>
        <w:rPr>
          <w:rFonts w:hint="eastAsia" w:ascii="宋体" w:hAnsi="宋体" w:eastAsia="宋体" w:cs="宋体"/>
          <w:color w:val="000000"/>
          <w:kern w:val="0"/>
          <w:sz w:val="28"/>
          <w:szCs w:val="28"/>
          <w:lang w:val="en-US" w:eastAsia="zh-CN" w:bidi="ar"/>
        </w:rPr>
        <w:t xml:space="preserve">袋装的 </w:t>
      </w:r>
      <w:r>
        <w:rPr>
          <w:rFonts w:hint="default" w:ascii="Times New Roman" w:hAnsi="Times New Roman" w:eastAsia="宋体" w:cs="Times New Roman"/>
          <w:color w:val="000000"/>
          <w:kern w:val="0"/>
          <w:sz w:val="28"/>
          <w:szCs w:val="28"/>
          <w:lang w:val="en-US" w:eastAsia="zh-CN" w:bidi="ar"/>
        </w:rPr>
        <w:t xml:space="preserve">100 </w:t>
      </w:r>
      <w:r>
        <w:rPr>
          <w:rFonts w:hint="eastAsia" w:ascii="宋体" w:hAnsi="宋体" w:eastAsia="宋体" w:cs="宋体"/>
          <w:color w:val="000000"/>
          <w:kern w:val="0"/>
          <w:sz w:val="28"/>
          <w:szCs w:val="28"/>
          <w:lang w:val="en-US" w:eastAsia="zh-CN" w:bidi="ar"/>
        </w:rPr>
        <w:t xml:space="preserve">万瓶，合计需要壳聚糖 </w:t>
      </w:r>
      <w:r>
        <w:rPr>
          <w:rFonts w:hint="default" w:ascii="Times New Roman" w:hAnsi="Times New Roman" w:eastAsia="宋体" w:cs="Times New Roman"/>
          <w:color w:val="000000"/>
          <w:kern w:val="0"/>
          <w:sz w:val="28"/>
          <w:szCs w:val="28"/>
          <w:lang w:val="en-US" w:eastAsia="zh-CN" w:bidi="ar"/>
        </w:rPr>
        <w:t xml:space="preserve">4 </w:t>
      </w:r>
      <w:r>
        <w:rPr>
          <w:rFonts w:hint="eastAsia" w:ascii="宋体" w:hAnsi="宋体" w:eastAsia="宋体" w:cs="宋体"/>
          <w:color w:val="000000"/>
          <w:kern w:val="0"/>
          <w:sz w:val="28"/>
          <w:szCs w:val="28"/>
          <w:lang w:val="en-US" w:eastAsia="zh-CN" w:bidi="ar"/>
        </w:rPr>
        <w:t>吨；</w:t>
      </w:r>
      <w:r>
        <w:rPr>
          <w:rFonts w:hint="default" w:ascii="Times New Roman" w:hAnsi="Times New Roman" w:eastAsia="宋体" w:cs="Times New Roman"/>
          <w:color w:val="000000"/>
          <w:kern w:val="0"/>
          <w:sz w:val="28"/>
          <w:szCs w:val="28"/>
          <w:lang w:val="en-US" w:eastAsia="zh-CN" w:bidi="ar"/>
        </w:rPr>
        <w:t>1%</w:t>
      </w:r>
      <w:r>
        <w:rPr>
          <w:rFonts w:hint="eastAsia" w:ascii="宋体" w:hAnsi="宋体" w:eastAsia="宋体" w:cs="宋体"/>
          <w:color w:val="000000"/>
          <w:kern w:val="0"/>
          <w:sz w:val="28"/>
          <w:szCs w:val="28"/>
          <w:lang w:val="en-US" w:eastAsia="zh-CN" w:bidi="ar"/>
        </w:rPr>
        <w:t xml:space="preserve">新洁尔灭溶液和医用 </w:t>
      </w:r>
      <w:r>
        <w:rPr>
          <w:rFonts w:hint="default" w:ascii="Times New Roman" w:hAnsi="Times New Roman" w:eastAsia="宋体" w:cs="Times New Roman"/>
          <w:color w:val="000000"/>
          <w:kern w:val="0"/>
          <w:sz w:val="28"/>
          <w:szCs w:val="28"/>
          <w:lang w:val="en-US" w:eastAsia="zh-CN" w:bidi="ar"/>
        </w:rPr>
        <w:t>75%</w:t>
      </w:r>
      <w:r>
        <w:rPr>
          <w:rFonts w:hint="eastAsia" w:ascii="宋体" w:hAnsi="宋体" w:eastAsia="宋体" w:cs="宋体"/>
          <w:color w:val="000000"/>
          <w:kern w:val="0"/>
          <w:sz w:val="28"/>
          <w:szCs w:val="28"/>
          <w:lang w:val="en-US" w:eastAsia="zh-CN" w:bidi="ar"/>
        </w:rPr>
        <w:t>酒精未统计）</w:t>
      </w:r>
    </w:p>
  </w:comment>
  <w:comment w:id="9" w:author="领航环保" w:date="2024-09-25T15:02:27Z" w:initials="">
    <w:p w14:paraId="26AA6E39">
      <w:pPr>
        <w:keepNext w:val="0"/>
        <w:keepLines w:val="0"/>
        <w:widowControl/>
        <w:suppressLineNumbers w:val="0"/>
        <w:jc w:val="left"/>
      </w:pPr>
      <w:r>
        <w:rPr>
          <w:rFonts w:hint="eastAsia" w:ascii="宋体" w:hAnsi="宋体" w:eastAsia="宋体" w:cs="宋体"/>
          <w:color w:val="000000"/>
          <w:kern w:val="0"/>
          <w:sz w:val="28"/>
          <w:szCs w:val="28"/>
          <w:lang w:val="en-US" w:eastAsia="zh-CN" w:bidi="ar"/>
        </w:rPr>
        <w:t xml:space="preserve">核实原辅料种类及数量（例如壳聚糖止血粉总产量为 </w:t>
      </w:r>
      <w:r>
        <w:rPr>
          <w:rFonts w:hint="default" w:ascii="Times New Roman" w:hAnsi="Times New Roman" w:eastAsia="宋体" w:cs="Times New Roman"/>
          <w:color w:val="000000"/>
          <w:kern w:val="0"/>
          <w:sz w:val="28"/>
          <w:szCs w:val="28"/>
          <w:lang w:val="en-US" w:eastAsia="zh-CN" w:bidi="ar"/>
        </w:rPr>
        <w:t xml:space="preserve">1g </w:t>
      </w:r>
      <w:r>
        <w:rPr>
          <w:rFonts w:hint="eastAsia" w:ascii="宋体" w:hAnsi="宋体" w:eastAsia="宋体" w:cs="宋体"/>
          <w:color w:val="000000"/>
          <w:kern w:val="0"/>
          <w:sz w:val="28"/>
          <w:szCs w:val="28"/>
          <w:lang w:val="en-US" w:eastAsia="zh-CN" w:bidi="ar"/>
        </w:rPr>
        <w:t xml:space="preserve">瓶装的 </w:t>
      </w:r>
      <w:r>
        <w:rPr>
          <w:rFonts w:hint="default" w:ascii="Times New Roman" w:hAnsi="Times New Roman" w:eastAsia="宋体" w:cs="Times New Roman"/>
          <w:color w:val="000000"/>
          <w:kern w:val="0"/>
          <w:sz w:val="28"/>
          <w:szCs w:val="28"/>
          <w:lang w:val="en-US" w:eastAsia="zh-CN" w:bidi="ar"/>
        </w:rPr>
        <w:t xml:space="preserve">100 </w:t>
      </w:r>
      <w:r>
        <w:rPr>
          <w:rFonts w:hint="eastAsia" w:ascii="宋体" w:hAnsi="宋体" w:eastAsia="宋体" w:cs="宋体"/>
          <w:color w:val="000000"/>
          <w:kern w:val="0"/>
          <w:sz w:val="28"/>
          <w:szCs w:val="28"/>
          <w:lang w:val="en-US" w:eastAsia="zh-CN" w:bidi="ar"/>
        </w:rPr>
        <w:t>万瓶、</w:t>
      </w:r>
      <w:r>
        <w:rPr>
          <w:rFonts w:hint="default" w:ascii="Times New Roman" w:hAnsi="Times New Roman" w:eastAsia="宋体" w:cs="Times New Roman"/>
          <w:color w:val="000000"/>
          <w:kern w:val="0"/>
          <w:sz w:val="28"/>
          <w:szCs w:val="28"/>
          <w:lang w:val="en-US" w:eastAsia="zh-CN" w:bidi="ar"/>
        </w:rPr>
        <w:t xml:space="preserve">3g </w:t>
      </w:r>
      <w:r>
        <w:rPr>
          <w:rFonts w:hint="eastAsia" w:ascii="宋体" w:hAnsi="宋体" w:eastAsia="宋体" w:cs="宋体"/>
          <w:color w:val="000000"/>
          <w:kern w:val="0"/>
          <w:sz w:val="28"/>
          <w:szCs w:val="28"/>
          <w:lang w:val="en-US" w:eastAsia="zh-CN" w:bidi="ar"/>
        </w:rPr>
        <w:t xml:space="preserve">袋装的 </w:t>
      </w:r>
      <w:r>
        <w:rPr>
          <w:rFonts w:hint="default" w:ascii="Times New Roman" w:hAnsi="Times New Roman" w:eastAsia="宋体" w:cs="Times New Roman"/>
          <w:color w:val="000000"/>
          <w:kern w:val="0"/>
          <w:sz w:val="28"/>
          <w:szCs w:val="28"/>
          <w:lang w:val="en-US" w:eastAsia="zh-CN" w:bidi="ar"/>
        </w:rPr>
        <w:t xml:space="preserve">100 </w:t>
      </w:r>
      <w:r>
        <w:rPr>
          <w:rFonts w:hint="eastAsia" w:ascii="宋体" w:hAnsi="宋体" w:eastAsia="宋体" w:cs="宋体"/>
          <w:color w:val="000000"/>
          <w:kern w:val="0"/>
          <w:sz w:val="28"/>
          <w:szCs w:val="28"/>
          <w:lang w:val="en-US" w:eastAsia="zh-CN" w:bidi="ar"/>
        </w:rPr>
        <w:t xml:space="preserve">万瓶，合计需要壳聚糖 </w:t>
      </w:r>
      <w:r>
        <w:rPr>
          <w:rFonts w:hint="default" w:ascii="Times New Roman" w:hAnsi="Times New Roman" w:eastAsia="宋体" w:cs="Times New Roman"/>
          <w:color w:val="000000"/>
          <w:kern w:val="0"/>
          <w:sz w:val="28"/>
          <w:szCs w:val="28"/>
          <w:lang w:val="en-US" w:eastAsia="zh-CN" w:bidi="ar"/>
        </w:rPr>
        <w:t xml:space="preserve">4 </w:t>
      </w:r>
      <w:r>
        <w:rPr>
          <w:rFonts w:hint="eastAsia" w:ascii="宋体" w:hAnsi="宋体" w:eastAsia="宋体" w:cs="宋体"/>
          <w:color w:val="000000"/>
          <w:kern w:val="0"/>
          <w:sz w:val="28"/>
          <w:szCs w:val="28"/>
          <w:lang w:val="en-US" w:eastAsia="zh-CN" w:bidi="ar"/>
        </w:rPr>
        <w:t>吨；</w:t>
      </w:r>
      <w:r>
        <w:rPr>
          <w:rFonts w:hint="default" w:ascii="Times New Roman" w:hAnsi="Times New Roman" w:eastAsia="宋体" w:cs="Times New Roman"/>
          <w:color w:val="000000"/>
          <w:kern w:val="0"/>
          <w:sz w:val="28"/>
          <w:szCs w:val="28"/>
          <w:lang w:val="en-US" w:eastAsia="zh-CN" w:bidi="ar"/>
        </w:rPr>
        <w:t>1%</w:t>
      </w:r>
      <w:r>
        <w:rPr>
          <w:rFonts w:hint="eastAsia" w:ascii="宋体" w:hAnsi="宋体" w:eastAsia="宋体" w:cs="宋体"/>
          <w:color w:val="000000"/>
          <w:kern w:val="0"/>
          <w:sz w:val="28"/>
          <w:szCs w:val="28"/>
          <w:lang w:val="en-US" w:eastAsia="zh-CN" w:bidi="ar"/>
        </w:rPr>
        <w:t xml:space="preserve">新洁尔灭溶液和医用 </w:t>
      </w:r>
      <w:r>
        <w:rPr>
          <w:rFonts w:hint="default" w:ascii="Times New Roman" w:hAnsi="Times New Roman" w:eastAsia="宋体" w:cs="Times New Roman"/>
          <w:color w:val="000000"/>
          <w:kern w:val="0"/>
          <w:sz w:val="28"/>
          <w:szCs w:val="28"/>
          <w:lang w:val="en-US" w:eastAsia="zh-CN" w:bidi="ar"/>
        </w:rPr>
        <w:t>75%</w:t>
      </w:r>
      <w:r>
        <w:rPr>
          <w:rFonts w:hint="eastAsia" w:ascii="宋体" w:hAnsi="宋体" w:eastAsia="宋体" w:cs="宋体"/>
          <w:color w:val="000000"/>
          <w:kern w:val="0"/>
          <w:sz w:val="28"/>
          <w:szCs w:val="28"/>
          <w:lang w:val="en-US" w:eastAsia="zh-CN" w:bidi="ar"/>
        </w:rPr>
        <w:t>酒精未统计）</w:t>
      </w:r>
    </w:p>
  </w:comment>
  <w:comment w:id="10" w:author="领航环保" w:date="2024-09-25T15:13:29Z" w:initials="">
    <w:p w14:paraId="0E6BF1BD">
      <w:pPr>
        <w:pStyle w:val="9"/>
        <w:rPr>
          <w:color w:val="auto"/>
        </w:rPr>
      </w:pPr>
      <w:r>
        <w:rPr>
          <w:rFonts w:hint="eastAsia" w:ascii="仿宋_GB2312" w:hAnsi="仿宋_GB2312" w:eastAsia="仿宋_GB2312" w:cs="仿宋_GB2312"/>
          <w:color w:val="auto"/>
          <w:sz w:val="28"/>
          <w:szCs w:val="28"/>
          <w:lang w:val="en-US" w:eastAsia="zh-CN"/>
        </w:rPr>
        <w:t>核实设备清单，补充是否有共线情况，是否清洗，补充消毒废液处置去向</w:t>
      </w:r>
    </w:p>
  </w:comment>
  <w:comment w:id="11" w:author="领航环保" w:date="2024-09-25T14:53:31Z" w:initials="">
    <w:p w14:paraId="1A8EBFF9">
      <w:pPr>
        <w:keepNext w:val="0"/>
        <w:keepLines w:val="0"/>
        <w:widowControl/>
        <w:suppressLineNumbers w:val="0"/>
        <w:jc w:val="left"/>
      </w:pPr>
      <w:r>
        <w:rPr>
          <w:rFonts w:hint="eastAsia" w:ascii="宋体" w:hAnsi="宋体" w:eastAsia="宋体" w:cs="宋体"/>
          <w:color w:val="000000"/>
          <w:kern w:val="0"/>
          <w:sz w:val="28"/>
          <w:szCs w:val="28"/>
          <w:lang w:val="en-US" w:eastAsia="zh-CN" w:bidi="ar"/>
        </w:rPr>
        <w:t>核实设备种类及数量（穴位压力刺激贴、晕车贴、三伏贴生产设备有反应釜，如果涉及化学反应，需提级）；</w:t>
      </w:r>
    </w:p>
  </w:comment>
  <w:comment w:id="12" w:author="领航环保" w:date="2024-09-25T14:53:57Z" w:initials="">
    <w:p w14:paraId="13C70D98">
      <w:pPr>
        <w:pStyle w:val="9"/>
        <w:rPr>
          <w:rFonts w:hint="default" w:eastAsia="宋体"/>
          <w:lang w:val="en-US" w:eastAsia="zh-CN"/>
        </w:rPr>
      </w:pPr>
      <w:r>
        <w:rPr>
          <w:rFonts w:hint="eastAsia"/>
          <w:lang w:val="en-US" w:eastAsia="zh-CN"/>
        </w:rPr>
        <w:t>混合搅拌作用，不涉及化学反应。</w:t>
      </w:r>
    </w:p>
  </w:comment>
  <w:comment w:id="13" w:author="领航环保" w:date="2024-10-18T16:06:00Z" w:initials="">
    <w:p w14:paraId="6C845FD4">
      <w:pPr>
        <w:pStyle w:val="9"/>
      </w:pPr>
      <w:r>
        <w:rPr>
          <w:rFonts w:hint="eastAsia" w:ascii="宋体" w:hAnsi="宋体" w:eastAsia="宋体" w:cs="宋体"/>
          <w:color w:val="000000"/>
          <w:kern w:val="0"/>
          <w:sz w:val="24"/>
          <w:szCs w:val="24"/>
          <w:lang w:val="en-US" w:eastAsia="zh-CN" w:bidi="ar"/>
        </w:rPr>
        <w:t>完善水平衡</w:t>
      </w:r>
    </w:p>
  </w:comment>
  <w:comment w:id="14" w:author="领航环保" w:date="2024-10-16T17:36:50Z" w:initials="">
    <w:p w14:paraId="3B315FE4">
      <w:pPr>
        <w:pStyle w:val="9"/>
      </w:pPr>
      <w:r>
        <w:rPr>
          <w:rFonts w:hint="eastAsia" w:ascii="宋体" w:hAnsi="宋体" w:eastAsia="宋体" w:cs="宋体"/>
          <w:color w:val="000000"/>
          <w:kern w:val="0"/>
          <w:sz w:val="28"/>
          <w:szCs w:val="28"/>
          <w:lang w:val="en-US" w:eastAsia="zh-CN" w:bidi="ar"/>
        </w:rPr>
        <w:t>核实水平衡图（新鲜水有误）。</w:t>
      </w:r>
    </w:p>
  </w:comment>
  <w:comment w:id="15" w:author="领航环保" w:date="2024-10-16T17:36:52Z" w:initials="">
    <w:p w14:paraId="0143E3F2">
      <w:pPr>
        <w:keepNext w:val="0"/>
        <w:keepLines w:val="0"/>
        <w:widowControl/>
        <w:suppressLineNumbers w:val="0"/>
        <w:jc w:val="left"/>
      </w:pPr>
      <w:r>
        <w:rPr>
          <w:rFonts w:hint="eastAsia" w:ascii="宋体" w:hAnsi="宋体" w:eastAsia="宋体" w:cs="宋体"/>
          <w:color w:val="000000"/>
          <w:kern w:val="0"/>
          <w:sz w:val="28"/>
          <w:szCs w:val="28"/>
          <w:lang w:val="en-US" w:eastAsia="zh-CN" w:bidi="ar"/>
        </w:rPr>
        <w:t>完善水平衡图</w:t>
      </w:r>
    </w:p>
  </w:comment>
  <w:comment w:id="16" w:author="领航环保" w:date="2024-10-16T16:06:47Z" w:initials="">
    <w:p w14:paraId="5943B6BC">
      <w:pPr>
        <w:keepNext w:val="0"/>
        <w:keepLines w:val="0"/>
        <w:widowControl/>
        <w:suppressLineNumbers w:val="0"/>
        <w:jc w:val="left"/>
      </w:pPr>
      <w:r>
        <w:rPr>
          <w:rFonts w:hint="eastAsia" w:ascii="宋体" w:hAnsi="宋体" w:eastAsia="宋体" w:cs="宋体"/>
          <w:color w:val="000000"/>
          <w:kern w:val="0"/>
          <w:sz w:val="24"/>
          <w:szCs w:val="24"/>
          <w:lang w:val="en-US" w:eastAsia="zh-CN" w:bidi="ar"/>
        </w:rPr>
        <w:t>细化项目建设内容，明确所租赁厂房一、二层生产线布置、目前实际建设情况，原辅料贮存情况，</w:t>
      </w:r>
    </w:p>
  </w:comment>
  <w:comment w:id="17" w:author="领航环保" w:date="2024-10-16T15:50:55Z" w:initials="">
    <w:p w14:paraId="44001659">
      <w:pPr>
        <w:keepNext w:val="0"/>
        <w:keepLines w:val="0"/>
        <w:widowControl/>
        <w:suppressLineNumbers w:val="0"/>
        <w:jc w:val="left"/>
      </w:pPr>
      <w:r>
        <w:rPr>
          <w:rFonts w:hint="eastAsia" w:ascii="宋体" w:hAnsi="宋体" w:eastAsia="宋体" w:cs="宋体"/>
          <w:color w:val="000000"/>
          <w:kern w:val="0"/>
          <w:sz w:val="24"/>
          <w:szCs w:val="24"/>
          <w:lang w:val="en-US" w:eastAsia="zh-CN" w:bidi="ar"/>
        </w:rPr>
        <w:t>结合项目已建特点完善施工期影响分析描述。</w:t>
      </w:r>
    </w:p>
  </w:comment>
  <w:comment w:id="18" w:author="领航环保" w:date="2024-10-18T15:45:53Z" w:initials="">
    <w:p w14:paraId="30325883">
      <w:pPr>
        <w:pStyle w:val="9"/>
      </w:pPr>
      <w:r>
        <w:rPr>
          <w:rFonts w:hint="eastAsia" w:ascii="Times New Roman" w:hAnsi="Times New Roman" w:cs="Times New Roman"/>
          <w:b w:val="0"/>
          <w:bCs w:val="0"/>
          <w:color w:val="auto"/>
          <w:sz w:val="24"/>
          <w:szCs w:val="24"/>
          <w:vertAlign w:val="baseline"/>
          <w:lang w:val="en-US" w:eastAsia="zh-CN"/>
        </w:rPr>
        <w:t>完善生产工艺流程及产污节点；</w:t>
      </w:r>
    </w:p>
  </w:comment>
  <w:comment w:id="19" w:author="领航环保" w:date="2024-10-17T17:41:55Z" w:initials="">
    <w:p w14:paraId="162BF9C5">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细化各产品工艺流程描述，明确涂布、固化 </w:t>
      </w:r>
    </w:p>
    <w:p w14:paraId="25BF8B7B">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等工序操作温度、时间等参数，说明涉 </w:t>
      </w:r>
      <w:r>
        <w:rPr>
          <w:rFonts w:hint="default" w:ascii="Times New Roman" w:hAnsi="Times New Roman" w:eastAsia="宋体" w:cs="Times New Roman"/>
          <w:color w:val="000000"/>
          <w:kern w:val="0"/>
          <w:sz w:val="24"/>
          <w:szCs w:val="24"/>
          <w:lang w:val="en-US" w:eastAsia="zh-CN" w:bidi="ar"/>
        </w:rPr>
        <w:t xml:space="preserve">VOCs </w:t>
      </w:r>
      <w:r>
        <w:rPr>
          <w:rFonts w:hint="eastAsia" w:ascii="宋体" w:hAnsi="宋体" w:eastAsia="宋体" w:cs="宋体"/>
          <w:color w:val="000000"/>
          <w:kern w:val="0"/>
          <w:sz w:val="24"/>
          <w:szCs w:val="24"/>
          <w:lang w:val="en-US" w:eastAsia="zh-CN" w:bidi="ar"/>
        </w:rPr>
        <w:t>物料挥发情况。</w:t>
      </w:r>
    </w:p>
  </w:comment>
  <w:comment w:id="20" w:author="领航环保" w:date="2024-09-25T15:17:04Z" w:initials="">
    <w:p w14:paraId="60AD9DC0">
      <w:pPr>
        <w:pStyle w:val="9"/>
        <w:rPr>
          <w:color w:val="auto"/>
        </w:rPr>
      </w:pPr>
      <w:r>
        <w:rPr>
          <w:rFonts w:hint="eastAsia" w:ascii="仿宋_GB2312" w:hAnsi="仿宋_GB2312" w:eastAsia="仿宋_GB2312" w:cs="仿宋_GB2312"/>
          <w:color w:val="auto"/>
          <w:sz w:val="28"/>
          <w:szCs w:val="28"/>
          <w:lang w:val="en-US" w:eastAsia="zh-CN"/>
        </w:rPr>
        <w:t>补充消毒废液处置去向</w:t>
      </w:r>
    </w:p>
  </w:comment>
  <w:comment w:id="21" w:author="领航环保" w:date="2024-10-18T16:06:52Z" w:initials="">
    <w:p w14:paraId="6E5EB4EF">
      <w:pPr>
        <w:pStyle w:val="9"/>
      </w:pPr>
      <w:r>
        <w:rPr>
          <w:rFonts w:hint="eastAsia" w:ascii="宋体" w:hAnsi="宋体" w:eastAsia="宋体" w:cs="宋体"/>
          <w:color w:val="000000"/>
          <w:kern w:val="0"/>
          <w:sz w:val="24"/>
          <w:szCs w:val="24"/>
          <w:lang w:val="en-US" w:eastAsia="zh-CN" w:bidi="ar"/>
        </w:rPr>
        <w:t>核实物料平衡（遗漏配料粉尘），</w:t>
      </w:r>
    </w:p>
  </w:comment>
  <w:comment w:id="22" w:author="领航环保" w:date="2024-10-16T10:19:18Z" w:initials="">
    <w:p w14:paraId="19E51D81">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核实物料平衡（遗漏配料粉尘）</w:t>
      </w:r>
    </w:p>
  </w:comment>
  <w:comment w:id="23" w:author="领航环保" w:date="2024-10-16T10:58:30Z" w:initials="">
    <w:p w14:paraId="1DCCE169">
      <w:pPr>
        <w:pStyle w:val="9"/>
      </w:pPr>
      <w:r>
        <w:rPr>
          <w:rFonts w:hint="eastAsia" w:ascii="宋体" w:hAnsi="宋体" w:eastAsia="宋体" w:cs="宋体"/>
          <w:color w:val="000000"/>
          <w:kern w:val="0"/>
          <w:sz w:val="28"/>
          <w:szCs w:val="28"/>
          <w:lang w:val="en-US" w:eastAsia="zh-CN" w:bidi="ar"/>
        </w:rPr>
        <w:t xml:space="preserve">核实原辅料种类及数量（例如壳聚糖止血粉总产量为 </w:t>
      </w:r>
      <w:r>
        <w:rPr>
          <w:rFonts w:hint="default" w:ascii="Times New Roman" w:hAnsi="Times New Roman" w:eastAsia="宋体" w:cs="Times New Roman"/>
          <w:color w:val="000000"/>
          <w:kern w:val="0"/>
          <w:sz w:val="28"/>
          <w:szCs w:val="28"/>
          <w:lang w:val="en-US" w:eastAsia="zh-CN" w:bidi="ar"/>
        </w:rPr>
        <w:t xml:space="preserve">1g </w:t>
      </w:r>
      <w:r>
        <w:rPr>
          <w:rFonts w:hint="eastAsia" w:ascii="宋体" w:hAnsi="宋体" w:eastAsia="宋体" w:cs="宋体"/>
          <w:color w:val="000000"/>
          <w:kern w:val="0"/>
          <w:sz w:val="28"/>
          <w:szCs w:val="28"/>
          <w:lang w:val="en-US" w:eastAsia="zh-CN" w:bidi="ar"/>
        </w:rPr>
        <w:t xml:space="preserve">瓶装的 </w:t>
      </w:r>
      <w:r>
        <w:rPr>
          <w:rFonts w:hint="default" w:ascii="Times New Roman" w:hAnsi="Times New Roman" w:eastAsia="宋体" w:cs="Times New Roman"/>
          <w:color w:val="000000"/>
          <w:kern w:val="0"/>
          <w:sz w:val="28"/>
          <w:szCs w:val="28"/>
          <w:lang w:val="en-US" w:eastAsia="zh-CN" w:bidi="ar"/>
        </w:rPr>
        <w:t xml:space="preserve">100 </w:t>
      </w:r>
      <w:r>
        <w:rPr>
          <w:rFonts w:hint="eastAsia" w:ascii="宋体" w:hAnsi="宋体" w:eastAsia="宋体" w:cs="宋体"/>
          <w:color w:val="000000"/>
          <w:kern w:val="0"/>
          <w:sz w:val="28"/>
          <w:szCs w:val="28"/>
          <w:lang w:val="en-US" w:eastAsia="zh-CN" w:bidi="ar"/>
        </w:rPr>
        <w:t>万瓶、</w:t>
      </w:r>
      <w:r>
        <w:rPr>
          <w:rFonts w:hint="default" w:ascii="Times New Roman" w:hAnsi="Times New Roman" w:eastAsia="宋体" w:cs="Times New Roman"/>
          <w:color w:val="000000"/>
          <w:kern w:val="0"/>
          <w:sz w:val="28"/>
          <w:szCs w:val="28"/>
          <w:lang w:val="en-US" w:eastAsia="zh-CN" w:bidi="ar"/>
        </w:rPr>
        <w:t xml:space="preserve">3g </w:t>
      </w:r>
      <w:r>
        <w:rPr>
          <w:rFonts w:hint="eastAsia" w:ascii="宋体" w:hAnsi="宋体" w:eastAsia="宋体" w:cs="宋体"/>
          <w:color w:val="000000"/>
          <w:kern w:val="0"/>
          <w:sz w:val="28"/>
          <w:szCs w:val="28"/>
          <w:lang w:val="en-US" w:eastAsia="zh-CN" w:bidi="ar"/>
        </w:rPr>
        <w:t xml:space="preserve">袋装的 </w:t>
      </w:r>
      <w:r>
        <w:rPr>
          <w:rFonts w:hint="default" w:ascii="Times New Roman" w:hAnsi="Times New Roman" w:eastAsia="宋体" w:cs="Times New Roman"/>
          <w:color w:val="000000"/>
          <w:kern w:val="0"/>
          <w:sz w:val="28"/>
          <w:szCs w:val="28"/>
          <w:lang w:val="en-US" w:eastAsia="zh-CN" w:bidi="ar"/>
        </w:rPr>
        <w:t xml:space="preserve">100 </w:t>
      </w:r>
      <w:r>
        <w:rPr>
          <w:rFonts w:hint="eastAsia" w:ascii="宋体" w:hAnsi="宋体" w:eastAsia="宋体" w:cs="宋体"/>
          <w:color w:val="000000"/>
          <w:kern w:val="0"/>
          <w:sz w:val="28"/>
          <w:szCs w:val="28"/>
          <w:lang w:val="en-US" w:eastAsia="zh-CN" w:bidi="ar"/>
        </w:rPr>
        <w:t xml:space="preserve">万瓶，合计需要壳聚糖 </w:t>
      </w:r>
      <w:r>
        <w:rPr>
          <w:rFonts w:hint="default" w:ascii="Times New Roman" w:hAnsi="Times New Roman" w:eastAsia="宋体" w:cs="Times New Roman"/>
          <w:color w:val="000000"/>
          <w:kern w:val="0"/>
          <w:sz w:val="28"/>
          <w:szCs w:val="28"/>
          <w:lang w:val="en-US" w:eastAsia="zh-CN" w:bidi="ar"/>
        </w:rPr>
        <w:t xml:space="preserve">4 </w:t>
      </w:r>
      <w:r>
        <w:rPr>
          <w:rFonts w:hint="eastAsia" w:ascii="宋体" w:hAnsi="宋体" w:eastAsia="宋体" w:cs="宋体"/>
          <w:color w:val="000000"/>
          <w:kern w:val="0"/>
          <w:sz w:val="28"/>
          <w:szCs w:val="28"/>
          <w:lang w:val="en-US" w:eastAsia="zh-CN" w:bidi="ar"/>
        </w:rPr>
        <w:t>吨；</w:t>
      </w:r>
    </w:p>
  </w:comment>
  <w:comment w:id="24" w:author="领航环保" w:date="2024-10-16T09:58:33Z" w:initials="">
    <w:p w14:paraId="68990D82">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核实物料平衡（遗漏配料粉尘）</w:t>
      </w:r>
    </w:p>
  </w:comment>
  <w:comment w:id="25" w:author="领航环保" w:date="2024-10-17T17:12:37Z" w:initials="">
    <w:p w14:paraId="668BCF56">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补充 </w:t>
      </w:r>
      <w:r>
        <w:rPr>
          <w:rFonts w:hint="default" w:ascii="Times New Roman" w:hAnsi="Times New Roman" w:eastAsia="宋体" w:cs="Times New Roman"/>
          <w:color w:val="000000"/>
          <w:kern w:val="0"/>
          <w:sz w:val="24"/>
          <w:szCs w:val="24"/>
          <w:lang w:val="en-US" w:eastAsia="zh-CN" w:bidi="ar"/>
        </w:rPr>
        <w:t xml:space="preserve">VOCs </w:t>
      </w:r>
      <w:r>
        <w:rPr>
          <w:rFonts w:hint="eastAsia" w:ascii="宋体" w:hAnsi="宋体" w:eastAsia="宋体" w:cs="宋体"/>
          <w:color w:val="000000"/>
          <w:kern w:val="0"/>
          <w:sz w:val="24"/>
          <w:szCs w:val="24"/>
          <w:lang w:val="en-US" w:eastAsia="zh-CN" w:bidi="ar"/>
        </w:rPr>
        <w:t>平衡、氨平衡</w:t>
      </w:r>
    </w:p>
  </w:comment>
  <w:comment w:id="26" w:author="领航环保" w:date="2024-10-16T16:56:19Z" w:initials="">
    <w:p w14:paraId="0EC75EA6">
      <w:pPr>
        <w:keepNext w:val="0"/>
        <w:keepLines w:val="0"/>
        <w:widowControl/>
        <w:suppressLineNumbers w:val="0"/>
        <w:jc w:val="left"/>
      </w:pPr>
      <w:r>
        <w:rPr>
          <w:rFonts w:hint="eastAsia" w:ascii="宋体" w:hAnsi="宋体" w:eastAsia="宋体" w:cs="宋体"/>
          <w:color w:val="000000"/>
          <w:kern w:val="0"/>
          <w:sz w:val="24"/>
          <w:szCs w:val="24"/>
          <w:lang w:val="en-US" w:eastAsia="zh-CN" w:bidi="ar"/>
        </w:rPr>
        <w:t>细化调查项目建成部分是否存在环境问题，相应提出整改措施</w:t>
      </w:r>
    </w:p>
  </w:comment>
  <w:comment w:id="27" w:author="领航环保" w:date="2024-10-16T15:54:18Z" w:initials="">
    <w:p w14:paraId="6625AE7C">
      <w:pPr>
        <w:keepNext w:val="0"/>
        <w:keepLines w:val="0"/>
        <w:widowControl/>
        <w:suppressLineNumbers w:val="0"/>
        <w:jc w:val="left"/>
      </w:pPr>
      <w:r>
        <w:rPr>
          <w:rFonts w:hint="eastAsia" w:ascii="宋体" w:hAnsi="宋体" w:eastAsia="宋体" w:cs="宋体"/>
          <w:color w:val="000000"/>
          <w:kern w:val="0"/>
          <w:sz w:val="24"/>
          <w:szCs w:val="24"/>
          <w:lang w:val="en-US" w:eastAsia="zh-CN" w:bidi="ar"/>
        </w:rPr>
        <w:t>结合项目已建特点完善施工期影响分析描述。</w:t>
      </w:r>
    </w:p>
  </w:comment>
  <w:comment w:id="28" w:author="领航环保" w:date="2024-10-18T15:52:15Z" w:initials="">
    <w:p w14:paraId="17CD2297">
      <w:pPr>
        <w:pStyle w:val="9"/>
      </w:pPr>
      <w:r>
        <w:rPr>
          <w:rFonts w:hint="eastAsia" w:ascii="Times New Roman" w:hAnsi="Times New Roman" w:cs="Times New Roman"/>
          <w:b w:val="0"/>
          <w:bCs w:val="0"/>
          <w:color w:val="auto"/>
          <w:sz w:val="24"/>
          <w:szCs w:val="24"/>
          <w:vertAlign w:val="baseline"/>
          <w:lang w:val="en-US" w:eastAsia="zh-CN"/>
        </w:rPr>
        <w:t>强化无组织废气控制措施；</w:t>
      </w:r>
    </w:p>
  </w:comment>
  <w:comment w:id="29" w:author="领航环保" w:date="2024-10-16T16:15:49Z" w:initials="">
    <w:p w14:paraId="5B59D7E0">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根据各产品工艺温度、操作方式，完善有机废气源强核算</w:t>
      </w:r>
    </w:p>
  </w:comment>
  <w:comment w:id="30" w:author="领航环保" w:date="2024-10-14T17:20:41Z" w:initials="">
    <w:p w14:paraId="5CF21D41">
      <w:pPr>
        <w:keepNext w:val="0"/>
        <w:keepLines w:val="0"/>
        <w:widowControl/>
        <w:suppressLineNumbers w:val="0"/>
        <w:jc w:val="left"/>
      </w:pPr>
      <w:r>
        <w:rPr>
          <w:rFonts w:hint="eastAsia" w:ascii="宋体" w:hAnsi="宋体" w:eastAsia="宋体" w:cs="宋体"/>
          <w:color w:val="000000"/>
          <w:kern w:val="0"/>
          <w:sz w:val="28"/>
          <w:szCs w:val="28"/>
          <w:lang w:val="en-US" w:eastAsia="zh-CN" w:bidi="ar"/>
        </w:rPr>
        <w:t>核实有机废气产生源强，建议该股废气应与收集并处置；强化无组织废气控制措施；</w:t>
      </w:r>
    </w:p>
  </w:comment>
  <w:comment w:id="31" w:author="领航环保" w:date="2024-10-14T11:18:33Z" w:initials="">
    <w:p w14:paraId="75F85752">
      <w:pPr>
        <w:keepNext w:val="0"/>
        <w:keepLines w:val="0"/>
        <w:widowControl/>
        <w:suppressLineNumbers w:val="0"/>
        <w:jc w:val="left"/>
      </w:pPr>
      <w:r>
        <w:rPr>
          <w:rFonts w:hint="eastAsia" w:ascii="宋体" w:hAnsi="宋体" w:eastAsia="宋体" w:cs="宋体"/>
          <w:color w:val="000000"/>
          <w:kern w:val="0"/>
          <w:sz w:val="28"/>
          <w:szCs w:val="28"/>
          <w:lang w:val="en-US" w:eastAsia="zh-CN" w:bidi="ar"/>
        </w:rPr>
        <w:t>完善生产工艺流程及产污节点；核实颗粒物产生源强（报告中数据偏低），建议按投料时间重新核算颗粒物产生速率，建议采用布袋除尘器收集处置后排放</w:t>
      </w:r>
    </w:p>
  </w:comment>
  <w:comment w:id="32" w:author="领航环保" w:date="2024-10-12T17:59:21Z" w:initials="">
    <w:p w14:paraId="261AC5AC">
      <w:pPr>
        <w:keepNext w:val="0"/>
        <w:keepLines w:val="0"/>
        <w:widowControl/>
        <w:suppressLineNumbers w:val="0"/>
        <w:jc w:val="left"/>
      </w:pPr>
      <w:r>
        <w:rPr>
          <w:rFonts w:hint="default" w:ascii="Times New Roman" w:hAnsi="Times New Roman" w:eastAsia="宋体" w:cs="Times New Roman"/>
          <w:color w:val="000000"/>
          <w:kern w:val="0"/>
          <w:sz w:val="28"/>
          <w:szCs w:val="28"/>
          <w:lang w:val="en-US" w:eastAsia="zh-CN" w:bidi="ar"/>
        </w:rPr>
        <w:t>2.</w:t>
      </w:r>
      <w:r>
        <w:rPr>
          <w:rFonts w:hint="eastAsia" w:ascii="宋体" w:hAnsi="宋体" w:eastAsia="宋体" w:cs="宋体"/>
          <w:color w:val="000000"/>
          <w:kern w:val="0"/>
          <w:sz w:val="28"/>
          <w:szCs w:val="28"/>
          <w:lang w:val="en-US" w:eastAsia="zh-CN" w:bidi="ar"/>
        </w:rPr>
        <w:t>核实标准，无《重点行业挥发性有机物综合治理方案》（</w:t>
      </w:r>
      <w:r>
        <w:rPr>
          <w:rFonts w:hint="default" w:ascii="Times New Roman" w:hAnsi="Times New Roman" w:eastAsia="宋体" w:cs="Times New Roman"/>
          <w:color w:val="000000"/>
          <w:kern w:val="0"/>
          <w:sz w:val="28"/>
          <w:szCs w:val="28"/>
          <w:lang w:val="en-US" w:eastAsia="zh-CN" w:bidi="ar"/>
        </w:rPr>
        <w:t>GB37822-2019</w:t>
      </w:r>
      <w:r>
        <w:rPr>
          <w:rFonts w:hint="eastAsia" w:ascii="宋体" w:hAnsi="宋体" w:eastAsia="宋体" w:cs="宋体"/>
          <w:color w:val="000000"/>
          <w:kern w:val="0"/>
          <w:sz w:val="28"/>
          <w:szCs w:val="28"/>
          <w:lang w:val="en-US" w:eastAsia="zh-CN" w:bidi="ar"/>
        </w:rPr>
        <w:t>）；</w:t>
      </w:r>
    </w:p>
  </w:comment>
  <w:comment w:id="33" w:author="领航环保" w:date="2024-10-16T16:13:48Z" w:initials="">
    <w:p w14:paraId="0552088B">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校核卫生防护距离计算，不同楼层应分别核算，核实卫生防护距离计算</w:t>
      </w:r>
    </w:p>
  </w:comment>
  <w:comment w:id="34" w:author="领航环保" w:date="2024-10-14T18:10:34Z" w:initials="">
    <w:p w14:paraId="412DAC86">
      <w:pPr>
        <w:keepNext w:val="0"/>
        <w:keepLines w:val="0"/>
        <w:widowControl/>
        <w:suppressLineNumbers w:val="0"/>
        <w:jc w:val="left"/>
      </w:pPr>
      <w:r>
        <w:rPr>
          <w:rFonts w:hint="eastAsia" w:ascii="宋体" w:hAnsi="宋体" w:eastAsia="宋体" w:cs="宋体"/>
          <w:color w:val="000000"/>
          <w:kern w:val="0"/>
          <w:sz w:val="28"/>
          <w:szCs w:val="28"/>
          <w:lang w:val="en-US" w:eastAsia="zh-CN" w:bidi="ar"/>
        </w:rPr>
        <w:t>复核卫生防护距离；</w:t>
      </w:r>
    </w:p>
  </w:comment>
  <w:comment w:id="35" w:author="领航环保" w:date="2024-10-14T17:24:35Z" w:initials="">
    <w:p w14:paraId="7AA9F061">
      <w:pPr>
        <w:keepNext w:val="0"/>
        <w:keepLines w:val="0"/>
        <w:widowControl/>
        <w:suppressLineNumbers w:val="0"/>
        <w:jc w:val="left"/>
      </w:pPr>
      <w:r>
        <w:rPr>
          <w:rFonts w:hint="eastAsia" w:ascii="宋体" w:hAnsi="宋体" w:eastAsia="宋体" w:cs="宋体"/>
          <w:color w:val="000000"/>
          <w:kern w:val="0"/>
          <w:sz w:val="28"/>
          <w:szCs w:val="28"/>
          <w:lang w:val="en-US" w:eastAsia="zh-CN" w:bidi="ar"/>
        </w:rPr>
        <w:t>完善自行监测方案；</w:t>
      </w:r>
    </w:p>
  </w:comment>
  <w:comment w:id="36" w:author="领航环保" w:date="2024-10-15T16:11:40Z" w:initials="">
    <w:p w14:paraId="4D0083EA">
      <w:pPr>
        <w:keepNext w:val="0"/>
        <w:keepLines w:val="0"/>
        <w:widowControl/>
        <w:suppressLineNumbers w:val="0"/>
        <w:jc w:val="left"/>
      </w:pPr>
      <w:r>
        <w:rPr>
          <w:rFonts w:hint="eastAsia" w:ascii="宋体" w:hAnsi="宋体" w:eastAsia="宋体" w:cs="宋体"/>
          <w:color w:val="000000"/>
          <w:kern w:val="0"/>
          <w:sz w:val="28"/>
          <w:szCs w:val="28"/>
          <w:lang w:val="en-US" w:eastAsia="zh-CN" w:bidi="ar"/>
        </w:rPr>
        <w:t>复核生活用水和车间清洗用水</w:t>
      </w:r>
    </w:p>
  </w:comment>
  <w:comment w:id="37" w:author="领航环保" w:date="2024-10-15T16:04:59Z" w:initials="">
    <w:p w14:paraId="6F5E8288">
      <w:pPr>
        <w:pStyle w:val="9"/>
      </w:pPr>
      <w:r>
        <w:rPr>
          <w:rFonts w:hint="eastAsia" w:ascii="仿宋_GB2312" w:hAnsi="仿宋_GB2312" w:eastAsia="仿宋_GB2312" w:cs="仿宋_GB2312"/>
          <w:color w:val="FF0000"/>
          <w:sz w:val="28"/>
          <w:szCs w:val="28"/>
          <w:lang w:val="en-US" w:eastAsia="zh-CN"/>
        </w:rPr>
        <w:t>核实设备清单，补充是否有共线情况，</w:t>
      </w:r>
      <w:r>
        <w:rPr>
          <w:rFonts w:hint="eastAsia" w:ascii="仿宋_GB2312" w:hAnsi="仿宋_GB2312" w:eastAsia="仿宋_GB2312" w:cs="仿宋_GB2312"/>
          <w:color w:val="auto"/>
          <w:sz w:val="28"/>
          <w:szCs w:val="28"/>
          <w:lang w:val="en-US" w:eastAsia="zh-CN"/>
        </w:rPr>
        <w:t>是否清洗，</w:t>
      </w:r>
    </w:p>
  </w:comment>
  <w:comment w:id="38" w:author="领航环保" w:date="2024-09-25T15:03:48Z" w:initials="">
    <w:p w14:paraId="1FE2FBC1">
      <w:pPr>
        <w:keepNext w:val="0"/>
        <w:keepLines w:val="0"/>
        <w:widowControl/>
        <w:suppressLineNumbers w:val="0"/>
        <w:jc w:val="left"/>
      </w:pPr>
      <w:r>
        <w:rPr>
          <w:rFonts w:hint="eastAsia" w:ascii="宋体" w:hAnsi="宋体" w:eastAsia="宋体" w:cs="宋体"/>
          <w:color w:val="000000"/>
          <w:kern w:val="0"/>
          <w:sz w:val="28"/>
          <w:szCs w:val="28"/>
          <w:lang w:val="en-US" w:eastAsia="zh-CN" w:bidi="ar"/>
        </w:rPr>
        <w:t>按产品分类统计纯水用量，给出计算过程</w:t>
      </w:r>
    </w:p>
  </w:comment>
  <w:comment w:id="39" w:author="领航环保" w:date="2024-10-15T17:12:26Z" w:initials="">
    <w:p w14:paraId="01884F23">
      <w:pPr>
        <w:pStyle w:val="9"/>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核实水平衡图（新鲜水有误）。</w:t>
      </w:r>
    </w:p>
  </w:comment>
  <w:comment w:id="40" w:author="领航环保" w:date="2024-10-15T17:11:44Z" w:initials="">
    <w:p w14:paraId="6DBD66A3">
      <w:pPr>
        <w:keepNext w:val="0"/>
        <w:keepLines w:val="0"/>
        <w:widowControl/>
        <w:suppressLineNumbers w:val="0"/>
        <w:jc w:val="left"/>
      </w:pPr>
      <w:r>
        <w:rPr>
          <w:rFonts w:hint="eastAsia" w:ascii="宋体" w:hAnsi="宋体" w:eastAsia="宋体" w:cs="宋体"/>
          <w:color w:val="000000"/>
          <w:kern w:val="0"/>
          <w:sz w:val="28"/>
          <w:szCs w:val="28"/>
          <w:lang w:val="en-US" w:eastAsia="zh-CN" w:bidi="ar"/>
        </w:rPr>
        <w:t>完善水平衡图</w:t>
      </w:r>
    </w:p>
  </w:comment>
  <w:comment w:id="41" w:author="领航环保" w:date="2024-10-16T15:35:10Z" w:initials="">
    <w:p w14:paraId="06D7B3D9">
      <w:pPr>
        <w:keepNext w:val="0"/>
        <w:keepLines w:val="0"/>
        <w:widowControl/>
        <w:suppressLineNumbers w:val="0"/>
        <w:jc w:val="left"/>
      </w:pPr>
      <w:r>
        <w:rPr>
          <w:rFonts w:hint="eastAsia" w:ascii="宋体" w:hAnsi="宋体" w:eastAsia="宋体" w:cs="宋体"/>
          <w:color w:val="000000"/>
          <w:kern w:val="0"/>
          <w:sz w:val="28"/>
          <w:szCs w:val="28"/>
          <w:lang w:val="en-US" w:eastAsia="zh-CN" w:bidi="ar"/>
        </w:rPr>
        <w:t>完善自行监测方案；</w:t>
      </w:r>
    </w:p>
  </w:comment>
  <w:comment w:id="42" w:author="领航环保" w:date="2024-10-18T12:13:31Z" w:initials="">
    <w:p w14:paraId="58008E0B">
      <w:pPr>
        <w:keepNext w:val="0"/>
        <w:keepLines w:val="0"/>
        <w:widowControl/>
        <w:suppressLineNumbers w:val="0"/>
        <w:jc w:val="left"/>
      </w:pPr>
      <w:r>
        <w:rPr>
          <w:rFonts w:hint="eastAsia" w:ascii="宋体" w:hAnsi="宋体" w:eastAsia="宋体" w:cs="宋体"/>
          <w:color w:val="000000"/>
          <w:kern w:val="0"/>
          <w:sz w:val="24"/>
          <w:szCs w:val="24"/>
          <w:lang w:val="en-US" w:eastAsia="zh-CN" w:bidi="ar"/>
        </w:rPr>
        <w:t>噪声源强调查（坐标有误）</w:t>
      </w:r>
    </w:p>
  </w:comment>
  <w:comment w:id="43" w:author="领航环保" w:date="2024-10-16T15:37:05Z" w:initials="">
    <w:p w14:paraId="116B61D3">
      <w:pPr>
        <w:keepNext w:val="0"/>
        <w:keepLines w:val="0"/>
        <w:widowControl/>
        <w:suppressLineNumbers w:val="0"/>
        <w:jc w:val="left"/>
      </w:pPr>
      <w:r>
        <w:rPr>
          <w:rFonts w:hint="eastAsia" w:ascii="宋体" w:hAnsi="宋体" w:eastAsia="宋体" w:cs="宋体"/>
          <w:color w:val="000000"/>
          <w:kern w:val="0"/>
          <w:sz w:val="28"/>
          <w:szCs w:val="28"/>
          <w:lang w:val="en-US" w:eastAsia="zh-CN" w:bidi="ar"/>
        </w:rPr>
        <w:t>完善自行监测方案；</w:t>
      </w:r>
    </w:p>
  </w:comment>
  <w:comment w:id="44" w:author="领航环保" w:date="2024-10-18T16:28:33Z" w:initials="">
    <w:p w14:paraId="72A06315">
      <w:pPr>
        <w:pStyle w:val="9"/>
      </w:pPr>
      <w:r>
        <w:rPr>
          <w:rFonts w:hint="default" w:ascii="Times New Roman" w:hAnsi="Times New Roman" w:eastAsia="宋体" w:cs="Times New Roman"/>
          <w:color w:val="000000"/>
          <w:kern w:val="0"/>
          <w:sz w:val="24"/>
          <w:szCs w:val="24"/>
          <w:lang w:val="en-US" w:eastAsia="zh-CN" w:bidi="ar"/>
        </w:rPr>
        <w:t>核实固废产排量</w:t>
      </w:r>
    </w:p>
  </w:comment>
  <w:comment w:id="45" w:author="领航环保" w:date="2024-10-16T16:12:50Z" w:initials="">
    <w:p w14:paraId="24B7BAD5">
      <w:pPr>
        <w:keepNext w:val="0"/>
        <w:keepLines w:val="0"/>
        <w:widowControl/>
        <w:suppressLineNumbers w:val="0"/>
        <w:jc w:val="left"/>
      </w:pPr>
      <w:r>
        <w:rPr>
          <w:rFonts w:hint="eastAsia" w:ascii="宋体" w:hAnsi="宋体" w:eastAsia="宋体" w:cs="宋体"/>
          <w:color w:val="000000"/>
          <w:kern w:val="0"/>
          <w:sz w:val="24"/>
          <w:szCs w:val="24"/>
          <w:lang w:val="en-US" w:eastAsia="zh-CN" w:bidi="ar"/>
        </w:rPr>
        <w:t>根据一般固废间、危废间的实际建成情况，说明是否符合相关环保要求。</w:t>
      </w:r>
    </w:p>
  </w:comment>
  <w:comment w:id="46" w:author="领航环保" w:date="2024-10-16T11:54:13Z" w:initials="">
    <w:p w14:paraId="5D6CDF08">
      <w:pPr>
        <w:pStyle w:val="9"/>
      </w:pPr>
      <w:r>
        <w:rPr>
          <w:rFonts w:hint="eastAsia" w:ascii="仿宋_GB2312" w:hAnsi="仿宋_GB2312" w:eastAsia="仿宋_GB2312" w:cs="仿宋_GB2312"/>
          <w:sz w:val="28"/>
          <w:szCs w:val="28"/>
          <w:lang w:val="en-US" w:eastAsia="zh-CN"/>
        </w:rPr>
        <w:t>核实固废产排量，危废暂存周期建议按6个月计算，从而进一步完善危废暂存库设置的合理性。</w:t>
      </w:r>
    </w:p>
  </w:comment>
  <w:comment w:id="47" w:author="领航环保" w:date="2024-10-14T18:12:23Z" w:initials="">
    <w:p w14:paraId="6E01E7F7">
      <w:pPr>
        <w:keepNext w:val="0"/>
        <w:keepLines w:val="0"/>
        <w:widowControl/>
        <w:suppressLineNumbers w:val="0"/>
        <w:jc w:val="left"/>
      </w:pPr>
      <w:r>
        <w:rPr>
          <w:rFonts w:hint="eastAsia" w:ascii="宋体" w:hAnsi="宋体" w:eastAsia="宋体" w:cs="宋体"/>
          <w:color w:val="000000"/>
          <w:kern w:val="0"/>
          <w:sz w:val="24"/>
          <w:szCs w:val="24"/>
          <w:lang w:val="en-US" w:eastAsia="zh-CN" w:bidi="ar"/>
        </w:rPr>
        <w:t>完善风险分析，遗漏油类物质、氨等风险物质的识别，校核</w:t>
      </w:r>
      <w:r>
        <w:rPr>
          <w:rFonts w:hint="default" w:ascii="Times New Roman" w:hAnsi="Times New Roman" w:eastAsia="宋体" w:cs="Times New Roman"/>
          <w:color w:val="000000"/>
          <w:kern w:val="0"/>
          <w:sz w:val="24"/>
          <w:szCs w:val="24"/>
          <w:lang w:val="en-US" w:eastAsia="zh-CN" w:bidi="ar"/>
        </w:rPr>
        <w:t>Q</w:t>
      </w:r>
      <w:r>
        <w:rPr>
          <w:rFonts w:hint="eastAsia" w:ascii="宋体" w:hAnsi="宋体" w:eastAsia="宋体" w:cs="宋体"/>
          <w:color w:val="000000"/>
          <w:kern w:val="0"/>
          <w:sz w:val="24"/>
          <w:szCs w:val="24"/>
          <w:lang w:val="en-US" w:eastAsia="zh-CN" w:bidi="ar"/>
        </w:rPr>
        <w:t>值，结合项目原辅料特点，有针对性提出风险防范措施。</w:t>
      </w:r>
    </w:p>
  </w:comment>
  <w:comment w:id="48" w:author="领航环保" w:date="2024-10-15T10:47:31Z" w:initials="">
    <w:p w14:paraId="69804809">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完善风险分析，遗漏油类物质、氨等风险物质的识别，校核 </w:t>
      </w:r>
      <w:r>
        <w:rPr>
          <w:rFonts w:hint="default" w:ascii="Times New Roman" w:hAnsi="Times New Roman" w:eastAsia="宋体" w:cs="Times New Roman"/>
          <w:color w:val="000000"/>
          <w:kern w:val="0"/>
          <w:sz w:val="24"/>
          <w:szCs w:val="24"/>
          <w:lang w:val="en-US" w:eastAsia="zh-CN" w:bidi="ar"/>
        </w:rPr>
        <w:t xml:space="preserve">Q </w:t>
      </w:r>
      <w:r>
        <w:rPr>
          <w:rFonts w:hint="eastAsia" w:ascii="宋体" w:hAnsi="宋体" w:eastAsia="宋体" w:cs="宋体"/>
          <w:color w:val="000000"/>
          <w:kern w:val="0"/>
          <w:sz w:val="24"/>
          <w:szCs w:val="24"/>
          <w:lang w:val="en-US" w:eastAsia="zh-CN" w:bidi="ar"/>
        </w:rPr>
        <w:t>值，结合项目原辅料特点，有针对性提出风险防范措施。</w:t>
      </w:r>
    </w:p>
  </w:comment>
  <w:comment w:id="49" w:author="领航环保" w:date="2024-10-15T10:48:57Z" w:initials="">
    <w:p w14:paraId="24D109F0">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完善风险分析，遗漏油类物质、氨等风险物质的识别，校核 </w:t>
      </w:r>
      <w:r>
        <w:rPr>
          <w:rFonts w:hint="default" w:ascii="Times New Roman" w:hAnsi="Times New Roman" w:eastAsia="宋体" w:cs="Times New Roman"/>
          <w:color w:val="000000"/>
          <w:kern w:val="0"/>
          <w:sz w:val="24"/>
          <w:szCs w:val="24"/>
          <w:lang w:val="en-US" w:eastAsia="zh-CN" w:bidi="ar"/>
        </w:rPr>
        <w:t xml:space="preserve">Q </w:t>
      </w:r>
      <w:r>
        <w:rPr>
          <w:rFonts w:hint="eastAsia" w:ascii="宋体" w:hAnsi="宋体" w:eastAsia="宋体" w:cs="宋体"/>
          <w:color w:val="000000"/>
          <w:kern w:val="0"/>
          <w:sz w:val="24"/>
          <w:szCs w:val="24"/>
          <w:lang w:val="en-US" w:eastAsia="zh-CN" w:bidi="ar"/>
        </w:rPr>
        <w:t>值，结合项目原辅料特点，有针对性提出风险防范措施。</w:t>
      </w:r>
    </w:p>
  </w:comment>
  <w:comment w:id="50" w:author="领航环保" w:date="2024-10-16T15:27:09Z" w:initials="">
    <w:p w14:paraId="07B83C94">
      <w:pPr>
        <w:pStyle w:val="9"/>
      </w:pPr>
      <w:r>
        <w:rPr>
          <w:rFonts w:hint="eastAsia" w:ascii="仿宋_GB2312" w:hAnsi="仿宋_GB2312" w:eastAsia="仿宋_GB2312" w:cs="仿宋_GB2312"/>
          <w:sz w:val="28"/>
          <w:szCs w:val="28"/>
          <w:lang w:val="en-US" w:eastAsia="zh-CN"/>
        </w:rPr>
        <w:t>补充项目变更前后“三废”产排量</w:t>
      </w:r>
    </w:p>
  </w:comment>
  <w:comment w:id="51" w:author="领航环保" w:date="2024-10-16T15:32:36Z" w:initials="">
    <w:p w14:paraId="5500BE48">
      <w:pPr>
        <w:keepNext w:val="0"/>
        <w:keepLines w:val="0"/>
        <w:widowControl/>
        <w:suppressLineNumbers w:val="0"/>
        <w:jc w:val="left"/>
      </w:pPr>
      <w:r>
        <w:rPr>
          <w:rFonts w:hint="eastAsia" w:ascii="宋体" w:hAnsi="宋体" w:eastAsia="宋体" w:cs="宋体"/>
          <w:color w:val="000000"/>
          <w:kern w:val="0"/>
          <w:sz w:val="28"/>
          <w:szCs w:val="28"/>
          <w:lang w:val="en-US" w:eastAsia="zh-CN" w:bidi="ar"/>
        </w:rPr>
        <w:t>完善环境保护措施监督检查清单</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D345FF9" w15:done="0"/>
  <w15:commentEx w15:paraId="1F449E66" w15:done="0"/>
  <w15:commentEx w15:paraId="09C3F4A0" w15:done="0"/>
  <w15:commentEx w15:paraId="16E0A8E5" w15:done="0"/>
  <w15:commentEx w15:paraId="39DD9018" w15:done="0"/>
  <w15:commentEx w15:paraId="4A2DCBD8" w15:done="0"/>
  <w15:commentEx w15:paraId="65C081E6" w15:done="0"/>
  <w15:commentEx w15:paraId="79A27D6D" w15:done="0"/>
  <w15:commentEx w15:paraId="6126A616" w15:done="0"/>
  <w15:commentEx w15:paraId="26AA6E39" w15:done="0"/>
  <w15:commentEx w15:paraId="0E6BF1BD" w15:done="0"/>
  <w15:commentEx w15:paraId="1A8EBFF9" w15:done="0"/>
  <w15:commentEx w15:paraId="13C70D98" w15:done="0" w15:paraIdParent="1A8EBFF9"/>
  <w15:commentEx w15:paraId="6C845FD4" w15:done="0"/>
  <w15:commentEx w15:paraId="3B315FE4" w15:done="0"/>
  <w15:commentEx w15:paraId="0143E3F2" w15:done="0"/>
  <w15:commentEx w15:paraId="5943B6BC" w15:done="0"/>
  <w15:commentEx w15:paraId="44001659" w15:done="0"/>
  <w15:commentEx w15:paraId="30325883" w15:done="0"/>
  <w15:commentEx w15:paraId="25BF8B7B" w15:done="0"/>
  <w15:commentEx w15:paraId="60AD9DC0" w15:done="0"/>
  <w15:commentEx w15:paraId="6E5EB4EF" w15:done="0"/>
  <w15:commentEx w15:paraId="19E51D81" w15:done="0"/>
  <w15:commentEx w15:paraId="1DCCE169" w15:done="0"/>
  <w15:commentEx w15:paraId="68990D82" w15:done="0"/>
  <w15:commentEx w15:paraId="668BCF56" w15:done="0"/>
  <w15:commentEx w15:paraId="0EC75EA6" w15:done="0"/>
  <w15:commentEx w15:paraId="6625AE7C" w15:done="0"/>
  <w15:commentEx w15:paraId="17CD2297" w15:done="0"/>
  <w15:commentEx w15:paraId="5B59D7E0" w15:done="0"/>
  <w15:commentEx w15:paraId="5CF21D41" w15:done="0"/>
  <w15:commentEx w15:paraId="75F85752" w15:done="0"/>
  <w15:commentEx w15:paraId="261AC5AC" w15:done="0"/>
  <w15:commentEx w15:paraId="0552088B" w15:done="0"/>
  <w15:commentEx w15:paraId="412DAC86" w15:done="0"/>
  <w15:commentEx w15:paraId="7AA9F061" w15:done="0"/>
  <w15:commentEx w15:paraId="4D0083EA" w15:done="0"/>
  <w15:commentEx w15:paraId="6F5E8288" w15:done="0"/>
  <w15:commentEx w15:paraId="1FE2FBC1" w15:done="0"/>
  <w15:commentEx w15:paraId="01884F23" w15:done="0"/>
  <w15:commentEx w15:paraId="6DBD66A3" w15:done="0"/>
  <w15:commentEx w15:paraId="06D7B3D9" w15:done="0"/>
  <w15:commentEx w15:paraId="58008E0B" w15:done="0"/>
  <w15:commentEx w15:paraId="116B61D3" w15:done="0"/>
  <w15:commentEx w15:paraId="72A06315" w15:done="0"/>
  <w15:commentEx w15:paraId="24B7BAD5" w15:done="0"/>
  <w15:commentEx w15:paraId="5D6CDF08" w15:done="0"/>
  <w15:commentEx w15:paraId="6E01E7F7" w15:done="0"/>
  <w15:commentEx w15:paraId="69804809" w15:done="0"/>
  <w15:commentEx w15:paraId="24D109F0" w15:done="0"/>
  <w15:commentEx w15:paraId="07B83C94" w15:done="0"/>
  <w15:commentEx w15:paraId="5500BE48"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新宋体-18030">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646DE">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B0B42">
    <w:pPr>
      <w:pStyle w:val="16"/>
      <w:framePr w:wrap="around" w:vAnchor="text" w:hAnchor="margin" w:xAlign="center" w:y="1"/>
      <w:rPr>
        <w:rStyle w:val="28"/>
      </w:rPr>
    </w:pPr>
    <w:r>
      <w:fldChar w:fldCharType="begin"/>
    </w:r>
    <w:r>
      <w:rPr>
        <w:rStyle w:val="28"/>
      </w:rPr>
      <w:instrText xml:space="preserve">PAGE  </w:instrText>
    </w:r>
    <w:r>
      <w:fldChar w:fldCharType="end"/>
    </w:r>
  </w:p>
  <w:p w14:paraId="288CC1F9">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42B2E">
    <w:pPr>
      <w:pStyle w:val="16"/>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9EBB36">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xPPnOABAADBAwAADgAAAGRycy9lMm9Eb2MueG1srVNBrtMwEN0jcQfL&#10;e5o0SKiqmn4B1UdICJA+HMB1nMaS7bHGbpNyALgBKzbsOVfPwdhJ+uGz+Qs2yXhm/Gbem/HmZrCG&#10;nRQGDa7my0XJmXISGu0ONf/86fbZirMQhWuEAadqflaB32yfPtn0fq0q6MA0ChmBuLDufc27GP26&#10;KILslBVhAV45CraAVkQ64qFoUPSEbk1RleWLogdsPIJUIZB3Nwb5hIiPAYS21VLtQB6tcnFERWVE&#10;JEqh0z7wbe62bZWMH9o2qMhMzYlpzF8qQvY+fYvtRqwPKHyn5dSCeEwLDzhZoR0VvULtRBTsiPof&#10;KKslQoA2LiTYYiSSFSEWy/KBNned8CpzIamDv4oe/h+sfH/6iEw3Na84c8LSwC/fv11+/Lr8/MqW&#10;5fMqKdT7sKbEO0+pcXgFA+3N7A/kTMSHFm36EyVGcdL3fNVXDZHJdGlVrVYlhSTF5gPhF/fXPYb4&#10;RoFlyag50gCzruL0LsQxdU5J1RzcamPyEI37y0GYyVOk3scekxWH/TAR2kNzJj70EqhOB/iFs572&#10;oOaO1p4z89aRzGllZgNnYz8bwkm6WPPI2Wi+juNqHT3qQ5eXLTUV/MtjpE4zgdTGWHvqjiabJZi2&#10;MK3On+ecdf/y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LsTz5zgAQAAwQMAAA4AAAAA&#10;AAAAAQAgAAAAHgEAAGRycy9lMm9Eb2MueG1sUEsFBgAAAAAGAAYAWQEAAHAFAAAAAA==&#10;">
              <v:fill on="f" focussize="0,0"/>
              <v:stroke on="f"/>
              <v:imagedata o:title=""/>
              <o:lock v:ext="edit" aspectratio="f"/>
              <v:textbox inset="0mm,0mm,0mm,0mm" style="mso-fit-shape-to-text:t;">
                <w:txbxContent>
                  <w:p w14:paraId="749EBB36">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EE582">
    <w:pPr>
      <w:pStyle w:val="16"/>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FC968C">
                          <w:pPr>
                            <w:pStyle w:val="16"/>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cLD7OABAADBAwAADgAAAGRycy9lMm9Eb2MueG1srVPNjtMwEL4j8Q6W&#10;7zRpK6GqaroCqkVICJCWfQDXcRpL/pNn2qQ8ALwBJy7cea4+B2Mn6cJy2QOXZDwz/ma+b8abm94a&#10;dlIRtHcVn89KzpSTvtbuUPH7z7cvVpwBClcL452q+FkBv9k+f7bpwlotfOtNrSIjEAfrLlS8RQzr&#10;ogDZKitg5oNyFGx8tALpGA9FHUVH6NYUi7J8WXQ+1iF6qQDIuxuCfESMTwH0TaOl2nl5tMrhgBqV&#10;EUiUoNUB+DZ32zRK4semAYXMVJyYYv5SEbL36VtsN2J9iCK0Wo4tiKe08IiTFdpR0SvUTqBgx6j/&#10;gbJaRg++wZn0thiIZEWIxbx8pM1dK4LKXEhqCFfR4f/Byg+nT5HpuuJLzpywNPDL92+XH78uP7+y&#10;eblcJoW6AGtKvAuUiv1r39PeTH4gZyLeN9GmP1FiFCd9z1d9VY9MpkurxWpVUkhSbDoQfvFwPUTA&#10;t8pbloyKRxpg1lWc3gMOqVNKqub8rTYmD9G4vxyEmTxF6n3oMVnY7/uR0N7XZ+JDL4HqtD5+4ayj&#10;Pai4o7XnzLxzJHNamcmIk7GfDOEkXaw4cjaYb3BYrWOI+tDmZUtNQXh1ROo0E0htDLXH7miyWYJx&#10;C9Pq/HnOWQ8vb/s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I3Cw+zgAQAAwQMAAA4AAAAA&#10;AAAAAQAgAAAAHgEAAGRycy9lMm9Eb2MueG1sUEsFBgAAAAAGAAYAWQEAAHAFAAAAAA==&#10;">
              <v:fill on="f" focussize="0,0"/>
              <v:stroke on="f"/>
              <v:imagedata o:title=""/>
              <o:lock v:ext="edit" aspectratio="f"/>
              <v:textbox inset="0mm,0mm,0mm,0mm" style="mso-fit-shape-to-text:t;">
                <w:txbxContent>
                  <w:p w14:paraId="3BFC968C">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D222C">
    <w:pPr>
      <w:pStyle w:val="1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B56848">
                          <w:pPr>
                            <w:pStyle w:val="16"/>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11</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nmGe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4d8ctTvz84/v55+/zr28E&#10;fShQH6DGvMeAmWm48QMmz35AZ+Y9qGjzFxkRjKO8p4u8ckhE5Eer5WpVYUhgbL4gPnt6HiKkO+kt&#10;yUZDI86vyMqP95DG1DklV3P+VhtTZmjcXw7EzB6Wex97zFYadsNEaOfbE/LpcfQNdbjplJiPDpXN&#10;WzIbcTZ2s3EIUe+7ska5HoQPh4RNlN5yhRF2KowzK+ym/cpL8fxesp7+qc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p5hnvIAQAAmwMAAA4AAAAAAAAAAQAgAAAAHgEAAGRycy9lMm9Eb2Mu&#10;eG1sUEsFBgAAAAAGAAYAWQEAAFgFAAAAAA==&#10;">
              <v:fill on="f" focussize="0,0"/>
              <v:stroke on="f"/>
              <v:imagedata o:title=""/>
              <o:lock v:ext="edit" aspectratio="f"/>
              <v:textbox inset="0mm,0mm,0mm,0mm" style="mso-fit-shape-to-text:t;">
                <w:txbxContent>
                  <w:p w14:paraId="35B56848">
                    <w:pPr>
                      <w:pStyle w:val="16"/>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11</w:t>
                    </w:r>
                    <w:r>
                      <w:rPr>
                        <w:rFonts w:ascii="宋体" w:hAnsi="宋体"/>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B97408"/>
    <w:multiLevelType w:val="singleLevel"/>
    <w:tmpl w:val="FAB97408"/>
    <w:lvl w:ilvl="0" w:tentative="0">
      <w:start w:val="1"/>
      <w:numFmt w:val="decimal"/>
      <w:suff w:val="nothing"/>
      <w:lvlText w:val="%1、"/>
      <w:lvlJc w:val="left"/>
    </w:lvl>
  </w:abstractNum>
  <w:abstractNum w:abstractNumId="1">
    <w:nsid w:val="4D9B69FD"/>
    <w:multiLevelType w:val="multilevel"/>
    <w:tmpl w:val="4D9B69FD"/>
    <w:lvl w:ilvl="0" w:tentative="0">
      <w:start w:val="1"/>
      <w:numFmt w:val="decimal"/>
      <w:lvlText w:val="%1"/>
      <w:lvlJc w:val="left"/>
      <w:pPr>
        <w:tabs>
          <w:tab w:val="left" w:pos="432"/>
        </w:tabs>
        <w:ind w:left="432" w:hanging="432"/>
      </w:pPr>
      <w:rPr>
        <w:rFonts w:hint="eastAsia"/>
      </w:rPr>
    </w:lvl>
    <w:lvl w:ilvl="1" w:tentative="0">
      <w:start w:val="1"/>
      <w:numFmt w:val="decimal"/>
      <w:pStyle w:val="36"/>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57BE51B9"/>
    <w:multiLevelType w:val="multilevel"/>
    <w:tmpl w:val="57BE51B9"/>
    <w:lvl w:ilvl="0" w:tentative="0">
      <w:start w:val="1"/>
      <w:numFmt w:val="upperRoman"/>
      <w:lvlText w:val="第 %1 条"/>
      <w:lvlJc w:val="left"/>
      <w:pPr>
        <w:tabs>
          <w:tab w:val="left" w:pos="1080"/>
        </w:tabs>
        <w:ind w:left="0" w:firstLine="0"/>
      </w:pPr>
    </w:lvl>
    <w:lvl w:ilvl="1" w:tentative="0">
      <w:start w:val="1"/>
      <w:numFmt w:val="decimalZero"/>
      <w:isLgl/>
      <w:lvlText w:val="节 %1.%2"/>
      <w:lvlJc w:val="left"/>
      <w:pPr>
        <w:tabs>
          <w:tab w:val="left" w:pos="720"/>
        </w:tabs>
        <w:ind w:left="0" w:firstLine="0"/>
      </w:pPr>
    </w:lvl>
    <w:lvl w:ilvl="2" w:tentative="0">
      <w:start w:val="1"/>
      <w:numFmt w:val="lowerLetter"/>
      <w:pStyle w:val="4"/>
      <w:lvlText w:val="(%3)"/>
      <w:lvlJc w:val="left"/>
      <w:pPr>
        <w:tabs>
          <w:tab w:val="left" w:pos="720"/>
        </w:tabs>
        <w:ind w:left="720" w:hanging="432"/>
      </w:p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领航环保">
    <w15:presenceInfo w15:providerId="WPS Office" w15:userId="29635651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NDU3ZTNjMGFlNjBiNmIxN2ZkZDQwMzRhZDA4ODc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B7FB7"/>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45991"/>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A411F"/>
    <w:rsid w:val="007B72B8"/>
    <w:rsid w:val="007B7A58"/>
    <w:rsid w:val="007C21B5"/>
    <w:rsid w:val="007E4BD2"/>
    <w:rsid w:val="00801393"/>
    <w:rsid w:val="00802F88"/>
    <w:rsid w:val="0081293E"/>
    <w:rsid w:val="00815465"/>
    <w:rsid w:val="00817E9A"/>
    <w:rsid w:val="00825017"/>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A68F5"/>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74A57"/>
    <w:rsid w:val="00F80A0A"/>
    <w:rsid w:val="00F82B19"/>
    <w:rsid w:val="00F9212D"/>
    <w:rsid w:val="00F965DA"/>
    <w:rsid w:val="00FA406A"/>
    <w:rsid w:val="00FB503A"/>
    <w:rsid w:val="00FB516C"/>
    <w:rsid w:val="00FD0236"/>
    <w:rsid w:val="00FD18F4"/>
    <w:rsid w:val="00FD54DB"/>
    <w:rsid w:val="00FD619F"/>
    <w:rsid w:val="01290F7E"/>
    <w:rsid w:val="013E2686"/>
    <w:rsid w:val="0159301C"/>
    <w:rsid w:val="015D1E09"/>
    <w:rsid w:val="016043AA"/>
    <w:rsid w:val="025C3992"/>
    <w:rsid w:val="02697903"/>
    <w:rsid w:val="02906F11"/>
    <w:rsid w:val="029702A0"/>
    <w:rsid w:val="02F144F6"/>
    <w:rsid w:val="02F96569"/>
    <w:rsid w:val="03846A60"/>
    <w:rsid w:val="03D251BA"/>
    <w:rsid w:val="03D310DA"/>
    <w:rsid w:val="03EA7B21"/>
    <w:rsid w:val="044E74E4"/>
    <w:rsid w:val="057707A3"/>
    <w:rsid w:val="05832D5D"/>
    <w:rsid w:val="05AD532C"/>
    <w:rsid w:val="05BB29A3"/>
    <w:rsid w:val="05F83EAE"/>
    <w:rsid w:val="062A6B43"/>
    <w:rsid w:val="063E7D85"/>
    <w:rsid w:val="064E1C1B"/>
    <w:rsid w:val="07293586"/>
    <w:rsid w:val="07295285"/>
    <w:rsid w:val="07621BE9"/>
    <w:rsid w:val="07636392"/>
    <w:rsid w:val="076E3F95"/>
    <w:rsid w:val="07770C56"/>
    <w:rsid w:val="077C1812"/>
    <w:rsid w:val="081A1165"/>
    <w:rsid w:val="08613011"/>
    <w:rsid w:val="08661090"/>
    <w:rsid w:val="08AA53A0"/>
    <w:rsid w:val="092217DD"/>
    <w:rsid w:val="093A7294"/>
    <w:rsid w:val="09F361E9"/>
    <w:rsid w:val="0A263993"/>
    <w:rsid w:val="0A2D3AC2"/>
    <w:rsid w:val="0A5C7D4D"/>
    <w:rsid w:val="0A8004F1"/>
    <w:rsid w:val="0AA2576C"/>
    <w:rsid w:val="0AA755DF"/>
    <w:rsid w:val="0AB508C2"/>
    <w:rsid w:val="0AC51838"/>
    <w:rsid w:val="0ACE05D7"/>
    <w:rsid w:val="0B120D44"/>
    <w:rsid w:val="0B81389B"/>
    <w:rsid w:val="0BD27BF6"/>
    <w:rsid w:val="0C1946B6"/>
    <w:rsid w:val="0C253298"/>
    <w:rsid w:val="0C3B3C7D"/>
    <w:rsid w:val="0C547F96"/>
    <w:rsid w:val="0CA267B8"/>
    <w:rsid w:val="0CAB2EAE"/>
    <w:rsid w:val="0D621C7D"/>
    <w:rsid w:val="0D6D3B90"/>
    <w:rsid w:val="0D910CD7"/>
    <w:rsid w:val="0DF742E8"/>
    <w:rsid w:val="0DFC5BEC"/>
    <w:rsid w:val="0E255D31"/>
    <w:rsid w:val="0E3F69E3"/>
    <w:rsid w:val="0E5F6DC1"/>
    <w:rsid w:val="0E73034D"/>
    <w:rsid w:val="0EF02032"/>
    <w:rsid w:val="0F04659C"/>
    <w:rsid w:val="0F13775A"/>
    <w:rsid w:val="0F5F45FE"/>
    <w:rsid w:val="0F722BEA"/>
    <w:rsid w:val="0F9A112B"/>
    <w:rsid w:val="10291EDD"/>
    <w:rsid w:val="104D78DD"/>
    <w:rsid w:val="106D2F64"/>
    <w:rsid w:val="108E0D3A"/>
    <w:rsid w:val="10A574B3"/>
    <w:rsid w:val="10B63710"/>
    <w:rsid w:val="10F10820"/>
    <w:rsid w:val="111C2F7A"/>
    <w:rsid w:val="11665CA1"/>
    <w:rsid w:val="11BC0FBF"/>
    <w:rsid w:val="123745AC"/>
    <w:rsid w:val="126D79B4"/>
    <w:rsid w:val="126E2633"/>
    <w:rsid w:val="13347CF6"/>
    <w:rsid w:val="13531204"/>
    <w:rsid w:val="13951726"/>
    <w:rsid w:val="14265121"/>
    <w:rsid w:val="142F068A"/>
    <w:rsid w:val="14396509"/>
    <w:rsid w:val="143D1571"/>
    <w:rsid w:val="144C328F"/>
    <w:rsid w:val="148D2BE7"/>
    <w:rsid w:val="14DD2C3C"/>
    <w:rsid w:val="14EA24B1"/>
    <w:rsid w:val="15393C37"/>
    <w:rsid w:val="1586527A"/>
    <w:rsid w:val="15F13FA9"/>
    <w:rsid w:val="15FA4557"/>
    <w:rsid w:val="16087E1D"/>
    <w:rsid w:val="171A4BA4"/>
    <w:rsid w:val="17554800"/>
    <w:rsid w:val="17701D14"/>
    <w:rsid w:val="17735226"/>
    <w:rsid w:val="17AC02EB"/>
    <w:rsid w:val="185873EF"/>
    <w:rsid w:val="189F624C"/>
    <w:rsid w:val="19255A8C"/>
    <w:rsid w:val="19B27315"/>
    <w:rsid w:val="19C64282"/>
    <w:rsid w:val="19DD0836"/>
    <w:rsid w:val="19EB20F5"/>
    <w:rsid w:val="19F00528"/>
    <w:rsid w:val="1A090255"/>
    <w:rsid w:val="1A1C66C0"/>
    <w:rsid w:val="1A42393B"/>
    <w:rsid w:val="1AA07505"/>
    <w:rsid w:val="1AAD45DE"/>
    <w:rsid w:val="1AD6036A"/>
    <w:rsid w:val="1B046F80"/>
    <w:rsid w:val="1B3267B5"/>
    <w:rsid w:val="1B40161D"/>
    <w:rsid w:val="1B441859"/>
    <w:rsid w:val="1B6606B1"/>
    <w:rsid w:val="1C264726"/>
    <w:rsid w:val="1C28269F"/>
    <w:rsid w:val="1C5E7925"/>
    <w:rsid w:val="1C8A5E1D"/>
    <w:rsid w:val="1CDC7D40"/>
    <w:rsid w:val="1CFD070F"/>
    <w:rsid w:val="1D0D1432"/>
    <w:rsid w:val="1D5F6196"/>
    <w:rsid w:val="1D6132A5"/>
    <w:rsid w:val="1D8E56D5"/>
    <w:rsid w:val="1D9E6AE5"/>
    <w:rsid w:val="1DB138E4"/>
    <w:rsid w:val="1E560BB7"/>
    <w:rsid w:val="1E707B83"/>
    <w:rsid w:val="1E7A43DA"/>
    <w:rsid w:val="1E911975"/>
    <w:rsid w:val="1E92374C"/>
    <w:rsid w:val="1EFB350D"/>
    <w:rsid w:val="1F1A5B7D"/>
    <w:rsid w:val="1FE7539E"/>
    <w:rsid w:val="1FE94C01"/>
    <w:rsid w:val="20551967"/>
    <w:rsid w:val="20671BE0"/>
    <w:rsid w:val="20963CB8"/>
    <w:rsid w:val="20A81A1B"/>
    <w:rsid w:val="20AA6BA1"/>
    <w:rsid w:val="20B07FB6"/>
    <w:rsid w:val="20B646FB"/>
    <w:rsid w:val="21015A43"/>
    <w:rsid w:val="213B74B1"/>
    <w:rsid w:val="215A2310"/>
    <w:rsid w:val="21723F5A"/>
    <w:rsid w:val="21B16C08"/>
    <w:rsid w:val="21DE318A"/>
    <w:rsid w:val="21EF5B80"/>
    <w:rsid w:val="221A39C9"/>
    <w:rsid w:val="2250591D"/>
    <w:rsid w:val="22576990"/>
    <w:rsid w:val="22DC3905"/>
    <w:rsid w:val="22F47480"/>
    <w:rsid w:val="23201657"/>
    <w:rsid w:val="235A1FE6"/>
    <w:rsid w:val="236E38D7"/>
    <w:rsid w:val="23A00ABD"/>
    <w:rsid w:val="23DE1C48"/>
    <w:rsid w:val="23E701D2"/>
    <w:rsid w:val="240210CD"/>
    <w:rsid w:val="246C32BB"/>
    <w:rsid w:val="24A57687"/>
    <w:rsid w:val="24B14EB7"/>
    <w:rsid w:val="24B973D0"/>
    <w:rsid w:val="24BF09F7"/>
    <w:rsid w:val="24F83657"/>
    <w:rsid w:val="25056F87"/>
    <w:rsid w:val="252D53FE"/>
    <w:rsid w:val="253718F4"/>
    <w:rsid w:val="25B626A5"/>
    <w:rsid w:val="25C2324A"/>
    <w:rsid w:val="25CC1F17"/>
    <w:rsid w:val="25EC2D81"/>
    <w:rsid w:val="25F533FB"/>
    <w:rsid w:val="266E4598"/>
    <w:rsid w:val="27287185"/>
    <w:rsid w:val="27663B1E"/>
    <w:rsid w:val="277057A2"/>
    <w:rsid w:val="27DE5E41"/>
    <w:rsid w:val="288D128E"/>
    <w:rsid w:val="28E026ED"/>
    <w:rsid w:val="29103CE7"/>
    <w:rsid w:val="29206EB8"/>
    <w:rsid w:val="29595666"/>
    <w:rsid w:val="29605E84"/>
    <w:rsid w:val="2961415C"/>
    <w:rsid w:val="298467E7"/>
    <w:rsid w:val="29874881"/>
    <w:rsid w:val="29A92659"/>
    <w:rsid w:val="29E325E0"/>
    <w:rsid w:val="29F754A2"/>
    <w:rsid w:val="2A186585"/>
    <w:rsid w:val="2A363213"/>
    <w:rsid w:val="2A452503"/>
    <w:rsid w:val="2AB84257"/>
    <w:rsid w:val="2AE3132D"/>
    <w:rsid w:val="2B0F1EF2"/>
    <w:rsid w:val="2B2615C9"/>
    <w:rsid w:val="2B304556"/>
    <w:rsid w:val="2B644B83"/>
    <w:rsid w:val="2B660B58"/>
    <w:rsid w:val="2BA936A8"/>
    <w:rsid w:val="2BAB1A53"/>
    <w:rsid w:val="2BD57D58"/>
    <w:rsid w:val="2BF1561F"/>
    <w:rsid w:val="2C315A5A"/>
    <w:rsid w:val="2C4B1C25"/>
    <w:rsid w:val="2CF257DE"/>
    <w:rsid w:val="2D2A7B24"/>
    <w:rsid w:val="2D3D0AE7"/>
    <w:rsid w:val="2D68344C"/>
    <w:rsid w:val="2D6B5DC5"/>
    <w:rsid w:val="2D9E56F5"/>
    <w:rsid w:val="2E051061"/>
    <w:rsid w:val="2E1F160C"/>
    <w:rsid w:val="2E5D3D18"/>
    <w:rsid w:val="2E667F96"/>
    <w:rsid w:val="2E8226AB"/>
    <w:rsid w:val="2E84720F"/>
    <w:rsid w:val="2E9A689E"/>
    <w:rsid w:val="2EE616A6"/>
    <w:rsid w:val="2F5C721F"/>
    <w:rsid w:val="2F637A73"/>
    <w:rsid w:val="2F940B9B"/>
    <w:rsid w:val="2FD065E6"/>
    <w:rsid w:val="2FD96870"/>
    <w:rsid w:val="300E0342"/>
    <w:rsid w:val="30580BC9"/>
    <w:rsid w:val="30593ABC"/>
    <w:rsid w:val="30763DA5"/>
    <w:rsid w:val="309155FC"/>
    <w:rsid w:val="30AE6C9D"/>
    <w:rsid w:val="30B61A06"/>
    <w:rsid w:val="30C72FFF"/>
    <w:rsid w:val="31171865"/>
    <w:rsid w:val="311E2ED7"/>
    <w:rsid w:val="315619EE"/>
    <w:rsid w:val="315C449C"/>
    <w:rsid w:val="317A0510"/>
    <w:rsid w:val="3182255A"/>
    <w:rsid w:val="31B82709"/>
    <w:rsid w:val="31CD04B6"/>
    <w:rsid w:val="31D05482"/>
    <w:rsid w:val="3204710B"/>
    <w:rsid w:val="32400B34"/>
    <w:rsid w:val="32547B9E"/>
    <w:rsid w:val="32772E6B"/>
    <w:rsid w:val="327B6E18"/>
    <w:rsid w:val="329E6876"/>
    <w:rsid w:val="33010E34"/>
    <w:rsid w:val="333015F2"/>
    <w:rsid w:val="334B6320"/>
    <w:rsid w:val="33690491"/>
    <w:rsid w:val="33D934D4"/>
    <w:rsid w:val="33FE2F6A"/>
    <w:rsid w:val="340E07E5"/>
    <w:rsid w:val="34235BF7"/>
    <w:rsid w:val="347B519E"/>
    <w:rsid w:val="347D62EB"/>
    <w:rsid w:val="34C77CC1"/>
    <w:rsid w:val="34F2196C"/>
    <w:rsid w:val="3515541C"/>
    <w:rsid w:val="35487054"/>
    <w:rsid w:val="358C5FA8"/>
    <w:rsid w:val="35C15DF1"/>
    <w:rsid w:val="36074A7F"/>
    <w:rsid w:val="36923549"/>
    <w:rsid w:val="36B75FBF"/>
    <w:rsid w:val="36BD0C45"/>
    <w:rsid w:val="37A616AB"/>
    <w:rsid w:val="37E00298"/>
    <w:rsid w:val="384613DE"/>
    <w:rsid w:val="38B302F9"/>
    <w:rsid w:val="38F12CD3"/>
    <w:rsid w:val="38F94775"/>
    <w:rsid w:val="392971ED"/>
    <w:rsid w:val="39325651"/>
    <w:rsid w:val="399D5494"/>
    <w:rsid w:val="3A0B68A2"/>
    <w:rsid w:val="3A872856"/>
    <w:rsid w:val="3ACB4F66"/>
    <w:rsid w:val="3B0C1710"/>
    <w:rsid w:val="3B3763D1"/>
    <w:rsid w:val="3B640E52"/>
    <w:rsid w:val="3B6C3BD0"/>
    <w:rsid w:val="3B777C4B"/>
    <w:rsid w:val="3BB53414"/>
    <w:rsid w:val="3BDF63FB"/>
    <w:rsid w:val="3BFE0815"/>
    <w:rsid w:val="3C2F15AC"/>
    <w:rsid w:val="3C2F6E1E"/>
    <w:rsid w:val="3C4F28CD"/>
    <w:rsid w:val="3C4F64BA"/>
    <w:rsid w:val="3C837BF3"/>
    <w:rsid w:val="3CC1358A"/>
    <w:rsid w:val="3CCD6091"/>
    <w:rsid w:val="3CDA245A"/>
    <w:rsid w:val="3CEF5455"/>
    <w:rsid w:val="3CF73EAC"/>
    <w:rsid w:val="3D025193"/>
    <w:rsid w:val="3D1E06B7"/>
    <w:rsid w:val="3D6052F2"/>
    <w:rsid w:val="3D6D7B7C"/>
    <w:rsid w:val="3EA177D5"/>
    <w:rsid w:val="3EA90BD8"/>
    <w:rsid w:val="3EDA0523"/>
    <w:rsid w:val="3F16566D"/>
    <w:rsid w:val="3FAD5971"/>
    <w:rsid w:val="3FFA0F4B"/>
    <w:rsid w:val="4022117C"/>
    <w:rsid w:val="4025518E"/>
    <w:rsid w:val="4062229C"/>
    <w:rsid w:val="40786313"/>
    <w:rsid w:val="407A6407"/>
    <w:rsid w:val="40A8660C"/>
    <w:rsid w:val="40D914A8"/>
    <w:rsid w:val="41413CFB"/>
    <w:rsid w:val="416104B0"/>
    <w:rsid w:val="41727207"/>
    <w:rsid w:val="417B12A8"/>
    <w:rsid w:val="418036D2"/>
    <w:rsid w:val="419C4D7B"/>
    <w:rsid w:val="41A2073C"/>
    <w:rsid w:val="4200449D"/>
    <w:rsid w:val="423A3BCC"/>
    <w:rsid w:val="424E57D2"/>
    <w:rsid w:val="42B26C49"/>
    <w:rsid w:val="42D261AF"/>
    <w:rsid w:val="433A6FE6"/>
    <w:rsid w:val="433E55F2"/>
    <w:rsid w:val="43480868"/>
    <w:rsid w:val="434F017C"/>
    <w:rsid w:val="4350713C"/>
    <w:rsid w:val="436653E0"/>
    <w:rsid w:val="43C4431A"/>
    <w:rsid w:val="43C507E0"/>
    <w:rsid w:val="44365D23"/>
    <w:rsid w:val="446E6866"/>
    <w:rsid w:val="447A6F6F"/>
    <w:rsid w:val="44915BF6"/>
    <w:rsid w:val="44B55D88"/>
    <w:rsid w:val="44B951CC"/>
    <w:rsid w:val="44CD14E0"/>
    <w:rsid w:val="44F20B0B"/>
    <w:rsid w:val="452E5F4C"/>
    <w:rsid w:val="4537567F"/>
    <w:rsid w:val="45507C55"/>
    <w:rsid w:val="45612018"/>
    <w:rsid w:val="458946E9"/>
    <w:rsid w:val="45944C0D"/>
    <w:rsid w:val="45A47C0E"/>
    <w:rsid w:val="462D66FA"/>
    <w:rsid w:val="46577FD6"/>
    <w:rsid w:val="465E1505"/>
    <w:rsid w:val="4678706D"/>
    <w:rsid w:val="469A445E"/>
    <w:rsid w:val="46A936CA"/>
    <w:rsid w:val="46CF5894"/>
    <w:rsid w:val="46D955A7"/>
    <w:rsid w:val="47133957"/>
    <w:rsid w:val="47A07E0C"/>
    <w:rsid w:val="47B70F4B"/>
    <w:rsid w:val="47D4363D"/>
    <w:rsid w:val="481B00C8"/>
    <w:rsid w:val="48535704"/>
    <w:rsid w:val="4870272E"/>
    <w:rsid w:val="48C92735"/>
    <w:rsid w:val="49005407"/>
    <w:rsid w:val="492D05E3"/>
    <w:rsid w:val="49542533"/>
    <w:rsid w:val="49DC7715"/>
    <w:rsid w:val="49F446BD"/>
    <w:rsid w:val="4A023139"/>
    <w:rsid w:val="4A496B89"/>
    <w:rsid w:val="4A65412E"/>
    <w:rsid w:val="4A7B576F"/>
    <w:rsid w:val="4AC63B24"/>
    <w:rsid w:val="4AF561A9"/>
    <w:rsid w:val="4B207786"/>
    <w:rsid w:val="4B8B45E0"/>
    <w:rsid w:val="4C020F00"/>
    <w:rsid w:val="4C4A0649"/>
    <w:rsid w:val="4C7E5ECA"/>
    <w:rsid w:val="4C876AA5"/>
    <w:rsid w:val="4D0E00FB"/>
    <w:rsid w:val="4D176606"/>
    <w:rsid w:val="4D6D31E7"/>
    <w:rsid w:val="4DEC4FB0"/>
    <w:rsid w:val="4E075D8A"/>
    <w:rsid w:val="4EC00FAD"/>
    <w:rsid w:val="4F022BC1"/>
    <w:rsid w:val="4F306FED"/>
    <w:rsid w:val="4F624D5E"/>
    <w:rsid w:val="4F9843DC"/>
    <w:rsid w:val="4FB70954"/>
    <w:rsid w:val="4FC62A8C"/>
    <w:rsid w:val="4FE20F0D"/>
    <w:rsid w:val="4FE51552"/>
    <w:rsid w:val="50137E07"/>
    <w:rsid w:val="502627BF"/>
    <w:rsid w:val="50504C4B"/>
    <w:rsid w:val="50916403"/>
    <w:rsid w:val="509C6E7C"/>
    <w:rsid w:val="50A55FAA"/>
    <w:rsid w:val="50AA7027"/>
    <w:rsid w:val="51404BCF"/>
    <w:rsid w:val="5162104E"/>
    <w:rsid w:val="516C74C7"/>
    <w:rsid w:val="51981A0D"/>
    <w:rsid w:val="51F54B52"/>
    <w:rsid w:val="520E6AD8"/>
    <w:rsid w:val="523C1567"/>
    <w:rsid w:val="52737423"/>
    <w:rsid w:val="52B411CE"/>
    <w:rsid w:val="533E62DD"/>
    <w:rsid w:val="53A039CC"/>
    <w:rsid w:val="53A1505A"/>
    <w:rsid w:val="53C9715A"/>
    <w:rsid w:val="53DE0340"/>
    <w:rsid w:val="53F7268F"/>
    <w:rsid w:val="54063E08"/>
    <w:rsid w:val="540701E8"/>
    <w:rsid w:val="54143C94"/>
    <w:rsid w:val="542D5ABD"/>
    <w:rsid w:val="543437E8"/>
    <w:rsid w:val="546862F7"/>
    <w:rsid w:val="54F73313"/>
    <w:rsid w:val="54F80955"/>
    <w:rsid w:val="55222FC6"/>
    <w:rsid w:val="555170A7"/>
    <w:rsid w:val="555849E2"/>
    <w:rsid w:val="5587536D"/>
    <w:rsid w:val="559B174B"/>
    <w:rsid w:val="55CE0CF4"/>
    <w:rsid w:val="55D7205F"/>
    <w:rsid w:val="55EA577A"/>
    <w:rsid w:val="562963FC"/>
    <w:rsid w:val="56360FFE"/>
    <w:rsid w:val="56680EAC"/>
    <w:rsid w:val="566B7F9D"/>
    <w:rsid w:val="567D2FF3"/>
    <w:rsid w:val="56B22A9C"/>
    <w:rsid w:val="57B15122"/>
    <w:rsid w:val="57B72A76"/>
    <w:rsid w:val="57C3426C"/>
    <w:rsid w:val="57CE1F93"/>
    <w:rsid w:val="57D9014C"/>
    <w:rsid w:val="57DE3B9B"/>
    <w:rsid w:val="581B27D6"/>
    <w:rsid w:val="58365B61"/>
    <w:rsid w:val="584C47FD"/>
    <w:rsid w:val="584F1DA2"/>
    <w:rsid w:val="58810003"/>
    <w:rsid w:val="588743D1"/>
    <w:rsid w:val="5887701A"/>
    <w:rsid w:val="58A60FCA"/>
    <w:rsid w:val="58B008E9"/>
    <w:rsid w:val="58ED0336"/>
    <w:rsid w:val="59225302"/>
    <w:rsid w:val="599E2E37"/>
    <w:rsid w:val="59C0439F"/>
    <w:rsid w:val="59DB3743"/>
    <w:rsid w:val="5A562049"/>
    <w:rsid w:val="5A643699"/>
    <w:rsid w:val="5A85391C"/>
    <w:rsid w:val="5A9E32A7"/>
    <w:rsid w:val="5ABE2233"/>
    <w:rsid w:val="5B143B07"/>
    <w:rsid w:val="5B2353A2"/>
    <w:rsid w:val="5BA96B37"/>
    <w:rsid w:val="5BDF5D95"/>
    <w:rsid w:val="5BFE7528"/>
    <w:rsid w:val="5C167731"/>
    <w:rsid w:val="5C2F132E"/>
    <w:rsid w:val="5C643718"/>
    <w:rsid w:val="5C872843"/>
    <w:rsid w:val="5C873FCB"/>
    <w:rsid w:val="5D2418A5"/>
    <w:rsid w:val="5D351B9C"/>
    <w:rsid w:val="5D83037A"/>
    <w:rsid w:val="5E2467F1"/>
    <w:rsid w:val="5E47584B"/>
    <w:rsid w:val="5E6B44D8"/>
    <w:rsid w:val="5E6C684F"/>
    <w:rsid w:val="5EA45419"/>
    <w:rsid w:val="5EE237C6"/>
    <w:rsid w:val="5F1A2B43"/>
    <w:rsid w:val="5F36141C"/>
    <w:rsid w:val="5F5C5FB8"/>
    <w:rsid w:val="5F601622"/>
    <w:rsid w:val="5FB837BB"/>
    <w:rsid w:val="5FC8323D"/>
    <w:rsid w:val="603B13E0"/>
    <w:rsid w:val="6053743A"/>
    <w:rsid w:val="60CC405A"/>
    <w:rsid w:val="61E215D8"/>
    <w:rsid w:val="61FC3BE3"/>
    <w:rsid w:val="621B3775"/>
    <w:rsid w:val="62214605"/>
    <w:rsid w:val="62364782"/>
    <w:rsid w:val="62BF00A6"/>
    <w:rsid w:val="63862B2C"/>
    <w:rsid w:val="639103D1"/>
    <w:rsid w:val="6394356A"/>
    <w:rsid w:val="63C61B2C"/>
    <w:rsid w:val="63D40BE9"/>
    <w:rsid w:val="63EC5621"/>
    <w:rsid w:val="63F2041F"/>
    <w:rsid w:val="63F35C7C"/>
    <w:rsid w:val="64102431"/>
    <w:rsid w:val="643B332A"/>
    <w:rsid w:val="648028D2"/>
    <w:rsid w:val="64841A63"/>
    <w:rsid w:val="64A5243A"/>
    <w:rsid w:val="64E8140A"/>
    <w:rsid w:val="64F531DE"/>
    <w:rsid w:val="652859BD"/>
    <w:rsid w:val="65370FBE"/>
    <w:rsid w:val="65373578"/>
    <w:rsid w:val="65990E75"/>
    <w:rsid w:val="668A0DFC"/>
    <w:rsid w:val="671F124A"/>
    <w:rsid w:val="67587910"/>
    <w:rsid w:val="677A33C6"/>
    <w:rsid w:val="67A32358"/>
    <w:rsid w:val="67A76C42"/>
    <w:rsid w:val="67D30150"/>
    <w:rsid w:val="68187194"/>
    <w:rsid w:val="681F6961"/>
    <w:rsid w:val="684057B4"/>
    <w:rsid w:val="68502200"/>
    <w:rsid w:val="68610A2F"/>
    <w:rsid w:val="68805514"/>
    <w:rsid w:val="68A95CD4"/>
    <w:rsid w:val="69316E2F"/>
    <w:rsid w:val="694E2071"/>
    <w:rsid w:val="69766163"/>
    <w:rsid w:val="697A3B33"/>
    <w:rsid w:val="69D44760"/>
    <w:rsid w:val="6A2107F6"/>
    <w:rsid w:val="6A503851"/>
    <w:rsid w:val="6A520EC7"/>
    <w:rsid w:val="6AF87E20"/>
    <w:rsid w:val="6B322639"/>
    <w:rsid w:val="6BBB24FB"/>
    <w:rsid w:val="6BDA1AD3"/>
    <w:rsid w:val="6C636C38"/>
    <w:rsid w:val="6C7C0DB6"/>
    <w:rsid w:val="6CC82D87"/>
    <w:rsid w:val="6DB34098"/>
    <w:rsid w:val="6DB545B6"/>
    <w:rsid w:val="6DE02FB4"/>
    <w:rsid w:val="6E0472B5"/>
    <w:rsid w:val="6E3D1FD3"/>
    <w:rsid w:val="6E514CED"/>
    <w:rsid w:val="6E7B24C4"/>
    <w:rsid w:val="6E8A5547"/>
    <w:rsid w:val="6EA04ECD"/>
    <w:rsid w:val="6EB563D5"/>
    <w:rsid w:val="6EC11AB3"/>
    <w:rsid w:val="6ECC2E76"/>
    <w:rsid w:val="6ED92677"/>
    <w:rsid w:val="6F225983"/>
    <w:rsid w:val="6F512565"/>
    <w:rsid w:val="6FA04DBB"/>
    <w:rsid w:val="6FAA792F"/>
    <w:rsid w:val="6FD3402E"/>
    <w:rsid w:val="6FFC5590"/>
    <w:rsid w:val="70337F36"/>
    <w:rsid w:val="705067E1"/>
    <w:rsid w:val="706D1DD0"/>
    <w:rsid w:val="70856B87"/>
    <w:rsid w:val="70D527EE"/>
    <w:rsid w:val="71092523"/>
    <w:rsid w:val="715B5300"/>
    <w:rsid w:val="71692D04"/>
    <w:rsid w:val="716E1D75"/>
    <w:rsid w:val="71833BD0"/>
    <w:rsid w:val="71D27F8A"/>
    <w:rsid w:val="71F614AF"/>
    <w:rsid w:val="72553024"/>
    <w:rsid w:val="73122968"/>
    <w:rsid w:val="731F5D5E"/>
    <w:rsid w:val="732148AB"/>
    <w:rsid w:val="73487E46"/>
    <w:rsid w:val="734D576B"/>
    <w:rsid w:val="73894165"/>
    <w:rsid w:val="73C51AD5"/>
    <w:rsid w:val="73F96ECA"/>
    <w:rsid w:val="74027D55"/>
    <w:rsid w:val="741E793C"/>
    <w:rsid w:val="743739ED"/>
    <w:rsid w:val="745E3944"/>
    <w:rsid w:val="74AB4ACB"/>
    <w:rsid w:val="74FB14C3"/>
    <w:rsid w:val="75265E26"/>
    <w:rsid w:val="754D7793"/>
    <w:rsid w:val="7635099D"/>
    <w:rsid w:val="76415043"/>
    <w:rsid w:val="766F54E7"/>
    <w:rsid w:val="768A3E77"/>
    <w:rsid w:val="76C45833"/>
    <w:rsid w:val="77762421"/>
    <w:rsid w:val="77B56B1F"/>
    <w:rsid w:val="77DC008A"/>
    <w:rsid w:val="78061E7B"/>
    <w:rsid w:val="780F09F4"/>
    <w:rsid w:val="78A90480"/>
    <w:rsid w:val="79B17BC5"/>
    <w:rsid w:val="79E36B28"/>
    <w:rsid w:val="7A364017"/>
    <w:rsid w:val="7A3B3819"/>
    <w:rsid w:val="7A8265E1"/>
    <w:rsid w:val="7AB73893"/>
    <w:rsid w:val="7AE52AF9"/>
    <w:rsid w:val="7B405DDC"/>
    <w:rsid w:val="7B686D42"/>
    <w:rsid w:val="7B841746"/>
    <w:rsid w:val="7B903D32"/>
    <w:rsid w:val="7C195991"/>
    <w:rsid w:val="7C6C5AC7"/>
    <w:rsid w:val="7C885626"/>
    <w:rsid w:val="7C9A73A6"/>
    <w:rsid w:val="7CBB3234"/>
    <w:rsid w:val="7CC6544B"/>
    <w:rsid w:val="7CC85DE2"/>
    <w:rsid w:val="7CCF7BE8"/>
    <w:rsid w:val="7CD71937"/>
    <w:rsid w:val="7D0239FF"/>
    <w:rsid w:val="7D5E40CD"/>
    <w:rsid w:val="7D994C5A"/>
    <w:rsid w:val="7DCD56F2"/>
    <w:rsid w:val="7DCE568F"/>
    <w:rsid w:val="7DF94E6A"/>
    <w:rsid w:val="7E4060E4"/>
    <w:rsid w:val="7E70110E"/>
    <w:rsid w:val="7EF2266F"/>
    <w:rsid w:val="7F001CE7"/>
    <w:rsid w:val="7F42147D"/>
    <w:rsid w:val="7F553DA2"/>
    <w:rsid w:val="7FB21C6E"/>
    <w:rsid w:val="7FCB0EC2"/>
    <w:rsid w:val="7FE47E50"/>
    <w:rsid w:val="7FEA49B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iPriority="99"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8"/>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beforeLines="0" w:after="260" w:afterLines="0" w:line="416" w:lineRule="auto"/>
      <w:outlineLvl w:val="1"/>
    </w:pPr>
    <w:rPr>
      <w:rFonts w:ascii="Arial" w:hAnsi="Arial"/>
      <w:bCs/>
      <w:sz w:val="24"/>
      <w:szCs w:val="32"/>
    </w:rPr>
  </w:style>
  <w:style w:type="paragraph" w:styleId="4">
    <w:name w:val="heading 3"/>
    <w:basedOn w:val="1"/>
    <w:next w:val="1"/>
    <w:qFormat/>
    <w:locked/>
    <w:uiPriority w:val="0"/>
    <w:pPr>
      <w:keepNext/>
      <w:keepLines/>
      <w:numPr>
        <w:ilvl w:val="2"/>
        <w:numId w:val="1"/>
      </w:numPr>
      <w:spacing w:line="360" w:lineRule="auto"/>
      <w:ind w:left="0" w:firstLine="0"/>
      <w:outlineLvl w:val="2"/>
    </w:pPr>
    <w:rPr>
      <w:rFonts w:ascii="Times New Roman" w:hAnsi="Times New Roman" w:eastAsia="宋体"/>
      <w:b/>
      <w:bCs/>
      <w:kern w:val="21"/>
      <w:sz w:val="24"/>
      <w:szCs w:val="24"/>
    </w:rPr>
  </w:style>
  <w:style w:type="paragraph" w:styleId="5">
    <w:name w:val="heading 4"/>
    <w:basedOn w:val="1"/>
    <w:next w:val="1"/>
    <w:qFormat/>
    <w:locked/>
    <w:uiPriority w:val="0"/>
    <w:pPr>
      <w:keepNext/>
      <w:keepLines/>
      <w:widowControl w:val="0"/>
      <w:spacing w:before="280" w:after="290" w:line="376" w:lineRule="atLeast"/>
      <w:jc w:val="both"/>
      <w:outlineLvl w:val="3"/>
    </w:pPr>
    <w:rPr>
      <w:rFonts w:ascii="Cambria" w:hAnsi="Cambria" w:eastAsia="宋体" w:cs="Times New Roman"/>
      <w:b/>
      <w:bCs/>
      <w:kern w:val="2"/>
      <w:sz w:val="28"/>
      <w:szCs w:val="28"/>
      <w:lang w:val="en-US" w:eastAsia="zh-CN" w:bidi="ar-SA"/>
    </w:rPr>
  </w:style>
  <w:style w:type="character" w:default="1" w:styleId="26">
    <w:name w:val="Default Paragraph Font"/>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6">
    <w:name w:val="List 3"/>
    <w:basedOn w:val="1"/>
    <w:autoRedefine/>
    <w:qFormat/>
    <w:locked/>
    <w:uiPriority w:val="0"/>
    <w:pPr>
      <w:adjustRightInd/>
      <w:spacing w:line="240" w:lineRule="auto"/>
      <w:ind w:left="0" w:leftChars="0" w:firstLine="0" w:firstLineChars="0"/>
      <w:textAlignment w:val="auto"/>
    </w:pPr>
    <w:rPr>
      <w:sz w:val="21"/>
    </w:rPr>
  </w:style>
  <w:style w:type="paragraph" w:styleId="7">
    <w:name w:val="Normal Indent"/>
    <w:basedOn w:val="1"/>
    <w:qFormat/>
    <w:locked/>
    <w:uiPriority w:val="0"/>
    <w:pPr>
      <w:adjustRightInd w:val="0"/>
      <w:spacing w:line="312" w:lineRule="atLeast"/>
      <w:ind w:firstLine="0" w:firstLineChars="0"/>
      <w:jc w:val="both"/>
      <w:textAlignment w:val="baseline"/>
    </w:pPr>
    <w:rPr>
      <w:rFonts w:ascii="宋体" w:hAnsi="宋体" w:eastAsia="宋体" w:cs="Times New Roman"/>
      <w:sz w:val="21"/>
      <w:szCs w:val="21"/>
      <w:lang w:eastAsia="zh-CN"/>
    </w:rPr>
  </w:style>
  <w:style w:type="paragraph" w:styleId="8">
    <w:name w:val="toa heading"/>
    <w:basedOn w:val="1"/>
    <w:next w:val="1"/>
    <w:autoRedefine/>
    <w:qFormat/>
    <w:locked/>
    <w:uiPriority w:val="0"/>
    <w:pPr>
      <w:spacing w:before="120"/>
    </w:pPr>
    <w:rPr>
      <w:rFonts w:ascii="Arial" w:hAnsi="Arial"/>
      <w:sz w:val="24"/>
      <w:szCs w:val="24"/>
    </w:rPr>
  </w:style>
  <w:style w:type="paragraph" w:styleId="9">
    <w:name w:val="annotation text"/>
    <w:basedOn w:val="1"/>
    <w:link w:val="40"/>
    <w:autoRedefine/>
    <w:semiHidden/>
    <w:qFormat/>
    <w:uiPriority w:val="0"/>
    <w:pPr>
      <w:jc w:val="left"/>
    </w:pPr>
    <w:rPr>
      <w:kern w:val="0"/>
      <w:sz w:val="24"/>
      <w:szCs w:val="20"/>
    </w:rPr>
  </w:style>
  <w:style w:type="paragraph" w:styleId="10">
    <w:name w:val="Body Text"/>
    <w:basedOn w:val="1"/>
    <w:next w:val="1"/>
    <w:link w:val="41"/>
    <w:qFormat/>
    <w:uiPriority w:val="0"/>
    <w:pPr>
      <w:widowControl/>
      <w:snapToGrid w:val="0"/>
      <w:spacing w:before="60" w:after="160" w:line="259" w:lineRule="auto"/>
      <w:ind w:right="113"/>
    </w:pPr>
    <w:rPr>
      <w:kern w:val="0"/>
      <w:sz w:val="18"/>
      <w:szCs w:val="20"/>
    </w:rPr>
  </w:style>
  <w:style w:type="paragraph" w:styleId="11">
    <w:name w:val="Body Text Indent"/>
    <w:basedOn w:val="1"/>
    <w:link w:val="42"/>
    <w:autoRedefine/>
    <w:qFormat/>
    <w:uiPriority w:val="0"/>
    <w:pPr>
      <w:spacing w:after="120"/>
      <w:ind w:left="420" w:leftChars="200"/>
    </w:pPr>
    <w:rPr>
      <w:kern w:val="0"/>
      <w:sz w:val="24"/>
      <w:szCs w:val="20"/>
    </w:rPr>
  </w:style>
  <w:style w:type="paragraph" w:styleId="12">
    <w:name w:val="Plain Text"/>
    <w:basedOn w:val="1"/>
    <w:qFormat/>
    <w:locked/>
    <w:uiPriority w:val="0"/>
    <w:rPr>
      <w:rFonts w:ascii="宋体" w:hAnsi="Courier New"/>
      <w:szCs w:val="20"/>
    </w:rPr>
  </w:style>
  <w:style w:type="paragraph" w:styleId="13">
    <w:name w:val="Date"/>
    <w:basedOn w:val="1"/>
    <w:next w:val="1"/>
    <w:link w:val="43"/>
    <w:autoRedefine/>
    <w:qFormat/>
    <w:uiPriority w:val="0"/>
    <w:pPr>
      <w:ind w:left="100" w:leftChars="2500"/>
    </w:pPr>
    <w:rPr>
      <w:kern w:val="0"/>
      <w:sz w:val="24"/>
      <w:szCs w:val="20"/>
    </w:rPr>
  </w:style>
  <w:style w:type="paragraph" w:styleId="14">
    <w:name w:val="Body Text Indent 2"/>
    <w:basedOn w:val="1"/>
    <w:next w:val="1"/>
    <w:autoRedefine/>
    <w:unhideWhenUsed/>
    <w:qFormat/>
    <w:locked/>
    <w:uiPriority w:val="99"/>
    <w:pPr>
      <w:spacing w:line="500" w:lineRule="exact"/>
      <w:ind w:firstLine="556"/>
    </w:pPr>
    <w:rPr>
      <w:rFonts w:ascii="仿宋_GB2312" w:hAnsi="宋体" w:eastAsia="仿宋_GB2312" w:cs="宋体"/>
      <w:sz w:val="28"/>
      <w:szCs w:val="28"/>
    </w:rPr>
  </w:style>
  <w:style w:type="paragraph" w:styleId="15">
    <w:name w:val="Balloon Text"/>
    <w:basedOn w:val="1"/>
    <w:link w:val="44"/>
    <w:semiHidden/>
    <w:qFormat/>
    <w:uiPriority w:val="0"/>
    <w:rPr>
      <w:kern w:val="0"/>
      <w:sz w:val="18"/>
      <w:szCs w:val="20"/>
    </w:rPr>
  </w:style>
  <w:style w:type="paragraph" w:styleId="16">
    <w:name w:val="footer"/>
    <w:basedOn w:val="1"/>
    <w:link w:val="45"/>
    <w:autoRedefine/>
    <w:qFormat/>
    <w:uiPriority w:val="99"/>
    <w:pPr>
      <w:tabs>
        <w:tab w:val="center" w:pos="4153"/>
        <w:tab w:val="right" w:pos="8306"/>
      </w:tabs>
      <w:snapToGrid w:val="0"/>
      <w:jc w:val="left"/>
    </w:pPr>
    <w:rPr>
      <w:kern w:val="0"/>
      <w:sz w:val="18"/>
      <w:szCs w:val="20"/>
    </w:rPr>
  </w:style>
  <w:style w:type="paragraph" w:styleId="17">
    <w:name w:val="header"/>
    <w:basedOn w:val="1"/>
    <w:link w:val="46"/>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toc 1"/>
    <w:basedOn w:val="1"/>
    <w:next w:val="1"/>
    <w:qFormat/>
    <w:locked/>
    <w:uiPriority w:val="0"/>
  </w:style>
  <w:style w:type="paragraph" w:styleId="19">
    <w:name w:val="List"/>
    <w:basedOn w:val="1"/>
    <w:qFormat/>
    <w:locked/>
    <w:uiPriority w:val="0"/>
    <w:pPr>
      <w:ind w:left="200" w:hanging="200" w:hangingChars="200"/>
    </w:pPr>
  </w:style>
  <w:style w:type="paragraph" w:styleId="20">
    <w:name w:val="Normal (Web)"/>
    <w:basedOn w:val="1"/>
    <w:link w:val="47"/>
    <w:autoRedefine/>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9"/>
    <w:next w:val="9"/>
    <w:link w:val="48"/>
    <w:autoRedefine/>
    <w:semiHidden/>
    <w:qFormat/>
    <w:uiPriority w:val="0"/>
    <w:rPr>
      <w:b/>
      <w:sz w:val="24"/>
      <w:szCs w:val="20"/>
    </w:rPr>
  </w:style>
  <w:style w:type="paragraph" w:styleId="22">
    <w:name w:val="Body Text First Indent"/>
    <w:basedOn w:val="10"/>
    <w:qFormat/>
    <w:locked/>
    <w:uiPriority w:val="0"/>
    <w:pPr>
      <w:ind w:firstLine="420" w:firstLineChars="100"/>
    </w:pPr>
  </w:style>
  <w:style w:type="paragraph" w:styleId="23">
    <w:name w:val="Body Text First Indent 2"/>
    <w:basedOn w:val="1"/>
    <w:autoRedefine/>
    <w:unhideWhenUsed/>
    <w:qFormat/>
    <w:locked/>
    <w:uiPriority w:val="99"/>
    <w:pPr>
      <w:ind w:firstLine="420"/>
    </w:pPr>
  </w:style>
  <w:style w:type="table" w:styleId="25">
    <w:name w:val="Table Grid"/>
    <w:basedOn w:val="24"/>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locked/>
    <w:uiPriority w:val="0"/>
    <w:rPr>
      <w:b/>
    </w:rPr>
  </w:style>
  <w:style w:type="character" w:styleId="28">
    <w:name w:val="page number"/>
    <w:basedOn w:val="26"/>
    <w:qFormat/>
    <w:locked/>
    <w:uiPriority w:val="0"/>
  </w:style>
  <w:style w:type="character" w:styleId="29">
    <w:name w:val="Hyperlink"/>
    <w:basedOn w:val="26"/>
    <w:qFormat/>
    <w:locked/>
    <w:uiPriority w:val="0"/>
    <w:rPr>
      <w:color w:val="0000FF"/>
      <w:u w:val="single"/>
    </w:rPr>
  </w:style>
  <w:style w:type="character" w:styleId="30">
    <w:name w:val="annotation reference"/>
    <w:autoRedefine/>
    <w:semiHidden/>
    <w:qFormat/>
    <w:uiPriority w:val="0"/>
    <w:rPr>
      <w:sz w:val="21"/>
    </w:rPr>
  </w:style>
  <w:style w:type="paragraph" w:customStyle="1" w:styleId="31">
    <w:name w:val="Default"/>
    <w:basedOn w:val="32"/>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32">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3">
    <w:name w:val="样式 正文文本 + 首行缩进:  2 字符"/>
    <w:qFormat/>
    <w:uiPriority w:val="0"/>
    <w:pPr>
      <w:widowControl w:val="0"/>
      <w:spacing w:after="120" w:afterLines="0" w:line="480" w:lineRule="exact"/>
      <w:ind w:firstLine="480" w:firstLineChars="200"/>
      <w:jc w:val="both"/>
    </w:pPr>
    <w:rPr>
      <w:rFonts w:hint="eastAsia" w:ascii="宋体" w:hAnsi="宋体" w:eastAsia="宋体" w:cs="宋体"/>
      <w:kern w:val="2"/>
      <w:sz w:val="24"/>
      <w:szCs w:val="20"/>
      <w:lang w:val="en-US" w:eastAsia="zh-CN" w:bidi="ar-SA"/>
    </w:rPr>
  </w:style>
  <w:style w:type="paragraph" w:customStyle="1" w:styleId="34">
    <w:name w:val="toc 84"/>
    <w:next w:val="1"/>
    <w:qFormat/>
    <w:uiPriority w:val="99"/>
    <w:pPr>
      <w:wordWrap w:val="0"/>
      <w:ind w:left="2975"/>
      <w:jc w:val="both"/>
    </w:pPr>
    <w:rPr>
      <w:rFonts w:ascii="Times New Roman" w:hAnsi="Times New Roman" w:eastAsia="宋体" w:cs="Times New Roman"/>
      <w:sz w:val="21"/>
      <w:szCs w:val="22"/>
      <w:lang w:val="en-US" w:eastAsia="zh-CN" w:bidi="ar-SA"/>
    </w:rPr>
  </w:style>
  <w:style w:type="paragraph" w:customStyle="1" w:styleId="35">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36">
    <w:name w:val="样式 标题 2 + 三号1"/>
    <w:basedOn w:val="3"/>
    <w:next w:val="1"/>
    <w:qFormat/>
    <w:uiPriority w:val="99"/>
    <w:pPr>
      <w:keepLines w:val="0"/>
      <w:numPr>
        <w:ilvl w:val="1"/>
        <w:numId w:val="2"/>
      </w:numPr>
      <w:tabs>
        <w:tab w:val="left" w:pos="718"/>
        <w:tab w:val="clear" w:pos="576"/>
      </w:tabs>
      <w:spacing w:line="480" w:lineRule="auto"/>
      <w:ind w:left="718"/>
      <w:jc w:val="left"/>
    </w:pPr>
    <w:rPr>
      <w:rFonts w:ascii="宋体" w:hAnsi="宋体"/>
      <w:kern w:val="0"/>
      <w:sz w:val="32"/>
    </w:rPr>
  </w:style>
  <w:style w:type="paragraph" w:customStyle="1" w:styleId="37">
    <w:name w:val="Default1"/>
    <w:basedOn w:val="38"/>
    <w:autoRedefine/>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38">
    <w:name w:val="Normal_14_0"/>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39">
    <w:name w:val="YH正文"/>
    <w:basedOn w:val="1"/>
    <w:qFormat/>
    <w:uiPriority w:val="0"/>
    <w:pPr>
      <w:autoSpaceDE w:val="0"/>
      <w:autoSpaceDN w:val="0"/>
      <w:adjustRightInd w:val="0"/>
      <w:spacing w:line="360" w:lineRule="auto"/>
      <w:ind w:left="50" w:leftChars="50" w:right="50" w:rightChars="50" w:firstLine="200" w:firstLineChars="200"/>
      <w:jc w:val="left"/>
    </w:pPr>
    <w:rPr>
      <w:rFonts w:ascii="Times New Roman" w:hAnsi="Times New Roman"/>
      <w:sz w:val="24"/>
      <w:szCs w:val="21"/>
    </w:rPr>
  </w:style>
  <w:style w:type="character" w:customStyle="1" w:styleId="40">
    <w:name w:val="批注文字 Char"/>
    <w:link w:val="9"/>
    <w:autoRedefine/>
    <w:qFormat/>
    <w:locked/>
    <w:uiPriority w:val="0"/>
    <w:rPr>
      <w:rFonts w:ascii="Times New Roman" w:hAnsi="Times New Roman" w:eastAsia="宋体"/>
      <w:sz w:val="24"/>
    </w:rPr>
  </w:style>
  <w:style w:type="character" w:customStyle="1" w:styleId="41">
    <w:name w:val="正文文本 Char"/>
    <w:link w:val="10"/>
    <w:autoRedefine/>
    <w:qFormat/>
    <w:locked/>
    <w:uiPriority w:val="0"/>
    <w:rPr>
      <w:sz w:val="18"/>
    </w:rPr>
  </w:style>
  <w:style w:type="character" w:customStyle="1" w:styleId="42">
    <w:name w:val="正文文本缩进 Char"/>
    <w:link w:val="11"/>
    <w:semiHidden/>
    <w:qFormat/>
    <w:locked/>
    <w:uiPriority w:val="0"/>
    <w:rPr>
      <w:rFonts w:ascii="Times New Roman" w:hAnsi="Times New Roman" w:eastAsia="宋体"/>
      <w:sz w:val="24"/>
    </w:rPr>
  </w:style>
  <w:style w:type="character" w:customStyle="1" w:styleId="43">
    <w:name w:val="日期 Char"/>
    <w:link w:val="13"/>
    <w:autoRedefine/>
    <w:qFormat/>
    <w:locked/>
    <w:uiPriority w:val="0"/>
    <w:rPr>
      <w:rFonts w:ascii="Times New Roman" w:hAnsi="Times New Roman" w:eastAsia="宋体"/>
      <w:sz w:val="24"/>
    </w:rPr>
  </w:style>
  <w:style w:type="character" w:customStyle="1" w:styleId="44">
    <w:name w:val="批注框文本 Char"/>
    <w:link w:val="15"/>
    <w:autoRedefine/>
    <w:semiHidden/>
    <w:qFormat/>
    <w:locked/>
    <w:uiPriority w:val="0"/>
    <w:rPr>
      <w:rFonts w:ascii="Times New Roman" w:hAnsi="Times New Roman" w:eastAsia="宋体"/>
      <w:sz w:val="18"/>
    </w:rPr>
  </w:style>
  <w:style w:type="character" w:customStyle="1" w:styleId="45">
    <w:name w:val="页脚 Char"/>
    <w:link w:val="16"/>
    <w:qFormat/>
    <w:locked/>
    <w:uiPriority w:val="99"/>
    <w:rPr>
      <w:sz w:val="18"/>
    </w:rPr>
  </w:style>
  <w:style w:type="character" w:customStyle="1" w:styleId="46">
    <w:name w:val="页眉 Char"/>
    <w:link w:val="17"/>
    <w:autoRedefine/>
    <w:qFormat/>
    <w:locked/>
    <w:uiPriority w:val="0"/>
    <w:rPr>
      <w:sz w:val="18"/>
    </w:rPr>
  </w:style>
  <w:style w:type="character" w:customStyle="1" w:styleId="47">
    <w:name w:val="普通(网站) Char"/>
    <w:link w:val="20"/>
    <w:autoRedefine/>
    <w:qFormat/>
    <w:locked/>
    <w:uiPriority w:val="0"/>
    <w:rPr>
      <w:rFonts w:ascii="宋体" w:hAnsi="宋体" w:eastAsia="宋体"/>
      <w:sz w:val="24"/>
    </w:rPr>
  </w:style>
  <w:style w:type="character" w:customStyle="1" w:styleId="48">
    <w:name w:val="批注主题 Char"/>
    <w:link w:val="21"/>
    <w:semiHidden/>
    <w:qFormat/>
    <w:locked/>
    <w:uiPriority w:val="0"/>
    <w:rPr>
      <w:rFonts w:ascii="Times New Roman" w:hAnsi="Times New Roman" w:eastAsia="宋体"/>
      <w:b/>
      <w:kern w:val="2"/>
      <w:sz w:val="24"/>
    </w:rPr>
  </w:style>
  <w:style w:type="character" w:customStyle="1" w:styleId="49">
    <w:name w:val="页脚 字符"/>
    <w:basedOn w:val="26"/>
    <w:autoRedefine/>
    <w:qFormat/>
    <w:uiPriority w:val="99"/>
  </w:style>
  <w:style w:type="character" w:customStyle="1" w:styleId="50">
    <w:name w:val="正文文本 字符1"/>
    <w:autoRedefine/>
    <w:semiHidden/>
    <w:qFormat/>
    <w:uiPriority w:val="0"/>
    <w:rPr>
      <w:rFonts w:ascii="Times New Roman" w:hAnsi="Times New Roman" w:eastAsia="宋体"/>
      <w:sz w:val="24"/>
    </w:rPr>
  </w:style>
  <w:style w:type="character" w:customStyle="1" w:styleId="51">
    <w:name w:val="表格 Char"/>
    <w:link w:val="52"/>
    <w:qFormat/>
    <w:locked/>
    <w:uiPriority w:val="0"/>
    <w:rPr>
      <w:rFonts w:ascii="宋体"/>
      <w:sz w:val="21"/>
    </w:rPr>
  </w:style>
  <w:style w:type="paragraph" w:customStyle="1" w:styleId="52">
    <w:name w:val="表格"/>
    <w:basedOn w:val="53"/>
    <w:next w:val="1"/>
    <w:link w:val="51"/>
    <w:autoRedefine/>
    <w:qFormat/>
    <w:uiPriority w:val="0"/>
    <w:pPr>
      <w:adjustRightInd w:val="0"/>
      <w:snapToGrid w:val="0"/>
      <w:spacing w:beforeLines="10" w:afterLines="10" w:line="259" w:lineRule="auto"/>
      <w:jc w:val="center"/>
    </w:pPr>
    <w:rPr>
      <w:rFonts w:ascii="宋体"/>
      <w:kern w:val="0"/>
      <w:szCs w:val="20"/>
    </w:rPr>
  </w:style>
  <w:style w:type="paragraph" w:customStyle="1" w:styleId="53">
    <w:name w:val="样式1"/>
    <w:basedOn w:val="1"/>
    <w:qFormat/>
    <w:uiPriority w:val="0"/>
    <w:pPr>
      <w:spacing w:line="360" w:lineRule="auto"/>
    </w:pPr>
    <w:rPr>
      <w:rFonts w:ascii="宋体" w:hAnsi="宋体" w:eastAsia="宋体" w:cs="宋体"/>
      <w:sz w:val="24"/>
    </w:rPr>
  </w:style>
  <w:style w:type="paragraph" w:customStyle="1" w:styleId="54">
    <w:name w:val="表格标题"/>
    <w:basedOn w:val="1"/>
    <w:qFormat/>
    <w:uiPriority w:val="0"/>
    <w:pPr>
      <w:spacing w:line="240" w:lineRule="auto"/>
      <w:ind w:firstLine="0" w:firstLineChars="0"/>
      <w:jc w:val="center"/>
    </w:pPr>
    <w:rPr>
      <w:b/>
    </w:rPr>
  </w:style>
  <w:style w:type="paragraph" w:customStyle="1" w:styleId="55">
    <w:name w:val="表头"/>
    <w:basedOn w:val="52"/>
    <w:next w:val="1"/>
    <w:autoRedefine/>
    <w:qFormat/>
    <w:uiPriority w:val="0"/>
    <w:pPr>
      <w:spacing w:before="50" w:beforeLines="50" w:line="240" w:lineRule="auto"/>
      <w:ind w:firstLine="0" w:firstLineChars="0"/>
      <w:jc w:val="center"/>
    </w:pPr>
    <w:rPr>
      <w:sz w:val="21"/>
    </w:rPr>
  </w:style>
  <w:style w:type="paragraph" w:customStyle="1" w:styleId="56">
    <w:name w:val="表格内表格正文"/>
    <w:basedOn w:val="1"/>
    <w:autoRedefine/>
    <w:qFormat/>
    <w:uiPriority w:val="0"/>
    <w:pPr>
      <w:spacing w:line="240" w:lineRule="auto"/>
      <w:ind w:firstLine="0"/>
      <w:jc w:val="center"/>
    </w:pPr>
    <w:rPr>
      <w:spacing w:val="0"/>
      <w:sz w:val="21"/>
      <w:szCs w:val="21"/>
    </w:rPr>
  </w:style>
  <w:style w:type="character" w:customStyle="1" w:styleId="57">
    <w:name w:val="日期 字符"/>
    <w:autoRedefine/>
    <w:semiHidden/>
    <w:qFormat/>
    <w:uiPriority w:val="0"/>
    <w:rPr>
      <w:rFonts w:ascii="Times New Roman" w:hAnsi="Times New Roman" w:eastAsia="宋体"/>
      <w:sz w:val="24"/>
    </w:rPr>
  </w:style>
  <w:style w:type="character" w:customStyle="1" w:styleId="58">
    <w:name w:val="批注文字 字符1"/>
    <w:autoRedefine/>
    <w:semiHidden/>
    <w:qFormat/>
    <w:uiPriority w:val="0"/>
    <w:rPr>
      <w:rFonts w:ascii="Times New Roman" w:hAnsi="Times New Roman" w:eastAsia="宋体"/>
      <w:sz w:val="24"/>
    </w:rPr>
  </w:style>
  <w:style w:type="paragraph" w:customStyle="1" w:styleId="59">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1">
    <w:name w:val="06F图名表名"/>
    <w:basedOn w:val="62"/>
    <w:next w:val="62"/>
    <w:autoRedefine/>
    <w:qFormat/>
    <w:uiPriority w:val="0"/>
    <w:rPr>
      <w:b/>
    </w:rPr>
  </w:style>
  <w:style w:type="paragraph" w:customStyle="1" w:styleId="62">
    <w:name w:val="07F表格文字"/>
    <w:basedOn w:val="63"/>
    <w:next w:val="1"/>
    <w:autoRedefine/>
    <w:qFormat/>
    <w:uiPriority w:val="0"/>
    <w:pPr>
      <w:jc w:val="center"/>
    </w:pPr>
  </w:style>
  <w:style w:type="paragraph" w:customStyle="1" w:styleId="63">
    <w:name w:val="08F表格批注"/>
    <w:basedOn w:val="1"/>
    <w:next w:val="1"/>
    <w:autoRedefine/>
    <w:qFormat/>
    <w:uiPriority w:val="0"/>
    <w:pPr>
      <w:jc w:val="left"/>
    </w:pPr>
    <w:rPr>
      <w:szCs w:val="21"/>
    </w:rPr>
  </w:style>
  <w:style w:type="paragraph" w:customStyle="1" w:styleId="64">
    <w:name w:val="正文样式"/>
    <w:basedOn w:val="1"/>
    <w:autoRedefine/>
    <w:qFormat/>
    <w:uiPriority w:val="0"/>
    <w:pPr>
      <w:spacing w:before="100" w:beforeAutospacing="1" w:after="100" w:afterAutospacing="1" w:line="360" w:lineRule="auto"/>
      <w:ind w:right="170" w:firstLine="480" w:firstLineChars="200"/>
    </w:pPr>
    <w:rPr>
      <w:rFonts w:ascii="仿宋_GB2312" w:hAnsi="宋体" w:eastAsia="仿宋_GB2312" w:cs="宋体"/>
      <w:sz w:val="24"/>
    </w:rPr>
  </w:style>
  <w:style w:type="paragraph" w:customStyle="1" w:styleId="65">
    <w:name w:val="【】表头"/>
    <w:basedOn w:val="1"/>
    <w:next w:val="66"/>
    <w:autoRedefine/>
    <w:qFormat/>
    <w:uiPriority w:val="0"/>
    <w:pPr>
      <w:numPr>
        <w:ilvl w:val="5"/>
        <w:numId w:val="0"/>
      </w:numPr>
      <w:spacing w:line="240" w:lineRule="auto"/>
      <w:ind w:left="0"/>
      <w:jc w:val="center"/>
      <w:outlineLvl w:val="5"/>
    </w:pPr>
    <w:rPr>
      <w:rFonts w:ascii="Times New Roman" w:hAnsi="Times New Roman" w:eastAsia="宋体" w:cs="宋体"/>
      <w:b/>
      <w:sz w:val="24"/>
    </w:rPr>
  </w:style>
  <w:style w:type="paragraph" w:customStyle="1" w:styleId="66">
    <w:name w:val="A表内"/>
    <w:basedOn w:val="67"/>
    <w:autoRedefine/>
    <w:qFormat/>
    <w:uiPriority w:val="0"/>
    <w:pPr>
      <w:spacing w:line="0" w:lineRule="atLeast"/>
      <w:jc w:val="center"/>
    </w:pPr>
    <w:rPr>
      <w:rFonts w:cs="宋体"/>
      <w:szCs w:val="20"/>
    </w:rPr>
  </w:style>
  <w:style w:type="paragraph" w:customStyle="1" w:styleId="67">
    <w:name w:val="B表内"/>
    <w:basedOn w:val="68"/>
    <w:qFormat/>
    <w:uiPriority w:val="0"/>
    <w:pPr>
      <w:widowControl w:val="0"/>
      <w:wordWrap w:val="0"/>
      <w:spacing w:line="360" w:lineRule="exact"/>
      <w:ind w:firstLine="0" w:firstLineChars="0"/>
      <w:jc w:val="center"/>
      <w:textAlignment w:val="center"/>
    </w:pPr>
    <w:rPr>
      <w:rFonts w:ascii="Times New Roman" w:hAnsi="Times New Roman" w:eastAsia="宋体" w:cs="宋体"/>
      <w:kern w:val="0"/>
      <w:sz w:val="21"/>
      <w:szCs w:val="20"/>
      <w:lang w:val="en-US" w:eastAsia="zh-CN" w:bidi="ar-SA"/>
    </w:rPr>
  </w:style>
  <w:style w:type="paragraph" w:customStyle="1" w:styleId="68">
    <w:name w:val="B正文"/>
    <w:basedOn w:val="1"/>
    <w:qFormat/>
    <w:uiPriority w:val="0"/>
    <w:pPr>
      <w:ind w:firstLine="200"/>
    </w:pPr>
    <w:rPr>
      <w:rFonts w:ascii="Times New Roman" w:hAnsi="Times New Roman" w:eastAsia="宋体"/>
      <w:kern w:val="0"/>
    </w:rPr>
  </w:style>
  <w:style w:type="character" w:customStyle="1" w:styleId="69">
    <w:name w:val="font91"/>
    <w:autoRedefine/>
    <w:qFormat/>
    <w:uiPriority w:val="0"/>
    <w:rPr>
      <w:rFonts w:hint="eastAsia" w:ascii="宋体" w:hAnsi="宋体" w:eastAsia="宋体" w:cs="宋体"/>
      <w:color w:val="000000"/>
      <w:sz w:val="20"/>
      <w:szCs w:val="20"/>
      <w:u w:val="none"/>
      <w:vertAlign w:val="superscript"/>
    </w:rPr>
  </w:style>
  <w:style w:type="character" w:customStyle="1" w:styleId="70">
    <w:name w:val="font81"/>
    <w:autoRedefine/>
    <w:qFormat/>
    <w:uiPriority w:val="0"/>
    <w:rPr>
      <w:rFonts w:hint="default" w:ascii="Times New Roman" w:hAnsi="Times New Roman" w:cs="Times New Roman"/>
      <w:color w:val="000000"/>
      <w:sz w:val="20"/>
      <w:szCs w:val="20"/>
      <w:u w:val="none"/>
    </w:rPr>
  </w:style>
  <w:style w:type="paragraph" w:customStyle="1" w:styleId="71">
    <w:name w:val="德正表格"/>
    <w:basedOn w:val="1"/>
    <w:autoRedefine/>
    <w:qFormat/>
    <w:uiPriority w:val="0"/>
    <w:pPr>
      <w:pBdr>
        <w:top w:val="none" w:color="auto" w:sz="0" w:space="1"/>
        <w:left w:val="none" w:color="auto" w:sz="0" w:space="4"/>
        <w:bottom w:val="none" w:color="auto" w:sz="0" w:space="1"/>
        <w:right w:val="none" w:color="auto" w:sz="0" w:space="4"/>
      </w:pBdr>
      <w:adjustRightInd w:val="0"/>
      <w:snapToGrid w:val="0"/>
      <w:spacing w:line="240" w:lineRule="auto"/>
      <w:ind w:firstLine="0" w:firstLineChars="0"/>
      <w:jc w:val="center"/>
    </w:pPr>
    <w:rPr>
      <w:rFonts w:ascii="Times New Roman" w:hAnsi="Times New Roman" w:eastAsia="宋体"/>
    </w:rPr>
  </w:style>
  <w:style w:type="paragraph" w:customStyle="1" w:styleId="72">
    <w:name w:val="表头1"/>
    <w:basedOn w:val="1"/>
    <w:next w:val="1"/>
    <w:autoRedefine/>
    <w:qFormat/>
    <w:uiPriority w:val="0"/>
    <w:pPr>
      <w:adjustRightInd w:val="0"/>
      <w:snapToGrid w:val="0"/>
      <w:jc w:val="center"/>
    </w:pPr>
    <w:rPr>
      <w:b/>
      <w:szCs w:val="21"/>
    </w:rPr>
  </w:style>
  <w:style w:type="paragraph" w:customStyle="1" w:styleId="73">
    <w:name w:val="正文标题1"/>
    <w:basedOn w:val="1"/>
    <w:autoRedefine/>
    <w:qFormat/>
    <w:uiPriority w:val="0"/>
    <w:pPr>
      <w:keepNext w:val="0"/>
      <w:keepLines w:val="0"/>
      <w:widowControl w:val="0"/>
      <w:suppressLineNumbers w:val="0"/>
      <w:adjustRightInd w:val="0"/>
      <w:spacing w:line="360" w:lineRule="auto"/>
      <w:ind w:left="0" w:leftChars="0" w:firstLine="480" w:firstLineChars="200"/>
      <w:jc w:val="both"/>
      <w:textAlignment w:val="baseline"/>
    </w:pPr>
    <w:rPr>
      <w:rFonts w:hint="default" w:ascii="Times New Roman" w:hAnsi="Times New Roman" w:eastAsia="宋体" w:cs="Times New Roman"/>
      <w:kern w:val="0"/>
      <w:sz w:val="24"/>
      <w:szCs w:val="24"/>
      <w:lang w:val="en-US" w:eastAsia="zh-CN" w:bidi="ar"/>
    </w:rPr>
  </w:style>
  <w:style w:type="paragraph" w:customStyle="1" w:styleId="74">
    <w:name w:val="表格表头"/>
    <w:basedOn w:val="1"/>
    <w:next w:val="1"/>
    <w:autoRedefine/>
    <w:qFormat/>
    <w:uiPriority w:val="0"/>
    <w:pPr>
      <w:adjustRightInd w:val="0"/>
      <w:snapToGrid w:val="0"/>
      <w:spacing w:before="10" w:beforeLines="10" w:after="10" w:afterLines="10" w:line="259" w:lineRule="auto"/>
      <w:jc w:val="center"/>
    </w:pPr>
    <w:rPr>
      <w:rFonts w:ascii="Times New Roman" w:hAnsi="Times New Roman" w:eastAsia="宋体"/>
      <w:b/>
      <w:kern w:val="0"/>
      <w:szCs w:val="20"/>
    </w:rPr>
  </w:style>
  <w:style w:type="paragraph" w:customStyle="1" w:styleId="75">
    <w:name w:val="表格中文字"/>
    <w:basedOn w:val="1"/>
    <w:autoRedefine/>
    <w:qFormat/>
    <w:uiPriority w:val="0"/>
    <w:pPr>
      <w:adjustRightInd w:val="0"/>
      <w:snapToGrid w:val="0"/>
      <w:jc w:val="center"/>
    </w:pPr>
    <w:rPr>
      <w:kern w:val="18"/>
      <w:szCs w:val="21"/>
    </w:rPr>
  </w:style>
  <w:style w:type="paragraph" w:customStyle="1" w:styleId="76">
    <w:name w:val="00000000000000000000000"/>
    <w:basedOn w:val="1"/>
    <w:autoRedefine/>
    <w:qFormat/>
    <w:uiPriority w:val="0"/>
    <w:pPr>
      <w:spacing w:before="0" w:after="0" w:line="360" w:lineRule="auto"/>
      <w:ind w:firstLine="480" w:firstLineChars="200"/>
      <w:outlineLvl w:val="9"/>
    </w:pPr>
    <w:rPr>
      <w:rFonts w:ascii="Times New Roman" w:hAnsi="Times New Roman" w:eastAsia="宋体"/>
      <w:snapToGrid w:val="0"/>
      <w:sz w:val="24"/>
    </w:rPr>
  </w:style>
  <w:style w:type="table" w:customStyle="1" w:styleId="77">
    <w:name w:val="Table Normal"/>
    <w:autoRedefine/>
    <w:unhideWhenUsed/>
    <w:qFormat/>
    <w:uiPriority w:val="2"/>
    <w:pPr>
      <w:widowControl w:val="0"/>
      <w:autoSpaceDE w:val="0"/>
      <w:autoSpaceDN w:val="0"/>
    </w:pPr>
    <w:rPr>
      <w:rFonts w:ascii="Calibri" w:hAnsi="Calibri"/>
      <w:sz w:val="22"/>
      <w:szCs w:val="22"/>
      <w:lang w:val="en-US" w:eastAsia="en-US" w:bidi="ar-SA"/>
    </w:rPr>
    <w:tblPr>
      <w:tblCellMar>
        <w:top w:w="0" w:type="dxa"/>
        <w:left w:w="0" w:type="dxa"/>
        <w:bottom w:w="0" w:type="dxa"/>
        <w:right w:w="0" w:type="dxa"/>
      </w:tblCellMar>
    </w:tblPr>
  </w:style>
  <w:style w:type="character" w:customStyle="1" w:styleId="78">
    <w:name w:val="标题 1 Char"/>
    <w:link w:val="2"/>
    <w:qFormat/>
    <w:uiPriority w:val="0"/>
    <w:rPr>
      <w:rFonts w:eastAsia="黑体"/>
      <w:b/>
      <w:bCs/>
      <w:color w:val="000000"/>
      <w:kern w:val="44"/>
      <w:sz w:val="30"/>
      <w:szCs w:val="30"/>
    </w:rPr>
  </w:style>
  <w:style w:type="table" w:customStyle="1" w:styleId="79">
    <w:name w:val="D小表"/>
    <w:basedOn w:val="24"/>
    <w:qFormat/>
    <w:uiPriority w:val="0"/>
    <w:pPr>
      <w:jc w:val="center"/>
    </w:pPr>
    <w:rPr>
      <w:rFonts w:ascii="Calibri" w:hAnsi="Calibri" w:eastAsia="宋体" w:cs="Times New Roman"/>
    </w:rPr>
    <w:tblPr>
      <w:tblBorders>
        <w:top w:val="single" w:color="auto" w:sz="12" w:space="0"/>
        <w:bottom w:val="single" w:color="auto" w:sz="12" w:space="0"/>
        <w:insideH w:val="single" w:color="auto" w:sz="4" w:space="0"/>
        <w:insideV w:val="single" w:color="auto" w:sz="4" w:space="0"/>
      </w:tblBorders>
    </w:tblPr>
    <w:tcPr>
      <w:vAlign w:val="center"/>
    </w:tcPr>
  </w:style>
  <w:style w:type="paragraph" w:styleId="80">
    <w:name w:val="List Paragraph"/>
    <w:basedOn w:val="1"/>
    <w:qFormat/>
    <w:uiPriority w:val="34"/>
    <w:pPr>
      <w:ind w:firstLine="420" w:firstLineChars="200"/>
    </w:pPr>
  </w:style>
  <w:style w:type="paragraph" w:customStyle="1" w:styleId="81">
    <w:name w:val="表内格式"/>
    <w:basedOn w:val="1"/>
    <w:qFormat/>
    <w:uiPriority w:val="0"/>
    <w:pPr>
      <w:widowControl/>
      <w:jc w:val="center"/>
    </w:pPr>
    <w:rPr>
      <w:rFonts w:eastAsia="楷体_GB2312"/>
      <w:kern w:val="0"/>
      <w:sz w:val="18"/>
      <w:szCs w:val="18"/>
    </w:rPr>
  </w:style>
  <w:style w:type="paragraph" w:customStyle="1" w:styleId="82">
    <w:name w:val="Table Paragraph"/>
    <w:basedOn w:val="1"/>
    <w:qFormat/>
    <w:uiPriority w:val="1"/>
  </w:style>
  <w:style w:type="paragraph" w:customStyle="1" w:styleId="83">
    <w:name w:val="样式 (符号) 宋体 小四 行距: 1.5 倍行距"/>
    <w:qFormat/>
    <w:uiPriority w:val="0"/>
    <w:pPr>
      <w:widowControl w:val="0"/>
      <w:spacing w:line="360" w:lineRule="auto"/>
      <w:ind w:firstLine="480" w:firstLineChars="200"/>
      <w:jc w:val="both"/>
    </w:pPr>
    <w:rPr>
      <w:rFonts w:ascii="Times New Roman" w:hAnsi="宋体" w:eastAsia="宋体" w:cs="宋体"/>
      <w:kern w:val="2"/>
      <w:sz w:val="24"/>
      <w:lang w:val="en-US" w:eastAsia="zh-CN" w:bidi="ar-SA"/>
    </w:rPr>
  </w:style>
  <w:style w:type="character" w:customStyle="1" w:styleId="84">
    <w:name w:val="zw1"/>
    <w:qFormat/>
    <w:uiPriority w:val="0"/>
    <w:rPr>
      <w:rFonts w:hint="eastAsia" w:ascii="宋体" w:hAnsi="宋体" w:eastAsia="宋体"/>
      <w:sz w:val="22"/>
      <w:szCs w:val="22"/>
    </w:rPr>
  </w:style>
  <w:style w:type="paragraph" w:customStyle="1" w:styleId="85">
    <w:name w:val="Table Text"/>
    <w:basedOn w:val="1"/>
    <w:semiHidden/>
    <w:qFormat/>
    <w:uiPriority w:val="0"/>
    <w:rPr>
      <w:rFonts w:ascii="宋体" w:hAnsi="宋体" w:eastAsia="宋体" w:cs="宋体"/>
      <w:sz w:val="18"/>
      <w:szCs w:val="18"/>
      <w:lang w:val="en-US" w:eastAsia="en-US" w:bidi="ar-SA"/>
    </w:rPr>
  </w:style>
  <w:style w:type="paragraph" w:customStyle="1" w:styleId="86">
    <w:name w:val="中核正文"/>
    <w:basedOn w:val="1"/>
    <w:qFormat/>
    <w:uiPriority w:val="0"/>
    <w:pPr>
      <w:widowControl/>
      <w:adjustRightInd/>
      <w:jc w:val="both"/>
    </w:pPr>
    <w:rPr>
      <w:rFonts w:ascii="Times New Roman" w:hAnsi="Times New Roman"/>
      <w:szCs w:val="24"/>
    </w:rPr>
  </w:style>
  <w:style w:type="paragraph" w:customStyle="1" w:styleId="87">
    <w:name w:val="WPSOffice手动目录 1"/>
    <w:qFormat/>
    <w:uiPriority w:val="0"/>
    <w:pPr>
      <w:ind w:leftChars="0"/>
    </w:pPr>
    <w:rPr>
      <w:rFonts w:ascii="Times New Roman" w:hAnsi="Times New Roman" w:eastAsia="宋体" w:cs="Times New Roman"/>
      <w:sz w:val="20"/>
      <w:szCs w:val="20"/>
    </w:rPr>
  </w:style>
  <w:style w:type="paragraph" w:customStyle="1" w:styleId="88">
    <w:name w:val="文本"/>
    <w:basedOn w:val="1"/>
    <w:autoRedefine/>
    <w:qFormat/>
    <w:uiPriority w:val="0"/>
    <w:pPr>
      <w:adjustRightInd w:val="0"/>
      <w:snapToGrid w:val="0"/>
      <w:spacing w:line="360" w:lineRule="auto"/>
      <w:ind w:firstLine="200" w:firstLineChars="200"/>
    </w:pPr>
    <w:rPr>
      <w:kern w:val="0"/>
      <w:sz w:val="24"/>
    </w:rPr>
  </w:style>
  <w:style w:type="character" w:customStyle="1" w:styleId="89">
    <w:name w:val="font21"/>
    <w:basedOn w:val="26"/>
    <w:autoRedefine/>
    <w:qFormat/>
    <w:uiPriority w:val="0"/>
    <w:rPr>
      <w:rFonts w:hint="eastAsia" w:ascii="宋体" w:hAnsi="宋体" w:eastAsia="宋体" w:cs="宋体"/>
      <w:color w:val="000000"/>
      <w:sz w:val="22"/>
      <w:szCs w:val="22"/>
      <w:u w:val="none"/>
    </w:rPr>
  </w:style>
  <w:style w:type="paragraph" w:customStyle="1" w:styleId="90">
    <w:name w:val="Normal (Web)"/>
    <w:basedOn w:val="1"/>
    <w:autoRedefine/>
    <w:qFormat/>
    <w:uiPriority w:val="0"/>
    <w:pPr>
      <w:widowControl/>
      <w:spacing w:before="100" w:beforeAutospacing="1" w:after="100" w:afterAutospacing="1" w:line="480" w:lineRule="exact"/>
      <w:ind w:firstLine="200" w:firstLineChars="200"/>
      <w:jc w:val="left"/>
    </w:pPr>
    <w:rPr>
      <w:rFonts w:ascii="宋体" w:hAnsi="宋体" w:eastAsia="楷体_GB2312"/>
      <w:color w:val="000000"/>
      <w:kern w:val="0"/>
      <w:sz w:val="24"/>
      <w:szCs w:val="24"/>
    </w:rPr>
  </w:style>
  <w:style w:type="paragraph" w:customStyle="1" w:styleId="91">
    <w:name w:val="表体"/>
    <w:basedOn w:val="1"/>
    <w:qFormat/>
    <w:uiPriority w:val="0"/>
    <w:pPr>
      <w:spacing w:before="40" w:after="40"/>
      <w:jc w:val="center"/>
    </w:pPr>
    <w:rPr>
      <w:szCs w:val="21"/>
    </w:rPr>
  </w:style>
  <w:style w:type="paragraph" w:customStyle="1" w:styleId="92">
    <w:name w:val="!正文"/>
    <w:basedOn w:val="1"/>
    <w:qFormat/>
    <w:uiPriority w:val="0"/>
    <w:pPr>
      <w:adjustRightInd w:val="0"/>
      <w:snapToGrid w:val="0"/>
      <w:spacing w:line="360" w:lineRule="auto"/>
      <w:ind w:firstLine="480" w:firstLineChars="200"/>
    </w:pPr>
    <w:rPr>
      <w:kern w:val="0"/>
      <w:sz w:val="24"/>
      <w:szCs w:val="21"/>
    </w:rPr>
  </w:style>
  <w:style w:type="paragraph" w:customStyle="1" w:styleId="93">
    <w:name w:val="D表内1磅"/>
    <w:basedOn w:val="94"/>
    <w:qFormat/>
    <w:uiPriority w:val="0"/>
    <w:pPr>
      <w:widowControl w:val="0"/>
      <w:spacing w:before="20" w:after="20"/>
      <w:jc w:val="center"/>
    </w:pPr>
    <w:rPr>
      <w:rFonts w:ascii="Times New Roman" w:hAnsi="Times New Roman" w:eastAsia="宋体" w:cs="Times New Roman"/>
      <w:kern w:val="2"/>
      <w:sz w:val="21"/>
      <w:szCs w:val="21"/>
      <w:lang w:val="en-US" w:eastAsia="zh-CN" w:bidi="ar-SA"/>
    </w:rPr>
  </w:style>
  <w:style w:type="paragraph" w:customStyle="1" w:styleId="94">
    <w:name w:val="D表内0磅"/>
    <w:basedOn w:val="95"/>
    <w:qFormat/>
    <w:uiPriority w:val="0"/>
    <w:pPr>
      <w:widowControl w:val="0"/>
      <w:spacing w:before="40" w:after="40"/>
      <w:jc w:val="center"/>
    </w:pPr>
    <w:rPr>
      <w:rFonts w:ascii="Times New Roman" w:hAnsi="Times New Roman" w:eastAsia="宋体" w:cs="Times New Roman"/>
      <w:kern w:val="2"/>
      <w:sz w:val="21"/>
      <w:szCs w:val="21"/>
      <w:lang w:val="en-US" w:eastAsia="zh-CN" w:bidi="ar-SA"/>
    </w:rPr>
  </w:style>
  <w:style w:type="paragraph" w:customStyle="1" w:styleId="95">
    <w:name w:val="D表内"/>
    <w:basedOn w:val="96"/>
    <w:qFormat/>
    <w:uiPriority w:val="0"/>
    <w:pPr>
      <w:spacing w:before="40" w:after="40"/>
      <w:jc w:val="center"/>
    </w:pPr>
    <w:rPr>
      <w:rFonts w:ascii="Times New Roman" w:hAnsi="Times New Roman" w:eastAsia="宋体" w:cs="Times New Roman"/>
      <w:szCs w:val="21"/>
    </w:rPr>
  </w:style>
  <w:style w:type="paragraph" w:customStyle="1" w:styleId="96">
    <w:name w:val="图表"/>
    <w:qFormat/>
    <w:uiPriority w:val="0"/>
    <w:pPr>
      <w:widowControl w:val="0"/>
      <w:spacing w:before="120" w:after="120"/>
      <w:jc w:val="center"/>
    </w:pPr>
    <w:rPr>
      <w:rFonts w:ascii="Times New Roman" w:hAnsi="Times New Roman" w:eastAsia="宋体" w:cs="Times New Roman"/>
      <w:kern w:val="2"/>
      <w:sz w:val="21"/>
      <w:szCs w:val="21"/>
      <w:lang w:val="en-US" w:eastAsia="zh-CN" w:bidi="ar-SA"/>
    </w:rPr>
  </w:style>
  <w:style w:type="paragraph" w:customStyle="1" w:styleId="97">
    <w:name w:val="常用表格样式"/>
    <w:basedOn w:val="98"/>
    <w:next w:val="98"/>
    <w:qFormat/>
    <w:uiPriority w:val="0"/>
    <w:pPr>
      <w:spacing w:line="240" w:lineRule="auto"/>
      <w:ind w:firstLine="0"/>
      <w:jc w:val="center"/>
    </w:pPr>
    <w:rPr>
      <w:spacing w:val="2"/>
      <w:sz w:val="18"/>
    </w:rPr>
  </w:style>
  <w:style w:type="paragraph" w:customStyle="1" w:styleId="98">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7" Type="http://schemas.microsoft.com/office/2011/relationships/people" Target="people.xml"/><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53.png"/><Relationship Id="rId92" Type="http://schemas.openxmlformats.org/officeDocument/2006/relationships/image" Target="media/image52.png"/><Relationship Id="rId91" Type="http://schemas.openxmlformats.org/officeDocument/2006/relationships/image" Target="media/image51.jpeg"/><Relationship Id="rId90" Type="http://schemas.openxmlformats.org/officeDocument/2006/relationships/image" Target="media/image50.png"/><Relationship Id="rId9" Type="http://schemas.openxmlformats.org/officeDocument/2006/relationships/footer" Target="footer5.xml"/><Relationship Id="rId89" Type="http://schemas.openxmlformats.org/officeDocument/2006/relationships/image" Target="media/image49.png"/><Relationship Id="rId88" Type="http://schemas.openxmlformats.org/officeDocument/2006/relationships/image" Target="media/image48.png"/><Relationship Id="rId87" Type="http://schemas.openxmlformats.org/officeDocument/2006/relationships/image" Target="media/image47.png"/><Relationship Id="rId86" Type="http://schemas.openxmlformats.org/officeDocument/2006/relationships/image" Target="media/image46.png"/><Relationship Id="rId85" Type="http://schemas.openxmlformats.org/officeDocument/2006/relationships/image" Target="media/image45.png"/><Relationship Id="rId84" Type="http://schemas.openxmlformats.org/officeDocument/2006/relationships/image" Target="media/image44.png"/><Relationship Id="rId83" Type="http://schemas.openxmlformats.org/officeDocument/2006/relationships/image" Target="media/image43.wmf"/><Relationship Id="rId82" Type="http://schemas.openxmlformats.org/officeDocument/2006/relationships/image" Target="media/image42.png"/><Relationship Id="rId81" Type="http://schemas.openxmlformats.org/officeDocument/2006/relationships/image" Target="media/image41.png"/><Relationship Id="rId80" Type="http://schemas.openxmlformats.org/officeDocument/2006/relationships/image" Target="media/image40.png"/><Relationship Id="rId8" Type="http://schemas.openxmlformats.org/officeDocument/2006/relationships/footer" Target="footer4.xml"/><Relationship Id="rId79" Type="http://schemas.openxmlformats.org/officeDocument/2006/relationships/image" Target="media/image39.png"/><Relationship Id="rId78" Type="http://schemas.openxmlformats.org/officeDocument/2006/relationships/image" Target="media/image38.png"/><Relationship Id="rId77" Type="http://schemas.openxmlformats.org/officeDocument/2006/relationships/image" Target="media/image37.png"/><Relationship Id="rId76" Type="http://schemas.openxmlformats.org/officeDocument/2006/relationships/image" Target="media/image36.png"/><Relationship Id="rId75" Type="http://schemas.openxmlformats.org/officeDocument/2006/relationships/image" Target="media/image35.png"/><Relationship Id="rId74" Type="http://schemas.openxmlformats.org/officeDocument/2006/relationships/image" Target="media/image34.png"/><Relationship Id="rId73" Type="http://schemas.openxmlformats.org/officeDocument/2006/relationships/oleObject" Target="embeddings/oleObject29.bin"/><Relationship Id="rId72" Type="http://schemas.openxmlformats.org/officeDocument/2006/relationships/image" Target="media/image33.png"/><Relationship Id="rId71" Type="http://schemas.openxmlformats.org/officeDocument/2006/relationships/image" Target="media/image32.wmf"/><Relationship Id="rId70" Type="http://schemas.openxmlformats.org/officeDocument/2006/relationships/oleObject" Target="embeddings/oleObject28.bin"/><Relationship Id="rId7" Type="http://schemas.openxmlformats.org/officeDocument/2006/relationships/footer" Target="footer3.xml"/><Relationship Id="rId69" Type="http://schemas.openxmlformats.org/officeDocument/2006/relationships/image" Target="media/image31.png"/><Relationship Id="rId68" Type="http://schemas.openxmlformats.org/officeDocument/2006/relationships/image" Target="media/image30.png"/><Relationship Id="rId67" Type="http://schemas.openxmlformats.org/officeDocument/2006/relationships/image" Target="media/image29.png"/><Relationship Id="rId66" Type="http://schemas.openxmlformats.org/officeDocument/2006/relationships/image" Target="media/image28.emf"/><Relationship Id="rId65" Type="http://schemas.openxmlformats.org/officeDocument/2006/relationships/oleObject" Target="embeddings/oleObject27.bin"/><Relationship Id="rId64" Type="http://schemas.openxmlformats.org/officeDocument/2006/relationships/image" Target="media/image27.emf"/><Relationship Id="rId63" Type="http://schemas.openxmlformats.org/officeDocument/2006/relationships/oleObject" Target="embeddings/oleObject26.bin"/><Relationship Id="rId62" Type="http://schemas.openxmlformats.org/officeDocument/2006/relationships/image" Target="media/image26.emf"/><Relationship Id="rId61" Type="http://schemas.openxmlformats.org/officeDocument/2006/relationships/oleObject" Target="embeddings/oleObject25.bin"/><Relationship Id="rId60" Type="http://schemas.openxmlformats.org/officeDocument/2006/relationships/image" Target="media/image25.emf"/><Relationship Id="rId6" Type="http://schemas.openxmlformats.org/officeDocument/2006/relationships/footer" Target="footer2.xml"/><Relationship Id="rId59" Type="http://schemas.openxmlformats.org/officeDocument/2006/relationships/oleObject" Target="embeddings/oleObject24.bin"/><Relationship Id="rId58" Type="http://schemas.openxmlformats.org/officeDocument/2006/relationships/image" Target="media/image24.emf"/><Relationship Id="rId57" Type="http://schemas.openxmlformats.org/officeDocument/2006/relationships/oleObject" Target="embeddings/oleObject23.bin"/><Relationship Id="rId56" Type="http://schemas.openxmlformats.org/officeDocument/2006/relationships/image" Target="media/image23.emf"/><Relationship Id="rId55" Type="http://schemas.openxmlformats.org/officeDocument/2006/relationships/oleObject" Target="embeddings/oleObject22.bin"/><Relationship Id="rId54" Type="http://schemas.openxmlformats.org/officeDocument/2006/relationships/image" Target="media/image22.emf"/><Relationship Id="rId53" Type="http://schemas.openxmlformats.org/officeDocument/2006/relationships/oleObject" Target="embeddings/oleObject21.bin"/><Relationship Id="rId52" Type="http://schemas.openxmlformats.org/officeDocument/2006/relationships/image" Target="media/image21.emf"/><Relationship Id="rId51" Type="http://schemas.openxmlformats.org/officeDocument/2006/relationships/oleObject" Target="embeddings/oleObject20.bin"/><Relationship Id="rId50" Type="http://schemas.openxmlformats.org/officeDocument/2006/relationships/image" Target="media/image20.emf"/><Relationship Id="rId5" Type="http://schemas.openxmlformats.org/officeDocument/2006/relationships/footer" Target="footer1.xml"/><Relationship Id="rId49" Type="http://schemas.openxmlformats.org/officeDocument/2006/relationships/oleObject" Target="embeddings/oleObject19.bin"/><Relationship Id="rId48" Type="http://schemas.openxmlformats.org/officeDocument/2006/relationships/image" Target="media/image19.emf"/><Relationship Id="rId47" Type="http://schemas.openxmlformats.org/officeDocument/2006/relationships/oleObject" Target="embeddings/oleObject18.bin"/><Relationship Id="rId46" Type="http://schemas.openxmlformats.org/officeDocument/2006/relationships/image" Target="media/image18.emf"/><Relationship Id="rId45" Type="http://schemas.openxmlformats.org/officeDocument/2006/relationships/oleObject" Target="embeddings/oleObject17.bin"/><Relationship Id="rId44" Type="http://schemas.openxmlformats.org/officeDocument/2006/relationships/image" Target="media/image17.emf"/><Relationship Id="rId43" Type="http://schemas.openxmlformats.org/officeDocument/2006/relationships/oleObject" Target="embeddings/oleObject16.bin"/><Relationship Id="rId42" Type="http://schemas.openxmlformats.org/officeDocument/2006/relationships/image" Target="media/image16.emf"/><Relationship Id="rId41" Type="http://schemas.openxmlformats.org/officeDocument/2006/relationships/oleObject" Target="embeddings/oleObject15.bin"/><Relationship Id="rId40" Type="http://schemas.openxmlformats.org/officeDocument/2006/relationships/image" Target="http://www.volchy.com/d/file/chanpin/daxinggongchengchunshuishebei/2017-04-08/8e9b952694681c56875ed6af8aa3e520.jpg" TargetMode="External"/><Relationship Id="rId4" Type="http://schemas.microsoft.com/office/2011/relationships/commentsExtended" Target="commentsExtended.xml"/><Relationship Id="rId39" Type="http://schemas.openxmlformats.org/officeDocument/2006/relationships/image" Target="media/image15.jpeg"/><Relationship Id="rId38" Type="http://schemas.openxmlformats.org/officeDocument/2006/relationships/image" Target="media/image14.emf"/><Relationship Id="rId37" Type="http://schemas.openxmlformats.org/officeDocument/2006/relationships/oleObject" Target="embeddings/oleObject14.bin"/><Relationship Id="rId36" Type="http://schemas.openxmlformats.org/officeDocument/2006/relationships/image" Target="media/image13.emf"/><Relationship Id="rId35" Type="http://schemas.openxmlformats.org/officeDocument/2006/relationships/oleObject" Target="embeddings/oleObject13.bin"/><Relationship Id="rId34" Type="http://schemas.openxmlformats.org/officeDocument/2006/relationships/image" Target="media/image12.emf"/><Relationship Id="rId33" Type="http://schemas.openxmlformats.org/officeDocument/2006/relationships/oleObject" Target="embeddings/oleObject12.bin"/><Relationship Id="rId32" Type="http://schemas.openxmlformats.org/officeDocument/2006/relationships/image" Target="media/image11.emf"/><Relationship Id="rId31" Type="http://schemas.openxmlformats.org/officeDocument/2006/relationships/oleObject" Target="embeddings/oleObject11.bin"/><Relationship Id="rId30" Type="http://schemas.openxmlformats.org/officeDocument/2006/relationships/image" Target="media/image10.emf"/><Relationship Id="rId3" Type="http://schemas.openxmlformats.org/officeDocument/2006/relationships/comments" Target="comments.xml"/><Relationship Id="rId29" Type="http://schemas.openxmlformats.org/officeDocument/2006/relationships/oleObject" Target="embeddings/oleObject10.bin"/><Relationship Id="rId28" Type="http://schemas.openxmlformats.org/officeDocument/2006/relationships/image" Target="media/image9.emf"/><Relationship Id="rId27" Type="http://schemas.openxmlformats.org/officeDocument/2006/relationships/oleObject" Target="embeddings/oleObject9.bin"/><Relationship Id="rId26" Type="http://schemas.openxmlformats.org/officeDocument/2006/relationships/image" Target="media/image8.emf"/><Relationship Id="rId25" Type="http://schemas.openxmlformats.org/officeDocument/2006/relationships/oleObject" Target="embeddings/oleObject8.bin"/><Relationship Id="rId24" Type="http://schemas.openxmlformats.org/officeDocument/2006/relationships/image" Target="media/image7.emf"/><Relationship Id="rId23" Type="http://schemas.openxmlformats.org/officeDocument/2006/relationships/oleObject" Target="embeddings/oleObject7.bin"/><Relationship Id="rId22" Type="http://schemas.openxmlformats.org/officeDocument/2006/relationships/image" Target="media/image6.emf"/><Relationship Id="rId21" Type="http://schemas.openxmlformats.org/officeDocument/2006/relationships/oleObject" Target="embeddings/oleObject6.bin"/><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4.emf"/><Relationship Id="rId17" Type="http://schemas.openxmlformats.org/officeDocument/2006/relationships/oleObject" Target="embeddings/oleObject4.bin"/><Relationship Id="rId16" Type="http://schemas.openxmlformats.org/officeDocument/2006/relationships/image" Target="media/image3.emf"/><Relationship Id="rId15" Type="http://schemas.openxmlformats.org/officeDocument/2006/relationships/oleObject" Target="embeddings/oleObject3.bin"/><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M5MDE5Njg1MzE2IiwKCSJHcm91cElkIiA6ICIxMDY0MzIyMDQxIiwKCSJJbWFnZSIgOiAiaVZCT1J3MEtHZ29BQUFBTlNVaEVVZ0FBQXVjQUFBRFZDQVlBQUFEMEtsNUhBQUFBQ1hCSVdYTUFBQXNUQUFBTEV3RUFtcHdZQUFBZ0FFbEVRVlI0bk8zZGVWeFVWZjhIOE0rZFlRZEhCQkVFVWR3d2x3SUdOVTF6eXpKVHk2UTBJOGw5UmJISDNKZndVY3pFRmpVbFhKTFVCMDNGeDBSdE1YdTBmbTZWTENZcWJta0NDaWdxQ3NJd3pQMzlRWE5qbUdGVG1BSG04MzY5ZkwzbTNudnV1ZWZPa1pudm5QdTk1d0p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WRaRGMxQTBnSW5wY3pabzEyeWlUeVJ6eTh2TCtNSFZiaUlpSXFvS0ZxUnRBUkhXZlVxa1V5eXNURnhmbkF1QjJaZXAxZG5ZZW85Rm84dTdldlJ2OTJJMGpJaUtxUVJpY0UxR1ZzTEt5ZXFyNHNrcWx1Z3BBcFYyK2ZQbnlLM2w1ZVgrVzNFOHVsenUyYmR2MlJNbjFEUm8wZUtzaXg3VzJ0bTVkVmxtTlJsTncvLzc5bUlyVVJVUkVaR29Nem9tb1NuVG8wT0Y4OGVXelo4KzJWYWxVRjdUTGVYbDVmeFpmTHFhaG9mcWFOMisrdlNMSFZTZ1VMeWtVaXBkSzI2N1JhSElTRWhJWW5CTVJVYTNBNEp6b01UVnIxbXhqZG5iMlQweXArSWMySURlVXhtSmpZOVBjMEQ1eXVkelIwUHE0dURpaHZPTXBsVW94TXpOejdZMGJONElyMzFvaUlxS2FoOEU1MVhuTWQ2NFpXclZxZGZCeDlsTW9GQytYdGQzUzBySnBhV1hVYXZYdDNOemMzeC9udUVSRVJLYkE0SnpxQk9ZNzExZ0NBUHVMRnk4Ky9mRGh3MVFBQlgrdmZ3akE0ZS9YTWdjSGg2WW82aThCZ002UHFWYXRXbjFiMWdFY0hSMEhPVG82RGpLMDdjR0RCNGN2WGJyVTkwbE9nSWlJeUpnWW5GT2R3SHpubXNuS3lxcE55YjRCaWxKV2xFcmxnNUxyUy9iYjMyVWJQRUVUQ3NvdlFrUkVWSE13T0tjNmcvbk9OZGY1OCtjOUFVQXVsN2YwOXZZK29sMS84ZUxGWG9XRmhWY0FvRzNidGpkSzJkM1N5c3JLdWJMSFZLbFV0d0hjcTN4cmlZaUlUSWZCT1prRjVqdWIxcU5IajFJQXdNckt5cUg0ZXBWS2xhNVNxVkxLMnRmRHcyTzJxNnZyak1vZTgrYk5tMkUzYjk1Y1VObjlpSWlJVEluQk9kVmx6SGV1SVVxN0tkZFF5a3RwREYzTlVDcVY0cTFidHo1S1MwdWJVNUhqRVJFUjFYUU16cW5PWXI2ejZjbGtNbFYrZnY2VlM1Y3VEUVFBYTJ2cmhpNHVMdE1CNE42OWV6R1ptWm1mNWVmbjN3YUExcTFiNzVmSlpLcXk2aU1pSXFyckdKeFRuY2Q4WjlQSnk4dTdtcFNVMUVxN3JGS3BvTkZvSGlxVlNqRTVPZGt2SnljblFidXRlTG5pQkVIUWZrNjVHZG91bDh2dFM5dEdSRVJVMnpBNHB6cVArYzdHWTJ0cjIxUVFCTFYyK2Vtbm4wNnh0TFQwTUZTMlRaczI4WWJXbDB4ZnNiQ3djQUVBcFZKNTAxQjVGeGVYWUJjWEY5NlVTMFJFZFFLRGM2cnptTzlzUEMxYnR2eSsrUExGaXhkN2lxSm8rZmVpMExoeDQzbU9qbzZENUhKNS9jTEN3bnQvL2ZWWGNFNU96dW15NnJTenMvUE55Y2s1a1p5Yy9FcEYyNkZVS3U4K1J2T0ppSWhNanNFNTFWbk1kemErczJmUGRsQ3BWTWwvTDBvajZMYTJ0aDd1N3U2UmxwYVdUZjc4ODgrM1dyVnE5ZTJOR3pkbU5HblNaT1dOR3plbTNMdDNiNCtoK3F5c3JOcmEyTmkwUzA5UFg0WktwQW5GeGNYVlE3R0hVQkVSRWRVV0RNNnB6bUsrczNGbFpHU3NVcWxVbVNnV2xBT3dkM1YxbmVybTVqYjMvdjM3KzY5Y3VmS1d2YjE5S3dESXo4K1B1Mzc5K3FnV0xWcnN5YzdPUHBDYW1yb2dQejgvdVhpZFRabzBXUXBBYy92MjdhOHEyWnlIVDNZMlJFUkVwc0hnbk9vTTVqdWJWa3BLeW5UdGExdGJXNDhHRFJwTWFOaXc0UVJSRk1XLy92cHIwdDI3ZDZOTDdwT2RuZjFkY25KeW41WXRXKzVvMzc3OXVlenM3TU5wYVdramMzTnoweG8xYXZRdlIwZkhJYmR2Mzk2UW41OS8wYmhuUTBSRVpCb016cW5PWUw1enpTR1h5MXU3dUxpRTNMNTllMjFxYXVvS2xKR1M4dWpSbzVObno1NzE5ZlQwWENTWHk5MXljM1BUckt5czJucDRlS3pJeThzNzk5ZGZmMVg2aGx3aUlpSWlNaUdsVWlsYVdWbTFSOUVQVHAwZm5iYTJ0aDR0VzdiYy85UlRUeVVvRklxWGxVcWw2T1RrTlBycHA1Kys2ZWpvT0tTME9xMnNyTm9xbFVyUnc4TWpySkxOY1FCZ1ZmbXpxSE5zRGEyMHNiSHhhdEdpeFc0Ykd4dXZzbloyY25JYVptdHIyNlJhV2taRVJFUkUxYWRKa3lhZkFXaFVZclc5cTZ2ckhCOGZuL3RlWGw3L0FlQmdiMi92cTFRcVJYdDdlMStGUXZHeXI2OXZib3NXTFhaWlcxdTNLVmxuaXhZdFlwUktaYUcxdGJXM1VVNkNpSWlJekY2dFRtdFJLcFdIQWZReGRUdHFHbEVVZjQyUGozL1cxTzB3SnVZN0V4RVJVVjFRcTROek1EQTNTQkNFenFadWd5a3gzNW1JaUlocXE5b2VuQU1BVHA4dTg1NCtzK0x2NzIvcUpwamN3NGNQanlRbUpyb0JlRlJ5VzJGaDRiMTc5KzdGRkJZV0ZnL1k3OTI0Y2VOZjJnV1ZTblgrK3ZYcmdZOGVQVG9HNElFUm1reEVSRVFFb0k0RTUwUUc2QVhtQUpDWGwzZnQ2dFdyYjVTM2MxWlcxdGRWM3lRaUlpS2lzc2xNM1FBaUlpSWlJaXJDNEp5SWlJaUlxSVpnY0U1RVJFUkVWRU13T0NmU0pZQi9GNlltQXlBM2RTT0lpSWhNZ1VFSVVURktwVkxwNCtQVDA5VHRNR2UrdnI1ZGZIMTkrNW02SFVSRVJLYkE0SnlvR0ZFVVg1WEpaRytidWgzbVRCQ0VJZXdESWlJeVY1eEtrYWdZUVJBQ1JWRzBRVkY2aTJqcTlwZ2hRUkNFUUFDV1lCOFFFWkVaNHNpNWlZbWlpRnUzYmlFbko4ZlVUVEY3U3FYeUdRQXRCVUh3OFBYMWZjN1U3VEZIdnI2K1hRRzRBWEQyOWZYdGIrcjJFQkVSR1J1RDgycVFtNXNMZjM5Ly9QampqK1dXVFVwS3dvQUJBM0R5NUVranRJektNVWo3Z21rVnBpR1h5MS9WdmhZRVlaZ3AyMEpFUkdRS1pwdldrcHViaTR5TWpBcVZGVVVSMTY5Zk43ak4yOXNiN3U3dUFJQnIxNjZoZnYzNnNMYTIxaW16Yjk4KzlPalJBNDZPamdDQXp6NzdESEZ4Y2ZqeXl5L1Jva1VMeUdTeVV1c25vd3JVdmhCRjhSVlROc1JjYVRTYWR3UkJBQUFJZ3NDUmN5SWlNanRtRzV6Lzhzc3ZtRGR2WG9YS0JnY0hZK3ZXclhycjc5Ky9qN2x6NStLTk45NkFLSW9ZTjI0YzNuMzNYUXdaTWtRcTgrZWZmMkx4NHNXWVAzKyt0UDdFaVJPd3M3T0RoWVVGTEN3czBMcDFheVFrSkZUTmlkRmpVU3FWYlFHMDFTNExndURsNStmWE1UNCsvbmNUTnN1cytQajRkQllFd2FQWUtoZGZYOThYRXhJU0RwbXNVVVJFUkVabXRzRjV2Mzc5MEs5ZjBXeHRoWVdGNk55NU0vYnUzWXZDd2tJRUJBVGc5T25UT3VWSGpScWxWNGUvdjcvMFdoQUVkTzdjR2YvNzMvOTBndk80dURqSVpETDA2dFVMQUpDU2tvSXJWNjVnOHVUSlVwbm5uMzhlVzdac1FYWjJOaFFLUlZXZUpsV1FScU1aSUpQcFpubjlmV01pZzNNakVRVGgxWkxyWkRMWld3QVluQk1Sa2RsZ3pua1Y2dHk1TTg2Y09ZTjc5KzVKNjM3NTVSYzgvZlRUY0hKeUFnRDg5Ny8vaFV3bXc2QkJVbm96K3ZmdkQ1VktoVDE3OWhpOXpWVGs3MEJjQjFOYmpFc1FoSkVHVmc4MGRqdUlpSWhNeWF5RDgydlhya24vQUNBMU5SV3BxYWs2MndvS0NpcGNYNmRPbmFEUmFIRHMyREVBUUY1ZUhrNmRPb1dlUFl1ZWFaT2RuWTA5ZS9hZ1Q1OCtjSEZ4a2Ziejh2SkN0Mjdkc0dYTEZwM0Fub3pEMzkrL3BTQUl2aVhYQzRMZzdlL3YvN1FwMm1SdWxFcWxmNG1VRnExR1BqNCt2WTNlSUNJaUloTXgyN1FXQUFnSUNOQlpuakpsaXQ2Mm1KZ1llSGw1VmFnK2QzZDNUSjA2RlowN2Q1YldqUjgvSG4zNjlBRUFSRVpHNHRHalJ6ckgwUW9PRGtaZ1lDREN3c0lRSGg1ZTJWT2hKNkRSYUFab2IwSTBzQzBRd0J6anRzZ3NEU3B0ZzF3dUh3N2dmMFpzQ3hFUmtjbVk5Y2c1VUJSOGE2Y3gvT2FiYnhBVEV3TUFlam5uNmVucGV2OUt1bmJ0R25yMTZvVkhqeDRCQUI0K2ZJamV2WHREbzlIZy8vN3YvL0QxMTEvajNYZmZoYWVucDk2KzN0N2VHRE5tREg3NjZTZEVSRVJVOVdsU0dRUkJLR3ZhUktaVkdJRW9pdStXc1psOVFFUkVac09zUjg2MWJ0KytEUUNvVjY4ZTd0NjlhN0RNSzYrVW4zNWNjaVJlT3dKdVpXV0Y2ZE9ubzN2MzdwZ3dZVUtwKzQ4ZlB4NjNidDJDczdNelJGRkVhYU81RmFGVUtxdnR5WXFpS1A0YUh4Ly9iSFhWYjB6dDI3ZHZDcURVY3hFRW9iMlBqNDkzWW1MaVJTTTJ5Nno0K3ZyNkNvTGdWVWFSeHM4ODg4enpaODZjK2NWSVRTSWlJaklaQnVjQWpoNDlDaWNuSnlnVUNpbm5PeTh2VDY5Y1lHQ2dsRDhPRkFYVHhXbEgyM2ZzMklIdzhIQXNXYklFZmZyMGdZMk5EUURnM0xsejZOU3BVNWx0MmJsekoxcTJiUGxFNTFQZEJFSG9YSDZwMnNIYTJycmN1YlJsTWxrZ2dBK00wQnl6SkpQSkJwUlhSaTZYdncyQXdUa1JFZFY1WmgrY3A2YW1Jakl5RWkrODhBSUVRWUNMaXdzY0hCelFyVnMzdmJKTm16YlZtVDR4TmpaV2VyQlFjWWNPRmMzODl1R0hIK0xZc1dNSUN3c0RBRXlkT2hXalJvMUNiR3dzb3FLaXNIMzdkbGhaV1FFQURoOCtqSFhyMWttQi9KT0tpNHQ3L0dIM01sVG5pTHdweE1YRlJRS0kxQzVyejYrNjNqL1NGeGNYRndZZ1RMdk1QaUFpSW5ObTlqbm51M2J0Z2xxdGx1WXh0N096UTJ4c3JKUjdYaFozZDNmWTJkbnByTHQ4K1RLdVhyMEtBQmc2ZENoKytPRUg3TisvSHdEUXNHRkRlSGw1b2JDd0VGWldWdkQyOW9hWGx4ZTh2THhRdjM1OUFJQ3RyVzFWbmg0UkVSRVIxU0ptSDV4UG56NGRPM2Z1aElmSFA3TzRLUlNLQ3MvUUlvcTZBOG1iTjIrV1ptZHAyN1l0M256elRYejAwVWU0ZWZPbVZPYlNwVXQ2OVd1bmJLeXFrWE1pSWlJaXFuM01QcTJsNUUyY2xUVjA2RkNFaElTZ2UvZnVTRXBLd2c4Ly9JQ29xQ2pzM2JzWEFEQng0a1RZMmRtaFVhTkdBSUQ4L0h3a0pDVG9QSVJJdXg1Z2NFNUVSRVJrenN3K09GKzllclhPcUhseDVRWHVLcFVLVjY5ZVJVcEtDbFFxRlJZdlhvem5ubnNPelpzM2w4b29GQW9FQndkTHk5OS8vejN5OHZMUXQyOWZuYm9lUFhvRUt5c3JsSHlFUEJFUkVSR1pEN01QemowOFBDcWN3bEpTWm1ZbUFNRFYxUlYzNzk3RmpSczNzSFRwMGxMTDUrYm1Zc09HRFdqZnZqMDZkdXlvdDQzNTVrUkVSRVRtemV5RDg1eWNIRHg0OEtEY2NuSzVYSytjOXNiUHBrMmJ3dFhWRlo5KytpbTh2YjJSbTV1cnQ3OUdvOEhpeFl0eDU4NGRmUExKSjNyYnM3S3k0T0RnOEpoblFVUkVSRVIxZ2RrSDUwRkJRUlVxMTd4NWMyemZ2aDJXbHBhd3NiR0JXcTFHVEV3TUhCMGRwWkgzTGwyNkdOejM5dTNiQ0EwTnhlblRwN0ZpeFFxMGJ0MGFEeDgreEprelo5Q3dZVVBjdTNjUHg0NGRnNCtQVDFXZEZoRVJFUkhWUW1ZZm5HL2F0QW1lbnA0R3Q3MzAwa3ZTNjFtelppRTBOQlNmZnZxcHRNN1YxUldob2FHUXkrVmxIbVB2M3IyNGMrY092dnp5UzdSdDJ4WUFZR2xwaVpDUUVHZzBHbWw1eElnUlQzbzZSRVJFUkZTTG1YVnczcjE3ZHpSdTNCak96czRHdC9mcTFVdWF4OXpmM3greHNiRVZxdGZPems1NldpZ0FqQjA3Rm1QR2pJRWcvUE5NRld0cmEzenh4UmZJemMyRktJcnc5dmFHbTV2YkU1d05FUkVSRWRWMlpoMmNyMXExcXN6dEgzLzhjWlVkcTNoZ3JsWDhhYU5FSklrc3Z3Z1JFVkhkWk5iQk9kVThTcVh5TUlBK05hQWRZdm1scW9jb2lyL0d4OGMvYTRwajE1VDNId0NVU3VVRVV4MmJmVkJ6bUxJdmlJaE1nWk5xVTAxajlrR0pJQWlkVFhoNHMzLy9BZlpCVFdMaXZpQWlNanFPbkZPTlZEeG4zNXpVbEZRbmMzMy9BZlpCVFZKVCtvS0l5SmdZbkJNUkVSbkFGS04vTU5YTHVKak9aZDRZbkJNUkVSbG1WZ0ZoV1pqcVpWeW1mTC85L1B6aUJVSHdOZFh4YTRnTGNYRnhiVTExY0FiblJFUkVaVEQzRktPYWtsNWtMdjFnNnZlYmdUa0E0Q2xUSHB6Qk9SRVJFUkhwTUpjZlF5V1orc2NSVUVlQzg1cndSaElSRVJFUlBhbGFQWldpS0lxL21yb05OZFJaVXplQWlJaUlpQ3F2Vm8rYzgwNW1JaUlpSXFwTGF2WElPUkVSRVJGUlhjTGduSWlJaUlpb2htQndUa1JHcGRGb1ROMEVJaUtpR292Qk9kVkp1Ym01dUhQblRvWExwNmVuNCtIRGg1VStqa2FqWWJENXQ3Tm56Mkw0OE9GSVMwdVQxcVducCtQSWtTTUFpdDZyU1pNbUlUSXlVbWMvbFVxRnlNaElQSGp3UUsvT2lJZ0lkTzNhdGN6amZ2VFJSNXl4cVpoSGp4NlZXK2E3Nzc1RFJFUUVzck96SC9zNEgzendBYjc1NXB2SDNwK2VUR0ppb2w1ZjM3dDNyMUtmZStZZ0l5TURuMy8rT2E1ZHUxYWw5Yjd6emp0WXNHQ0J3VzFidDI0dDkzT0xxc2FOR3pjUUd4c3JMV2RuWnlNMk52YUpQdHRxZ2xwOVF5aFJjWHYzN2tWK2ZqNkdEUnVHVFpzMklTb3Fxc0x6dEw3eXlpc1lQbnc0M24vL2ZXbGRibTR1N096c0FBQjM3dHpCU3krOWhORFFVQXdhTkVncTgrV1hYeUk2T2hxYk4yOUdzMmJOcXZhRWFwbWNuQnhjdkhnUktwVktXcmQ5KzNiczJMRURXN1pzZ2JlM045cTFhNGZObXpmanhSZGZSS3RXclFBQTBkSFJXTDkrUFJ3ZEhURnMyRENkT3RWcXRVNTljWEZ4RUVXeDNHRDh3b1VMeU1yS3duUFBQVmVGWjFqelhiaHdBWk1uVDhaNzc3Mm44LyswdUZ1M2JtSHg0c1ZRcVZSbzNibzErdmJ0KzFqSDJiOS9QMnhzYlBEYWE2ODlhYlBycEhQbnp1R1BQLzU0b2pwOGZIencxRlA2ejBMSnpzN0doQWtUMEsxYk4zejg4Y2ZTK3RHalIrUDY5ZXRtT3orMUlURXhNZGk4ZVRPZWYvNzV4NjdqNGNPSG1EMTdOa0pDUXVEdDdWMXUrY0xDUXAzUExYUHc0TUVEOU9yVnEwcnFPbmp3SUZ4ZFhaR1JrWUhMbHkvcmJTLyt1WjZRa0tEenZYeno1azJFaG9ZaU9qb2FDb1dpU3RwakNnek9xYzdZdW5Vck9uVG9VS0d5L3Y3K0dEOStQQ1pNbUdCdys0a1RKekJyMWl4RVJFU1VXdWZ2di8rTzlldlg0OWxubjRVb2lub2pNM0s1SEo2ZW5wVTZoN3BtMHFSSk9IcjBLQll2WG95dFc3ZGk3Tml4T0hEZ0FENzk5Rk9zWGJzV1dWbFoyTHg1TTlxM2I0ODMzM3l6M1BxKytPSUxwS1NrNE91dnYwYTlldlZLTGJkaXhRcWNQMzhlQnc0Y2dKT1RVMVdlVW8zV3BFa1R0R3paRXFHaG9iaDI3UnFDZzRNaENJSzBYUlJGTEYyNkZIWjJkdkQyOWtaWVdCaWVldW9wTkduU3BGTEgyYnAxSzJReUdkNSsrKzJxUG9VNjQvang0NGlJaUhpaU9xWk9uV293T1AvaGh4OVFVRkNBQVFNR1BGSDlkVjErZmo3MjdOa0ROemMzNU9YbDRkU3BVeFhhcjFPblRwREova2tzeU16TXhNV0xGekYrL0hpc1diTUdUei85dExSTm85RkFyVmJyN0s5ZE5oU2dXMWxaUGM2cDFIZ09EZzdTVmRMaU5Cb04rdlRwZytqb2FMaTd1d01vR2lCNDY2MjNjT2pRSVZoYVdocXNDd0JPblRxRjBOQlFuYjdRYURRWU9YS2tGTFJuWkdRQUFFSkNRZ0FVRFJJQlFIaDRPT3p0N1FFQXExYXRxcUt6TkI0RzUxUW5uRDkvSHRldVhVUDc5dTBSR3h1TFM1Y3VBWURPNVM0QVVDcVY4UER3S0xjK2YzOS9lSHA2NHYzMzM4ZjI3ZHYxdGwrNWNnVXpaODVFWVdFaGpoOC9qdVBIait1VnFWKy9Qbjc2NmFmSFBLTzZ3ZHJhR3JObno4YlpzMmNoaWlKc2JXMFJGaFltOWNHcVZhdVFsNWVIUllzVzZYd0FsK2I5OTk5SFlHQWdQdjc0WTRTR2hob3M4LzMzM3lNeE1SR2pSbzB5cThBY0tQcFNXN3QyTFdiTm1vV29xQ2lvMVdxODk5NTcwdmFJaUFpY09IRUNIMzMwRVRwMDZJREF3RUJNblRvVkd6ZHVoTE96czE1OTVWMmhHREprU0lYYTVlVGtoRU9IRGxYdVpPcUkwa2F4ZCszYWhWV3JWdUgvL3UvL0RHNHY2NzNmczJjUG5KeWNLandhbkpxYWlxVkxsMkxPbkRsbWRZVnYrL2J0eU1yS0FnQk1uank1d3ZzZFAzNGMxdGJXMG5MejVzMnhmdjE2akI4L0h0T25UOWY1WHRteFk0Zk8xWXZpREtXMjFOV3JHb0lnb0Y2OWV1alRwNC9CN1JNblRwUUdDa1JSQkFDODhjWWJldVVNZldmKzl0dHZBSW8rMitmTm00ZkdqUnRMUDRBMEdnMHVYcndJTHk4dkFFV3BYZkh4OGZEdzhJQ2pvK01UbjVlcE1EaW5hdUh2Ny8rK1JxTlJ4Y2ZIcndlUVY5M0gyN1p0R3dEZ3dJRURPSERnZ0xTK1pBQzNaTW1TQ2dYblZsWldXTFpzR1lZUEg0Nk5HemRpOU9qUjByYno1ODlqNnRTcDhQRHdRR3hzclBRclgydjM3dDM0OE1NUEt6UVNYRjM4L1B4ZUFLQ09qNDgvQmtCZFh2a25zV3paTXNURXhFakxBUUVCQUlxK0RQL3puLzlJNjZPam8vWDJ6YzdPaGlBSUdEOStQSUNpRVZrTEN3dTg4c29yT3VXMGdjcnAwNmN4WU1BQXhNYkdZdURBZ2VqWXNhTk91WHYzN2lFOFBCeXVycTRZTTJaTTFaemdZekptSHhSblpXV0ZsU3RYWXVYS2xSZzZkS2kwZnZQbXpkaTBhUk5Hamh3cHBiSjg4c2tubUR4NU1rYVBIbzNWcTFmckJXNXo1ODdWcTMvTGxpMjRkZXNXcGsrZlh1RlJRQnNibXljNG95ZG5xcjRvUzBGQlFZWHVEeWpwNU1tVFNFNU94cmh4NHd5T09wYjA2TkVqekp3NUU4bkp5VGh6NW94SmczTmo5c1BkdTNlbHEzSmhZV0VWMm1mYnRtM1l2WHMzNUhLNTNyYm16WnZqODg4L1IyWm1KdFJxdFpUVDNLTkhEMmxFV091bm4zN0NnUU1IU2czYWpjVVUvKy92MzcrUG1KZ1lLVmd1TEN4RTU4NmRzV1hMRnVsS2NscGFHZ1lOR29UdnZ2dE8rZ3k1ZHUyYTlOMVJudUpCZld4c0xJNGZQeTROUWlRbkoyUC8vdjE0KysyMzBhWk5teW84TStOaWNFN1ZRcVBSREJNRW9hT2ZuOTluQU00SmdyQWxPenY3aTh1WEwxZjVYUnJKeWNuNDRZY2ZFQmdZaUgvOTYxOEFnRFZyMWxRcTU5d1FMeTh2Yk5pd0FXM2J0c1c5ZS9jQUZPV2VoNGVIbzJYTGxsaTRjQ0dtVEptQ2NlUEdvWHYzN3RCb05OaTRjU01pSXlQeHhodHZZT0xFaVZWeWZvK3B2eUFJTS96OC9MSUFmQTFnejRNSEQzNjVmUGx5ZmxVZjZMWFhYb092cnkrdVhMbUNxS2dvaElTRW9HSERocmh6NXc3dTM3K1BPWFBtNktSV0dQTG5uMzlpeDQ0ZDBHZzBhTml3b1JUc2I5dTJEZi85NzM5MWd2K0pFeWZpdSsrK3crSERoL1dDOHdNSER1RHUzYnY0OU5OUFlXdHJXOVduV2xsRzZ3TXR0Vm9OQ3dzTFdGaFlZTTZjT1FDS2dzQ1ZLMWRpOSs3ZEdESmtDSUtEZzZYeVBqNCtXTE5tRGFaUG40NmdvQ0RNblRzWEw3LzhzclM5NU1oV1FrSUNVbE5URVJBUUlLVzBGQlFVb0tDZ1FMby9vNFl5ZWw4VWQrdldMZVRsNlk1UmFFZDBEZDJvcUExc0RQbnl5eThCUU9lSFYya0tDd3N4YTlZc0pDY25ZL2p3NGFYZWgyQkVSdXVIRHovOEVBOGZQc1NVS1ZNcW5GNm9UWU13Rkp3RFFJc1dMZkRiYjc5aDRjS0Z5TTdPeGpQUFBJTW1UWnJvcFlWcCs3U3FjckNmZ0VuLzMxZW4yTmhZbmNHM2tsZWF0SjlQSmU4VHF5MFluRk8xRW9xaXN2WUFQbElvRk12OS9Qd3VpYUlZblpHUnNUWXRMZTEyVlJ3ak9Ua1pUazVPR0RseVpGVlVwNk5EaHc2SWk0dERWRlFVQU1EWjJSbXJWcTFDdTNidElBZ0MzTnpjTUgzNmRJd2NPUktKaVltSWo0L0hoQWtUcEpGZ1V4TUV3UW5BSkFDVEZBcEZ0cCtmMzI1UkZHTXlNaktPcEtXbDVWYkZNZHEzYjQvMjdkdmoxS2xUaUlxS1FvOGVQZURsNVlXdnYvNGFRRkhxUTJsZmRsckhqeC9IamgwN0FCUjlNV3FEay9yMTZ3UFFEVmJjM055d2R1MWFLSlZLdlhxR0R4K08rdlhybzBlUEhsVndabFhER0gwQUZNMWFNR0hDQkl3Yk53NnZ2LzQ2Z0tMMHEwV0xGdUhDaFF2bzNyMDczbmpqRFZ5OGVGRm5QM3Q3ZTh5Yk53OWhZV0dZUDM4Kzl1L2ZqK25UcDBzMzdHcHBOQnFzWExrU2RuWjJPdisvVjYxYWhlM2J0OWVLeS9YRzZvdVM1czJiaDhURVJJUGJESTBXbHZaZUhqMTZWTnBXWHNxV1dxM0cvUG56Y2Z6NGNiejQ0b3ZTd0VWTlVOMzljUERnUVJ3K2ZCanQyN2VIcTZ0cnFUTzExSzlmSHcwYU5KQ1cxV28xNUhLNTNtQ0NScVBCd1lNSHNYNzllcVNtcHFKUG56NUlUazZXdHBlY0lTYzNOOWZnZWljbnAzSUhLcXFETWYvZkR4MDZGTk9tVFVOcWFxcjArVzFuWjRmQmd3Y0QrT2N6dlg3OStqb0RBUTRPRHFYKzROVDJYMlptcHQ2MjRnTTNKVlYwSkw0bVluQk94aVFJZ3VBdENFS29tNXRicUt1cjZ6V05Sck5EcFZLdFBuLysvTTBucUJRVEprekFzV1BIcEhXbDVad0RRUGZ1M2N1dE15OHZEOTkvL3oyKy92cHJKQ2NubzBXTEZ0STJQejgvNmZYbzBhT1JtSmlJelpzM28xR2pSdmo4ODgvUnBVdVh4ejJWNnFZUUJHRzBJQWlqM2R6Y2N0emMzUFpxTkpyZGp4NDlPcHljbkt3L2orRVRldjc1NStIczdDeWxycFNsY2VQRytPeXp6K0RpNGxKbXVhMWJ0MHF2ejUwN0J3RFNsMlR4YmRyWGd3Y1BMdlBHVVJPb3RqNnd0N2VIdTdzN2xpNWRpb1NFQk15Wk13Y2ZmUEFCL3Z6elR5eGV2QmdmZlBCQnFmbk5RTkVWRUVFUThNMDMzeUFoSVVFdk9OKzJiUnZPbnorUDk5NTdEdzBiTm55U3B0WVVSdnQ3MEk1MkZ4Y2RIWTJQUC82NHdqOXFDZ29LOE5sbm4xV29iRjVlSHViT25ZdWZmLzRaUFhyMHdOS2xTeXQwVDRlSlZHay9KQ2NuSXl3c0RBMGJOa1JTVWxLWkFkcklrU014ZGVwVWFWbWxVaGxNRlpvNmRTcE9uandKcFZLSlpjdVdvVU9IRG5qbm5YZWs3Uys5OUpMQitrdXVQM3o0Y0UzSWc2N1cvL2V6WjgvR3Q5OStpOURRVUh6MTFWZnc5UFRFeG8wYkVSRVJBWHQ3ZTUxYy91SUtDZ3B3NU1nUktCUUtUSm8wU1dkYldYMVkxbFdtMm96Qk9UMFdwVklwUG1rZGdpQjR5ZVh5T2JhMnRuUDgvUHhTUkZIYzlUajFsSFpqWUduYnRLUGdwY25LeXNMZ3dZT1JrNU9ENTU1N0RwR1JrV2pldkxuMFFadWFtb3FqUjQvaXh4OS9SR0ppSXV6czdEQjY5R2lNR2pXcXlpN3RWOFg3V3c1N0FJRXltU3pRM3Q0K3o4L1BiNzhvaWp1cjhnQnVibTc0NVpkZktqeFZYM2xCaWlpS1pRWW5ocmIxNnRYcnNZUHoydFlIVGs1T2lJaUl3TC8vL1cvczM3OGZCUVVGV0xac0dVUlJSTE5telhSbUhUS1VMcVJRS09EazVJVEF3RUNkSDZOQVVkcFJSRVFFYkd4c1lHbHBpZDI3ZDB2YnRMTW1GRjlYbktHYnZpcXJ0dlZGZFZpL2ZqMysrdXN2Mk52YlN6TlNsR2JjdUhFNGQrNGNCZzRjaUVXTEZwVjc1YXFpYWtNL0xGbXlCQnFOQnVIaDRSZzFhcFRlRkxsYWhtNjRMU2dvTUhnZlJWQlFFSVlPSFlxZVBYdnFiUk5GRVlNR0RZSzl2WDI1Vit4SzNwOVVudHJ3ZnBkMCtmSmxMRnUyREdQSGpvV25weWZpNHVLd1ljTUdqQjA3Vmkvb3JpanRkNFAyaHREaTZ1b3pMaGljazhtSm9naEJFT3dCUE5hOGc0YUN1aWZKT1hkeWNzTGt5WlBSc1dOSGFmU3crT1hKdzRjUFk5V3FWZkQwOU1UVXFWUHgrdXV2UzVmcWFpTlJGR1YvWC9aMHE0cjZEaDA2aEpNblQyTDQ4T0hTdW0rLy9WYjYwaXNzTE5RSkZtSmlZckJ1M2JveTYvemtrMDhRSHg5dnNEOC8rdWdqN055NXMxYWtWWlNtcXZyQTB0SVNTNVlzUWZQbXpkR3ZYeitkbTJpcU9sd0FBQmQzU1VSQlZKK0xqekFaU2hmU0tobVk1K1hsWWZiczJkSzBjQ3RXckRCNDdBOC8vTkRnK3FvSXpvMnBxdjhldE5MVDAvVnVkQVowZzR1dFc3ZWlYYnQyZW1YKytPTVBSRVZGd2QvZkh5NHVMdmp1dSs4TUhrUDdRTFFMRnk1SUtVNm1TS09vQ28vYkQ1TW5UMFp1Ymk2ZWVlYVpTaDh6THkvUDRNanVzODgrcTdkT093a0JVRFNnYy9qd1lRd2ZQcnpTMDVMV0ZGWHgvejQxTlJYVHBrMUR4NDRkTVhic1dOeThlUk16WnN5QVRDYkQzcjE3c1cvZnZqTDMzN0JoUTZYZlA2YTFFQlVURnhkWDVpZStuNS9mYjRJZ2RDeXJESURiQUw0dkxDeGNlT2JNbVQ4Qm80d1VWTWhiYjcybHN5eVR5ZURrNUFScmEydTg4ODQ3dUh2M0x1TGk0cW9sengwby8vMHRqNStmMzBwQkVHYVVVZVFSZ0tNQTlxclY2cDEvL1BISFhRQlFLcFdySzNzc2pVYUQzMy8vWFJvNS9lS0xMOUNrU1JNMGF0UkkrbEhqNk9nSUt5c3JKQ1FrWU15WU1ZaUtpcExtQ2k1NTQrYURCdzl3NU1nUm5EeDVVcHFpTWpZMlZzcWpOcGJhMUFjbEZaOWR5TkEwbjZtcHFhVnVjM1IwMUFrUWx5NWRpaXRYcnFCeDQ4YTRlZk9tM28rZ2xTdFhHc3c1MS81QXJncTF1UzlLbWp0M3J0Nk56RmV1WE1Hc1diTkszZWZJa1NPd3RiWEZva1dMOE1VWFgraHR6OHJLUWxoWUdHN2N1QUdnNkNwU3QyN2RxcmJocUIzOThDUVBIaXYrNERrdGxVcUZIMy84c2N6OVdyVnFoZVBIajJQWHJsM2x6aEJpNkFkYWFXckQrNjExNWNvVkJBY0h3OFhGQmN1V0xjUEpreWVsWFBPT0hUdGkyclJwWlE2ZytQdjc2ODBYWHhGMTlWa2lETTdKYUVSUmhFd21TeThzTEl4VnE5VUx6cDQ5bTE1VmRXL2R1dFZnV2tQSlMxNXo1ODZ0MEVpZWRnWUtMV3RyYStsUjVkcEEvZXpaczBoT1R0YjVNRDUzN2h3KytlUVQ5Ty9mdjhiOWFoZEZNVWNRaEo4MEdrMU1RVUZCVEZKUzBzT3FxSGZHakJuNCtlZWZwUkc2WmN1V29WKy9mZ0NLcHAwczdzR0RvcFRHc3E0MFhMcDBDYUdob2FoWHJ4N3ExYXVIN094cy9QREREeFdhTnE2bXE2NCtLTzd1M2JzNGQrNGN1blRwQXJsY3JwTlRXNUtoYlowN2Q1WWVuck5od3daOCsrMjNHRFJvRU9yWHI2OHpXbGpiR2FNdkRIRjFkZFc3WXFHOWdiQTBBUUVCYU51MnJkNm9va2Fqd2I1OSs3Qm16UnJjdjM4ZkZoWVdVS3ZWMVJLWVY1ZnE3b2Z0MjdjYmZGYUZJZG5aMmRLTUxWb1BIanpBd29VTEs3Ui9SZjQrS2hPY1Y0ZnFlcjlkWEZ6UXBVc1h2UGZlZTFDcFZGaTBhQkg4L1B5d1lzVUs2WWJPaXN3d1pFaGFXaHFBb3MrMmtqcDM3dnpZYmE3SkdKeFRkUk1CM0JSRk1TWXpNek0wSlNVbHF6b1BWdG9VZkhsNWVRZ01ES3h3UGRvWktBd3AvdXQveG93WldMOStQUUFnTWpJU0J3OGV4UFBQUDIvdzRSTW1rZzNnUjFFVWQyVm1abjZUa3BKUytZbVZ5K0h0N1kydVhidkMyZGtaczJiTktuUGtTUHNoZmVyVUtUZzdPK3Q5RVFKQTY5YXRzWGJ0V25UczJCRVJFUkdJaW9xQ3BhVWx2djMyVzJuRXR6anRqYUViTjI0MGVNeXhZOGMreGxsVnFXcnZnK0xpNCtNeGMrWk1MRnk0RUlNSER6YjQxTDcxNjljak9qcmE0RFlMaTZLdmhWdTNibUhEaGczbzBLRUQ1czJiaDdWcjExWm5zNDNGcUgxUlZkemQzZlhtMHM3T3pzYTRjZU53K2ZKbE5HM2FGT0hoNFZpNmRDbXVYNzl1b2xaV2l0SDZZZURBZ1JnMWFwVEJiU1VIQ1ZKVFUvVSt2NXlkblVzZDhYM3c0QUZtejU2TitQaDRxRlFxaEllSDZ6MkU1OUdqUjdoNjlTcmF0Mi8vQkdmeHhLcjkvVllvRlBqZ2d3OGdpaUpDUWtKZ2EydUxCUXNXNkpUWnViUDBkUGF5Y3NmTG1ncHg3OTY5QUlybWx2Lzg4OCt4Wjg4ZWFadDJocGphaU1FNVZRdEJFSTRVRmhiK3FGYXJ3NHcxSWdXZzFDbjR5aHVaS21uaXhJa1lNV0tFdEh6NzltMU1tVElGTFZ1MjFDblhxRkVqakJneEFqazVPV2phdENsV3IxNWRVd0x6RXhxTjV2V0Nnb0tEU1VsSitzK1Fya0xhbTN3cThtanMzMy8vSFRLWkRNdVhMMGVYTGwwTUJ1ZjE2dFV6T09QTnZuMzc4T3V2djVaYWQybVBTamRoY0c2MFBpZ3VLU2tKd0QrekN0V3JWdys3ZHUyQ2s1TVRYbmpoQlFEL1BFSmNlN1BzOWV2WDhiLy8vVThuVGN2TnpRMGZmUEFCdW5idFdoY2VPVzZTdmpBa1BUMWRiMnEvbXpjclAxbVZRcUhBVTA4OWhmNzkrK1B0dDk4dXQ0OHVYTGlBQXdjT0lDQWd3SlF6WEJpOUgrclZxMmZ3ZkRNeU1pQ1h5NkZXcTZGV3E3Rno1MDVrWm1ZaUlDQUFoWVdGMkxScEUxNTk5Vlc0dVJsT3dVNU1UTVRDaFF1Umw1ZUhyVnUzWXNXS0ZRZ0xDME9iTm0zZzRlR0J3c0pDN051M0R4RVJFUkJGRWZ2MjdUUEZzeGVNL242dldiTUd4NDRkdzhhTkc2RlFLQUFVL2VCdjNMZ3h1bmJ0Q2dzTEM0TlhUcDJjblBSdVhGYXIxWkRKWk5KVjY1OS8vaG5oNGVISXo4L0hDeSs4SUgyZWFjczZPRGpvUE9uNGwxOStxWTVUTkFvRzUxUXQ0dUxpWnBxNkRXVTVjZUpFbVRNWU9EZzRTSGZXMzdsekIvLys5NzloYlcyTlpjdVc2WlJidVhJbHhvd1pnK3pzYkl3WU1hS21CT2FJajQ4di9TNFpJMnJldkRrR0Rod0ltVXlHbEpRVW5EaHhBbjUrZmpvalVTMWF0TURBZ1FPUmxKUUVKeWNuTkc3YzJHQmRwUVhmTmZXR1VGUDFRV0ppSWhvMGFDQTlDVEl6TXhPZmZmWVp1blRwb3ZObFZ0eWVQWHV3YmRzMk9EazU0ZFZYWDVYV0R4Z3d3Q2h0cm00MTVlOEJLUDNHMmNleGVQSGlDcGROVFUxRmRIUTBtalZyWnJMZ3ZDYjF3NnBWcS9SdXJQWHc4TUNiYjc2SmpJd01SRVpHUWlhVDZmMjRUMDlQUjJSa0pQYnQyd2R2YjI5czJMQUJycTZ1Q0EwTlJXQmdJQ1pPbklpZ29DRDg1ei8vUVVwS0NucjA2SUhodzRlYjVLRm94bjYvTjIvZWpLKysrZ29BZE9hUDkvRHdRRUJBQURadDJvU05HemRXK01tZE9UazVzTFcxbGE0YWFlc2NNV0lFcmx5NVluQ2Y1NTkvWG05ZFRmdHVxQWdHNTJRV1JMSG9QbE50WG5SRlJ3Si8vZlZYTEZxMENLSW9ZdDI2ZFhCMWRkWFo3dVRraEUyYk5tSEdqQmtJRFExRmJHd3NKaytlREY5ZjM2bzlnVnFxYytmTzZOeTVNd29LQ3JCNDhXTFkyZGxoeUpBaE9oK1dYYnAwUVpjdVhiQjgrWEtjUFh1MlR1VTFHNXRLcFVKU1VwTE9UWEZyMTY1RlFVRUJwazJiVnVwK3djSEIrTzIzMy9EUlJ4L0IxOWNYVFpzMnJmU3hOUm9OQ2dvS1lHMXREWlZLaFhQbnpra3BNbFNVSGhFZEhZMG1UWnJvWFRIS3o4L0h0V3ZYcWpWbzFxYUVsVXlQTVZjQkFRSHc5UFNVN2kxeWQzZEh2Mzc5NE9EZ0lGMTlLdDRmbHk1ZHd0ZGZmNDBEQnc1QUxwZERGRVgwNzk5ZitrNXdkM2ZIcWxXckVCd2NqT1hMbDhQRHd3TzdkdTFDOCtiTmpYNXVwbkQ2OUdtc1c3Y084K2ZQUjFoWW1MVCsrdlhyQ0FzTGt6N3paODZjcVRlRDBLMWJ0eUNLb3Q2VjBSczNiaGg4Mk5ZWFgzeWhjMDlZV2xvYUprNmNDRHM3TzdSbzBVSnZFSzAycXRXZm5FcWw4akNBUHVVV05ET2lLUDRhSHgrdlAvZVRHVXBPVHNiVnExZWx1WmlMLzVyWHVuLy9QZ0RkUnpaZnVYSUZHelpzd0tGRGg5QytmWHVFaDRmckJPYmFLY3VBb2dCOTQ4YU4yTHg1TXpadDJvUXhZOGFnVFpzMkdEaHdJSHIxNm1YMlg0WjM3dHpCZ2dVTEVCOGZqK1hMbDB1QmlmWUhrMVphV3ByTzFIOVVlWC84OFFkVUtwV1Uwbkw2OUduczM3OGZ3NFlOazBiU0RkRk93VGg4K0hBc1hyd1lHemR1clBRVWZEazVPZWpkdTdlMG4wYWpxYk56RUQ4T0N3dUxVa2NNcmEydEt6eWFXQmJ0WjlqRGh3LzE1dFErZS9Zc0FQMnBNdXN5dVZ4ZWFzcVFVcWswK0pSaG9DaDlBZ0RhdG0yTDlQUjB6Smd4QStmUG40ZVZsUlZlZSswMWpCMDdWcnJwWGV2aXhZdElTRWpBNXMyYk1YUG1URnkvZmgyelo4L0c4T0hEMGJkdjM1cjJNTFFxNSsvdmo3MTc5OExEdzBNS3pyLy8vbnNzV2JJRXI3LytPb0tEZzdGaXhRcFlXVmxoeXBRcDhQSHh3ZkhqeDdGdDJ6YlVyMThmOCtmUDE2dnp6Smt6YU4yNnRkNzY0Z0Y3YW1vcWxpNWRpaFl0V21EbHlwVUlDZ3FTZmlUVTVuUzhXaDJjZzRHNVFZSWcxTTNibDh0Z1pXVmw4QUVQcWFtcFdMQmdBV1F5R2JwMjdTbzlIZlNUVHo1QmZuNCtMQ3dza0pDUUFBQlM4SExvMENITW1UTUh0cmEyQ0E0T1JsQlFFT1J5T2M2ZlB3K0ZRb0dDZ2dMOC9QUFBPbE51eWVWeWpCMDdGcSsrK2lxMmJ0MktmZnYyNGVPUFB3WUF2UDMyMjlWOStpYVZtNXNMQ3dzTFpHUmtBUGpuaHNLc3JDekV4TVJnMjdadHlNL1BSMmhvS1ByMjdTdmR3QmtURXlPTjhONitmUnUvLy80N3hvOGZqN3k4UEZ5OGVCSFcxdGI0NDQ4L1lHTmpZNW9UcTRWT25qd0o0Sjk4ODdWcjE4TFIwUkVUSjA0RVVIUnptclcxTlZKU1V2VFN1bHEyYkltQWdBRHMzcjBiOGZIeHBRWXVwYWxYcng2bVRac21QU0RId2NHaHpCdTV6SVV4ZjZDMGF0VUtWNjlleGZUcDAvSHNzODlLUDVSU1VsTHcwMDgvb1ZtelpxWG1VTmRGN2RxMXc5R2pSekZuenB3S1hRMHFMQ3pFcFV1WGNPellNYlJyMTA0YUxHalhyaDE2OWVxRklVT0d3TW5KU1pyeTc4S0ZDMWkrZkRtT0hUdUd0TFEwTkdqUUFFRkJRZGl4WXdlKyt1b3JSRWRIWStuU3Bmand3dy9Sb1VNSGRPclU2YkVmeEZNYmxCeGNlZkhGRjZGVUt1SGk0Z0tOUm9PbFM1ZGk5ZXJWR0Q5K1BLeXNyS0JTcWRDalJ3OU1tREFCZG5aMmVQRGdBUndjSENBSUFxNWN1WUtMRnk5aXlKQWh1SG56SnVyVnE0ZS8vdnBMK3Q3TnpzN0dybDI3RUJVVmhTWk5tbUQxNnRWd2NYSEJ1blhyTUczYU5Bd2ZQaHpqeDQ5SDc5NjlhMldRWHR1RGN3QzFNNStvdXBqclNOV3dZY013Yk5nd3ZmVjkrdlRCYjcvOXB2Zm82dXZYcitQWXNXTVFSUkhXMXRaNDhjVVhNWERnUUFCQTM3NTlFUklTZ2xkZWVVWG5NZVh6NTgvWG1RbkIwUEVhTldxRUdUTm1JRGc0R0tkUG4zNmlPWGRyaXdNSERtRDU4dVVBaXViSWRuVjF4Ylp0MjdCbXpScW8xV3I0K1BoZ3pwdzU4UGIyQmxBMEd0VzdkMjlzMjdaTko0V2xYYnQyR0RKa0NBUkJ3Smd4WTZTckV5Ky8vTEx4VDZxV09uYnNtTTRvN0pvMWEzRDU4bVZwMUc3WXNHRlNlb09oejRxSkV5ZWlmLy8rQmgvZ01uTGt5SExubWc4S0NuclNVNmh6eXBxL3ZDeWxQZXlwTENFaEljakt5a0ppWWlMaTQrT2w5UllXRnVqUW9ZUEIwY202TERRMEZFdVdMTUdSSTBkMDBpREtZbTl2ajk2OWUyUG16SDl1bXlyNVZNcmZmLzhkQVBEZGQ5OUJvVkNnUjQ4ZW1ENTl1blFqdTVXVkZjYU5HNGZBd0VBY1Bud1lSNDRjUVdKaVlrMllPY3FvVHAwNmhSMDdkaUF0TFEwcEtTbFFxVlJ3ZG5iR3UrKytpNTQ5ZXlJcEtRbng4ZkZZdkhneGJ0NjhDWTFHQTBFUUVCSVNBa0VRMEtCQkE3ejQ0b3ZvMzcrLzlCQzBVYU5HWWMyYU5ZaU9qb2FGaFFYZWVlY2RqQm8xU2dyQTI3UnBnKzNidDJQdDJyVll1SEFoSEJ3Y3NILy8vaXA3ZXJleDFJbmduS2dzSlFOem9PaG1vTklJZ21Bd3lKZzNiNTRVMkRScDBxVE1rVVZyYTJ1ekNNeUJvc3ZEUVVGQnNMZTN4d3N2dkFCTFMwdjA3ZHNYNTgrZngrREJnOUdwVXllZDhvSWdZT1hLbGNqTnpaVStjT1Z5dWM1bDMvRHdjS2pWYWlnVWluSi9jRTZhTkVsblpoMXpObUxFQ0tTbXBrcFhMK3p0N2VIajR5TnRIejE2Tk5MUzB1RHM3SXorL2Z2cjdWKy9mdjFTbjZ6WW9FRURnMmxoWkZqRGhnM2g3ZTF0OEVkOFJjVEd4dW9NRG1ncGxjcFNiMlozYzNORFpHVGtZeDJ2THZMeThzS21UWnVxdkY2bFVva0JBd2FnVDU4KzZONjllNm4zVnRqWjJXSFFvRUZtZHdWSkpwTkJFQVE4OWRSVGlJdUxRL1BtemZIV1cyK2hXN2R1VUNxVjBuZXlqNCtQZEdWWnBWSWhQVDBkV1ZsWjhQYjJocTJ0TGJwMjdRcEhSMGQ4Ly8zM3lNL1BoNzI5UGV6czdKQ1ltQWhQVDArODlOSkxCb051SnljbkxGeTRFRk9uVHNYVnExZHJYV0FPQUxYenViNS8wejVOa2lQbi85QUdNay82WkxIU2FOL3o2cTdmWFB1MHV2dXZQT2IrL2dQc2c1cUVmVkV6c0IrTXF5NjkzeHFOeHVBQVdVMW02dmNmQUdyWE8wWkVSRVJFdFVKdEM4eHJDcjVyUkVSRVJFUTFCSU56SWlJaUlxSWFnc0U1RVJFUkVWRU53ZGxhaUlpSWlFaUh1VTdOWEJOdzVKeUlpSWlJQUFDaUtKNHpkUnRxZ0N1bVBEaEh6b21JaU1yQUVjU2FnZjFnSFBIeDhlMU4zUVp6eDVGekkvcnl5eTh4ZE9oUVV6ZURpSWdxUUJURlgwM2RoaHJrcktrT2JLYjlZTEwzbTB6UGJFZk9jM056a1pHUlVhR3lvaWpxUExhOU9HOXZiN2k3dTFlb25zek1URnk1WXRJckpiVUdSMGpJM1BGdndQVGk0K09mTlhVYmlQMUE1c2RzZy9OZmZ2a0Y4K2JOcTFEWjRPQmdiTjI2VlcvOS9mdjNNWGZ1WEx6eHhodFYzVHl6SllyaXI0SWdkRFoxTzB6TTVDTW1EQXhOaDM4RGVreis5MEJFWkV4bUc1ejM2OWNQL2ZyMUF3QVVGaGFpYytmTzJMdDNMd29MQ3hFUUVLRDMyTnBSbzBicDFmRzRBVXhXVmhhY25KeDAxdDI5ZXhjLy9mUVRBZ0lDSHF2T3VvSWpKS2JGd0ZCaXNvQ1Fmd05FUk9iTmJJTnpVOXEzYng5R2pod3BMZWZtNWlJa0pBUkpTVWx3ZDNkSDE2NWRUZGM0TW1zTURJbUlpRXpMcklQemE5ZXVBU2dhT1FlQTFOUlU2YlYybTRlSEJ5d3RMU3RVWDJrajZmNysvbGkvZnIyMEhCTVRnNkNnSU1oa011VGw1V0g2OU9sSVNrckMyTEZqR1pnVEVSRVJtVEd6RHM1THBwQk1tVEpGYjF0TVRBeTh2THdxVk4ra1NaUDAxbTNac2dWMmRuWTY2OUxTMG5EdzRFSDA2dFVMSVNFaFNFaEl3S1JKa3pCMjdOaEtuZ0VSRVJFUjFTVm1IWndEUmNHM2g0Y0h1blRwZ20rKytRWnF0VnJLT1M4K0VwNmVubDV1WFNXRDYvVDBkRVJFUktCTGx5NDY2enQwNklBTkd6Wmd5NVl0dUhidEdoWXVYSWpCZ3dkWHpRa1JFUkVSVWExbDlzRTVBTnkrZlJzQVVLOWVQZHk5ZTlkZ21WZGVlYVhTOVg3NzdiZVF5V1RvM2J1M3p2clJvMGZqWC8vNkYrenM3TEI2OVdxOTRMMHFLSlZLc2NvckpTSWlJcUpxeGVBY3dOR2pSK0hrNUFTRlFvRjc5KzRCQVBMeTh2VEtCUVlHb21mUG50THkrUEhqUzYxVG85RWdKaVlHblRwMWdxdXJxODYybmoxN3dzZkhCOG5KeVdqY3VIRVZuWVZSY1dveklpSWlvbXBnOXNGNWFtb3FJaU1qOGNJTEwwQVFCTGk0dU1EQndRSGR1blhUSzl1MGFWT2RWSmZZMkZnNE9qb2FyUGZnd1lOSVMwdkQrKysvYjNENzdObXpNV0xFQ0N4WXNBQ2JOMitHaFVYVmRrVmNYSnhRcFJVU0VSRVJVYldUbWJvQnByWnIxeTZvMVdwcEhuTTdPenZFeHNZaUppYW0zSDNkM2QzMWJ2WUVnRWVQSG1IZHVuVm8xYW9WZXZUb1lYRGZObTNhWU5Tb1VUaDM3aHlXTFZ2MlpDZEJSRVJFUkhXQzJZK2NUNTgrSGRiVzFqcnBKUXFGQWdxRm9rTDdpNklJUWRBZHBGNjNiaDNTMDlNeGI5NDh2VzNGalI4L0hxZFBuOFkzMzN3RE56ZTNNdE5raUlpSWlLanVNL3ZnL0VtZnlEbDA2RkNFaElTZ2UvZnVBSUJUcDA1aCsvYnQ2Tm16cDdTdU5ISzVIT0hoNFFnS0NrSmtaQ1RVYWpVbVQ1NzhSTzBoSWlJaW90ckw3SVB6MWF0WHc4UER3K0MyOGdKM2xVcUZxMWV2SWlVbEJVRFIvT1h6NXMyRFFxSEEvUG56SzNUOEJnMGFZTjI2ZFJnelpndzJiZHFFOVBSMHpKMDdGelkyTnBVN0VTSWlJaUtxOWN3K09QZnc4S2p3UTRaS3lzek1CQUM0dXJvaU96c2JJU0VoeU03T3hxcFZxK0RzN0Z6aGVqdzlQYkZ4NDBaTW1qUUorL2Z2UjBaR0JpSWlJaDZyVFVSRVJFUlVlNW45RGFFNU9UbDQ4T0NCd1gvRnllVnl2WFZYcjE0RlVEU0xTM3A2T3U3Y3VZUDMzbnNQenozM25NRmpwYWFtd3NyS3l1QzJwazJiNHF1dnZzS3p6ejZMR1RObVZNR1pFUkVSRVZGdFkvWWo1MEZCUVJVcTE3eDVjMnpmdmgyV2xwYXdzYkdCV3ExR1RFd01IQjBkNGVYbEJibGNqcDA3ZDZKaHc0YlNQbEZSVVRoLy9qenM3T3h3NjlZdC9QcnJyenBUTVpiVXNHRkRyRnUzN29uUGlZaUlpSWhxSjdNUHpqZHQyZ1JQVDArRDIxNTY2U1hwOWF4WnN4QWFHb3BQUC8xVVd1ZnE2b3JRMEZESTVYSUEwQW5NQVVDdFZ1UEhIMzhFQU1oa012ajQrRlE0RjUySWlJaUl6STlaQitmZHUzZEg0OGFOUzgwUDc5V3JselNQdWIrL1AySmpZeXRWLzlpeFl6RjY5R2dBZ0NBSVpVNnJTRVJFUkVSVXE2TkZwVklwQXNEcDA2ZE4zWlFhUTVzMnd5ZUVFaEVSRWRVK1puOURLQkVSRVJGUlRjSGduSWlJaUlpb2htQndUa1JFUkVSVVF6QTRKeUlpSWlLcUlSaWNFeEVSRVJIVkVBek9pWWlJaUlocUNBYm5SRVJFUkVRMVJKMTRDSkYyYm04aUlpSWlvdHFzVm8rY2k2TDRxNm5iVUVPZE5YVUR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k9qL0FiVmJpWkFpMDh0aUFBQUFBRWxGVGtTdVFtQ0MiLAoJIlRoZW1lIiA6ICIiLAoJIlR5cGUiIDogImZsb3ciLAoJIlZlcnNpb24iIDogIiIKfQo="/>
    </extobj>
    <extobj name="ECB019B1-382A-4266-B25C-5B523AA43C14-2">
      <extobjdata type="ECB019B1-382A-4266-B25C-5B523AA43C14" data="ewoJIkZpbGVJZCIgOiAiMjM5MDIwNTUyNjE2IiwKCSJHcm91cElkIiA6ICIxMDY0MzIyMDQxIiwKCSJJbWFnZSIgOiAiaVZCT1J3MEtHZ29BQUFBTlNVaEVVZ0FBQWZVQUFBRFlDQVlBQUFEeURYcE5BQUFBQ1hCSVdYTUFBQXNUQUFBTEV3RUFtcHdZQUFBZ0FFbEVRVlI0bk8zZGVYeFU1YjAvOE0rWnlleVR5U1NUZlNBa0lRVENvbVJRV2JSSW9XS3hJajlGVWRaN1hjb1ZSWUZDQ3k0b2dnaXVkYXNMMUZhdkN2UUNyWXFXVmtXeFdGc0xUVUNSd0JCRENObjNUREtaZmM3dmoyVFNTVEpKSmpFaHllVHpmcjE0WmM2em5lZndKUE05NjNNQ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dwNTB2N3VBQkVCSTBhTStLMUVJdEhhN2Zadis3c3ZGQnlPR1ExRVlmM2RBYUxCeEdReWlWMlZ5Y3JLaWdGUTJaMTJEUWJEblY2djExNVRVN09yeDUyamdEaG1OSlF3cUJPMUlaZkx4L2d2TzUzT1BBQk8zM0p1YnU1MWRydjlYTnQ2VXFsVW41R1I4WSsyNlpHUmtiY0ZzMTZGUWpHcXM3SmVyOWRWVjFlM1A1aTJoaHFPR1ZFVEJuV2lOc2FQSDUvanYzenk1TWtNcDlONTJyZHN0OXZQK1MvN2lRN1VYa3BLeXU1ZzFxdlQ2V2JyZExyWkhlVjd2VjdyOGVQSEdTQUM0SmdSTldGUUp3ckFGeFFDbmJwVktwVXBnZXBJcFZKOW9QU3NyQ3locS9XWlRDYXhvcUxpTnhjdVhGalovZDRTd0RFakFoalVpYm90TFMzdHp6MnBwOVBwZnRwWnZrd21TK3Fvak52dHJteHNiRHpXay9VU3g0eUdEZ1oxb3VBSUFEUm1zM2xDUTBOREVRQlhjM29EQUczelo0bFdxMDFDMDdWY0FVQ3JJOGEwdExTRG5hMUFyOWZQMWV2MWN3UGwxZGZYSHpwNzl1eFBmc2dHREVFY014cHlHTlNKZ2lDWHkwZTN2VzRMTkoybU5abE05VzNUMjE3VGJTNGIrUU82NE9xNkNQbmptTkZReEtCTzFBMDVPVG5EQVVBcWxZNU1UMDgvN0VzM204MHpQQjdQOXdDUWtaRnhvWVBxTXJsY2J1anVPcDFPWnlXQTJ1NzNsZ0NPR1EwdERPcEUzV0N6MlFvQlFDNlhhLzNUblU1bm1kUHBMT3lzcnRGb1hCOFhGN2UydStzc0tTblpXbEpTOG5CMzYxRVRqaGtOSlF6cVJOM1EwVVFtZ1U3emRpVFFuZFVtazBrc0xTMTlzcmk0ZUVNdzY2UGdjY3hvS0dGUUp3cUNSQ0p4T2h5Tzc4K2VQWHM5QUNnVWl1aVltSmpWQUZCYlc3dS9vcUxpZVlmRFVRa0FvMGFOK2xBaWtUZzdhNC82SHNlTWhpSUdkYUlnMk8zMnZPKysreTdOdCt4ME91SDFlaHRNSnBONDVzeVpUS3ZWZXR5WDUxL09ueUFJdnIrMytFRDVVcWxVMDFFZWRSL0hqSVlpQm5XaUFGUXFWWklnQ0c3ZjhvUUpFd3BsTXBreFVOblJvMGRuQjBwdmU4bzJMQ3dzQmdCTUpsTkpvUEl4TVRFclkySmlPSkZKRDNITWlCalVpUUlhT1hMa1gvMlh6V2J6MWFJb3lwb1hoWVNFaEFmMWV2MWNxVlFhNGZGNGFnc0tDbFphcmRaL2Q5YW1XcTJlYUxWYS8zSG16Sm5yZ3UySHlXU3E2VUgzaHlTT0dSRVJ0V015bVVTNVhENE9UVHU5clhaOFZTcVZjZVRJa1IrT0dUUG11RTZuKzZuSlpCS2pvcUx1bURCaFFvbGVyNytwb3pibGNubUd5V1FTalViajFtNTJSd3RBM3YydEdGbzRaa1JOSlAzZEFhS0Jwcnk4L0FXbjAxa0J3TjM4RHdBMGNYRnhHOUxUMDA5NVBKNjYwNmRQWCtYeGVFb0J3T0Z3WkowL2YvNzI1T1RrZDFKVFUvY3FGSXJSYmRzY05telk0d0M4bFpXVmIzV3pPdzN3ZTlzWUJjWXhJeUtpTHFsVUttTmlZdUxtU3k2NXBHekNoQW1sa1pHUmkzeDVHbzFtb3Nsa0VqVWF6Y1Rtc2xQR2p4K2ZiektaUEdscGFSK3IxZXBFQUlpTmpmMkZ5V1FTazVLU2R2VFhkZ3dsSERNaUlncElxOVhPdVBUU1MrdU1SdU1UQUZxOTBhdHRnR2ltSHo1OCtIUEp5Y203Z0taVHVKbVptZTZ4WThkK0J5RDhJblo5eU9LWUVSRlJaMVNCRXBWS1pYSnFhdW8rcFZLWjNGbmxxS2lvVzFVcTFiQSs2UmwxaEdOR1JFUkVSRVJFUkVSRVJFUkVSRFN3Q2VCam8wUjBFZkVMaDZpUG1Fd20wNldYWG5wMWYvZUR1b1U3WWpTbzhaZVhxSStJb25pRFJDSloxSFZKR2lpNEkwYURIZWQrSitvamdpQXNGa1ZSaWFhalA3NWpleEJvM2hGTEJQQjVmL2VGcUNkNHBFN1VCMHdtMHlVQVJncUNZSnc0Y2VLMC91NFBCVWNRaE1VQTVxQnBSNHhvMEdGUUorb2JjMzBmZUFwK2NPQ09HSVVDQm5XaXZySFk5MEVVeGFCZjIwbjlpanRpTk9neHFCUDFNcFBKbEFFZ3c3Y3NDRUp5Wm1ibVpmM1lKUW9PZDhSbzBHTlFKK3BsWHEvM1oyM1RtcS9WMGdERkhURUtGUXpxUkwwc1VBRG5rZC9BeGgweENoVU02a1M5YU5La1NTTUZRWmpZTmwwUWhQUkpreVpONkk4K1VkZTRJMGFoZ2tHZHFCY0ZPdUx6eStPUjN3REVIVEVLSlF6cVJMMUlFSVRPN3BxKy9xSjFoSUxHSFRFS0pRenFSTDFrM0xoeFNRQW1kNVF2Q01LNFN5KzlOUDBpZG9tQ3dCMHhDaVVNNmtTOVJLRlF6T21xakVRaTRaSGZBTUlkTVFvMW5QdWRxSmRrWldXOUR1QjEzN0xKWkJLYjB6bmw2QURWalIyeFJ5OUNkNGlJYUtBeW1VeWlMN0RUNE1BeG84R09wOStKaUloQ0JJTTZFUkZSaUdCUUp5SWlDaEVNNmtSRVJDR0NRWjJJaUNoRU1LaDNMU0l5TWpMZ3M4VkpTVWs3eDQ4ZmZ4NkF2aWNOUjBaRzNwYWVudjVsb0R5bFVwbVNucDcrWlhoNCtMU2V0RTFFUkVNUGczb1g0dVBqNzA1SlNYa25LU2xwSndDWkwxMnIxWTZQam82K282YW01bDBBdFQxcFd5YVREZE5xdFZjR3lnc0xDOU0wNTBYMXFPTkVSRFRrY1BLWkxwU1dsajRwa1VoVThmSHhqeXFWeXBGbXMva21BSFZHby9GMUFKSzR1TGdINHVMaUh1aXFuWXFLaXQ5Y3VIQmhaZC8zbUlpSWhpb0c5U0FVRnhkdmNybGNGZkh4OFEvTDVmSkVnOEZ3cjBham1WWmFXdnFZdytISUQ2YU54c2JHSEFDSWlJaTQyWmVtVnFzbnRFMXp1OTFuclZickNkOXllSGo0Wlc2M3U4Sm1zMzNkYXh0RVJFUWhpVUU5U0JVVkZiK3BxS2g0UzYvWFg1T1FrTEM1b3FMaU44WEZ4WnU2Mjg3SWtTUDNkcFpXWGw3K2d0VnFYZTFiam9xS3VpTXVMdTdoMHRMU2JTVWxKWThCY1BkMEc0aUlLTFF4cUhkT2lJcUt1cU82dW5vWEFKdGFyZGFscEtUc3RsZ3NuNGlpNkE1Mk9zbXNyQ3cxQUZ2ejU1YnI4dkh4OGI5SVRFeDgwajhOZ05lL2JtRmg0WDFxdFhwU1FrTENReEVSRWRlZU8zZHVvY1BoK0w0WHRvMklpRUlNZzNvblZDclZGU05HakhndExpNXU5ZmZmZjcrZ3NiRXhKeTh2YjBsZFhkMmZVMU5UMzJsc2JQeDNYbDdlRWdBd0dBeno2K3JxRHJyZDdrWmYvZGpZMkR0alkyUFhBWEQ2TmR0eXBPMzFlcjF0MDlyeWVEeWU0dUxpUitycTZyNFlPWExrbmpGanhtUVhGQlRjWFZOVHM2dVhONWVJaUFZNTN2M2VDWnZOOW5WZVh0NTFDb1VpZWV6WXNmL1M2L1UzMXRYVjdRUFFxRkFvMHV4Mit4bW4wM25hNlhTV1JrZEgzNWVVbExURDZYVFdOcWVkOW5nOHRRQkVBSjR1VnFWUUtCUnBXcTEycGw2dm54ZW9nTlZxUFdRMm15OTNPQng1Y1hGeDZ3Q29lM2x6aVlob2tPT1JlaGZxNnVvK01adk5NOVBTMGc1S3BWS3RMMTJoVUl5MFdDd2ZOaS9XbXMzbTZlbnA2WjluWkdUOE5TY25KeE9BVnhBRW1TaUtMbDhkcFZLWkhCRVJzVWd1bHh0bE1sbWlTcVdhQ0FBbWs4a0dRQUNBaG9hR2Y5YlcxcjRmcUM5MnV6My85T25UMDlEMGFGMWpvREpFUkRSME1hZ0hvYkd4OGVnMzMzd3pHa0FWQUtqVjZrU0pSS0oyT0J6bmZXVWNEb2ZaYkRiUGxNbGtDZmpQZFhHbEtJcitwOTRGbzlHNDFlVnlsVGdjanJNTkRRMmZWVlpXNWpxZHp2TnV0L3U4MiszT3Q5bHNKVjExcHplMnlXUXl1VVJSOUFpQzRCUkYwU1VJZ2hPQXEvbWYwLzluOHphMExBdUNFQ2pOMmFhdTc3T3RzYkZ4OStuVHA2dDZvOTlkYk5NaEFEUDdlajNkTlpCZTVTbUs0cit5czdNbjkzYy9BQ0F6TXpOYkVJU0ovZDJQUUFiU21EVTduWldWbGRIZm5RQUc5cmdORVAwNlZrSi9yWGd3a3N2bFk4YVBINS9UMC9wWldWa0NBQTBBYSsvMXFrY0VrOG5rN2JwWTd4QkY4Y25zN093TmZiMmVBZmhGUENBMS94NzJPNDVYOTNEY0JvLytIQ3NlcVFjcE9qcjZmeG9hR3Y1Njd0eTVwVHFkYnFiQllMajl3b1VMcTl4dWR6VUFLSlhLRVhhNy9YeWJPdit0VXFrbVhyaHdZYlZmc2hXQVhpNlh4M2UzRDA2bnN4UTluTDJ1RFRFckswdWFscFltazBxbDhyQ3dNQmtBdVNBSU1rRVFaSEs1WEM2S290emxjc2tFUVpCSnBWSTVtazc1KzM3S0FNaEZVWlFEa0RWZlptaFZSaUtSeUFCTUFUQkxFQVJGTC9RNWFQLys5Nzh2NXVvR2pVbVRKdlYzRndMaWVIV080elo0RElTeFlsQVBna0toR0pXVWxQUmFXVm5aczBWRlJldlVhdlZZVVJROUZSVVZyd0J3aDRlSC95ZytQdjczeGNYRjY4ckt5bDd3MWRQcGREUGxjbmxTVFUzTk8vN3RSVWRIMzVhVWxQUnFkL3RSVUZDd29yS3k4clZlMkNRQThPYm01am9BT0hxcHZYWW1UcHk0U2lLUnpPcXI5b21JcURVRzlTQm90ZG9wQUdDeFdBNERnRnd1VDNPNVhJVm9maFN0dnI3K1NIRng4YU5Hby9GNXFWUnFLQzR1ZmdRQXBGS3B5dXYxMmp0cTEzZUtScTFXWHpabXpKaWpKMCtlekhBNm5hZUJwbE5jNTg2ZFcrcmJJZUFwTHlJaTZncURlaEMwV3UzVm9paDY2dXZyL3dZQUNvVWl6ZVZ5NWZ1WEtTc3JlOExqOFZSWkxKYS8rU1ZyUkZIa1hlcEVSSFJSTUtnSFFhdlZ6ckRaYk5rQUxBQWdsVXAxQ29VaU05aWo1N1pIM1VSRVJIMkJRYjBMQ29VaVRhRlFqQ3dySzN2V2wvYjk5OS9QOW5xOThpNnFDaGtaR1YvVjE5ZC9YbGhZK0tEVDZTenU0NjRTRWRFUXg2RGVCWjFPTndjQXJGWnJ5MmwxdTkyZTE3YWNVcWxNRVFRaDF1djFWZ21DNEkyS2lsb3VsVXIxRm92bG9PODZlV1JrNUcwQW9ORm9Mdk5mbHN2bHFRQ2cxK3V2YzdsY0xjOS9ObC9MYjVsQ1ZxUFJYT2J4ZUc0RGdKcWFtay9RL053OEVSRVJ3S0RlcGNqSXlCc0JpTFcxdFVjNks2ZFNxU2FucEtUczlrOXJiR3pNcXF5c2ZOZTMzRGEvN2ZLd1ljT2U5VitPaVltNU55WW01bDdmc3NGZ3VOTmdNTndKQUhhN2Zhck5abU5RSnlLaUZnenFYVGgvL3Z6ZEdvM21TZ0ExblpXcnFhbjUyT3YxM2lLUlNKUVNpVVJ3T0J3WEdob2Fqc0J2M3ZlQk1ua0VFUkdGSmdiMUxqZ2NEclBENFRBSFViUzYrV1V2UkVSRS9ZSnZhU01pSWdvUkRPcEVSRVFoZ2tHZGlJZ29SRENvRXhFUmhRZ0dkU0lhOUJvYk81Nk51YjYrSHZ2Mjdlc3lyU3RMbGl6Qnd3OC9IRER2N2JmZnh0U3BVN3ZWSHJWV1hWMk5pb3FLUG1uNzAwOC94Wll0VytEeGVMb3VQTWp4N25jaVA0Mk5qU2d2THcrcXJDaUtPSC8rZk1DODlQUjBKQ1ltQWdDT0hEbUMxYXRYQnl3WExMN21zbVBIamgzRDJyVnJzV0hEQnN5Wk02ZGRmbFZWRmJadDI0YWJiNzY1MHpSL0RRME5XTDkrUFZhdFdvWDA5UFF1KytEeGVPQjBPbnUrRVVPYzFXckZmLzNYZjhIcGRHTEhqaDBZTVdKRXI3WnZOcHZ4M252dndlUHhZTk9tVGIzYTlrRERvRTdrNThpUkkzand3UWVES3J0eTVVcTgvZmJiN2RMcjZ1cnd3QU1QdEFzWUJ3OGVoRXFsQWdBVUZCUmcyYkpsT0h6NGNFdCtaMm5Vc2JTME5CaU5Sano4OE1QSXpjM0Z5cFVyTVczYXRIWkJOdEM3cnR1bStYYWVLaW9xWURhYnNYejVjcnowMGt1WU1HRkNTeG12MXd1MzI5MnFubTg1VUdDWHk3dWFVWm8wR2cyZWZmWlpyRml4QXF0V3JjSzc3NzRMalVZVGRIMVJGSEhvMEtFTzg5UFQwMkUwR21FMm0vSEpKNTlBRUFKUEdXSXltUkFWRmRYdC9nOGtET3BFZnE2OTlscGNlKzIxQUpxT3ZxNjQ0b3FXUGZ6NTgrZTNPMksrL2ZiYjI3VVJLSGdBZ0ZhcmhWcXRCb0NXTDZ6dzhQQ1cvTTdTcUdONnZSNnZ2ZllhN3JubkhyejU1cHNJQ3d2RG5qMTdJSXBONzFzcUtpckMvZmZmai8zNzk3ZlVDWlRtTHlVbEJUdDI3TUR5NWN1eGV2VnFIRGh3b0NWdno1NDllUGJaWndQV0MzUUtubWRaZ3BPZW5vNm5ubm9LSzFhc3dMUFBQb3RISG5razZMcGVyeGZyMTY4UHF1eUdEUnM2ekh2cHBaY3diZHEwb05jN0VER29FMTBrUC9yUmo5cWxCWFAwU0YzVDZYUjQ1WlZYc0dIREJ0eDg4ODJJaVlscHlZdU9qc2JHalJ1Um5KemNhVnBiS1NrcGVQbmxsMUZSVVFHMzJ3Mkx4UUlBbUQ1OWVzdWxGWi9QUHZzTUgzMzBVWWZCbm9JemFkSWtMRjI2RkcrKytTYm16WnVIU3krOXRGdjFiN25sRnR4OTk5MnQwbkp5Y25ENDhHRmNkOTExWFo3VzEycTEzZTd6UU1PZ1RnUE9wRW1UMW5tOVhtZDJkdllPQVBhTHZmNzgvSHdBYUxtcHBxaW9xT1d6TDg5b05FSW1rd1hWM3VqUm83Rmx5eFpNbno0ZEVrbnJlMU50Tmh2MjdkdUhtVE5ud21nMHRxdHJzOW53OWRkZjkzQkxMbzdNek14WkFOeloyZGwvaDk4TGlDNDJYMkFIZ1BQbnorUG1tMjlHV05oL3Z1SzJidDJLbzBlUElqOC9IL1BuejRkY0xzZVRUejRKVVJUaGNya0NIbEducHFiaTZOR2oyTGh4SXl3V0N5NjU1QklNR3pZTXc0WU5hMVhPOTNzeFk4YU1QdHUrM2paUXhxMnRqSXdNQU1Cenp6Mkh0OTU2cTF0MUZRb0Y5SHA5cTdTUFB2b0lCdzhleEx4NTg5cmxoU0lHZFJwd3ZGN3ZyWUlnWEphWm1mazhnRk9DSVB5dnhXSjVMVGMzMTNJeDFqOS8vdnhXeS9mZWUyKzd2UDM3OTNkNmxPZGp0OXNobFVveGVmSmtPQnlPZHZtVmxaWFlzV01IaGc4ZjN1RzF2TW1USjZPcXFnb0dnNkViVzNGUnpSRUVZVzFtWm1ZMWdEOEErR045ZmYyUjNOemM5aHZjeTF3dUZ6WnQyb1JSbzBaaHlaSWxMVUZjRkVWNHZWNzg0eC8vQUlDV1FPNnZzenl2MTRzLy8vblAyTEZqQjRxS2lqQno1a3ljT1hPbUpiK3Fxdlc3bEh4MzM3ZE5qNHFLNnZENjdRRFFiK1BXbVNOSG10NmRkZkxrU1h6eHhSZTQrdXFydTFYL3M4OCtRM1YxTllDbUhmTlBQdmtFTVRFeE9IWHFGRTZkT3RWaHZZNXVtaHhzR05ScHdCS2F2ZzNIQVhoU3A5TnR6OHpNUEN1SzRxN3k4dkxmRkJjWFYvYmx1dmZ2M3crajBZZ3BVNmJnL2ZmZmg5dnRicm1tN245NnZLeXNyTk4yOXU3ZGkrZWZmNzdMOVczY3VMSExNZ1A5MnF3Z0NGRUFWZ0JZb2RQcExKbVptZnRFVWR4ZlhsNSt1TGk0dU9ObnpuNEFtVXlHcVZPbjR2SEhIOGZCZ3dmeDZLT1BZdXpZc1MzNXZtdmN2dXZyL2k2Ly9QSU8yNzN2dnZ2d3ozLytFeWFUQ1U4ODhRVEdqeCtQSlV1V3RPVFBuajA3WUwyMjZZY09IUnJ3UjRmOU1XNGRjVHFkK052Zi9nYVR5WVRpNG1MODlyZS83WFpRLzkzdmZvZWNuSnhXYVJVVkZkaTJiVnVuOVJqVWlTNHVRUkNFZEVFUU5zWEh4MitLaTR2TDkzcTllNXhPNTRzNU9Ua2xmYkhDeXNxbS9ZYnc4SERVMUFSK1NkOTExMTNYYVJ0TGx5N0YwcVZMSVlvaUdob2EydVZYVkZUZ2xsdHV3Ylp0MndMZVpLVlNxVnFkUWg1RWRJSWczQ0VJd2gzeDhmSFcrUGo0OTd4ZTd6NmJ6WGJvekprejliMjVvdXV2dng0SkNRbFlzMllOTm0vZWpGMjdkclhrL2ZHUGYwUlVWQlFLQ3d1eFlNRUNmUHZ0dC9qMjIyOEJBRWVQSGdVUStFaDkyYkpsV0xCZ1FjQ0FJb29pNXM2ZEM0MUdnK25UcDNmYXQwRjRqZmFpalZzZ2h3OGZoc1Zpd1U5LytsTTRuVTQ4ODh3eitPcXJyN3AxODlvNzc3d0RBRGh6NWd5V0xsMktPWFBtNExISEh1dXJMZzg0Zy9MYmdnWUhRUkNVelVkSTEwK2NPTEU3RDU2T0RLTHRaS2xVdWtHbFVtM0l6TXdzRkVWeGI0ODcyb0V2dnZnQ1VWRlIwT2wwcUsydEJkQjBPcjJ0eFlzWHQvcnlYNzU4ZWJzeTFkWFZIUjdkQWNBRER6d1FNSDNMbGkxZDdqaDBsOGxrY2dMd2lLTG9CdUFDNEJZRXdZV202NnIrUDEzK1pRQzRCRUZvdFN5S29ndkF4QzVXcVFHd1dDS1JMTlpvTlBiTXpNd1BSVkg4djk3Y3BrbVRKbUhuenAxUUtwV1FTQ1F3R28zWXRXc1hWcTVjaWJTME5HemR1aFVmZi93eG5uamlDUncvZnJ6bGl4OEFoZzBiaHZmZWU2OVZlNU1uVDI2M0R2ODYxZFhWT0hUb0VCWXVYTmp1K25wZkNjVnhhMnZQbmoxUUtwV1lQWHMyd3NMQ3NIUG5UdXpjdVRQb29PNjcxT0h4ZVBENDQ0OURxOVcybWlQaW1XZWV3ZTdkdXdmOFdhOGZna0dkK293b2lxYm1HOFBTQkVGSTY2TjFRQkFFRFlEaHZkbHVVVkVSWG4vOWRjeWFOUXVDSUNBbUpnWmFyUlpYWG5sbHU3SkpTVW10VHNrZk9IQ2d3MU91M1hsa3BnL3ZnZzhESUF2bVdtOVhaYnA3dlZnVVJVbno2ZDc0YmxVTXd1alJvMXMreTJReTdOMjdGL241K2NqUHo4ZW5uMzdhcXF6L3FYU2ZoUXNYWXQyNmRYQTZuZTNLdDVXV2xvYXZ2dm9LZS9mdWJiWGVRSHB4cHl3a3g4M24yTEZqT0hIaUJPYlBuOS95V09maXhZdnh5aXV2NE5DaFE1ZzFhMWFIZGIxZUx3QkFLcFVDQUY1OTlWV2NPblVLVzdkdVJXUmtaRjkxZVVCaVVLZStkQUxBQWxFVXl3VkJLT3BHdmRFQTFGMlVxUVJ3UVJDRVBWbFpXVThCZ01sa2FuL2h0SWYyN3QwTHQ5dmQ4aHk2V3EzR2dRTUhVRjFkM2U1VWJWdHRIM2Z5ZDk5OTkvVldGM3NzS3l0TEFpQXNPVGs1VEtGUXlPUnllWmdnQ0RLcFZCb0dRT1owT21WS3BUTE02WFRLSkJLSkw1Q0VDWUlnODMwR0lQTjRQR0ZTcVZRR1lCbUFuM1d5U2h1QUwwUlJQT1gxZWo4OGNlTEU1d0JnTXBsZTdNM3RldXV0dHpCbnpoekV4c1ppMzc1OStOT2Yvb1JISG5rRTExOS9mVXVadXJvNlhIUE5OWGp1dWVkdzFWVlh0YXJ2QzNUMTlmVkIzZU1BdEQ1NjcwaHZCZlZRSFRlZ0tTZy85OXh6a01sa3JlWitXTFJvRWZiczJZTVhYbmdCVjE1NUpaUktaY0Q2THBjTHdIOG0rdm5MWC80Q0FIam9vWWZ3MEVNUHRTc2ZhSWM1Vkk3ZUdkU3BMMWtCUUJDRVhWbFpXV3VDclpTWm1YbFVFSVRML05ORVVZUkVJaW56ZUR3SDNHNzN3eWRQbnV6OERyVWZhUFhxMVZBb0ZFaElTR2hKMCtsMDBPbDBRZFZ2UG9QUUx2M0ZGMS9FbENsVGdtcmppaXV1Q0s2elBlUE96ODkzb3hjZUdjek16THhDRUlSV3dVRVVSYXNnQ0o5NXZkNzlMcGRyLzNmZmZkZitob0plNUhLNVdvN09acytlalNlZmZMTGJiZmdlTnpRWURCMSt3ZGZYMTJQOSt2WEl6czZHMCtuRTAwOC9qWmt6WjdZcVk3UFprSmVYaDNIanhuVi9RN29XVXVQbXMzdjNicHc1Y3dhTEZpMXE5VGVuVXFsdzc3MzNZc3VXTFhqMTFWZXhaazNncjVHNnVqb0FhUG43dlBmZWUyRzFXdHVWKy9UVFQzSDA2TkVPTDNlRkFnWjFHc2hFQUNXaUtPNnZxS2pZVkZoWVdIMnhWdHpWMFhoWEZpeFlnRldyVnJVN0dyei8vdnQvVUxzRG5BWEFwNklvN3Eyb3FIaS9zTERRZHJGV2JEYWI0WEs1TUdIQ0JHemZ2aDIzM25vcmR1L2VqYzJiTjJQejVzM3R5di9pRjc5b2wvYnh4eDkzK3RqZ2lSTW5zSEhqUnRqdGRyejk5dHQ0NnFtbnNIWHJWb3dlUFJwR294RWVqd2NmZlBBQlhuMzFWWWlpaUE4KytLQmxXdUFCcnQvR0RXaWFIT2FsbDE1Q1hGd2NWcXhZMFM3L2hodHV3Si8rOUNlOCsrNjdtREpsU3NBYlNuMVBvZmdtSFFyMERnQ2c2YWJJbzBlUGhzeWQ3b0V3cU5PQUl3akNZWS9IODZuYjdkNTZzWTRVMm5yeHhSY0RUZ1lEZEIzd25VNG44dkx5VUZoWUdMRGRBWEtrM3B2KzRmVjZiM1M1WEgvKzdydnYrdVd0SnNlUEh3Y0FUSnMyRGRPbVRVTnFhaXAyNzk2TlRaczJZZTdjdVMzbGFtdHJNV3ZXTER6Ly9QTUJaL2dMcEt5c0RLKy8vam8rK09BRHBLZW5ZK2ZPbllpTGk4T21UWnV3ZVBGaTNIMzMzVmkyYkJuZWZmZGRGQllXWXZyMDZWaTRjT0ZnQ09qOVBtNGxKU1ZZdTNadHk0MXR2bW1VL1Vra0VqejIyR05ZdEdnUkhuendRYnp4eGh0SVRVMXRWU1kzTnhkQTAwMlBuYjE5ejFldW96SS8vdkdQQi9KOEVFRmhVS2NCSnlzcjY1ZjkzUWVqMFJqVTVES0IrRjRmR1JjWDE0czlHcml5czdNRFQ2QitFUjAvZmh4UlVWSHR2dXczYmRvVThLMWNnZDZhMS9aSS9lelpzL2pESC82QWp6NzZDRktwRktJb1lzNmNPUzNqbXBpWWlCZGVlQUVyVjY3RTl1M2JZVFFhc1hmdlhxU2twUFR1eHZXUi9oNjNrcElTM0hQUFBTZ3JLOE82ZGV0Z01wazZMSnVjbkl6MTY5ZGo4K2JOdU9lZWUvRHl5eThqTGUwLzk5NGVQMzRjY3JrY1NVbEpXTHg0Y1pmcjd1aVo5YlMwTkFaMW9sQmt0VnBSWDkvMVk3bFNxYlJkdWJ5OFBBQk5kOFczRmVLbjMvdUYxK3ZGc1dQSEFqNkcxcDBiNVh4M1RwZVZsV0h0MnJYSXljbUJYQzdIdkhuemNOZGRkN1c4Nk1mSGJEYmorUEhqK1AzdmY0OWYvdktYT0gvK1BOYXZYNCtGQ3hmaUp6LzVTYXNYODFCcjMzenpEZGF0VzRlcXFpcmNmdnZ0V0xod1laZDE1czJiaDd5OFBMenp6anU0L2ZiYnNYYnRXdHh3d3cxd3U5MzQ4c3N2WVRLWm9GYXJPNzNoalkrMEVRMVJ3Yjd1TkNVbEJidDM3NFpNSm9OU3FZVGI3Y2IrL2Z1aDErdVJuSnpjY3EzUDk1ejdsaTFiZ241VTdicnJyb1BGWW1scEl5SWlvc083ZjRleTA2ZFB3Mkt4NExMTEx1dTZjQ2U4WGk4a0Vnbmk0dUl3ZHV4WXpKZ3hBemZkZEJPaW9xSmFYcTE2K3ZScGJOKytIWC8vKzk5UlhGeU15TWhJTEZ1MkRIdjI3TUZiYjcyRlhidDI0ZkhISDhlMmJkc3dmdng0WEg3NTViajc3cnNIOGxTeEY5MkJBd2V3ZWZObWVMMWVyRml4QW5mZGRWZlFkZGVzV1FPUHg0UGR1M2RqeTVZdHFLdXJnMWFyUlgxOVBhNjU1cG8rN1BYZ3dhQk9GTUFiYjd5QjRjTURQL3J1UDRuTXIzNzFLMnphdEFtLy92V3ZXOUo4MTF1bFVtbTd4NW1DZlZUSzUrbW5uOGJUVHo4TkFPMnVEMU9UTDcvOEVrRGd4NVM2YzZQYytQSGpXMTRnOHVDREQ3YktPM2JzR0lDbVI2VjBPaDJtVDUrTzFhdFh0OXdmSVpmTDhmT2YveHlMRnkvR29VT0hjUGp3WVp3NGNRSjMzWFVYQTNvYlU2ZE94YkJodzNEUFBmZjBLQkN2VzdjT0kwZU94T2VmZjQ3YmJyc04xMTkvUGZSNmZhZVRPdzBsRE9wRWJWeDExVlZJU0VqbzhOcmFqQmt6V203b21UUnBVcXQzYmJmMXIzLzlxOWY2MWZZTmI5Umsvdno1bURwMWFydHIyVHQyN0VCeWNuS3ZYQ00xbVV6NDJjOStocGt6WitLcXE2N3FjT3BldFZxTnVYUG5jdWVyRTlIUjBkaTNiMS9MNVk2ZXVQSEdHM0hqalRjQ0FHNjk5VlpFUkVRRXZNbXVMYWxVR3ZKL1J3enFSRzI4OE1JTG5lWjM1NTNaUCtTTGk0SmpNQmdDQnU3ZW5KRlBMcGNIUE9Lbm51bk52NHM3Nzd3ejZMSnIxcXpwOEZuM1VNR2dUa1JFZ3hZdmI3UVcydWNoaUlpSWhoQUdkU0lpb2hEQm9FNUVSQlFpR05TSmlJaENCSU02RVJGUmlHQlFKeUlpQ2hFTTZrUkVSQ0dDUVoySWlDaEVNS2dURVJHRkNBWjFJaUtpRU1HZ1RrUkVGQ0tHMU56dkdvMW1na2FqdWJhOHZQd05BRFdCeWlRbUptNjNXQ3gvYldobytEellkc1BEdzZmVjE5ZWZBR0QxUzQ1RzAvOXY2US9xTklDNHVMZ0hEUWJEb2xPblRvMy9vVzBOQmIzNUlnL3FleHl2d1luak5qQU5xU1AxbUppWURZbUppWThCa0hkVUpqNCtmbjE0ZVBpVjNXZzJLaTB0N2ZQVTFOUjMvQlBIalJ2M3BjbGtLdWxwWC8zSjVmSkVwVkk1cmpmYUNtV2lLUGJlZTA1RDE4bis3b0NQS0lxbityc1BnOGozL2QwQkg0NWJsL3AxckliTWticFNxVXlOakl4Y1VGNWUvalNBc3Q1cU56bzZlb0VnQ1BMcTZ1cTNlNnRONnBuczdPekovZDBIQ2w1MmRqWjNWQWNoanI2VHhVTUFBQWlaU1VSQlZOdkFObVNDZW14czdFYVB4MU5YVkZUMHBDL05aREtKZ2NvbUpDUnNTVWhJMk5JMlBTc3JTd1hBN3A4V0hSMjkzTzEybDlmVzFuNFlURCtVU21YSzhPSERkeFlVRk56amNEak0zZDBNQU9WdDBtS2lvNk52cXF5c2ZMMmJiUkVSVVlnWkVrRmRxOVdPTnhnTVN3c0xDMzhCb0U2bFVrMFZSYkc0b0tCZ1JkdXlTVWxKcjliVjFYMVFWMWQzTUVCVEx2K0ZpSWlJMldxMU9yTzB0SFF6QUdjUVhkR2twS1Q4VWFWU1RkUnF0ZE82RzlUajR1THVLQ3NyMis2L2FXUEdqUGxJclZaZjduUTY4eTBXeTErNzB4NFJFWVdXSVJIVUV4TVRYM1E0SEdjcktpcGVBU0J2dnY3dC9lNjc3OFlBOFBpWFRVcEtlcld4c2ZGb1pXWGxhMTIxR3hzYit3QUFGQmNYdnhKRU44TFMwdEwycVZTcWllWGw1UzlVVlZXOTZjdm82SXlCMVdyOTRzeVpNek44eTlIUjBmOVRWbGIyZEhPZjFhTkhqLzVRclZaZlhscGF1b1VCbllpSVFqNm9SMGRITDlkcXRUODJtODJ6QUhoaVkyTlhLUlNLMUxObno4Nk5qSXk4SlNVbFpYZE9UczV3bTgxV0dLaCtYRnpjYXFQUitPdXNyQ3daQUxjdlhhL1gzeEFlSGo2amViR3JhL1N5MU5UVVhUcWQ3cWMxTlRYLzEzekdvRVZKU2NuR3RoVmlZMk4vNmZGNDZ2M1RGQXBGc3NGZ1dGeFZWZlYrZW5yNmh4cU41cXFTa3BLTkpTVWxqd2Z4WDBGRVJDRXU1SU82WHErL0NRQkdqUnIxRjBFUVpBQlFVMVB6Zi9YMTlSOUdSa2JlMXNObTVVYWo4WmtneTZwVFUxUDM2UFg2dWJXMXRRZk9uVHUzQklEWHYwRGJvS3hTcVlZbkpDUnNxYXVyKzhRL3ZiR3g4ZXY0K1BoSDR1TGlmcVZRS0VZWEZCVDh2TEt5OHJjOTNBWWlJZ294SVIvVUN3b0sxc2psOGdSUkZLdUhEUnYydWtLaEdIbnUzTG43ZmtpYlJxUHhVWVZDTWNyajhWaWtVcW11czdKanhvejVRcTFXWDFaZFhmMi8rZm41ZDhMdmFMOGpFUkVSaXdCNEd4b2EvdWlmWGxwYStrUnFhdXI3WHErM0lTOHY3MmQxZFhVZi81RHRJQ0tpMEJMeVFkM3BkT1k0bmM2Y3lNaklSUnFONW9wejU4NHRSUHM3eUlPbVVxbW14TWJHcnJkYXJWODRISTZpcUtpb1JSMFVsUUtBV3EwMkZSY1hiMnErbVM3Z3RmTzI5UXdHdzkzMTlmV2Z0YjBrVUZ0YiswRkRROFBmMVdwMXB0MXV6Ky9wTmdDQXlXUnlpYUxvRVFUQktZcWlTeEFFSjVwdUJIU2g2YWEvbHAraUtMWmFGZ1FoVUpxelRWMFhBRDVpUmtSMEVZVjhVQWNBbFVxVmxKU1U5SEpOVGMzZW1wcWFQVCtrcmNqSXlIbGVyOWVhbjU5L1ovTkVObTNGamh3NWNvZENvVWdEZ056YzNPc3RGa3VnTytrRE1oZ01TeFFLUlhKUlVkR3FRUGxGUlVVcjA5UFRqNmFrcEx4Nyt2VHBhV2h6UjM2UUJBQmhnaUNFQVZBSWd0QjU0UUQ1WGRWcG95ZDlKQ0tpYmhvS1FWMlZsSlMwVnhSRlQyVmw1VXQ2dmY3L0taWEswVktwTkxheHNmRW9BR1JrWkZ6d3I5RFJjK29BVUYxZC9icmRiczl5T0J4dFp3MlNSRVZGM1Q1czJMRHRZV0ZoaHVhalgxbDNBam9BVFVKQ3doYWJ6Zlp0YlczdGdVQUZyRmJyOGRMUzB1MEpDUWtQanhneDRyWHo1OC9mMlkzMmZjU3NyQ3hwV2xxYVRDcVZ5c1BDd21RQTVJSWd5QVJCa01ubGNya29pbktYeXlVVEJFRW1sVXJsQUdSb21vbFA1dnNzaXFJY2dFd1FCSm52czYrTVJDTHhmUllGUVhpK0IzMGtJcUp1Q3ZtZ0hoVVZ0VWlqMFZ3QkFLTkdqZnFiTDcyaG9lRklWVlhWaStmT25WdnFYejRsSmVYdDJ0cmFmVFUxTmU4RGdFNm51OVpnTUN6eDVkdnQ5dndBcDc2ak1qSXlEcXRVcWdrT2grTnNYbDdlL0JFalJ1eFFLQlNqdTlQWDRjT0hQeTZYeTRmbjV1YXVRQ2VuNmt0S1NoNExEdysvMm1BdzNPRndPQXBLUzBzRG5USG9pamMzTjljQndOR0R1a1JFTkFDRmZGQzMyKzNmTkRRMGZHbXoyYjUxT0J6Zk5qWTI1alEwTkp4Rzg0dFc3SGI3ZWYveUtTa3BiOXRzdGhNMU5UWHZBRUJOVGMzQnFxcXFKOUg1RFc3VlZxczFxNmFtNXQzUzB0TG4wVVdnVkt2VkpvUEJzTFNzck94MXA5TjVHZ0FpSWlLdWlZbUpXVlZYVi9lQnhXTDVxSXZOY3B2TjV2bmp4bzM3VjJKaTRpWkJFR1FsSlNVUGQxR0hpSWhDWE1nSDljYkd4cU5tcy9sSFA2Q0pxb2FHaHFwUm8wWjlVbEZSOFZKdGJlMEhnUW9WRkJUOGQ3QU55bVN5bEppWW1OVU9oOE5jWGw1K1dxbFVKbzhZTVdLWDIrMnUvdjc3Ny84bnlHWXFjbk56cjBsUFR6K1NrSkR3a0VLaEdKNmZuNzhDUUdPdy9TQWlvdEF5cE43UzFpd3VJaUppZG14czdEb0FNVUhXRWJSYTdYUzFXbTNxalE2b1ZLcFVBTERiN2VjQVJLV21wbjRVRmhZV2xaK2Z2d1RkZUZXcncrSElOWnZOMDUxT1owRlVWTlN5VWFOR0JkemhJQ0tpb1NIa2o5U2pvNk4vcmxhckwxTXFsV09VU21WR1dGaFlEQUNJb3VncUx5Ly9mWUFxSWdDbGY0SlNxVXdXQkVGdXM5bE9CN3RlVVJSOTA4OUdBS2p6ejFPcjFaTUJ3T1Z5bmRKb05NUEN3c0xpaW9xSzFsb3NscjhFYWt1aFVLU0tvaGp3bEw3RDRUaDc4dVRKS1dscGFXK1ZsSlNzRGJaL1JFUVVla0krcU92MSt2a2FqZVlLcTlWNnJMS3k4ZzJielhiQ2FyVis0M1E2enlMQW8xWk9welBmWURBc2RidmRwYUlvdWlVU2lhRFQ2VzRFSU5ydDlpK0RYYS9OWnZ0V3FWU09UVTlQUDJDeFdENFZCTUVMQURLWmJLUmVyNy9KNFhDY3NkbHNCUUFLdnZubW13a0FXdDY5SGg4ZnYxNmxVazN5ZXIwTmNyazhLVHc4ZkpiVmF2MmlrOVdWNU9ibXpnNzZQNFdJaUVKU3lBZjEzTnpjQlFBc3daWXZMQ3hjTTN6NDhOZUdEeC8ra2kvTjVYS1ZYYmh3NGY2TzVvY1BwTFMwOUZjeW1TeFdvOUZjcWRWcVc2N3BpNkxvYW1obytMcW9xTWovMm5tSmYxMUJFR1NSa1pHM05KZjNXSzNXci9Mejg1Y0h1MjRpSWlMcXB1am82T1ZKU1VsdjlsSHpFalROU3RldFdWNk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VMUi93ZXdBQzZiSVphb1pRQUFBQUJKUlU1RXJrSmdnZz09IiwKCSJUaGVtZSIgOiAiIiwKCSJUeXBlIiA6ICJmbG93IiwKCSJWZXJzaW9uIiA6ICI1Igp9Cg=="/>
    </extobj>
    <extobj name="ECB019B1-382A-4266-B25C-5B523AA43C14-3">
      <extobjdata type="ECB019B1-382A-4266-B25C-5B523AA43C14" data="ewoJIkZpbGVJZCIgOiAiMjM5MDIxMTk4ODA1IiwKCSJHcm91cElkIiA6ICIxMDY0MzIyMDQxIiwKCSJJbWFnZSIgOiAiaVZCT1J3MEtHZ29BQUFBTlNVaEVVZ0FBQW80QUFBRE5DQVlBQUFBMlhmRUxBQUFBQ1hCSVdYTUFBQXNUQUFBTEV3RUFtcHdZQUFBZ0FFbEVRVlI0bk8zZGUzeFQ5ZjAvOE5kSm1rdVROTDJtYVpzMkZDZ1VzTnpDVnlmT0taTjVZZDRIWXlMb3B1N3JBTmxFOFN1S3Npa1hid09tYytnRTNlVG5CVFpsT3AxM2NYaVp1b0VGRkdncDJQdUZ0bW1hSnVscGtpWTV2ei9hZEdtYTlFNWJ5dXY1ZVBUeGFENmZ6L21jOTZrZjZidm5mRDZmQXh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hSaUNVZjdnQ0lpSWlHMDVneFk1NlZ5V1E2dDl2OXpYREhRaU1EeDBSME1jTWRBQkVSVVc5WUxCYXBwemI1K2ZrR0FOYSs5SnVjbkh4TElCQndOelkydnR6djRHaFljRXdNUFNhT1JFUTBZaWlWeWttaG43MWViekVBYi9EemlSTW5mdWgydTB2Q2o1UEw1UW1USjAvK0lydzhNVEh4dXQ2Y1Y2VlNUZWl1YlNBUWFHMXFhdHJkbTc1b2NIRk1qQ3hNSEltSWFNVEl5OHNyQ1AxOCtQRGh5VjZ2dHpENDJlMTJsNFIrRHBFU3FiK3hZOGZ1N00xNTlYcjlKWHE5L3BKbzlZRkFvUG5nd1lOblhKSXdFbkJNakN4TUhJbUlhRVFKSmdhUkhrT3ExZXF4a1k2UnkrVUprY3J6OC9PRm5zNW5zVmlrK3ZyNnJSVVZGU3Y2SGkwTkJZNkprWU9KSXhFUm5UWnljbkxlN3M5eGVyMytzdTdxRlFxRk9Wb2JuODluRlVWeGYzL09TNmNleDhUUVl1SklSRVFqblFCQVcxUlVOTlhsY2xVQmFHMHZkd0hRdFg4djArbDBaclROZlJNQWRMb3psWk9UODA1M0owaElTTGd5SVNIaHlraDFUcWR6ei9IangzOHdrQXVnUWNjeE1VeVlPQklSMFlpbVZDcHp3K2U1QVcyUEhDMFdpek84UEh3T1hIdmJ4QUdFME5wekV4cEtIQlBEaDRrakVSR2RGZ29LQ3JJQVFDNlhqNTg0Y2VMZVlIbFJVZEVjdjkvL0xRQk1uank1SXNyaENxVlNtZHpYYzNxOVhpc0FlOStqcGFIQU1USDBtRGdTRWRGcG9hV2xwUklBbEVxbExyVGM2L1hXZXIzZXl1Nk9OWmxNcTQxRzQ2cStuck9tcG1aalRVM04vWDA5am9ZR3g4VFFZK0pJUkVTbmhXaWJQVWQ2WkJsTnBCVzFGb3RGT25ueTVLUFYxZFgzOU9aOE5ISndUQXc5Sm81RVJEU2l5V1F5cjhmaitmYjQ4ZU5YQUlCS3BVb3hHQXdyQWNCdXQrK3VyNjkvM09QeFdBRmd3b1FKLzVESlpON3UrcVBUSDhmRThHSGlTRVJFSTVyYjdTNCtjdVJJVHZDejErdEZJQkJ3V1N3VzZkaXhZek9ibTVzUEJ1dEMyNFVTQkNINCt5NHRVcjFjTHRkR3E2T1JoMk5pK0RCeEpDS2lFU1UyTnRZc0NJSXYrSG5xMUttVkNvWENGS2x0Ym03dWdVamw0WThmWTJKaURBQmdzVmhxSXJVM0dBd3JEQVlETjNzZW9UZ21SZzRtamtSRU5LS01Iei8rdmREUFJVVkZGMHFTcEdqL0tLU25wNjlKU0VpNFVpNlh4L3Y5Zm50NWVmbUs1dWJtcjdyclU2UFJ6R2h1YnY3aTJMRmpQK3h0SEJhTHBiRWY0ZE1wd0RGQlJFUkVYVmdzRmttcFZKNkZ0aHNiblc1dXhNYkdtc2FQSC8rUFNaTW1IZFRyOVpkWkxCWXBLU25wNXFsVHA5WWtKQ1Q4S0ZxZlNxVnlzc1Zpa1V3bTA4WStocU1Eb096N1ZkQmc0cGdZV1dUREhRQVJFVkZRWFYzZEUxNnZ0eDZBci8wTEFMUkdvL0dlaVJNbkh2WDcvVTJGaFlYbisvMytrd0RnOFhqeXk4cktic3JPem41eDNMaHhyNmhVcXR6d1BqTXpNemNBQ0ZpdDFoMTlETWVGdHJlTzBERGltQ0FpSXFJZXhjYkdtakl5TXRaTm16YXRkdXJVcVNjVEV4T3ZEOVpwdGRvWkZvdEYwbXExTTlyYm5wdVhsMWRxc1ZqOE9UazU3MnMwbWd3QVNFMU52ZE5pc1VobXMzbmJjRjBIRFI2T0NTSWlJb3BJcDlQTm1UNTllcFBKWkhvSVFFSm9YWGlTMEM0aEt5dHJTM1oyOXN0QTIrUEltVE5uK3FaTW1YSUVRTndRaGs2bkNNY0VFUkVSZFNjMlVxRmFyYzRlTjI3Y3EycTFPcnU3ZzVPU2tuNFNHeHViZVVvaW8rSENNVUZFUkVSRVJFUkVSRVJFUkVSRVJFUkVSRVJFUkVSRVJLT2VESUI4dUlPZ0VZVmpZaEJ3QTNBaUlocDFwaytmZnA3Rll1bjFxK1JvOU9PWUdCeE1ISW1JYU5TUnlXVFhBUGpKY01kQkl3Zkh4T0NJNmJrSkVSSFJhVVVRQk9HbmFQc2RKd01RR09aNGFQaHhUQXdTM25Fa0lxSlJaY2FNR2JNQnBBQkltREZqeG1YREhROE5QNDZKd2NQRWtZaUlSaFdaVEhadHlQZUxoak1XR2hrNEpnWVBFMGNpSWhwdGxvUjhQMi9Zb3FDUmhHTmlrREJ4SkNLaVVXUDY5T25uQUVnTEtVcWVNV1BHeGNNVkR3MC9qb25CeGNTUmlJaEdqZEJIa2tHQ0lDd2VqbGhvWk9DWUdGeE1ISW1JYURTNUlieEFFQVErbWp5emNVd01JaWFPUkVRMEtzeVlNZU5zUVJCTUVhcFNaODZjK1lNaEQ0aUdIY2ZFNEdQaVNFUkVvNElnQ0ZkMlU4MlZ0R2Nnam9uQng4U1JpSWhHQlVFUWZ0Wk45ZVZERlFlTkhCd1RnNCtKSXhFUm5mWm16WnBsQVpBVnJWNFFCT09NR1RQbURGMUVOTnc0Sms0TkpvNUVSSFRha3lScHJpUko5dUJYU0hsSFdmdTdpdWtNd1RGQlJFUkV2V0t4V0NTTHhTSU5keHcwY25CTURBN2VjU1FpSWlLaVhtSGlTRVJFUkVTOXdzU1JpSWlJaUhxRmlTTVJFUkVSOVVyTWNBZEFSRVIwQ3J3MDNBSFFpTU14TVFpRTRRNkFpSWFQeFdMWkErQ2k0WTZEL2t1U3BQOGNPSERnTzhOMWZvNkprWWRqZ3NJTjU1amdvMm82cFF3R3d3cU5SbVBwcVYxOGZQejgrUGo0QllOMVhxUFJ1RWFqMGN5S1ZxOVNxY1puWkdTc0EyQVlySE9lcHZqTFlJUVJCT0djWVE2QlkyS0U0WmlnY01NNUp2aW9lZ0F5TWpJZVNVdExXOTFUdS96OGZFR3BWRTZLVmkrWHk1dGJXbG9xQmplNi85Sm9OR2QzbDBUMXdHZTFXcC90NzdtenNyS2VyS3FxdWxjVXhmeHVtaW5NWnZQVzF0Yld5cWFtcHMvNmNScFgrMWNIazhtMHNieTgzQ2FLNGxlUkR0QnF0WmEwdExTMU1URXh4dkx5OGwvMDQ1eWp5bGRmUmZ3eDBSQ2JOYXUvLzVzT1BvNkprWUZqZ3NJTjk1aGc0amdBMWRYVm0rMTIrMThuVFpyMFZWRlIwUnl2MTFzYnJGT3IxV056Y25MZVBuejQ4R1FBeU12TEs0aldqOFBoZVBmRWlSUHpUbFdjOGZIeFY2ZW5wOS9YbjJNbFNmS0VKbzdSTmsvMSsvMU5odzRkU3VqUE9SSVRFeGNxRkFxalFxRXdXaXlXbXI0ZWYvTGt5VWVycTZ2dmlSUlc4QnVWU2pVaE5IbVdKRW53K1h5MjVPVGtXMFJSM09mMyt6c2xubzJOamJ2NkdnY1JFZEZveDhSeFlPcEZVV3dCZ0VBZzRQQjZ2UjJ2TkZLcFZFNEE4SHE5aFVEYlhjY0l4MnVtVHAxYTdIUTYzdzh0SE1qTzl0MGxjSkZpQ040MWpWUm5NcGsycGFhbXJnZ3RDeWJDZXIzK0FyUFovRXhCUWNGMy9INi9ReEFFUHdDNVVxbWNFTjVQVEV5TUlmeU9hL0RuQWtDZWtaR3hWaFRGZllXRmhaZjAva283Y1lkOWxnTkFJQkR3QlF2MGV2MmxXVmxaVDBZNjJHdzJidzh2WStKSVJFVFVGUlBIUVRKcDBxU29qMkwxZXYzbFdWbFpqOWZVMUR4a3M5bWVCeUFCUUVaR3hscVpUS2FxcmEzOVUyaDdqOGR6ckw5eCtQMStSMytQN1kxZ3dxZFdxMi94ZUR5bExTMHQvd21wVG9sMFo5Vm9OTjVwTkJydkRDMExKcXFwcWFsM3FGU3EzRysvL2ZiSFNxVXlyUi94SEVQN3p6TStQdjVpdjkvdmQ3bGNud0tBSkVtdGFyVjZYR0ppNGlKSmtyenQ1MDBFWUkvV1gzcDYrdjNwNmVucit4b0hFUkhSbVlDSjR5QXBMQ3kwaUtMWThaZzFMaTR1WjhLRUNaOENRR3RyNnlHWHkvVmxkbmIyY3dhRFlXbEZSY1h5bUppWXRMUzB0THNyS3l0L0NhQXB0SzhqUjQ1RW5RODVVdWoxK3N0YldscStEQ3UyaHQrNXRGZ3NVbFZWMWIyMXRiV1BoUGVoVkNvblpXUmtQTmpjM1B5eHorYzcwZDNqL0dqeTgvUGowRDYvVWEvWFg2dFFLREpkTHRjWEFDQUlnamMrUG42aHdXRDRWVzF0N2NOOTdadUlpSWc2WStJNFNMcTc0OWpTMGxKWlZsWjJRMzE5L2UrenNyS2VtRFJwMG44a1NXcHRiR3pjWFZkWDkvUlF4WmlTa3JJMHZFeWowY3pvcG01NnBINDBHczBzdFZvOStlVEprNXNIRUk0aUp5Zm5iNElneEpTVWxDenplcjBGVVI3bjk1ckw1ZnJjYkRadkJhQUVnRUFnNEVsTVRQeXh6V2JiVlZ0YnU3VzJ0dmJaU1pNbWZSYnR1Z0FnUHo5ZldWTlQ4L2hBNGlBaUlocXRtRGdPa29LQ2dxeVdscGJLNEdldFZqczlOemYzWUZ4YzNCWHRjeGk5b2loKzI5TFNzbCtyMWM0R0VLTlNxWEowT3QxWkxwZnI4RkRFYURhYm95YXAwZW9rU2ZLRWx5VW5KLzhNQUR3ZVQxbHc3cUxYNi8wV1FHc2Z3bW0xV3ExUFNwS2t5TTNOL2FkQ29URDI0VmdBUUg1K2ZqSUFXL0N6S0lyNzVISzVYcXZWbmcwQUtwVnFuRWFqc1ZSVVZOemNIbHRyZFhYMWFybGNudGhkWEgyOERpSWlvak1HRThjQmlJdUxPeTgyTm5ZMkFLU25wejhoazhuaWxFcGxoa0toTU1ubDhnUUFNSmxNR3lvcUtzb1RFeE52U0U1T3ZoV0FWRjVlL2d1SHcvSHArUEhqWDU0d1ljTCtxcXFxKytycTZyYWdmYTdlcVRJWWkyTUFKQ2NuSjk4RUFMbTV1UjhFQzQ4ZVBUcDI0c1NKKzJOaVlwSWo5UE93eVdUcTlLalk2L1dXSFQ1OE9Cc0FIQTdIMjVtWm1adDhQcCt6cHFabVk5akpGaVFrSk13dkt5dTcxZWZ6T2R2TEZxZW5wOThQSUJEYTF1UHhGUG45L2lhdFZqc2RBRlFxMVZpbjA3bW51Ym41VUxDTncrRjRMOHFQaDRpSWlIckF4SEVBZERyZFJmSHg4ZGZhN2ZaWHZWNXZpZGZyTFcxdGJhM3dlcjBWZ1VBZ2R2TGt5WjhYRmhhZW5aT1Q4dyt0Vmp2YmFyVnVxNnFxZWhSQVBRQVVGQlNjbTVXVnRjVmdNUHlpcnE3dXp3aTVlelpTWldSazNDNlR5YlJBUnlLcXRsZ3NMUUJ3N05peGN5Vko2alNtVWxKU3JoTkY4WkFvaXAzbUx3cUMwSEZYeitQeG5IQzVYQitiVEtZdFRxZnpuemFiTGJoWUtDa2xKZVcyMXRiV0NsRVV2d2JnQVFDZnozZXl2VDQ4MFpZT0hUcVVyVmFyRXdGc3NscXR6NHVpZUdBZzF6dVFGZTc5VkpDZm56OFZJVnNKRVJFUmpSUk1IQWVncHFabVEwMU56WWFRSWdYYTV0ZHBkRHFkc2FLaTRwYzZuZTY4eHNiR0YxMHUxeDRBYXJQWnZGNnBWSTVSS3BWakdoc2JYNjZvcUxnTmdBYUFPQnpYMEJleHNiR1pxYW1wcXdLQmdDaVR5VFRoOVI2UDUwUjRXVnBhMm0rcXFxcnV0ZHZ0cjBYcU0vaW91N0d4OGQya3BLU2ZLUlFLWTdETVpES3RrOHZsY2NYRnhXdVVTdVZZQUJBRUlTQkpVbkNiSFhtRUx1MkNJT1FDYlZzVG9UMjUxT3YxbCtYazVMelQyMnNkNkh6TEFaZzhiZG8wOWRkZmY5MDhUT2NuSWlLS2lvbmp3T2xuenB4Wkx3aUNzamVOL1g2L283VzF0Y3JyOVZhMnRyWmEyNHVISkdrYzZPSVluVTUzdFNBSXlvcUtpdVZtczNuYllNUVV2cExhWkRKTk01bE1ENFdXaFQ0U2x5VEpVMTVldnJROVByVW9kdjNSeGNiR1pnT0FRcUdJOVhqYXBtZzZISTZESlNVbGl3REFiRFp2Y3pxZGV4b2JHLzhDQVBIeDhWY2xKU1V0Q3RhSEdzb0VzdjNPcmRyaGNQQnVJeEVSalVoTUhBZk9jZno0OFVzQkJQeCt2emNtSmlZbUlTSGhlcXZWdXFPbHBhWEFZckUwZVR5ZW9oTW5UbHp1OFhqS0FYaURCeVlsSmYwNE9UbjVob2FHaGhlR0l0Q0JMbzZwcjYvZjJ0emMvRytmeitlSzFGYXRWbWRQbVRLbEpMdzgwaHpIWUVJV0tURUw3cVVZTFdsTFNrcGFDQUIrdjE4YkpZNnpBQ0F6TTNOSFlXSGhlV2g3eEgyeWZWTnZSWFoyOW91aUtINFIzT1JicVZSbUExakVUYitKaUlpNng4UnhFTGhjcnIwYWpXWm1jbkx5ejVLVGsyOEFnT2JtNW85YldscitEUUFxbFdxaTJXemVmdno0OFFVQUdqUWFUVVphV3RvVENRa0pDNXFibS8vVDBOQ3dDME93a25jd0ZzZUlvcmcvMm51MzNXNTNWZkROTWtGNWVYa0Z0YlcxVytycjY3dThuUVVBekdiejh5a3BLVCtOVkJkcGZtRitmcjdnOC9rY0FDQ1R5U0t1anRacXRiTkZVZnhLclZiblptVmwvYTZpb21KNXNFNmowZVFKZ2lCM3U5M0hJeDFMUkVSRTBURnhISUM0dUxqdkpTUWtYQmNmSHo5UHFWU09GVVh4VUZWVjFScXIxUnE4ZzZnQmdOcmEyaTNKeWNrMzVPWGxIV2hzYkh6QllERDh5dS8zTjVXV2x0NXNzOWwySUd4MThHQnJiR3g4enVsMGZ0alg0NnhXNjlOTlRVMXY5T0dRMXBCWENYYncrWHoxa2NvQm9MeTgvTjZUSjA5MjJodzhOVFYxYVdwcTZ1M2hTV2hJZjNVQW9GS3BUQURPTVp2Tmo1V1ZsZjNNN1hhWEF0RHJkTHJ2VlZWVnJRSGd6c3pNM09wME90KzMyKzJ2QTRCZXI3OEtnR1MzMi84VjdTTFMwdEx1RmtYeHNNUGhlTHVYMTAxRVJIUkdZT0k0TVBGNnZYNnV6V2I3YTFOVDA4NzJiVjlVS1NrcE42V25wLzhtdURyWTQvRWNMeXdzdkhEaXhJbnZHbzNHTlc2MysralJvMGZQQjlBNEZFRzYzZTRTQUYwZUlmZkU0L0Y4Ni9GNHZvMVdyMVFxSnlrVWlsN043WXdpQlczSnBqVzBVSklrRVFEQ3k0UEhpS0pZQlFBcWxXb1NBTDlXcTcxUUxwZnJBU0FsSldXUklBaXFwcWFtdjNzOG51TEV4TVFsWnJONXU5MXUveWNBdjhGZ1dPWjBPajhDVUJjdEtKMU9kMUZzYk96L01IRWtJaUxxakluakFEaWR6bjhjT1hMa0h3QVFHeHRyVGt0TFcyc3dHSmJMWkxMWXVycTZUVFUxTlZ1TVJ1TWFBUEI2dlFXSER4K2VOVzdjdUdjU0VoSitsSmVYZDdDK3Z2NTN0YlcxL3cvdDIvQk1uRGp4TTUxTzk5M0JpRzBvRm5YMDV4V0JvU3dXUzMxLzZ2UHo4K044UHA5TnI5ZlB0ZHZ0elFEUTNOeGNBVUJoTkJwWHVWeXVUNElKYi92Szl1OEFhTXJPenQ2aFVDaU1KU1VsMTNWMzNwaVltRFMzMi8xMS82NktpSWhvOUdMaU9BQXFsV3BpUWtMQzVYcTkvcXE0dUxnTFcxdGJxK3ZxNnA2b3JhMTlDb0Fqd2lIVzR1TGkrWHE5L3JMMDlQUUhUU2JUN3pJeU1oNXp1VndmTnpRMGJIYzRITysxdHJhV0R2Rmw5RnRZY3BvU2JjL0RTSXRqQUtDZ29DQ3pwYVdseTV0cFRDYlRuVWFqOGQ3OC9IeERsRk83WEM3WEp3a0pDZGVvVktvY3Y5OXZCOUJvTkJydlVhbFVFeW9yS3p2bVpZcWkrSlVvaWtmSGpCbnpYRkpTMG8zMTlmVmJYUzdYM3JEK1BBQVFIeCsvUUM2WHkySmpZNmZVMWRVOTJjUGxFeEVSblhHWU9BNkF3V0M0SlNVbDVaY09oK09kNHVMaWEreDIrMXZveGNiTkRvZmpYWWZEOFc1c2JPdzV5Y25KMSt2MStvdGRMdGRocjlmNzF5RUllOEM4WG05eGhQbUhUU2RPbkpqWGwzNWFXbHBxRUdGK1p5QVFDTzZ4RStsUk5RQ2dycTd1aVlTRWhHdVVTdVdZcHFhbXR3RkFxOVdlWTdmYjMyeHFhbm8vdEcxV1Z0WnZrNU9UYjdiWmJEc3JLaXBXaHZmbGREby9saVRKTTM3OCtGZUF0djBvYlRiYjYzMjVGaUlpb2pNQkU4Y0JxS3lzM0ZCWldia09RTlRObW10cWF0YUtvdmlmU0hVdExTMy9xYXlzakZnM1ZEd2V6NUdtcHFhLzkvRXdiNFRGTHEwT2grUGR3WXFySnk2WGEyOTVlZmt2VWxKU2JxNnVybjRRQUlxTGk1Y0E2TEpGVDBWRnhacm01dVlEN1hOT3U5d1ZGVVV4LzhDQkE2bHF0VHBKRUlUV2FBa3RFUkhSbVk2SjQ4QTRlMm9ROW1hWkVhZWhvZUdGb2RwSHNyZHFhbW9lcmFtcGVieW5kbGFyZFp2VmFnM2RpRnhFNU0zVUhUYWI3YmtldW5PNDNlNUkwd3VJaUlpb0hSTkhHb2xhTVFUN1doSVJFVkhmeUlZN0FDSWlJaUk2UFRCeEpDSWlJcUplWWVKSVJFUkVSTDNDeEpHSVJoMlh5NFdLaW9wZXQ2K29xSUREd2JWUkk0RW9SbHJmMXNicGRPTFZWMS90c2F3blM1WXN3ZjMzM3greDdvVVhYc0RzMmJQNzFCOE5QWnZOaHZyNmJ0OGgwVzhmZnZnaDFxOWZENysveDkzMXpraE1ISWxvV0lpaWlOTFMwbDU5bFpTVVlPL2V2UkcvcXF1cnUvVDl4aHR2NEpwcnJ1bDFMTmRjY3cxMjd0dzVtSmRIL2JCLy8zN01temNQNzd6elRzVDZob1lHUFB6d3d6MldoWEs1WExqdHR0dFFWRlRVcXhqOGZqKzhYbS92ZzZZaDE5emNqSi8rOUtkWXNtUUp5c3JLQnIzL29xSWl2UDc2NjFpL2Z2Mmc5ejBhY0ZVMUVRMkxUei85Rkd2V3JPbFYyeFVyVnVDRkY3cnVHdFhVMUlSNzc3MFhDeFlzZ05mclJYTnpNeElURXp1MThYZzg4UHY5MEdnMEFJQ3lzaktNR1RObTRCZEFneTRuSndjbWt3bjMzMzgvVHB3NGdSVXJWdUM4ODg3cmtzak5taldyeTdIaFpWOTk5UlVBb0w2K0hrVkZSYmoxMWx2eDVKTlBZdXJVcVIxdEFvRUFmRDVmcCtPQ255TWxqMHFsc244WFJvTktxOVZpOCtiTldMWnNHVzYvL1hhODlOSkwwR3E3Yk9FYmxTUkoyTE5uVDlUNmlSTW53bVF5b2Fpb0NCOTg4QUVFSWZJYmZDMFdDNUtTa3ZvYy8rbU9pU01SRFl0TEw3MFVsMTU2S1lDMnV6em5uSE1PWG4vOWRmajlmc3lmUDcvakYzL1FUVGZkMUtXUDBHVGhqanZ1Z0ZxdHh1Yk5tenUxZWVlZGQ3QjU4MmE4OTk1N3lNL1B4OHFWSzNIOTlkZGp4WW9WVEFSR21JU0VCUHp4ajMvRTh1WEw4Znp6enlNbUpnYTdkdTJDSkxYdDIxOVZWWVZmL2VwWDJMMTdkOGN4a2NwQ2pSMDdGdHUyYmNPdHQ5NktsU3RYNHMwMzMreW8yN1ZyVjVmeEVoVHBjWFg0bUtUaE0zSGlSRHoyMkdOWXRtd1pObS9lakYvLyt0ZTlQallRQ0dEMTZ0VzlhbnZQUGZkRXJYdnl5U2R4M25ubjlmcThvd1VUUnlJYUZTNjk5RktzWDcrK3k2T3JkOTk5RjdObno0WkdvOEg1NTUrUHUrKytHMXUyYk1HQkF3ZncyR09QSVQwOWZaZ2lwa2owZWoyZWV1b3AzSFBQUFZpd1lBRU1odisrc2o0bEpRVnIxNjVGZG5aMnQyWGh4bzRkaXovODRRK29yNitIeitmcm1NOTZ3UVVYSUNNam8xUGJqejc2Q0crOTlWYlVoSkpHamxtelp1R0dHMjdBODg4L2o2dXZ2aHJUcDAvdjAvRS8vdkdQc1hUcDBrNWxCUVVGMkx0M0wzNzR3eC8yK0dSQ3A5UDFPZWJSZ0lrajBTZ3dZOGFNWjJReTJhZjUrZm03QVBoNlBHQ0VLQzB0QllDT1NlaFZWVlVkM3dmclRDWVRGQXBGajMxZGZQSEYrTzF2ZjR1ZE8zZkNiRFlEQUtxcnE3Ri8vMzVzM2JxMW85M0NoUXN4ZWZKa3JGcTFDbDk4OFFWKzlLTWZEZUlWalJ3elo4NmNDOEIzNE1DQmYrRTBHaFBBZjVOSG9HMXF3WUlGQ3hBVDg5OWZWeHMzYnNTK2ZmdFFXbHFLK2ZQblE2bFU0dEZISDRVa1NXaHRiWTE0WjNEY3VISFl0MjhmMXE1ZEM0ZkRnV25UcGlFek14T1ptWm1kMmdYSDNadzVjMDdaOVEyWDAzbE1SRE41OG1RQXdKWXRXN0JqeDQ0K0hhdFNxWkNRa05DcDdLMjMzc0k3Nzd5RHE2Kyt1a3NkdFdIaVNEUUt5R1N5SlFCdXRWZ3N6MHVTbEI4SUJQNTA2TkNoUHdFWTBiUDg1OCtmMytuemJiZmQxcVZ1OSs3ZDNkNU5Db3FOamNXOGVmUFEydnJmbHc1OS9mWFhHRGR1SE00NTU1eE9iYWRPbllyWFhudXRUL09pVGtQekJFRllOWFBtVEJ1QXZ3RDRtOVBwL1BURWlST2U0UTRza3RiV1Zqend3QU9ZTUdFQ2xpeFowcEVvU3BLRVFDQ0FMNzc0QWdBNmtzVlEzZFVGQWdHOC9mYmIyTFp0RzZxcXFuRFJSUmZoMkxGakhmVU5EUTJkMmdkWGRZZVhKeVVsUlozcmRobzVyY1pFYjN6NjZhY0FnTU9IRCtQamp6L0doUmRlMktmalAvcm9JOWhzTmdCdGY4Qis4TUVITUJnTU9IcjBLSTRlUFJyMXVBVUxGdlEvNk5NY0UwZWkwVVV1Q01MWmNybjg3Smt6WjI0RjhJMU1KbnZSN1hiLzhjaVJJNjdoRGk2UzNidDN3MlF5NGR4eno4WGYvLzUzK0h5K2pqbU9vWE1ZYTJ0cmUrd3J1TmptNVpkZkJnQmNkdGxsdU9paWl6cCs0Zi83My85R2JHd3NwazJiTnRxVHhnNkNJQ1FCV0FaZ21WNnZkOHljT2ZOVlNaSjIxOVhWN2EydXJvNis5ODBRVXlnVW1EMTdOalpzMklCMzNua0h2L25OYnpCbHlwU08rdUNjdytCOHgxQm5uMzEyMUg1LytjdGY0c3N2djRURllzRkREejJFdkx3OExGbXlwS1Ara2tzdWlYaGNlUG1lUFh0R3pSMm8wMlZNOU1UcjllS1RUejZCeFdKQmRYVTFubjMyMlQ0bmpuLzYwNTlRVUZEUXFheSt2cjdibGZvQUUwY2lHb1VFUVpBQm1DNUowblNWU3ZXWXhXSXBraVRwcGZyNitxMlZsWlcyNFk0dmxOVnFCUURFeGNXaHNiRXhZcHNmL3ZDSDNmWXhiOTQ4MU5YVmRTb0xUVHkvK3VvcnZQNzY2L2pnZ3c4d2YvNTgzSDc3N1IwcnJjOGdla0VRYmhZRTRlYTB0TFRtdExTMDF3T0J3S3N0TFMxN2poMDc1aHp1NEs2NDRncWtwNmZqamp2dXdMcDE2enIrQUFDQXYvM3RiMGhLU2tKbFpTVVdMbHlJYjc3NUJ0OTg4dzBBWU4rK2ZRQWkzM0c4OGNZYnNYRGh3b2dKaFNSSnVQTEtLNkhWYW5IQkJSZDBHOXNvbnM4Mm9zZEVkL2J1M1F1SHc0SExMcnNNWHE4WG16WnR3dWVmZjk2bkJTc3Z2dmdpQU9EWXNXTzQ0WVliTUcvZVBEejQ0SU9uS3VSUmdZa2owUWdoU1pKU0VBUWtKU1cxbklJdEhnUUF1WUlnckRNWURPc01Ca05wSUJEWUpVblNpSGo4OXZISEh5TXBLUWw2dlI1MnV4MEE0SGE3dTdSYnZIaHhwd1RnMWx0djdmaCsrL2J0SFZ1cExGKytITFcxdFYxVzJqNzg4TU9ZUG4wNkhuLzhjWHorK2VkNDZxbW5rSldWZFNvdWFVQXNGa3ZYMjJxRFR3dGdzVXdtVzZ6VmF0MHpaODc4aHlSSmZ4MkM4M1pyMXF4WjJMNTlPOVJxTldReUdVd21FMTUrK1dXc1dMRUNPVGs1MkxoeEk5NS8vMzA4OU5CRE9IandZTWN2ZmdESXpNekU2NisvM3FtLzczem5PMTNPRVhxTXpXYkRuajE3c0dqUm9pN3pIVWVTTTNsTVJMTnIxeTZvMVdwY2Nza2xpSW1Kd2ZidDI3RjkrL1plSjQ3QmYvdjhmajgyYk5nQW5VNkhsU3RYZHRSdjJyUUpPM2Z1NUdyNk1Fd2NpVWFPSWNuZzJ2K3gxTW5sOGhHUk1WVlZWZUdaWjU3QjNMbHpJUWdDREFZRGREb2R2dnZkNzNacGF6YWJPOTFGZlBQTk56c2VId1ovNlI4K2ZMampzYmJOWnNPa1NaTTYzVm04N3Jyck1HWEtGUHoxcjMrRnlXUTZsWmQyMnBBa1NkYisrREp0dUdNQmdOemMzSTd2RlFvRlhubmxsWTdONEQvODhNTk9iVU1mT3djdFdyUUlkOTExRjd4ZWI1ZjI0WEp5Y3ZENTU1L2psVmRlNlhUZVNIcTY2ejJhakxReEVXNy8vdjA0ZE9nUTVzK2ZqN2k0T0FCdGYxZys5ZFJUMkxObkQrYk9uUnYxMkVBZ0FBQ1F5K1VBZ0tlZmZocEhqeDdGeG8wYnUrd0RTMTB4Y1NRYUlRUkI4QUJRMjJ5MjJOTFMwcTYzMjdwaHNWaWFBVVI5N2lxMVRReXJsU1RwalVBZ3NQYnJyNyt1YXo5dThZQ0NIZ1N2dlBJS2ZENWZ4ejZOR28wR2I3NzVKbXcyVzVmSGp1SEN0MUlCZ0pkZWVnbHl1UngrdngvcjFxM0QrUEhqc1duVHBrNTNWcWRObTRacDA2WjFPcTZob1FILyt0ZS9VRlZWaGZIangwZmNaSHFvNU9mbkQvaVBpSmt6WjI0U0JHRlZOMDFhQUh3TTRIV2Z6L2ZYYjc3NXBoRUFMQmJMN3dkNjdvSGFzV01INXMyYmg5VFVWTHo2NnF0NDdiWFg4T3RmL3hwWFhIRkZSNXVtcGlaY2ZQSEYyTEpsQzg0Ly8veE94d2YvV3p1ZFRxeGR1N1pYNXd5OUN4bk5jQ2FPWi9xWUNCVUlCTEJseXhZb0ZJcE8rN3RlZi8zMTJMVnJGNTU0NGdsODk3dmZoVnF0am5oOGNBRmRjQi9YZDk5OUZ3QnczMzMzNGI3Nzd1dlNQdEsvQldmeVhVZ21qa1NqbENSSmtpQUlsWUZBWUxmZGJuK3d0TFRVUHR3eFJiSnk1VXFvVkoyL0hLa0FBQlZGU1VSQlZLcE8reW5xOVhybzlmcGVIUi82dUwya3BBUWZmdmdoNXN5Wmc0OCsrZ2diTjI3RUxiZmNndWVlZXc3ejU4L0gwYU5IVVZOVGc1cWFHbFJYVjNkOEFXMkxkSUtQdG0rODhjWmhUUnhQRlVtU21nVkIrQ2dRQ094dWJXM2RQUklYVExXMnRuYmNBYnJra2t2dzZLT1A5cmtQbWF6dGJickp5Y2xSZjhFN25VNnNYcjBhQnc0Y2dOZnJ4VzkvKzF0Y2RORkZuZHEwdExTZ3VMZ1laNTExVnQ4djVEUnhPb3lKY0R0MzdzU3hZOGR3L2ZYWGQvcDNJelkyRnJmZGRodldyMStQcDU5K0duZmNjVWZFNDV1YW1nQ2c0OStZMjI2N0RjM056VjNhZmZqaGg5aTNieC91dmZmZVUzQVZweThtamtTamlDUkpBUURsTXBucy93bUM4T2hYWDMwMTRsZEk5blJYc1NjTEZ5N0U3YmZmanZQUFB4K2JObTNDaEFrVE1IUG1USHowMFVjNDY2eXpzSFRwVW56eXlTZkl6TXpzdUp1Z1ZDcVJucDZPOVBSMGZQLzczOGZ1M2J0eHlTV1hZUEhpeFRDWlRLUHRjWlVEd0llU0pMMVNYMS8vOThyS3lwYmhEcWc3UlVWRmFHMXR4ZFNwVS9ISUk0L2dKei81Q1hidTNJbDE2OVpoM2JwMVhkcmZlZWVkWGNyZWYvOTlKQ2NuUnozSG9VT0hzSGJ0V3JqZGJyend3Z3Q0N0xISHNISGpSdVRtNXNKa01zSHY5K09OTjk3QTAwOC9EVW1TOE1ZYmJ5QTJOblpRcjNPWW5WWmpJbFJCUVFHZWZQSkpHSTFHTEZ1MnJFdjlWVmRkaGRkZWV3MHZ2ZlFTemozMzNJaHZBQXBPWlFsdUxqOXYzcnlJNXlvdExjVytmZnZPNkJYVWtUQnhKQm9GSkVuYUd3Z0VQanAwNk5BVE9NMDI5djM5NzM4ZmRhNWhUMG1sMSt0RmNYRXhLaXNyOGRaYmIrSExMNy9FNXMyYk8rNGlBbTEzRDYrNzdqcDRQQjc4K2M5L1JrWkdCcEtUa3pzOXVnN3VGWm1YbHpjNEZ6VXlmQkVJQks1dGJXMTkrOGlSSXlONlA4OVFCdzhlQkFDY2Q5NTVPTys4OHpCdTNEanMzTGtURHp6d0FLNjg4c3FPZG5hN0hYUG56c1hqanorTzczM3ZlNzNxdTdhMkZzODg4d3plZU9NTlRKdzRFZHUzYjRmUmFNUUREenlBeFlzWFkrblNwYmp4eGh2eDBrc3ZvYkt5RWhkY2NBRVdMVm8wbXBMRzAzSk1CTlhVMUdEVnFsVWRpMWtpN1lvZ2s4bnc0SU1QNHZycnI4ZWFOV3Z3M0hQUFlkeTRjWjNhbkRoeEFrRGJ2T2hYWDMwMTZ2bUM3YUsxK2Y3M3Y5L3RIeWlqRlJOSG9sSGd3SUVEbHc5M0RQMWxNcGw2dGNGM0pQWDE5UURhN2h4czJMQUI1NTU3THViTW1kTnBHeGVaVEFhMVdnMjFXdDFsWHVOb2R1REFnY2d2Yng3aERoNDhpS1NrcEM2LzdCOTQ0QUU4OE1BRFhkcUhyb0lOQ3IvamVQejRjZnpsTDMvQlcyKzlCYmxjRGttU01HL2VQQmlOUmdCdGMyV2ZlT0lKckZpeEFvODg4Z2hNSmhOZWVlVVZqQjA3ZG5BdmJwaWRybU1DYUVzYWc3c2wzSFhYWGJCWUxGSGJabWRuWS9YcTFWaTNiaDJXTDErT1AvemhEOGpKeWVtb1AzandJSlJLSmN4bU14WXY3bm1hZDdROUhYTnljcGc0RWhFTnRlYm1aamlkUFc4WEo1Zkx1N1FyTGk0RzBQYUxZdTdjdWZqNXozOStTbUtrb1JFSUJMQi8vLzZJVytqMFpYRk1jTFZzYlcwdFZxMWFoWUtDQWlpVlNseDk5ZFg0K2M5L2prc3Z2YlJUKzZLaUlodzhlQkIvL3ZPZjhYLy85MzhvS3l2RDZ0V3JzV2pSSXZ6Z0J6L29XTFZMdytQcnI3L0dYWGZkaFlhR0J0eDAwMDFZdEdoUmo4ZGNmZlhWS0M0dXhvc3Z2b2liYnJvSnExYXR3bFZYWFFXZno0ZlBQdnNNRm9zRkdvMm0yMFV1M0k0bk1pYU9SRFNzYnJ6eHhsNjFHenQyTEhidTNBbUZRZ0cxV2cyZno0ZmR1M2NqSVNFQjJkblpXTE5tVGNlaUNEbzlGUllXd3VGdzRILys1MzhHMUU4Z0VJQk1Kb1BSYU1TVUtWTXdaODRjL09oSFAwSlNVbExIWHArRmhZVjQ1SkZIOEs5Ly9RdlYxZFZJVEV6RWpUZmVpRjI3ZG1ISGpoMTQrZVdYc1dIREJqejg4TVBJeTh2RDJXZWZqYVZMbDQ2SWZVL1BKRysrK1NiV3JWdUhRQ0NBWmN1VzllbVB3enZ1dUFOK3Z4ODdkKzdFK3ZYcjBkVFVCSjFPQjZmVGlZc3Z2dmdVUmoyNk1YRWtvbUgxM0hQUFJkMkVPL1MxYjNmZmZUY2VlT0FCL081M3Yrc29DODVQQzk1aG90UGJaNTk5QmlEeTlpZDlXUnlUbDVlSEhUdDJBUGp2YXlpRDl1L2ZENkJ0Q3hhOVhvOExMcmdBSzFldXhMbm5uZ3VnYmVIVS8vN3YvMkx4NHNYWXMyY1A5dTdkaTBPSER1SG5QLzg1azhaaE1IdjJiR1JtWm1MNTh1WDlTdmJ1dXVzdWpCOC9Idi84NXo5eDNYWFg0WW9ycmtCQ1FrTFVWMDFTejVnNEV0R3dPZi84ODVHZW5oNTFudENjT1hNNkpzRFBtalVMYjc3NTVsQ0dSME5zL3Z6NW1EMTdkcGU1aGR1MmJVTjJkdmFnekNleldDeTQvUExMY2RGRkYrSDg4ODlIVEV6a1g0TWFqUVpYWG5sbHB3VTVOUFJTVWxMdzZxdXZEdWlQdzJ1dnZSYlhYbnN0QU9BblAva0o0dVBqZS9XNlVibGN6cWNZRWZEUEo2SVJ3bUt4dEtDZkc0QVA0SndTY0dadlpqdVNCTyswRGNabXovM0ZNVEd5Y0V3TXJyWjNJZUMwdm5zODNHT0NkeHlKaUlqb2pIQTZKNHdqQmUvQkVoRVJFVkd2bkxHSm8xYXJuUXRBTWR4eEFFaWZObTJhTlQ0K3Z0dXQ2WFU2M1FYVHBrMnphclhhNlVNVldGOFlESVlWR28wbStzWmE3ZUxqNCtmM2RLMTlZVFFhMTJnMG1xanZobE9wVk9Nek1qTFdBVEFNMWptSmlJak9WR2Zrbytxa3BLU0YyZG5aZnpsNTh1UzY2dXJxMy9UMk9JMUdjM1ozU1VvUGZGYXI5ZG53d3RqWVdIbE1URXl5VENhTC9EYjJkcElrS1dOaVlwSWxTUm9KeVc0WFdWbFpUMVpWVmQwcmltSitOODBVWnJONWEydHJhMlZUVTlObi9UaU5xLzJyZzhsazJsaGVYbTRUUlRIaTVCdXRWbXRKUzB0Ykd4TVRZeXd2TC85RlA4NUpSRVJFN2M3SXhORm1zLzNOYURRZU5ocU45MXF0MXI5NnZkNGp2VGt1UGo3KzZ2VDA5UHY2YzA1SmtqeWhpYU5TcVp3RUFISzUzQWdBS3BVcVBWZ1dpVXFseWdJQWhVSXhScWxVdWdCQUVJUldqOGZ6YlgvaTZVbHdNblE0djkvZmRPalFvWVQrOUptWW1MaFFvVkFZRlFxRjBXS3gxUFQxK0pNblR6NWFYVjE5VDZTd2d0K29WS29Kb2NtOUpFbUN6K2V6SlNjbjN5S0s0ajYvMzk4cDhXeHNiTnpWMXppSWlJak9WR2RrNGdqQVYxMWRmZWY0OGVQZno4N09mcnFvcU9oQ0FCRVRwVWdpcldUS3lNaDRKQzB0YlhXa09wUEp0Q2sxTlhWRmFGbGVYbDVCMlBHUFpXUmtQTmJUdWNlUEg5L3gwa3l2MTF0MitQRGg3T0RuYU1sZWI0UW5oSWNQSDU0TUFIcTkvZ0t6MmZ4TVFVSEJkL3grdjBNUUJEOEF1VktwbkJEZVIweE1qQ0U4K2ZWNnZZWHQzOG96TWpMV2lxSzRyN0N3c0w4YmFJV3ZOSllEUUNBUTZIZzNzMTZ2dnpRcksrdkpTQWViemVidDRXVk1ISW1JaUhydlRFMGMwZFRVOUlIVmFuM2U1WEo5aHJadGlmcWRkUFZITU1HTWpZM05uRHg1Y2tWSlNja05qWTJOTDBacnI5VnFmNUNibS90QllXSGgyYUlvN28vVXh1UHhIT3R2UEg2LzN4SDZPWmp3cWRYcVd6d2VUMmxMUzh0L1FxcFR3aE5mQURBYWpYY2FqY1pPdS9FR3J6TTFOZlVPbFVxVisrMjMzLzVZcVZTbTlUVStyOWQ3RE8zL2plTGo0eS8yKy8xK2w4djFLUUJJa3RTcVZxdkhKU1ltTHBJa3lkdCsza1FBOW1qOXBhZW4zNStlbnI2K3IzRVFFUkdkeVVadDRwaVptZmw0VDIwQ2dVQ1RScU9acXRGb3RuVFR6Rk5aV2JsNkVFT0xhT3pZc1MrTUhUdjJoWUgwY2VUSWthaVB1dnRMcjlkZjN0TFM4bVZZc1RYOHpxckZZcEdxcXFydXJhMnRmU1M4RDZWU09Ta2pJK1BCNXVibWozMCszNGxJU1dkUDh2UHo0OUErdjFHdjExK3JVQ2d5WFM3WEZ3QWdDSUkzUGo1K29jRmcrRlZ0Ylcza3Q5RVRFUkhSZ0kzYXhERTFOZlgyd2VnbkVBZzBoeWVPS1NrcFM4UGJhVFNhR2QzVTliZ1N1cnE2K202YnpSYjF0Umc2blc1MmRuYjJuM29YOWVEUWFEU3oxR3IxNUpNblQyNGVRRGVLbkp5Y3Z3bUNFRk5TVXJMTTYvVVdESFRUVXBmTDliblpiTjRLUUFrQWdVREFrNWlZK0dPYnpiYXJ0cloyYTIxdDdiT1RKazM2ckx1ZmUzNSt2ckttcHFiSFB5NklpSWpvdjBadDRuZ3FkMVEzbTgxUDk3Vk9raVRQcVlyblZFbE9UdjRaQUhnOG5yTGczRVd2MS9zdGdOWStkTk5xdFZxZmxDUkprWnViKzArRlFtSHNheHo1K2ZuSkFHekJ6NklvN3BQTDVYcXRWbnMyQUtoVXFuRWFqY1pTVVZGeGMzdHNyZFhWMWF2bGNubGlkM0gxOFRxSWlJak9lS00yY1R5VkJtTnhUSVRqZTdVNFpnZ2xKeWNuM3dRQXVibTVId1FMang0OU9uYml4SW43WTJKaXVydzAxbVF5UFd3eW1UbzlLZzVkd09Od09ON096TXpjNVBQNW5EVTFOUnZEVHJZZ0lTRmhmbGxaMmEwK244L1pYclk0UFQzOWZnQ0IwTFllajZmSTcvYzNCZmUwVktsVVk1MU81NTdtNXVaRHdUWU9oK085Z2Y0QWlJaUlxTE16S25HTWpZMDlWNjFXajJ0c2JOeUp6b3RobEhGeGNaYzRuYzUvREZkc3ZWMGNNMVR4WkdSazNDNlR5YlJBUjZLc2JuK1hNbzRkTzNhdUpFbWR4azVLU3NwMW9pZ2VFa1d4MC94RlFSQTY3dXA1UEo0VExwZnJZNVBKdE1YcGRQN1Rack1GSDcwbnBhU2szTmJhMmxvaGl1TFhBRHdBNFBQNVRyYlhoeTlja2c0ZE9wU3RWcXNUQVd5eVdxM1BpNko0WUxDdVBkUkFWcW9URVJHTk5tZFM0aWlZemVZbnRGcnRPUUNjalkyTkhmTUp6V2J6MXBTVWxGdUtpNHV2dGR2dGZ6L1ZnVVJLUm5xN09HYlNwRW43UWovbjUrZkhvdXMyTlFNU0d4dWJtWnFhdWlvUUNJZ3ltVXdUWHUveGVFNkVsNldscGYybXFxcnFYcnZkL2xxa1BvT1B1aHNiRzk5TlNrcjZtVUtoTUFiTFRDYlRPcmxjSGxkY1hMeEdxVlNPQlFCQkVBS1NKQVczMlpGSDZOSXVDRUl1MExhVkVOcVRTNzFlZjFsT1RzNDd2YjNXNFhwSmZEU1NKSldXbHBieUVUb1JFWTFJWjB6aW1KU1V0RkNyMVo3amNyaytDVTBhQWFDdXJtNURZbUxpL0RGanh1eG9hV21aMWRPbTJnTmRIQlBjSXpISVlERGNhRFFhNzYycHFkblEwTkR3a2tLaFVDc1VpbXl2MTF2bTgvbGFqRWJqTHcwR3c3S3FxcW83R3hzYjN3M3JmdERuVHVwMHVxc0ZRVkJXVkZRc041dk4yd2Fqei9DVjFDYVRhWnJKWkhvb3RDejBqcW9rU1o3eTh2S2xBS0RSYU5TaUtIYnBNelkyTmhzQUZBcEZyTWZUOW1Od09Cd0hTMHBLRmdHQTJXemU1blE2OXpRMk52NEZBT0xqNDY5S1NrcGFGS3p2alpHV1dCSVJFUTJuTXlWeDFKdE1wczJTSlBtcXFxcCtGVjdwZHJ2THlzcktiaGszYnR6ZnhvNGR1N3V3c0hBMmdKWm9uUTEwY1V6SXB0aElUVTFkYmpRYVZ6YzBOTHhRVTFPekZnRGtjdm01NDhhTmUrMzQ4ZVBmRTBYeFFFVkZ4ZTBxbFdwU1JrYkdvMzYvdjlscXRYYlp5SG93MWRmWGIyMXVidjYzeitkelJhcFhxOVhaVTZaTUtRa3ZqelRITVpoNFJVckFnbnNwUmt2T2twS1NGZ0tBMysvWFJvbmpMQURJek16Y1VWaFllQjdha3VpVDdadDZLN0t6czE4VVJmR0w0Q2JmU3FVeUc4QWlidnBOUkVUVVAyZEU0cGlWbGZXUVFxRXduVHg1OHBIUUJSU2g3SGI3YTFhcmRWdEtTc3F0WThhTTJWcFdWblp6dFA0R2FYR014bXcyL3k0bEplVld1OTIrdTd2ekFmQ2RPSEhpNnR6YzNQZk1adk0ydlY0L3I3cTYrZzYzMjEzV3pURURJb3JpL21pdlFIUzczVlhoZDAzejh2SUthbXRydDlUWDEwZE1hczFtOC9NcEtTay9qVlFYNmRGOWZuNis0UFA1SEFBZ2s4a2lybzdXYXJXelJWSDhTcTFXNTJabFpmMnVvcUppZWJCT285SGtDWUlnZDd2ZHg2TmZKUkVSRWZYRnFFOGM0K1BqTHpFWURNczlIazlSZFhYMWc5MjFMUzh2dnpNdUx1Nmk1T1RrbTV4TzUzczJtKzB2b2ZXTmpZM1BPWjNPRC9zYWc5VnFmYnFwcWVtTjRPZmdhL0ZVS3RXRTJ0cmF6VWFqY1pYRll1a3lyMjNDaEFtZmhuNzJlcjBWdGJXMUQ2V21wcTZLaTR1YjE5alkrR0o1ZWZuL29aczNwSndpcmFGM1RZTjhQbDk5cEhJQUtDOHZ2L2ZreVpPZE5nZFBUVTFkbXBxYWVudDRFaHJTWHgwQXFGUXFFNEJ6ekdielkyVmxaVDl6dTkybEFQUTZuZTU3VlZWVmF3QzRNek16dHpxZHp2ZnRkdnZyQUtEWDY2OENJTm50OW45RnU0aTB0TFM3UlZFODdIQTQzdTdsZFJNUkVaM1JSbnZpbURabXpKZ1hKRW55bDVTVUxFSFBpMGlheTh2TGI1b3dZY0xIV1ZsWno0aWkrR1hvWFQyMzIxMENvTXNqMnA1NFBKNXZRK1pOcWd3R3czS1pUQlpYWEZ4OGpkMXUvM3Q5ZmYyem9lMTFPdDMwN096c1hTVWxKWXVibTV2emcrVXltY3pyZHJ1TEd4b2F0aHNNaHJ2YUg5VjJlbFhncWFCVUtpY3BGQXJsQUxwSVFWdXlhUTB0bENSSkJJRHc4dUF4b2loV0FZQktwWm9Fd0svVmFpK1V5K1Y2QUVoSlNWa2tDSUtxcWFucDd4NlBwemd4TVhHSjJXemVicmZiL3duQWJ6QVlsam1kem84QTFFVUxTcWZUWFJRYkcvcy9UQnlKaUloNlp6UW5qcXFKRXllK0VoTVRrMXBUVTNPL0tJcjdlajRFY0RxZG45WFgxLy9lWURDc05Kdk5MeFVWRlYwSXdEK0ljWG0rL2ZiYkh3SFFBV2dDT3M5NUJJQ1dscFlFQVBENWZPV1I3dUM1M2U3U2lvcUtqa2ZmRXlkTy9FeW4wMzEzTUlLTDlLaTlQNjhJREdXeFdPcjdVNStmbngvbjgvbHNlcjErcnQxdWJ3YUE1dWJtQ2dBS285RzR5dVZ5ZlJKTXlDc3FLbjZwMCttK0E2QXBPenQ3aDBLaE1KYVVsRnpYM1hsalltTFMzRzczMS8yN0tpSWlvalBQcUUwY3M3T3ovNlRUNmM1M09wMGYxdFRVOU9uOXhSVVZGZmZwOWZxcmREcmRkMU5UVTFmVzFkVU41SlY3a2ZnblRKaXdPeTR1Ym01M2pjSWZWWWNMSm5rT2grTzkxdGJXMGtHTUwrSjUycVZFMjlzdzB1SVlBQ2dvS01oc2FXbnBzdnJiWkRMZGFUUWE3ODNQenpkRU9iWEw1WEo5a3BDUWNJMUtwY3J4Ky8xMkFJMUdvL0VlbFVvMW9iS3lzaU41RmtYeEsxRVVqNDRaTSthNXBLU2tHK3ZyNjdlNlhLNjlZZjE1QUNBK1BuNkJYQzZYeGNiR1RxbXJxM3V5aDhzbklpS2lkcU0yY1JSRk1WK3IxWjUzL1BqeFJRaDc4MGh2RGk4dExiM1ZhRFF1cmF1cmU3Ym41bjFYV1ZsNVU3VFZ3bjExOHVUSjlZUFJUeml2MTFzY1lmNWgwNGtUSitiMXBaK1dscFlhUlBodkVBZ0VnbnZzUkhwVURRQ29xNnQ3SWlFaDRScWxVam1tcWFucGJRRFFhclhuMk8zMk41dWFtdDRQYlp1VmxmWGI1T1RrbTIwMjI4Nktpb3FWNFgwNW5jNlBKVW55akI4Ly9oV2diVDlLbTgzMmVsK3VoWWlJNkV3MmFoUEh1cnE2elhWMWRYOEUwTnlmNDV1Ym0vY1VGeGZ2NlcxN2o4ZHpwS21wcWRlYmg3ZTB0RlQwSjY0aDVvM3dxTHpWNFhDRTd5VjV5cmhjcnIzbDVlVy9TRWxKdVRtNHVLbTR1SGdKZ0M1SmQwVkZ4WnJtNXVZRDdXK2s2WEpYVkJURi9BTUhEcVNxMWVva1FSQmFveVcwUkVSRUZObW9UUnpiOVN0cDdJK0dob1lYR2hvYWVuenpDLzFYVFUzTm96VTFOWS8zMU01cXRXNnpXcTJoRzVHTDdWL2hIRGFiN2JrZXVuTzQzZTVUdnFDSWlJaG9OQnJ0aVNPTmJLM3RYelRNWnMyYU5kd2gwQWpETVVIaE9DWUlBR1RESFFBUkRSOUprdjR6M0RGUUY0ZUg4K1FjRXlNU3h3U0ZHOVl4UV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UGovZkdzYWJMVUFid1FBQUFBQVNVVk9SSzVDWUlJPSIsCgkiVGhlbWUiIDogIiIsCgkiVHlwZSIgOiAiZmxvdyIsCgkiVmVyc2lvbiIgOiAiO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130</Pages>
  <Words>9157</Words>
  <Characters>9649</Characters>
  <Lines>13</Lines>
  <Paragraphs>3</Paragraphs>
  <TotalTime>2</TotalTime>
  <ScaleCrop>false</ScaleCrop>
  <LinksUpToDate>false</LinksUpToDate>
  <CharactersWithSpaces>9737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Mr. °Chen</cp:lastModifiedBy>
  <cp:lastPrinted>2020-12-29T02:43:00Z</cp:lastPrinted>
  <dcterms:modified xsi:type="dcterms:W3CDTF">2025-11-20T08:44:27Z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CECBA2D639FE40BD9B84B8717B42273C_13</vt:lpwstr>
  </property>
  <property fmtid="{D5CDD505-2E9C-101B-9397-08002B2CF9AE}" pid="4" name="KSOTemplateDocerSaveRecord">
    <vt:lpwstr>eyJoZGlkIjoiNTM1MDZkZGU0NDQyOGQxYjdlMWJhMzhjZjA5ODljNjIiLCJ1c2VySWQiOiIyODI0NzgwMTUifQ==</vt:lpwstr>
  </property>
</Properties>
</file>