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BE3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0"/>
          <w:rFonts w:hint="eastAsia" w:ascii="宋体" w:hAnsi="宋体" w:eastAsia="宋体" w:cs="宋体"/>
          <w:szCs w:val="24"/>
          <w:lang w:val="en-US" w:eastAsia="zh-CN" w:bidi="ar-SA"/>
        </w:rPr>
      </w:pPr>
      <w:r>
        <w:rPr>
          <w:rStyle w:val="10"/>
          <w:rFonts w:hint="eastAsia" w:ascii="宋体" w:hAnsi="宋体" w:eastAsia="宋体" w:cs="宋体"/>
          <w:szCs w:val="24"/>
          <w:lang w:val="en-US" w:eastAsia="zh-CN" w:bidi="ar-SA"/>
        </w:rPr>
        <w:t>关于庐山风景名胜区登山索道下站静态交通设施项目环境影响报告表的批复</w:t>
      </w:r>
    </w:p>
    <w:p w14:paraId="0ED44C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0"/>
          <w:rFonts w:hint="eastAsia" w:ascii="宋体" w:hAnsi="宋体" w:eastAsia="宋体" w:cs="宋体"/>
          <w:szCs w:val="24"/>
          <w:lang w:val="en-US" w:eastAsia="zh-CN" w:bidi="ar-SA"/>
        </w:rPr>
      </w:pPr>
    </w:p>
    <w:p w14:paraId="05A84C9F">
      <w:pPr>
        <w:keepNext w:val="0"/>
        <w:keepLines w:val="0"/>
        <w:widowControl w:val="0"/>
        <w:suppressLineNumbers w:val="0"/>
        <w:spacing w:before="0" w:beforeAutospacing="0" w:after="0" w:afterAutospacing="0" w:line="580" w:lineRule="exact"/>
        <w:ind w:right="0"/>
        <w:jc w:val="center"/>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九庐环审〔202</w:t>
      </w:r>
      <w:r>
        <w:rPr>
          <w:rFonts w:hint="default" w:ascii="仿宋_GB2312" w:hAnsi="仿宋_GB2312" w:eastAsia="仿宋_GB2312" w:cs="仿宋_GB2312"/>
          <w:kern w:val="2"/>
          <w:sz w:val="32"/>
          <w:szCs w:val="32"/>
          <w:lang w:val="en-US" w:eastAsia="zh-CN" w:bidi="ar"/>
        </w:rPr>
        <w:t>4</w:t>
      </w:r>
      <w:r>
        <w:rPr>
          <w:rFonts w:hint="eastAsia" w:ascii="仿宋_GB2312" w:hAnsi="仿宋_GB2312" w:eastAsia="仿宋_GB2312" w:cs="仿宋_GB2312"/>
          <w:kern w:val="2"/>
          <w:sz w:val="32"/>
          <w:szCs w:val="32"/>
          <w:lang w:val="en-US" w:eastAsia="zh-CN" w:bidi="ar"/>
        </w:rPr>
        <w:t>〕15号</w:t>
      </w:r>
    </w:p>
    <w:p w14:paraId="0BD9F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kern w:val="2"/>
          <w:sz w:val="32"/>
          <w:szCs w:val="32"/>
          <w:lang w:val="en-US" w:eastAsia="zh-CN" w:bidi="ar"/>
        </w:rPr>
      </w:pPr>
    </w:p>
    <w:p w14:paraId="2D969D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九江市庐山交通索道经营管理有限责任公司：</w:t>
      </w:r>
    </w:p>
    <w:p w14:paraId="2746B1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你公司报来的《庐山风景名胜区登山索道下站静态交通设施项目环境影响报告表》（以下简称《报告表》）收悉，现批复如下：</w:t>
      </w:r>
    </w:p>
    <w:p w14:paraId="350C99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一、项目基本情况及批复要求</w:t>
      </w:r>
    </w:p>
    <w:p w14:paraId="5D438D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default" w:ascii="仿宋_GB2312" w:hAnsi="仿宋_GB2312" w:eastAsia="仿宋_GB2312" w:cs="仿宋_GB2312"/>
          <w:color w:val="auto"/>
          <w:kern w:val="2"/>
          <w:sz w:val="32"/>
          <w:szCs w:val="32"/>
          <w:shd w:val="clear" w:color="auto" w:fill="auto"/>
          <w:lang w:val="en-US" w:eastAsia="zh-CN" w:bidi="ar-SA"/>
        </w:rPr>
        <w:t>本项目选址位</w:t>
      </w:r>
      <w:r>
        <w:rPr>
          <w:rFonts w:hint="eastAsia" w:ascii="仿宋_GB2312" w:hAnsi="仿宋_GB2312" w:eastAsia="仿宋_GB2312" w:cs="仿宋_GB2312"/>
          <w:color w:val="auto"/>
          <w:kern w:val="2"/>
          <w:sz w:val="32"/>
          <w:szCs w:val="32"/>
          <w:shd w:val="clear" w:color="auto" w:fill="auto"/>
          <w:lang w:val="en-US" w:eastAsia="zh-CN" w:bidi="ar-SA"/>
        </w:rPr>
        <w:t>于庐山风景名胜区庐山交通索道下站房以北</w:t>
      </w:r>
      <w:r>
        <w:rPr>
          <w:rFonts w:hint="default" w:ascii="仿宋_GB2312" w:hAnsi="仿宋_GB2312" w:eastAsia="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auto"/>
          <w:kern w:val="2"/>
          <w:sz w:val="32"/>
          <w:szCs w:val="32"/>
          <w:shd w:val="clear" w:color="auto" w:fill="auto"/>
          <w:lang w:val="en-US" w:eastAsia="zh-CN" w:bidi="ar-SA"/>
        </w:rPr>
        <w:t>占地面积25400m2，</w:t>
      </w:r>
      <w:r>
        <w:rPr>
          <w:rFonts w:hint="default" w:ascii="仿宋_GB2312" w:hAnsi="仿宋_GB2312" w:eastAsia="仿宋_GB2312" w:cs="仿宋_GB2312"/>
          <w:color w:val="auto"/>
          <w:kern w:val="2"/>
          <w:sz w:val="32"/>
          <w:szCs w:val="32"/>
          <w:shd w:val="clear" w:color="auto" w:fill="auto"/>
          <w:lang w:val="en-US" w:eastAsia="zh-CN" w:bidi="ar-SA"/>
        </w:rPr>
        <w:t>中心地理坐标东经</w:t>
      </w:r>
      <w:r>
        <w:rPr>
          <w:rFonts w:hint="eastAsia" w:ascii="仿宋_GB2312" w:hAnsi="仿宋_GB2312" w:eastAsia="仿宋_GB2312" w:cs="仿宋_GB2312"/>
          <w:color w:val="auto"/>
          <w:kern w:val="2"/>
          <w:sz w:val="32"/>
          <w:szCs w:val="32"/>
          <w:shd w:val="clear" w:color="auto" w:fill="auto"/>
          <w:lang w:val="en-US" w:eastAsia="zh-CN" w:bidi="ar-SA"/>
        </w:rPr>
        <w:t>：</w:t>
      </w:r>
      <w:r>
        <w:rPr>
          <w:rFonts w:hint="default" w:ascii="Times New Roman" w:hAnsi="Times New Roman" w:eastAsia="仿宋" w:cs="仿宋"/>
          <w:color w:val="auto"/>
          <w:sz w:val="32"/>
          <w:szCs w:val="32"/>
          <w:lang w:val="en-US" w:eastAsia="zh-CN"/>
        </w:rPr>
        <w:t>115°57′1.602″</w:t>
      </w:r>
      <w:r>
        <w:rPr>
          <w:rFonts w:hint="default" w:ascii="仿宋_GB2312" w:hAnsi="仿宋_GB2312" w:eastAsia="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auto"/>
          <w:kern w:val="2"/>
          <w:sz w:val="32"/>
          <w:szCs w:val="32"/>
          <w:shd w:val="clear" w:color="auto" w:fill="auto"/>
          <w:lang w:val="en-US" w:eastAsia="zh-CN" w:bidi="ar-SA"/>
        </w:rPr>
        <w:t>北纬</w:t>
      </w:r>
      <w:r>
        <w:rPr>
          <w:rFonts w:hint="default" w:ascii="Times New Roman" w:hAnsi="Times New Roman" w:eastAsia="仿宋" w:cs="仿宋"/>
          <w:color w:val="auto"/>
          <w:sz w:val="32"/>
          <w:szCs w:val="32"/>
          <w:lang w:val="en-US" w:eastAsia="zh-CN"/>
        </w:rPr>
        <w:t>29°35′38.197″</w:t>
      </w:r>
      <w:r>
        <w:rPr>
          <w:rFonts w:hint="eastAsia" w:ascii="仿宋_GB2312" w:hAnsi="仿宋_GB2312" w:eastAsia="仿宋_GB2312" w:cs="仿宋_GB2312"/>
          <w:color w:val="auto"/>
          <w:kern w:val="2"/>
          <w:sz w:val="32"/>
          <w:szCs w:val="32"/>
          <w:shd w:val="clear" w:color="auto" w:fill="auto"/>
          <w:lang w:val="en-US" w:eastAsia="zh-CN" w:bidi="ar-SA"/>
        </w:rPr>
        <w:t>，本项目总建筑面积45540.23m</w:t>
      </w:r>
      <w:r>
        <w:rPr>
          <w:rFonts w:hint="eastAsia" w:ascii="仿宋_GB2312" w:hAnsi="仿宋_GB2312" w:eastAsia="仿宋_GB2312" w:cs="仿宋_GB2312"/>
          <w:color w:val="auto"/>
          <w:kern w:val="2"/>
          <w:sz w:val="32"/>
          <w:szCs w:val="32"/>
          <w:shd w:val="clear" w:color="auto" w:fill="auto"/>
          <w:vertAlign w:val="superscript"/>
          <w:lang w:val="en-US" w:eastAsia="zh-CN" w:bidi="ar-SA"/>
        </w:rPr>
        <w:t>2</w:t>
      </w:r>
      <w:r>
        <w:rPr>
          <w:rFonts w:hint="eastAsia" w:ascii="仿宋_GB2312" w:hAnsi="仿宋_GB2312" w:eastAsia="仿宋_GB2312" w:cs="仿宋_GB2312"/>
          <w:color w:val="auto"/>
          <w:kern w:val="2"/>
          <w:sz w:val="32"/>
          <w:szCs w:val="32"/>
          <w:shd w:val="clear" w:color="auto" w:fill="auto"/>
          <w:lang w:val="en-US" w:eastAsia="zh-CN" w:bidi="ar-SA"/>
        </w:rPr>
        <w:t>，其中计容建筑面积7642.58m</w:t>
      </w:r>
      <w:r>
        <w:rPr>
          <w:rFonts w:hint="eastAsia" w:ascii="仿宋_GB2312" w:hAnsi="仿宋_GB2312" w:eastAsia="仿宋_GB2312" w:cs="仿宋_GB2312"/>
          <w:color w:val="auto"/>
          <w:kern w:val="2"/>
          <w:sz w:val="32"/>
          <w:szCs w:val="32"/>
          <w:shd w:val="clear" w:color="auto" w:fill="auto"/>
          <w:vertAlign w:val="superscript"/>
          <w:lang w:val="en-US" w:eastAsia="zh-CN" w:bidi="ar-SA"/>
        </w:rPr>
        <w:t>2</w:t>
      </w:r>
      <w:r>
        <w:rPr>
          <w:rFonts w:hint="eastAsia" w:ascii="仿宋_GB2312" w:hAnsi="仿宋_GB2312" w:eastAsia="仿宋_GB2312" w:cs="仿宋_GB2312"/>
          <w:color w:val="auto"/>
          <w:kern w:val="2"/>
          <w:sz w:val="32"/>
          <w:szCs w:val="32"/>
          <w:shd w:val="clear" w:color="auto" w:fill="auto"/>
          <w:lang w:val="en-US" w:eastAsia="zh-CN" w:bidi="ar-SA"/>
        </w:rPr>
        <w:t>，主要建设内容包括主体工程、辅助工程、公用工程</w:t>
      </w:r>
      <w:bookmarkStart w:id="0" w:name="_GoBack"/>
      <w:bookmarkEnd w:id="0"/>
      <w:r>
        <w:rPr>
          <w:rFonts w:hint="eastAsia" w:ascii="仿宋_GB2312" w:hAnsi="仿宋_GB2312" w:eastAsia="仿宋_GB2312" w:cs="仿宋_GB2312"/>
          <w:color w:val="auto"/>
          <w:kern w:val="2"/>
          <w:sz w:val="32"/>
          <w:szCs w:val="32"/>
          <w:shd w:val="clear" w:color="auto" w:fill="auto"/>
          <w:lang w:val="en-US" w:eastAsia="zh-CN" w:bidi="ar-SA"/>
        </w:rPr>
        <w:t>以及配套环保工程。项目规划机动车停车位1066个（地上18个、地下1048个），同时架设充电桩213根。项目总投资25000万元，其中环保投资195万元，占比0.78%。</w:t>
      </w:r>
    </w:p>
    <w:p w14:paraId="5FB342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你</w:t>
      </w:r>
      <w:r>
        <w:rPr>
          <w:rFonts w:hint="eastAsia" w:ascii="仿宋_GB2312" w:hAnsi="仿宋_GB2312" w:eastAsia="仿宋_GB2312" w:cs="仿宋_GB2312"/>
          <w:kern w:val="2"/>
          <w:sz w:val="32"/>
          <w:szCs w:val="32"/>
          <w:lang w:val="en-US" w:eastAsia="zh-CN" w:bidi="ar"/>
        </w:rPr>
        <w:t>公司</w:t>
      </w:r>
      <w:r>
        <w:rPr>
          <w:rFonts w:hint="default" w:ascii="仿宋_GB2312" w:hAnsi="仿宋_GB2312" w:eastAsia="仿宋_GB2312" w:cs="仿宋_GB2312"/>
          <w:kern w:val="2"/>
          <w:sz w:val="32"/>
          <w:szCs w:val="32"/>
          <w:lang w:val="en-US" w:eastAsia="zh-CN" w:bidi="ar"/>
        </w:rPr>
        <w:t>应全面落实</w:t>
      </w:r>
      <w:r>
        <w:rPr>
          <w:rFonts w:hint="eastAsia" w:ascii="仿宋_GB2312" w:hAnsi="仿宋_GB2312" w:eastAsia="仿宋_GB2312" w:cs="仿宋_GB2312"/>
          <w:kern w:val="2"/>
          <w:sz w:val="32"/>
          <w:szCs w:val="32"/>
          <w:lang w:val="en-US" w:eastAsia="zh-CN" w:bidi="ar"/>
        </w:rPr>
        <w:t>《报告表》</w:t>
      </w:r>
      <w:r>
        <w:rPr>
          <w:rFonts w:hint="default" w:ascii="仿宋_GB2312" w:hAnsi="仿宋_GB2312" w:eastAsia="仿宋_GB2312" w:cs="仿宋_GB2312"/>
          <w:kern w:val="2"/>
          <w:sz w:val="32"/>
          <w:szCs w:val="32"/>
          <w:lang w:val="en-US" w:eastAsia="zh-CN" w:bidi="ar"/>
        </w:rPr>
        <w:t>提出的各项污染防治和环境风险防范措施，缓解和控制对环境的不利影响</w:t>
      </w:r>
      <w:r>
        <w:rPr>
          <w:rFonts w:hint="eastAsia" w:ascii="仿宋_GB2312" w:hAnsi="仿宋_GB2312" w:eastAsia="仿宋_GB2312" w:cs="仿宋_GB2312"/>
          <w:kern w:val="2"/>
          <w:sz w:val="32"/>
          <w:szCs w:val="32"/>
          <w:lang w:val="en-US" w:eastAsia="zh-CN" w:bidi="ar"/>
        </w:rPr>
        <w:t>。经局班子会研究决定，</w:t>
      </w:r>
      <w:r>
        <w:rPr>
          <w:rFonts w:hint="default" w:ascii="仿宋_GB2312" w:hAnsi="仿宋_GB2312" w:eastAsia="仿宋_GB2312" w:cs="仿宋_GB2312"/>
          <w:kern w:val="2"/>
          <w:sz w:val="32"/>
          <w:szCs w:val="32"/>
          <w:lang w:val="en-US" w:eastAsia="zh-CN" w:bidi="ar"/>
        </w:rPr>
        <w:t>同意</w:t>
      </w:r>
      <w:r>
        <w:rPr>
          <w:rFonts w:hint="eastAsia" w:ascii="仿宋_GB2312" w:hAnsi="仿宋_GB2312" w:eastAsia="仿宋_GB2312" w:cs="仿宋_GB2312"/>
          <w:kern w:val="2"/>
          <w:sz w:val="32"/>
          <w:szCs w:val="32"/>
          <w:lang w:val="en-US" w:eastAsia="zh-CN" w:bidi="ar"/>
        </w:rPr>
        <w:t>《报告表》的环境影响评价总体结论和各项环境保护措施。</w:t>
      </w:r>
    </w:p>
    <w:p w14:paraId="1D7707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二、污染防治措施及要求</w:t>
      </w:r>
    </w:p>
    <w:p w14:paraId="0A598E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工程在建设和运营过程中必须严格落实《报告表》提出的各项环保措施和要求，并重点做好以下几项工作：</w:t>
      </w:r>
    </w:p>
    <w:p w14:paraId="21358E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（一）生态环境保护</w:t>
      </w:r>
    </w:p>
    <w:p w14:paraId="5F6375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zh-CN" w:eastAsia="zh-CN" w:bidi="ar"/>
        </w:rPr>
      </w:pPr>
      <w:r>
        <w:rPr>
          <w:rFonts w:hint="default" w:ascii="仿宋_GB2312" w:hAnsi="仿宋_GB2312" w:eastAsia="仿宋_GB2312" w:cs="仿宋_GB2312"/>
          <w:kern w:val="2"/>
          <w:sz w:val="32"/>
          <w:szCs w:val="32"/>
          <w:lang w:val="zh-CN" w:eastAsia="zh-CN" w:bidi="ar"/>
        </w:rPr>
        <w:t>合理安排施工计划、施工程序，</w:t>
      </w:r>
      <w:r>
        <w:rPr>
          <w:rFonts w:hint="eastAsia" w:ascii="仿宋_GB2312" w:hAnsi="仿宋_GB2312" w:eastAsia="仿宋_GB2312" w:cs="仿宋_GB2312"/>
          <w:kern w:val="2"/>
          <w:sz w:val="32"/>
          <w:szCs w:val="32"/>
          <w:lang w:val="zh-CN" w:eastAsia="zh-CN" w:bidi="ar"/>
        </w:rPr>
        <w:t>尽可能避开暴雨季节进行大规模土石方开挖与回填；对原有道路及道路两侧绿化进行保护，并加强绿化植被的养护；施工结束后，尽快进行土地整治、覆土植被，避免</w:t>
      </w:r>
      <w:r>
        <w:rPr>
          <w:rFonts w:hint="eastAsia" w:ascii="仿宋_GB2312" w:hAnsi="仿宋_GB2312" w:eastAsia="仿宋_GB2312" w:cs="仿宋_GB2312"/>
          <w:kern w:val="2"/>
          <w:sz w:val="32"/>
          <w:szCs w:val="32"/>
          <w:lang w:val="en-US" w:eastAsia="zh-CN" w:bidi="ar"/>
        </w:rPr>
        <w:t>造成</w:t>
      </w:r>
      <w:r>
        <w:rPr>
          <w:rFonts w:hint="eastAsia" w:ascii="仿宋_GB2312" w:hAnsi="仿宋_GB2312" w:eastAsia="仿宋_GB2312" w:cs="仿宋_GB2312"/>
          <w:kern w:val="2"/>
          <w:sz w:val="32"/>
          <w:szCs w:val="32"/>
          <w:lang w:val="zh-CN" w:eastAsia="zh-CN" w:bidi="ar"/>
        </w:rPr>
        <w:t>水土流失。</w:t>
      </w:r>
    </w:p>
    <w:p w14:paraId="4A3A10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（二）废水污染防治</w:t>
      </w:r>
    </w:p>
    <w:p w14:paraId="615AAE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按照“雨污分流、清污分流”原则，严格落实废水污染防治措施。</w:t>
      </w:r>
      <w:r>
        <w:rPr>
          <w:rFonts w:hint="default" w:ascii="仿宋_GB2312" w:hAnsi="仿宋_GB2312" w:eastAsia="仿宋_GB2312" w:cs="仿宋_GB2312"/>
          <w:kern w:val="2"/>
          <w:sz w:val="32"/>
          <w:szCs w:val="32"/>
          <w:lang w:val="en-US" w:eastAsia="zh-CN" w:bidi="ar"/>
        </w:rPr>
        <w:t>本项目施工废水主要为</w:t>
      </w:r>
      <w:r>
        <w:rPr>
          <w:rFonts w:hint="eastAsia" w:ascii="仿宋_GB2312" w:hAnsi="仿宋_GB2312" w:eastAsia="仿宋_GB2312" w:cs="仿宋_GB2312"/>
          <w:kern w:val="2"/>
          <w:sz w:val="32"/>
          <w:szCs w:val="32"/>
          <w:lang w:val="en-US" w:eastAsia="zh-CN" w:bidi="ar"/>
        </w:rPr>
        <w:t>临时基坑废水、运输车辆及施工机械冲洗废水、生活污水</w:t>
      </w:r>
      <w:r>
        <w:rPr>
          <w:rFonts w:hint="default" w:ascii="仿宋_GB2312" w:hAnsi="仿宋_GB2312" w:eastAsia="仿宋_GB2312" w:cs="仿宋_GB2312"/>
          <w:kern w:val="2"/>
          <w:sz w:val="32"/>
          <w:szCs w:val="32"/>
          <w:lang w:val="en-US" w:eastAsia="zh-CN" w:bidi="ar"/>
        </w:rPr>
        <w:t>等。</w:t>
      </w:r>
      <w:r>
        <w:rPr>
          <w:rFonts w:hint="default" w:ascii="仿宋_GB2312" w:hAnsi="仿宋_GB2312" w:eastAsia="仿宋_GB2312" w:cs="仿宋_GB2312"/>
          <w:kern w:val="2"/>
          <w:sz w:val="32"/>
          <w:szCs w:val="32"/>
          <w:lang w:val="zh-CN" w:eastAsia="zh-CN" w:bidi="ar"/>
        </w:rPr>
        <w:t>基坑废水经沉淀池处理后回用</w:t>
      </w:r>
      <w:r>
        <w:rPr>
          <w:rFonts w:hint="eastAsia" w:ascii="仿宋_GB2312" w:hAnsi="仿宋_GB2312" w:eastAsia="仿宋_GB2312" w:cs="仿宋_GB2312"/>
          <w:kern w:val="2"/>
          <w:sz w:val="32"/>
          <w:szCs w:val="32"/>
          <w:lang w:val="zh-CN" w:eastAsia="zh-CN" w:bidi="ar"/>
        </w:rPr>
        <w:t>，</w:t>
      </w:r>
      <w:r>
        <w:rPr>
          <w:rFonts w:hint="eastAsia" w:ascii="仿宋_GB2312" w:hAnsi="仿宋_GB2312" w:eastAsia="仿宋_GB2312" w:cs="仿宋_GB2312"/>
          <w:kern w:val="2"/>
          <w:sz w:val="32"/>
          <w:szCs w:val="32"/>
          <w:lang w:val="en-US" w:eastAsia="zh-CN" w:bidi="ar"/>
        </w:rPr>
        <w:t>不外排；</w:t>
      </w:r>
      <w:r>
        <w:rPr>
          <w:rFonts w:hint="default" w:ascii="仿宋_GB2312" w:hAnsi="仿宋_GB2312" w:eastAsia="仿宋_GB2312" w:cs="仿宋_GB2312"/>
          <w:kern w:val="2"/>
          <w:sz w:val="32"/>
          <w:szCs w:val="32"/>
          <w:lang w:val="zh-CN" w:eastAsia="zh-CN" w:bidi="ar"/>
        </w:rPr>
        <w:t>车辆机械冲洗废水经</w:t>
      </w:r>
      <w:r>
        <w:rPr>
          <w:rFonts w:hint="default" w:ascii="仿宋_GB2312" w:hAnsi="仿宋_GB2312" w:eastAsia="仿宋_GB2312" w:cs="仿宋_GB2312"/>
          <w:kern w:val="2"/>
          <w:sz w:val="32"/>
          <w:szCs w:val="32"/>
          <w:lang w:val="en-US" w:eastAsia="zh-CN" w:bidi="ar"/>
        </w:rPr>
        <w:t>集油坑+吸附过滤池+清水池</w:t>
      </w:r>
      <w:r>
        <w:rPr>
          <w:rFonts w:hint="default" w:ascii="仿宋_GB2312" w:hAnsi="仿宋_GB2312" w:eastAsia="仿宋_GB2312" w:cs="仿宋_GB2312"/>
          <w:kern w:val="2"/>
          <w:sz w:val="32"/>
          <w:szCs w:val="32"/>
          <w:lang w:val="zh-CN" w:eastAsia="zh-CN" w:bidi="ar"/>
        </w:rPr>
        <w:t>处理后回用</w:t>
      </w:r>
      <w:r>
        <w:rPr>
          <w:rFonts w:hint="eastAsia" w:ascii="仿宋_GB2312" w:hAnsi="仿宋_GB2312" w:eastAsia="仿宋_GB2312" w:cs="仿宋_GB2312"/>
          <w:kern w:val="2"/>
          <w:sz w:val="32"/>
          <w:szCs w:val="32"/>
          <w:lang w:val="zh-CN" w:eastAsia="zh-CN" w:bidi="ar"/>
        </w:rPr>
        <w:t>，</w:t>
      </w:r>
      <w:r>
        <w:rPr>
          <w:rFonts w:hint="eastAsia" w:ascii="仿宋_GB2312" w:hAnsi="仿宋_GB2312" w:eastAsia="仿宋_GB2312" w:cs="仿宋_GB2312"/>
          <w:kern w:val="2"/>
          <w:sz w:val="32"/>
          <w:szCs w:val="32"/>
          <w:lang w:val="en-US" w:eastAsia="zh-CN" w:bidi="ar"/>
        </w:rPr>
        <w:t>不外排；生活污水依托下站房现有的污水处理设施处理，不外排。</w:t>
      </w:r>
      <w:r>
        <w:rPr>
          <w:rFonts w:hint="default" w:ascii="仿宋_GB2312" w:hAnsi="仿宋_GB2312" w:eastAsia="仿宋_GB2312" w:cs="仿宋_GB2312"/>
          <w:kern w:val="2"/>
          <w:sz w:val="32"/>
          <w:szCs w:val="32"/>
          <w:lang w:val="en-US" w:eastAsia="zh-CN" w:bidi="ar"/>
        </w:rPr>
        <w:t>营运</w:t>
      </w:r>
      <w:r>
        <w:rPr>
          <w:rFonts w:hint="eastAsia" w:ascii="仿宋_GB2312" w:hAnsi="仿宋_GB2312" w:eastAsia="仿宋_GB2312" w:cs="仿宋_GB2312"/>
          <w:kern w:val="2"/>
          <w:sz w:val="32"/>
          <w:szCs w:val="32"/>
          <w:lang w:val="en-US" w:eastAsia="zh-CN" w:bidi="ar"/>
        </w:rPr>
        <w:t>期废水主要为生活污水及地下车库地面清洗废水，经一体化污水处理设备进行处理后回用于厂区绿化及道路广场降尘，不外排。</w:t>
      </w:r>
    </w:p>
    <w:p w14:paraId="3F5B00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（三）废气污染防治</w:t>
      </w:r>
    </w:p>
    <w:p w14:paraId="4BD572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严格落实废气污染防治措施。项目废气主要为施工过程产生的扬尘和运营期的车辆尾气，</w:t>
      </w:r>
      <w:r>
        <w:rPr>
          <w:rFonts w:hint="default" w:ascii="仿宋_GB2312" w:hAnsi="仿宋_GB2312" w:eastAsia="仿宋_GB2312" w:cs="仿宋_GB2312"/>
          <w:kern w:val="2"/>
          <w:sz w:val="32"/>
          <w:szCs w:val="32"/>
          <w:lang w:val="zh-CN" w:eastAsia="zh-CN" w:bidi="ar"/>
        </w:rPr>
        <w:t>施工区域</w:t>
      </w:r>
      <w:r>
        <w:rPr>
          <w:rFonts w:hint="default" w:ascii="仿宋_GB2312" w:hAnsi="仿宋_GB2312" w:eastAsia="仿宋_GB2312" w:cs="仿宋_GB2312"/>
          <w:kern w:val="2"/>
          <w:sz w:val="32"/>
          <w:szCs w:val="32"/>
          <w:lang w:val="en-US" w:eastAsia="zh-CN" w:bidi="ar"/>
        </w:rPr>
        <w:t>工地四周</w:t>
      </w:r>
      <w:r>
        <w:rPr>
          <w:rFonts w:hint="eastAsia" w:ascii="仿宋_GB2312" w:hAnsi="仿宋_GB2312" w:eastAsia="仿宋_GB2312" w:cs="仿宋_GB2312"/>
          <w:kern w:val="2"/>
          <w:sz w:val="32"/>
          <w:szCs w:val="32"/>
          <w:lang w:val="en-US" w:eastAsia="zh-CN" w:bidi="ar"/>
        </w:rPr>
        <w:t>要</w:t>
      </w:r>
      <w:r>
        <w:rPr>
          <w:rFonts w:hint="default" w:ascii="仿宋_GB2312" w:hAnsi="仿宋_GB2312" w:eastAsia="仿宋_GB2312" w:cs="仿宋_GB2312"/>
          <w:kern w:val="2"/>
          <w:sz w:val="32"/>
          <w:szCs w:val="32"/>
          <w:lang w:val="en-US" w:eastAsia="zh-CN" w:bidi="ar"/>
        </w:rPr>
        <w:t>设置围挡</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场地内</w:t>
      </w:r>
      <w:r>
        <w:rPr>
          <w:rFonts w:hint="eastAsia" w:ascii="仿宋_GB2312" w:hAnsi="仿宋_GB2312" w:eastAsia="仿宋_GB2312" w:cs="仿宋_GB2312"/>
          <w:kern w:val="2"/>
          <w:sz w:val="32"/>
          <w:szCs w:val="32"/>
          <w:lang w:val="en-US" w:eastAsia="zh-CN" w:bidi="ar"/>
        </w:rPr>
        <w:t>及时洒水降尘</w:t>
      </w:r>
      <w:r>
        <w:rPr>
          <w:rFonts w:hint="default" w:ascii="仿宋_GB2312" w:hAnsi="仿宋_GB2312" w:eastAsia="仿宋_GB2312" w:cs="仿宋_GB2312"/>
          <w:kern w:val="2"/>
          <w:sz w:val="32"/>
          <w:szCs w:val="32"/>
          <w:lang w:val="en-US" w:eastAsia="zh-CN" w:bidi="ar"/>
        </w:rPr>
        <w:t>；施工材料、土石方及临时堆场加盖蓬布、覆盖防尘网；施工场地出入口设置车轮冲洗装置，运输车辆</w:t>
      </w:r>
      <w:r>
        <w:rPr>
          <w:rFonts w:hint="eastAsia" w:ascii="仿宋_GB2312" w:hAnsi="仿宋_GB2312" w:eastAsia="仿宋_GB2312" w:cs="仿宋_GB2312"/>
          <w:kern w:val="2"/>
          <w:sz w:val="32"/>
          <w:szCs w:val="32"/>
          <w:lang w:val="en-US" w:eastAsia="zh-CN" w:bidi="ar"/>
        </w:rPr>
        <w:t>加</w:t>
      </w:r>
      <w:r>
        <w:rPr>
          <w:rFonts w:hint="default" w:ascii="仿宋_GB2312" w:hAnsi="仿宋_GB2312" w:eastAsia="仿宋_GB2312" w:cs="仿宋_GB2312"/>
          <w:kern w:val="2"/>
          <w:sz w:val="32"/>
          <w:szCs w:val="32"/>
          <w:lang w:val="en-US" w:eastAsia="zh-CN" w:bidi="ar"/>
        </w:rPr>
        <w:t>盖篷布</w:t>
      </w:r>
      <w:r>
        <w:rPr>
          <w:rFonts w:hint="eastAsia" w:ascii="仿宋_GB2312" w:hAnsi="仿宋_GB2312" w:eastAsia="仿宋_GB2312" w:cs="仿宋_GB2312"/>
          <w:kern w:val="2"/>
          <w:sz w:val="32"/>
          <w:szCs w:val="32"/>
          <w:lang w:val="en-US" w:eastAsia="zh-CN" w:bidi="ar"/>
        </w:rPr>
        <w:t>；营运期的车辆尾气经通风系统收集过滤后通过排气口排放，通过以上措施，达到降尘的效果。</w:t>
      </w:r>
    </w:p>
    <w:p w14:paraId="6D191D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（四）噪声污染防治</w:t>
      </w:r>
    </w:p>
    <w:p w14:paraId="4F687F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施工期主要噪声污染源为</w:t>
      </w:r>
      <w:r>
        <w:rPr>
          <w:rFonts w:hint="default" w:ascii="仿宋_GB2312" w:hAnsi="仿宋_GB2312" w:eastAsia="仿宋_GB2312" w:cs="仿宋_GB2312"/>
          <w:kern w:val="2"/>
          <w:sz w:val="32"/>
          <w:szCs w:val="32"/>
          <w:lang w:val="en-US" w:eastAsia="zh-CN" w:bidi="ar"/>
        </w:rPr>
        <w:t>施工</w:t>
      </w:r>
      <w:r>
        <w:rPr>
          <w:rFonts w:hint="eastAsia" w:ascii="仿宋_GB2312" w:hAnsi="仿宋_GB2312" w:eastAsia="仿宋_GB2312" w:cs="仿宋_GB2312"/>
          <w:kern w:val="2"/>
          <w:sz w:val="32"/>
          <w:szCs w:val="32"/>
          <w:lang w:val="en-US" w:eastAsia="zh-CN" w:bidi="ar"/>
        </w:rPr>
        <w:t>机械噪声与交通运输车辆噪声</w:t>
      </w:r>
      <w:r>
        <w:rPr>
          <w:rFonts w:hint="default" w:ascii="仿宋_GB2312" w:hAnsi="仿宋_GB2312" w:eastAsia="仿宋_GB2312" w:cs="仿宋_GB2312"/>
          <w:kern w:val="2"/>
          <w:sz w:val="32"/>
          <w:szCs w:val="32"/>
          <w:lang w:val="en-US" w:eastAsia="zh-CN" w:bidi="ar"/>
        </w:rPr>
        <w:t>。优化高噪声设备布局，采取隔声、减震、距离衰减等措施，</w:t>
      </w:r>
      <w:r>
        <w:rPr>
          <w:rFonts w:hint="eastAsia" w:ascii="仿宋_GB2312" w:hAnsi="仿宋_GB2312" w:eastAsia="仿宋_GB2312" w:cs="仿宋_GB2312"/>
          <w:kern w:val="2"/>
          <w:sz w:val="32"/>
          <w:szCs w:val="32"/>
          <w:lang w:val="en-US" w:eastAsia="zh-CN" w:bidi="ar"/>
        </w:rPr>
        <w:t>确保噪声满足</w:t>
      </w:r>
      <w:r>
        <w:rPr>
          <w:rFonts w:hint="default" w:ascii="仿宋_GB2312" w:hAnsi="仿宋_GB2312" w:eastAsia="仿宋_GB2312" w:cs="仿宋_GB2312"/>
          <w:kern w:val="2"/>
          <w:sz w:val="32"/>
          <w:szCs w:val="32"/>
          <w:lang w:val="en-US" w:eastAsia="zh-CN" w:bidi="ar"/>
        </w:rPr>
        <w:t>《建筑施工场界环境噪声排放标准》（GB12523-2011）</w:t>
      </w:r>
      <w:r>
        <w:rPr>
          <w:rFonts w:hint="eastAsia" w:ascii="仿宋_GB2312" w:hAnsi="仿宋_GB2312" w:eastAsia="仿宋_GB2312" w:cs="仿宋_GB2312"/>
          <w:kern w:val="2"/>
          <w:sz w:val="32"/>
          <w:szCs w:val="32"/>
          <w:lang w:val="en-US" w:eastAsia="zh-CN" w:bidi="ar"/>
        </w:rPr>
        <w:t>限值</w:t>
      </w:r>
      <w:r>
        <w:rPr>
          <w:rFonts w:hint="default" w:ascii="仿宋_GB2312" w:hAnsi="仿宋_GB2312" w:eastAsia="仿宋_GB2312" w:cs="仿宋_GB2312"/>
          <w:kern w:val="2"/>
          <w:sz w:val="32"/>
          <w:szCs w:val="32"/>
          <w:lang w:val="en-US" w:eastAsia="zh-CN" w:bidi="ar"/>
        </w:rPr>
        <w:t>要求。营运</w:t>
      </w:r>
      <w:r>
        <w:rPr>
          <w:rFonts w:hint="eastAsia" w:ascii="仿宋_GB2312" w:hAnsi="仿宋_GB2312" w:eastAsia="仿宋_GB2312" w:cs="仿宋_GB2312"/>
          <w:kern w:val="2"/>
          <w:sz w:val="32"/>
          <w:szCs w:val="32"/>
          <w:lang w:val="en-US" w:eastAsia="zh-CN" w:bidi="ar"/>
        </w:rPr>
        <w:t>期噪声主要为车辆进出场的噪声等，经采取绿化隔离、距离衰减、停车场各出入口路面采用低噪声路面、站场内减速等措施，确保噪声满足《工业企业厂界环境噪声排放标准》（GB12348-2008）中2类标准限值要求。</w:t>
      </w:r>
    </w:p>
    <w:p w14:paraId="43F360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（五）固废污染防治</w:t>
      </w:r>
    </w:p>
    <w:p w14:paraId="085A63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严格落实固体废物污染防治措施。按照“减量化、资源化、</w:t>
      </w:r>
      <w:r>
        <w:rPr>
          <w:rFonts w:hint="eastAsia" w:ascii="仿宋_GB2312" w:hAnsi="仿宋_GB2312" w:eastAsia="仿宋_GB2312" w:cs="仿宋_GB2312"/>
          <w:kern w:val="2"/>
          <w:sz w:val="32"/>
          <w:szCs w:val="32"/>
          <w:lang w:val="en-US" w:eastAsia="zh-CN" w:bidi="ar"/>
        </w:rPr>
        <w:t>无害化”原则，对固体废物进行分类收集、处理和处置，并确保不造成二次污染。</w:t>
      </w:r>
      <w:r>
        <w:rPr>
          <w:rFonts w:hint="default" w:ascii="仿宋_GB2312" w:hAnsi="仿宋_GB2312" w:eastAsia="仿宋_GB2312" w:cs="仿宋_GB2312"/>
          <w:kern w:val="2"/>
          <w:sz w:val="32"/>
          <w:szCs w:val="32"/>
          <w:lang w:val="en-US" w:eastAsia="zh-CN" w:bidi="ar"/>
        </w:rPr>
        <w:t>本项目营运</w:t>
      </w:r>
      <w:r>
        <w:rPr>
          <w:rFonts w:hint="eastAsia" w:ascii="仿宋_GB2312" w:hAnsi="仿宋_GB2312" w:eastAsia="仿宋_GB2312" w:cs="仿宋_GB2312"/>
          <w:kern w:val="2"/>
          <w:sz w:val="32"/>
          <w:szCs w:val="32"/>
          <w:lang w:val="en-US" w:eastAsia="zh-CN" w:bidi="ar"/>
        </w:rPr>
        <w:t>期</w:t>
      </w:r>
      <w:r>
        <w:rPr>
          <w:rFonts w:hint="default" w:ascii="仿宋_GB2312" w:hAnsi="仿宋_GB2312" w:eastAsia="仿宋_GB2312" w:cs="仿宋_GB2312"/>
          <w:kern w:val="2"/>
          <w:sz w:val="32"/>
          <w:szCs w:val="32"/>
          <w:lang w:val="en-US" w:eastAsia="zh-CN" w:bidi="ar"/>
        </w:rPr>
        <w:t>产生的固体废物主要是生活垃圾</w:t>
      </w:r>
      <w:r>
        <w:rPr>
          <w:rFonts w:hint="eastAsia" w:ascii="仿宋_GB2312" w:hAnsi="仿宋_GB2312" w:eastAsia="仿宋_GB2312" w:cs="仿宋_GB2312"/>
          <w:kern w:val="2"/>
          <w:sz w:val="32"/>
          <w:szCs w:val="32"/>
          <w:lang w:val="en-US" w:eastAsia="zh-CN" w:bidi="ar"/>
        </w:rPr>
        <w:t>、污水处理站污泥</w:t>
      </w:r>
      <w:r>
        <w:rPr>
          <w:rFonts w:hint="default" w:ascii="仿宋_GB2312" w:hAnsi="仿宋_GB2312" w:eastAsia="仿宋_GB2312" w:cs="仿宋_GB2312"/>
          <w:kern w:val="2"/>
          <w:sz w:val="32"/>
          <w:szCs w:val="32"/>
          <w:lang w:val="en-US" w:eastAsia="zh-CN" w:bidi="ar"/>
        </w:rPr>
        <w:t>。项目区内合理设置垃圾收集点或垃圾箱，项目生活垃圾分类收集后委托环卫部门清运处理</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生活垃圾做到日产日清。污水处理站污泥由当地环卫部门定期清掏，直接运走处理，不在场地内暂存。一般固体废物执行《一般工业固体废物贮存和填埋污染控制标准》（GB18599-2020）。</w:t>
      </w:r>
    </w:p>
    <w:p w14:paraId="42CDCA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三、环保设施建设和竣工验收要求</w:t>
      </w:r>
    </w:p>
    <w:p w14:paraId="727A4666">
      <w:pPr>
        <w:keepNext w:val="0"/>
        <w:keepLines w:val="0"/>
        <w:pageBreakBefore w:val="0"/>
        <w:widowControl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项目建设必须严格执行环境保护设施与主体工程同时设计、同时施工、同时投入使用的环境保护“三同时”制度。 </w:t>
      </w:r>
    </w:p>
    <w:p w14:paraId="5D5FFE00">
      <w:pPr>
        <w:keepNext w:val="0"/>
        <w:keepLines w:val="0"/>
        <w:pageBreakBefore w:val="0"/>
        <w:widowControl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竣工后，你公司应按照有关规定对配套建设的环保设施进行验收，并依法向社会公开，未经验收或验收不合格不得投入使用。你公司在开展环保设施验收过程中应如实查验、监测、记载项目环境保护设施的建设和调试情况，不得弄虚作假。</w:t>
      </w:r>
    </w:p>
    <w:p w14:paraId="3276CC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四、其他环保要求</w:t>
      </w:r>
    </w:p>
    <w:p w14:paraId="72D66B8B">
      <w:pPr>
        <w:pStyle w:val="11"/>
        <w:keepNext w:val="0"/>
        <w:keepLines w:val="0"/>
        <w:pageBreakBefore w:val="0"/>
        <w:widowControl w:val="0"/>
        <w:kinsoku/>
        <w:wordWrap/>
        <w:overflowPunct/>
        <w:topLinePunct w:val="0"/>
        <w:bidi w:val="0"/>
        <w:snapToGrid w:val="0"/>
        <w:spacing w:line="56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一）《报告表》经批准后，项目的性质、规模、地点、采用的工艺或者防治污染、防止生态破坏、防范环境风险的措施发生重大变动的，或自批准之日起超过五年方开工建设，应按照法律法规的规定，重新办理报批（审核）手续。</w:t>
      </w:r>
    </w:p>
    <w:p w14:paraId="1DA28C5D">
      <w:pPr>
        <w:pStyle w:val="11"/>
        <w:keepNext w:val="0"/>
        <w:keepLines w:val="0"/>
        <w:pageBreakBefore w:val="0"/>
        <w:widowControl w:val="0"/>
        <w:kinsoku/>
        <w:wordWrap/>
        <w:overflowPunct/>
        <w:topLinePunct w:val="0"/>
        <w:bidi w:val="0"/>
        <w:snapToGrid w:val="0"/>
        <w:spacing w:line="56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（二）你公司应对所提交材料的真实性负责，如存在瞒报、假报行为，须承担由此产生的一切后果。</w:t>
      </w:r>
    </w:p>
    <w:p w14:paraId="25F6857D">
      <w:pPr>
        <w:pStyle w:val="11"/>
        <w:keepNext w:val="0"/>
        <w:keepLines w:val="0"/>
        <w:pageBreakBefore w:val="0"/>
        <w:widowControl w:val="0"/>
        <w:kinsoku/>
        <w:wordWrap/>
        <w:overflowPunct/>
        <w:topLinePunct w:val="0"/>
        <w:bidi w:val="0"/>
        <w:snapToGrid w:val="0"/>
        <w:spacing w:line="560" w:lineRule="exact"/>
        <w:ind w:left="0" w:leftChars="0" w:firstLine="656"/>
        <w:jc w:val="both"/>
        <w:textAlignment w:val="auto"/>
        <w:rPr>
          <w:rFonts w:hint="default"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（三）你公司应全面落实环保设备设施安全生产相关法律法规要求，并履行相关安全生产手续。</w:t>
      </w:r>
    </w:p>
    <w:p w14:paraId="7C852DC0">
      <w:pPr>
        <w:pStyle w:val="11"/>
        <w:keepNext w:val="0"/>
        <w:keepLines w:val="0"/>
        <w:pageBreakBefore w:val="0"/>
        <w:widowControl w:val="0"/>
        <w:kinsoku/>
        <w:wordWrap/>
        <w:overflowPunct/>
        <w:topLinePunct w:val="0"/>
        <w:bidi w:val="0"/>
        <w:snapToGrid w:val="0"/>
        <w:spacing w:line="56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p>
    <w:p w14:paraId="68A50BBD">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jc w:val="both"/>
        <w:textAlignment w:val="auto"/>
        <w:rPr>
          <w:rFonts w:hint="eastAsia" w:ascii="仿宋_GB2312" w:eastAsia="仿宋_GB2312"/>
          <w:color w:val="000000"/>
          <w:sz w:val="32"/>
          <w:szCs w:val="32"/>
          <w:lang w:val="en-US" w:eastAsia="zh-CN"/>
        </w:rPr>
      </w:pPr>
    </w:p>
    <w:p w14:paraId="537061A7">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jc w:val="both"/>
        <w:textAlignment w:val="auto"/>
        <w:rPr>
          <w:rFonts w:hint="eastAsia" w:ascii="仿宋_GB2312" w:eastAsia="仿宋_GB2312"/>
          <w:color w:val="000000"/>
          <w:sz w:val="32"/>
          <w:szCs w:val="32"/>
          <w:lang w:val="en-US" w:eastAsia="zh-CN"/>
        </w:rPr>
      </w:pPr>
    </w:p>
    <w:p w14:paraId="7AB45CBC">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jc w:val="both"/>
        <w:textAlignment w:val="auto"/>
        <w:rPr>
          <w:rFonts w:hint="eastAsia" w:ascii="仿宋_GB2312" w:eastAsia="仿宋_GB2312"/>
          <w:color w:val="000000"/>
          <w:sz w:val="32"/>
          <w:szCs w:val="32"/>
          <w:lang w:val="en-US" w:eastAsia="zh-CN"/>
        </w:rPr>
      </w:pPr>
    </w:p>
    <w:p w14:paraId="2447298F">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jc w:val="both"/>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九江市庐山生态环境局</w:t>
      </w:r>
    </w:p>
    <w:p w14:paraId="3CD0F0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lang w:val="en-US"/>
        </w:rPr>
      </w:pPr>
      <w:r>
        <w:rPr>
          <w:rFonts w:hint="eastAsia" w:ascii="仿宋_GB2312" w:eastAsia="仿宋_GB2312"/>
          <w:color w:val="000000"/>
          <w:sz w:val="32"/>
          <w:szCs w:val="32"/>
          <w:lang w:val="en-US" w:eastAsia="zh-CN"/>
        </w:rPr>
        <w:t xml:space="preserve">                             2024年10月18日</w:t>
      </w:r>
    </w:p>
    <w:p w14:paraId="037DE16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pPr>
    </w:p>
    <w:p w14:paraId="4B6EB26D">
      <w:pPr>
        <w:pStyle w:val="5"/>
        <w:keepNext w:val="0"/>
        <w:keepLines w:val="0"/>
        <w:pageBreakBefore w:val="0"/>
        <w:kinsoku/>
        <w:wordWrap/>
        <w:overflowPunct/>
        <w:topLinePunct w:val="0"/>
        <w:bidi w:val="0"/>
        <w:spacing w:after="0" w:line="560" w:lineRule="exact"/>
        <w:ind w:left="0" w:leftChars="0"/>
        <w:textAlignment w:val="auto"/>
        <w:rPr>
          <w:rFonts w:hint="eastAsia"/>
        </w:rPr>
      </w:pPr>
    </w:p>
    <w:p w14:paraId="49BB8168">
      <w:pPr>
        <w:keepNext w:val="0"/>
        <w:keepLines w:val="0"/>
        <w:pageBreakBefore w:val="0"/>
        <w:kinsoku/>
        <w:wordWrap/>
        <w:overflowPunct/>
        <w:topLinePunct w:val="0"/>
        <w:bidi w:val="0"/>
        <w:spacing w:line="560" w:lineRule="exact"/>
        <w:ind w:left="0" w:leftChars="0"/>
        <w:textAlignment w:val="auto"/>
        <w:rPr>
          <w:rFonts w:hint="eastAsia"/>
        </w:rPr>
      </w:pPr>
    </w:p>
    <w:p w14:paraId="166F44B3">
      <w:pPr>
        <w:pStyle w:val="4"/>
        <w:rPr>
          <w:rFonts w:hint="eastAsia"/>
        </w:rPr>
      </w:pPr>
    </w:p>
    <w:p w14:paraId="748570AC">
      <w:pPr>
        <w:rPr>
          <w:rFonts w:hint="eastAsia"/>
        </w:rPr>
      </w:pPr>
    </w:p>
    <w:p w14:paraId="18C40FC6">
      <w:pPr>
        <w:rPr>
          <w:rFonts w:hint="eastAsia"/>
        </w:rPr>
      </w:pPr>
    </w:p>
    <w:p w14:paraId="5A0B968B">
      <w:pPr>
        <w:rPr>
          <w:rFonts w:hint="eastAsia"/>
        </w:rPr>
      </w:pPr>
    </w:p>
    <w:p w14:paraId="30E3626E">
      <w:pPr>
        <w:rPr>
          <w:rFonts w:hint="eastAsia"/>
        </w:rPr>
      </w:pPr>
    </w:p>
    <w:tbl>
      <w:tblPr>
        <w:tblStyle w:val="6"/>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5"/>
      </w:tblGrid>
      <w:tr w14:paraId="3EF1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715" w:type="dxa"/>
            <w:tcBorders>
              <w:top w:val="single" w:color="auto" w:sz="4" w:space="0"/>
              <w:left w:val="nil"/>
              <w:bottom w:val="single" w:color="auto" w:sz="4" w:space="0"/>
              <w:right w:val="nil"/>
            </w:tcBorders>
            <w:noWrap w:val="0"/>
            <w:vAlign w:val="center"/>
          </w:tcPr>
          <w:p w14:paraId="36DACFBC">
            <w:pPr>
              <w:keepNext w:val="0"/>
              <w:keepLines w:val="0"/>
              <w:pageBreakBefore w:val="0"/>
              <w:kinsoku/>
              <w:wordWrap/>
              <w:overflowPunct/>
              <w:topLinePunct w:val="0"/>
              <w:bidi w:val="0"/>
              <w:spacing w:line="520" w:lineRule="exact"/>
              <w:textAlignment w:val="auto"/>
              <w:rPr>
                <w:rFonts w:hint="eastAsia" w:ascii="仿宋" w:hAnsi="仿宋" w:eastAsia="仿宋" w:cs="仿宋"/>
                <w:b w:val="0"/>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
              </w:rPr>
              <w:t xml:space="preserve">九江市庐山生态环境局办公室               2024年10月18日印发 </w:t>
            </w:r>
          </w:p>
        </w:tc>
      </w:tr>
    </w:tbl>
    <w:p w14:paraId="53D685D8">
      <w:pPr>
        <w:keepNext w:val="0"/>
        <w:keepLines w:val="0"/>
        <w:pageBreakBefore w:val="0"/>
        <w:kinsoku/>
        <w:wordWrap/>
        <w:overflowPunct/>
        <w:topLinePunct w:val="0"/>
        <w:bidi w:val="0"/>
        <w:spacing w:line="520" w:lineRule="exact"/>
        <w:textAlignment w:val="auto"/>
        <w:rPr>
          <w:rFonts w:hint="eastAsia" w:ascii="仿宋" w:hAnsi="仿宋" w:eastAsia="仿宋" w:cs="仿宋"/>
          <w:color w:val="auto"/>
          <w:sz w:val="32"/>
          <w:szCs w:val="32"/>
        </w:rPr>
      </w:pPr>
    </w:p>
    <w:p w14:paraId="1377B13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OTg3Mjg1ZWRkYjgxOTgzYjE4ZDdhZjg3Njg3MWIifQ=="/>
  </w:docVars>
  <w:rsids>
    <w:rsidRoot w:val="00000000"/>
    <w:rsid w:val="0C413DB2"/>
    <w:rsid w:val="0D45612B"/>
    <w:rsid w:val="1A325511"/>
    <w:rsid w:val="2B7C29D4"/>
    <w:rsid w:val="3B305DCA"/>
    <w:rsid w:val="44965B06"/>
    <w:rsid w:val="643E6EF4"/>
    <w:rsid w:val="6866553C"/>
    <w:rsid w:val="705B70B0"/>
    <w:rsid w:val="7A351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snapToGrid w:val="0"/>
      <w:spacing w:line="360" w:lineRule="auto"/>
      <w:ind w:right="0" w:firstLine="720" w:firstLineChars="200"/>
    </w:pPr>
    <w:rPr>
      <w:rFonts w:ascii="Times New Roman" w:hAnsi="Times New Roman" w:eastAsia="宋体"/>
      <w:kern w:val="0"/>
      <w:sz w:val="24"/>
      <w:szCs w:val="18"/>
    </w:rPr>
  </w:style>
  <w:style w:type="paragraph" w:styleId="4">
    <w:name w:val="Body Text Indent"/>
    <w:basedOn w:val="1"/>
    <w:next w:val="1"/>
    <w:qFormat/>
    <w:uiPriority w:val="0"/>
    <w:pPr>
      <w:spacing w:after="120"/>
      <w:ind w:left="420" w:leftChars="200"/>
    </w:pPr>
  </w:style>
  <w:style w:type="paragraph" w:styleId="5">
    <w:name w:val="Body Text First Indent 2"/>
    <w:basedOn w:val="1"/>
    <w:next w:val="1"/>
    <w:qFormat/>
    <w:uiPriority w:val="0"/>
    <w:pPr>
      <w:spacing w:after="120"/>
      <w:ind w:left="420" w:leftChars="200" w:firstLine="210" w:firstLineChars="200"/>
    </w:pPr>
    <w:rPr>
      <w:sz w:val="21"/>
    </w:rPr>
  </w:style>
  <w:style w:type="character" w:styleId="8">
    <w:name w:val="Hyperlink"/>
    <w:basedOn w:val="7"/>
    <w:qFormat/>
    <w:uiPriority w:val="0"/>
    <w:rPr>
      <w:color w:val="0000FF"/>
      <w:u w:val="single"/>
    </w:rPr>
  </w:style>
  <w:style w:type="paragraph" w:customStyle="1" w:styleId="9">
    <w:name w:val="样式1"/>
    <w:basedOn w:val="2"/>
    <w:next w:val="1"/>
    <w:qFormat/>
    <w:uiPriority w:val="0"/>
    <w:rPr>
      <w:rFonts w:asciiTheme="minorAscii" w:hAnsiTheme="minorAscii"/>
    </w:rPr>
  </w:style>
  <w:style w:type="character" w:customStyle="1" w:styleId="10">
    <w:name w:val="标题 1 Char"/>
    <w:link w:val="2"/>
    <w:qFormat/>
    <w:uiPriority w:val="0"/>
    <w:rPr>
      <w:b/>
      <w:kern w:val="44"/>
      <w:sz w:val="44"/>
    </w:rPr>
  </w:style>
  <w:style w:type="paragraph" w:customStyle="1" w:styleId="11">
    <w:name w:val="文 本 正 文"/>
    <w:basedOn w:val="3"/>
    <w:qFormat/>
    <w:uiPriority w:val="0"/>
    <w:pPr>
      <w:autoSpaceDE w:val="0"/>
      <w:autoSpaceDN w:val="0"/>
      <w:adjustRightInd/>
      <w:ind w:firstLine="496" w:firstLineChars="200"/>
      <w:textAlignment w:val="auto"/>
    </w:pPr>
    <w:rPr>
      <w:rFonts w:hAnsi="宋体"/>
      <w:color w:val="000000"/>
    </w:rPr>
  </w:style>
  <w:style w:type="character" w:customStyle="1" w:styleId="12">
    <w:name w:val="Body text|2"/>
    <w:basedOn w:val="13"/>
    <w:unhideWhenUsed/>
    <w:qFormat/>
    <w:uiPriority w:val="0"/>
    <w:rPr>
      <w:color w:val="000000"/>
      <w:w w:val="100"/>
      <w:position w:val="0"/>
      <w:lang w:val="en-US" w:eastAsia="en-US" w:bidi="en-US"/>
    </w:rPr>
  </w:style>
  <w:style w:type="character" w:customStyle="1" w:styleId="13">
    <w:name w:val="Body text|2_"/>
    <w:basedOn w:val="7"/>
    <w:link w:val="14"/>
    <w:qFormat/>
    <w:uiPriority w:val="0"/>
    <w:rPr>
      <w:rFonts w:ascii="PMingLiU" w:hAnsi="PMingLiU" w:eastAsia="PMingLiU" w:cs="PMingLiU"/>
      <w:sz w:val="21"/>
      <w:szCs w:val="21"/>
      <w:u w:val="none"/>
    </w:rPr>
  </w:style>
  <w:style w:type="paragraph" w:customStyle="1" w:styleId="14">
    <w:name w:val="Body text|281"/>
    <w:basedOn w:val="1"/>
    <w:link w:val="13"/>
    <w:qFormat/>
    <w:uiPriority w:val="0"/>
    <w:pPr>
      <w:widowControl w:val="0"/>
      <w:shd w:val="clear" w:color="auto" w:fill="FFFFFF"/>
      <w:spacing w:after="1040" w:line="210" w:lineRule="exact"/>
      <w:ind w:hanging="520"/>
      <w:jc w:val="center"/>
    </w:pPr>
    <w:rPr>
      <w:rFonts w:ascii="PMingLiU" w:hAnsi="PMingLiU" w:eastAsia="PMingLiU" w:cs="PMingLiU"/>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1709</Words>
  <Characters>1822</Characters>
  <Lines>0</Lines>
  <Paragraphs>0</Paragraphs>
  <TotalTime>33</TotalTime>
  <ScaleCrop>false</ScaleCrop>
  <LinksUpToDate>false</LinksUpToDate>
  <CharactersWithSpaces>1868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2021-01-10T23:56:00Z</dcterms:created>
  <dc:creator>Administrator</dc:creator>
  <cp:lastModifiedBy>Mr. °Chen</cp:lastModifiedBy>
  <dcterms:modified xsi:type="dcterms:W3CDTF">2025-11-21T02:01:17Z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647744BF44C94DDE83F8F1AC5D0ED4FB_13</vt:lpwstr>
  </property>
  <property fmtid="{D5CDD505-2E9C-101B-9397-08002B2CF9AE}" pid="4" name="KSOTemplateDocerSaveRecord">
    <vt:lpwstr>eyJoZGlkIjoiNTM1MDZkZGU0NDQyOGQxYjdlMWJhMzhjZjA5ODljNjIiLCJ1c2VySWQiOiIyODI0NzgwMTUifQ==</vt:lpwstr>
  </property>
</Properties>
</file>