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b/>
          <w:sz w:val="44"/>
          <w:szCs w:val="44"/>
        </w:rPr>
      </w:pPr>
      <w:bookmarkStart w:id="0" w:name="_GoBack"/>
      <w:bookmarkEnd w:id="0"/>
      <w:r>
        <w:rPr>
          <w:rFonts w:hint="eastAsia" w:asciiTheme="majorEastAsia" w:hAnsiTheme="majorEastAsia" w:eastAsiaTheme="majorEastAsia"/>
          <w:b/>
          <w:sz w:val="44"/>
          <w:szCs w:val="44"/>
        </w:rPr>
        <w:t>九江市庐山生态环境局2021年工作总结</w:t>
      </w:r>
    </w:p>
    <w:p>
      <w:pPr>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及2022年工作计划</w:t>
      </w:r>
    </w:p>
    <w:p>
      <w:pPr>
        <w:spacing w:line="600" w:lineRule="exact"/>
        <w:jc w:val="center"/>
        <w:rPr>
          <w:rFonts w:asciiTheme="minorEastAsia" w:hAnsiTheme="minorEastAsia"/>
          <w:b/>
          <w:sz w:val="44"/>
          <w:szCs w:val="44"/>
        </w:rPr>
      </w:pP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Times New Roman"/>
          <w:kern w:val="0"/>
          <w:sz w:val="32"/>
          <w:szCs w:val="32"/>
        </w:rPr>
        <w:t>2021年，是全面实施“十四五”规划、朝着第二个百年奋斗目标迈进的第一年。一年来，庐山生态环境局在九江市局党委和庐山市委、市政府的坚强领导下，高举习近平新时代中国特色社会主义思想伟大旗帜，完整、准确、全面贯彻新发展理念，</w:t>
      </w:r>
      <w:r>
        <w:rPr>
          <w:rFonts w:hint="eastAsia" w:ascii="仿宋_GB2312" w:hAnsi="仿宋_GB2312" w:eastAsia="仿宋_GB2312" w:cs="仿宋_GB2312"/>
          <w:color w:val="000000" w:themeColor="text1"/>
          <w:sz w:val="32"/>
          <w:szCs w:val="32"/>
        </w:rPr>
        <w:t>扛起生态环境保护的政治责任，认真</w:t>
      </w:r>
      <w:r>
        <w:rPr>
          <w:rFonts w:ascii="仿宋_GB2312" w:hAnsi="仿宋_GB2312" w:eastAsia="仿宋_GB2312" w:cs="仿宋_GB2312"/>
          <w:color w:val="000000" w:themeColor="text1"/>
          <w:sz w:val="32"/>
          <w:szCs w:val="32"/>
        </w:rPr>
        <w:t>践行</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绿水青山就是金山银山</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理论，</w:t>
      </w:r>
      <w:r>
        <w:rPr>
          <w:rFonts w:hint="eastAsia" w:ascii="仿宋_GB2312" w:hAnsi="仿宋_GB2312" w:eastAsia="仿宋_GB2312" w:cs="仿宋_GB2312"/>
          <w:color w:val="000000" w:themeColor="text1"/>
          <w:sz w:val="32"/>
          <w:szCs w:val="32"/>
        </w:rPr>
        <w:t>扎实开展党史学习教育，以“我为群众办实事”为载体，深入打好</w:t>
      </w:r>
      <w:r>
        <w:rPr>
          <w:rFonts w:ascii="仿宋_GB2312" w:hAnsi="仿宋_GB2312" w:eastAsia="仿宋_GB2312" w:cs="仿宋_GB2312"/>
          <w:color w:val="000000" w:themeColor="text1"/>
          <w:sz w:val="32"/>
          <w:szCs w:val="32"/>
        </w:rPr>
        <w:t>污染防治攻坚战，</w:t>
      </w:r>
      <w:r>
        <w:rPr>
          <w:rFonts w:hint="eastAsia" w:ascii="仿宋_GB2312" w:hAnsi="仿宋_GB2312" w:eastAsia="仿宋_GB2312" w:cs="仿宋_GB2312"/>
          <w:color w:val="000000" w:themeColor="text1"/>
          <w:sz w:val="32"/>
          <w:szCs w:val="32"/>
        </w:rPr>
        <w:t>顺利完成年度各项目标任务，全市生态环境质量向好趋优，为新时代庐山全面进位赶超奉献了环保力量。</w:t>
      </w:r>
    </w:p>
    <w:p>
      <w:pPr>
        <w:spacing w:line="60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 xml:space="preserve"> 一、砥砺奋进，进位赶超的生态质量基础更加坚实</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楷体_GB2312" w:eastAsia="楷体_GB2312"/>
          <w:b/>
          <w:color w:val="000000" w:themeColor="text1"/>
          <w:sz w:val="32"/>
          <w:szCs w:val="32"/>
        </w:rPr>
        <w:t>（一）大气环境质量持续提升。</w:t>
      </w:r>
      <w:r>
        <w:rPr>
          <w:rFonts w:hint="eastAsia" w:ascii="仿宋_GB2312" w:hAnsi="仿宋_GB2312" w:eastAsia="仿宋_GB2312" w:cs="仿宋_GB2312"/>
          <w:color w:val="000000" w:themeColor="text1"/>
          <w:sz w:val="32"/>
          <w:szCs w:val="32"/>
        </w:rPr>
        <w:t>1-11月，我市环境空气PM2.5浓度均值为24微克/立方米，与上年同期持平；空气优良天数319天（总有效监测天数334天），优良率达95.5%，空气质量全面达到了国家二级标准，阶段性完成了九江市年度考核目标，保持在九江市第一方阵。</w:t>
      </w:r>
    </w:p>
    <w:p>
      <w:pPr>
        <w:spacing w:line="600" w:lineRule="exact"/>
        <w:ind w:firstLine="643" w:firstLineChars="200"/>
        <w:rPr>
          <w:rFonts w:ascii="楷体_GB2312" w:hAnsi="楷体_GB2312" w:eastAsia="楷体_GB2312" w:cs="楷体_GB2312"/>
          <w:b/>
          <w:color w:val="000000" w:themeColor="text1"/>
          <w:sz w:val="32"/>
          <w:szCs w:val="32"/>
        </w:rPr>
      </w:pPr>
      <w:r>
        <w:rPr>
          <w:rFonts w:hint="eastAsia" w:ascii="楷体_GB2312" w:eastAsia="楷体_GB2312"/>
          <w:b/>
          <w:color w:val="000000" w:themeColor="text1"/>
          <w:sz w:val="32"/>
          <w:szCs w:val="32"/>
        </w:rPr>
        <w:t>（二）水环境质量保持达标。</w:t>
      </w:r>
      <w:r>
        <w:rPr>
          <w:rFonts w:hint="eastAsia" w:ascii="仿宋_GB2312" w:hAnsi="仿宋_GB2312" w:eastAsia="仿宋_GB2312" w:cs="仿宋_GB2312"/>
          <w:color w:val="000000" w:themeColor="text1"/>
          <w:kern w:val="0"/>
          <w:sz w:val="32"/>
          <w:szCs w:val="32"/>
        </w:rPr>
        <w:t>1-11月，我市国考星子断面、蚌湖断面水质为Ⅳ类达到鄱阳湖水质目标考核要求；省控沙湖山断面水质为Ⅱ类，稳定达到Ⅲ类及以上考核要求；</w:t>
      </w:r>
      <w:r>
        <w:rPr>
          <w:rFonts w:hint="eastAsia" w:ascii="仿宋_GB2312" w:hAnsi="宋体" w:eastAsia="仿宋_GB2312"/>
          <w:color w:val="000000" w:themeColor="text1"/>
          <w:kern w:val="0"/>
          <w:sz w:val="32"/>
          <w:szCs w:val="32"/>
        </w:rPr>
        <w:t>集中式饮用水水源地全年水质达标率为100%。</w:t>
      </w:r>
    </w:p>
    <w:p>
      <w:pPr>
        <w:spacing w:line="600" w:lineRule="exact"/>
        <w:ind w:firstLine="643" w:firstLineChars="200"/>
        <w:rPr>
          <w:rFonts w:ascii="仿宋_GB2312" w:hAnsi="仿宋_GB2312" w:eastAsia="仿宋_GB2312" w:cs="仿宋_GB2312"/>
          <w:color w:val="000000" w:themeColor="text1"/>
          <w:sz w:val="32"/>
          <w:szCs w:val="32"/>
        </w:rPr>
      </w:pPr>
      <w:r>
        <w:rPr>
          <w:rFonts w:hint="eastAsia" w:ascii="楷体_GB2312" w:eastAsia="楷体_GB2312"/>
          <w:b/>
          <w:color w:val="000000" w:themeColor="text1"/>
          <w:sz w:val="32"/>
          <w:szCs w:val="32"/>
        </w:rPr>
        <w:t>（三）土壤环境质量维持稳定。</w:t>
      </w:r>
      <w:r>
        <w:rPr>
          <w:rFonts w:hint="eastAsia" w:ascii="仿宋_GB2312" w:hAnsi="仿宋_GB2312" w:eastAsia="仿宋_GB2312" w:cs="仿宋_GB2312"/>
          <w:color w:val="000000" w:themeColor="text1"/>
          <w:sz w:val="32"/>
          <w:szCs w:val="32"/>
        </w:rPr>
        <w:t>我市无受污染农用耕地和污染地块，未出现突发土壤污染环境事故，土壤环境质量持续保持安全稳定。</w:t>
      </w:r>
    </w:p>
    <w:p>
      <w:pPr>
        <w:spacing w:line="600" w:lineRule="exact"/>
        <w:ind w:firstLine="643" w:firstLineChars="200"/>
        <w:rPr>
          <w:rFonts w:ascii="楷体_GB2312" w:eastAsia="楷体_GB2312"/>
          <w:b/>
          <w:color w:val="000000" w:themeColor="text1"/>
          <w:sz w:val="32"/>
          <w:szCs w:val="32"/>
          <w:highlight w:val="none"/>
        </w:rPr>
      </w:pPr>
      <w:r>
        <w:rPr>
          <w:rFonts w:hint="eastAsia" w:ascii="楷体_GB2312" w:eastAsia="楷体_GB2312"/>
          <w:b/>
          <w:color w:val="000000" w:themeColor="text1"/>
          <w:sz w:val="32"/>
          <w:szCs w:val="32"/>
          <w:highlight w:val="none"/>
        </w:rPr>
        <w:t>（四）生态文明建设再创佳绩。</w:t>
      </w:r>
      <w:r>
        <w:rPr>
          <w:rFonts w:hint="eastAsia" w:ascii="仿宋_GB2312" w:hAnsi="微软雅黑" w:eastAsia="仿宋_GB2312"/>
          <w:color w:val="000000" w:themeColor="text1"/>
          <w:sz w:val="32"/>
          <w:szCs w:val="32"/>
          <w:highlight w:val="none"/>
        </w:rPr>
        <w:t>省级“</w:t>
      </w:r>
      <w:r>
        <w:rPr>
          <w:rFonts w:hint="eastAsia" w:ascii="仿宋_GB2312" w:hAnsi="仿宋_GB2312" w:eastAsia="仿宋_GB2312" w:cs="仿宋_GB2312"/>
          <w:color w:val="000000" w:themeColor="text1"/>
          <w:sz w:val="32"/>
          <w:szCs w:val="32"/>
          <w:highlight w:val="none"/>
        </w:rPr>
        <w:t>绿水青山就是金山银山实践创新基地”正式命名，省级生态文明建设示范县（市）复审成功，</w:t>
      </w:r>
      <w:r>
        <w:rPr>
          <w:rFonts w:hint="eastAsia" w:ascii="仿宋_GB2312" w:hAnsi="微软雅黑" w:eastAsia="仿宋_GB2312"/>
          <w:color w:val="000000" w:themeColor="text1"/>
          <w:sz w:val="32"/>
          <w:szCs w:val="32"/>
          <w:highlight w:val="none"/>
        </w:rPr>
        <w:t>2020年度九江市各县（市、区）污染防治攻坚战成效考核中，我市获得优秀等次，排名全市第一。</w:t>
      </w:r>
    </w:p>
    <w:p>
      <w:pPr>
        <w:spacing w:line="600" w:lineRule="exact"/>
        <w:ind w:firstLine="640" w:firstLineChars="200"/>
        <w:rPr>
          <w:rFonts w:ascii="黑体" w:hAnsi="黑体" w:eastAsia="黑体" w:cs="Times New Roman"/>
          <w:kern w:val="0"/>
          <w:sz w:val="32"/>
          <w:szCs w:val="32"/>
          <w:highlight w:val="none"/>
        </w:rPr>
      </w:pPr>
      <w:r>
        <w:rPr>
          <w:rFonts w:hint="eastAsia" w:ascii="黑体" w:hAnsi="黑体" w:eastAsia="黑体" w:cs="Times New Roman"/>
          <w:kern w:val="0"/>
          <w:sz w:val="32"/>
          <w:szCs w:val="32"/>
          <w:highlight w:val="none"/>
        </w:rPr>
        <w:t>二</w:t>
      </w:r>
      <w:r>
        <w:rPr>
          <w:rFonts w:ascii="黑体" w:hAnsi="黑体" w:eastAsia="黑体" w:cs="Times New Roman"/>
          <w:kern w:val="0"/>
          <w:sz w:val="32"/>
          <w:szCs w:val="32"/>
          <w:highlight w:val="none"/>
        </w:rPr>
        <w:t>、</w:t>
      </w:r>
      <w:r>
        <w:rPr>
          <w:rFonts w:hint="eastAsia" w:ascii="黑体" w:hAnsi="黑体" w:eastAsia="黑体" w:cs="Times New Roman"/>
          <w:kern w:val="0"/>
          <w:sz w:val="32"/>
          <w:szCs w:val="32"/>
          <w:highlight w:val="none"/>
        </w:rPr>
        <w:t>奋发图强，进位赶超的工作实效作用更加显现</w:t>
      </w:r>
    </w:p>
    <w:p>
      <w:pPr>
        <w:spacing w:line="600" w:lineRule="exact"/>
        <w:ind w:left="-210" w:leftChars="-100" w:right="-210" w:rightChars="-100" w:firstLine="643" w:firstLineChars="200"/>
        <w:rPr>
          <w:rFonts w:ascii="楷体_GB2312" w:eastAsia="楷体_GB2312"/>
          <w:b/>
          <w:color w:val="000000" w:themeColor="text1"/>
          <w:sz w:val="32"/>
          <w:szCs w:val="32"/>
          <w:highlight w:val="none"/>
        </w:rPr>
      </w:pPr>
      <w:r>
        <w:rPr>
          <w:rFonts w:hint="eastAsia" w:ascii="楷体_GB2312" w:eastAsia="楷体_GB2312"/>
          <w:b/>
          <w:color w:val="000000" w:themeColor="text1"/>
          <w:sz w:val="32"/>
          <w:szCs w:val="32"/>
          <w:highlight w:val="none"/>
        </w:rPr>
        <w:t>（一）一年来，我们举旗帜、带队伍，党的建设全面强化。</w:t>
      </w:r>
    </w:p>
    <w:p>
      <w:pPr>
        <w:spacing w:line="600" w:lineRule="exact"/>
        <w:ind w:right="-210" w:rightChars="-100"/>
        <w:rPr>
          <w:rFonts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坚持政治第一。</w:t>
      </w:r>
      <w:r>
        <w:rPr>
          <w:rFonts w:hint="eastAsia" w:ascii="仿宋_GB2312" w:hAnsi="仿宋_GB2312" w:eastAsia="仿宋_GB2312" w:cs="仿宋_GB2312"/>
          <w:sz w:val="32"/>
          <w:szCs w:val="32"/>
          <w:highlight w:val="none"/>
        </w:rPr>
        <w:t>始终把党的政治建设摆在首位，学懂弄通做实习近平新时代中国特色社会主义思想，深入学习贯彻习近平总书记系列重要讲话精神，增强“四个意识”、坚定“四个自信”、坚决做到“两个维护”。制定《2021年理论学习中心组学习计划》，组织集体学习</w:t>
      </w:r>
      <w:r>
        <w:rPr>
          <w:rFonts w:ascii="仿宋_GB2312" w:hAnsi="仿宋_GB2312" w:eastAsia="仿宋_GB2312" w:cs="仿宋_GB2312"/>
          <w:sz w:val="32"/>
          <w:szCs w:val="32"/>
          <w:highlight w:val="none"/>
        </w:rPr>
        <w:t>10</w:t>
      </w:r>
      <w:r>
        <w:rPr>
          <w:rFonts w:hint="eastAsia" w:ascii="仿宋_GB2312" w:hAnsi="仿宋_GB2312" w:eastAsia="仿宋_GB2312" w:cs="仿宋_GB2312"/>
          <w:sz w:val="32"/>
          <w:szCs w:val="32"/>
          <w:highlight w:val="none"/>
        </w:rPr>
        <w:t>次，研讨交流</w:t>
      </w:r>
      <w:r>
        <w:rPr>
          <w:rFonts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rPr>
        <w:t xml:space="preserve">次，撰写学习体会 </w:t>
      </w: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0 余篇。</w:t>
      </w:r>
      <w:r>
        <w:rPr>
          <w:rFonts w:hint="eastAsia" w:ascii="仿宋_GB2312" w:hAnsi="楷体" w:eastAsia="仿宋_GB2312" w:cs="楷体"/>
          <w:b/>
          <w:bCs/>
          <w:color w:val="000000" w:themeColor="text1"/>
          <w:sz w:val="32"/>
          <w:szCs w:val="32"/>
          <w:highlight w:val="none"/>
        </w:rPr>
        <w:t>全面从严治党</w:t>
      </w:r>
      <w:r>
        <w:rPr>
          <w:rFonts w:hint="eastAsia" w:ascii="仿宋_GB2312" w:eastAsia="仿宋_GB2312"/>
          <w:b/>
          <w:color w:val="000000" w:themeColor="text1"/>
          <w:sz w:val="32"/>
          <w:szCs w:val="32"/>
          <w:highlight w:val="none"/>
        </w:rPr>
        <w:t>。</w:t>
      </w:r>
      <w:r>
        <w:rPr>
          <w:rFonts w:hint="eastAsia" w:ascii="仿宋_GB2312" w:eastAsia="仿宋_GB2312"/>
          <w:color w:val="000000" w:themeColor="text1"/>
          <w:sz w:val="32"/>
          <w:szCs w:val="32"/>
          <w:highlight w:val="none"/>
        </w:rPr>
        <w:t>调整落实全面从严治党主体责任领导分工，研究制定《2021年党建工作要点》《局领导班子落实全面从严治党主体责任“两个清单”》，签订责任书，制定出台《绩效考核实施办法》等系列文件，扎紧制度的“笼子”，严明铁的纪律。</w:t>
      </w:r>
      <w:r>
        <w:rPr>
          <w:rFonts w:hint="eastAsia" w:ascii="仿宋_GB2312" w:eastAsia="仿宋_GB2312"/>
          <w:b/>
          <w:color w:val="000000" w:themeColor="text1"/>
          <w:sz w:val="32"/>
          <w:szCs w:val="32"/>
          <w:highlight w:val="none"/>
        </w:rPr>
        <w:t>开展专项整治。</w:t>
      </w:r>
      <w:r>
        <w:rPr>
          <w:rFonts w:hint="eastAsia" w:ascii="仿宋_GB2312" w:eastAsia="仿宋_GB2312"/>
          <w:color w:val="000000" w:themeColor="text1"/>
          <w:sz w:val="32"/>
          <w:szCs w:val="32"/>
          <w:highlight w:val="none"/>
        </w:rPr>
        <w:t>坚持 “四风”整治常态化，开展“小金库”“窗口腐败”专项整治。经常性以案示警，利用例会、党员大会进行典型案例示警教育，对苗头性问题开展廉政家访，利用身边人和事开展以案释纪、以案释法，</w:t>
      </w:r>
      <w:r>
        <w:rPr>
          <w:rFonts w:ascii="仿宋_GB2312" w:eastAsia="仿宋_GB2312"/>
          <w:color w:val="000000" w:themeColor="text1"/>
          <w:sz w:val="32"/>
          <w:szCs w:val="32"/>
          <w:highlight w:val="none"/>
        </w:rPr>
        <w:t>把政务违</w:t>
      </w:r>
      <w:r>
        <w:rPr>
          <w:rFonts w:hint="eastAsia" w:ascii="仿宋_GB2312" w:eastAsia="仿宋_GB2312"/>
          <w:color w:val="000000" w:themeColor="text1"/>
          <w:sz w:val="32"/>
          <w:szCs w:val="32"/>
          <w:highlight w:val="none"/>
        </w:rPr>
        <w:t>纪</w:t>
      </w:r>
      <w:r>
        <w:rPr>
          <w:rFonts w:ascii="仿宋_GB2312" w:eastAsia="仿宋_GB2312"/>
          <w:color w:val="000000" w:themeColor="text1"/>
          <w:sz w:val="32"/>
          <w:szCs w:val="32"/>
          <w:highlight w:val="none"/>
        </w:rPr>
        <w:t>具体情形讲清楚，把法律规定的红线底线讲明白</w:t>
      </w:r>
      <w:r>
        <w:rPr>
          <w:rFonts w:hint="eastAsia" w:ascii="仿宋_GB2312" w:eastAsia="仿宋_GB2312"/>
          <w:color w:val="000000" w:themeColor="text1"/>
          <w:sz w:val="32"/>
          <w:szCs w:val="32"/>
          <w:highlight w:val="none"/>
        </w:rPr>
        <w:t>，</w:t>
      </w:r>
      <w:r>
        <w:rPr>
          <w:rFonts w:ascii="仿宋_GB2312" w:eastAsia="仿宋_GB2312"/>
          <w:color w:val="000000" w:themeColor="text1"/>
          <w:sz w:val="32"/>
          <w:szCs w:val="32"/>
          <w:highlight w:val="none"/>
        </w:rPr>
        <w:t>立标尺，划红线</w:t>
      </w:r>
      <w:r>
        <w:rPr>
          <w:rFonts w:hint="eastAsia" w:ascii="仿宋_GB2312" w:eastAsia="仿宋_GB2312"/>
          <w:color w:val="000000" w:themeColor="text1"/>
          <w:sz w:val="32"/>
          <w:szCs w:val="32"/>
          <w:highlight w:val="none"/>
        </w:rPr>
        <w:t>，减存量，抑增量。</w:t>
      </w:r>
      <w:r>
        <w:rPr>
          <w:rFonts w:hint="eastAsia" w:ascii="仿宋_GB2312" w:eastAsia="仿宋_GB2312"/>
          <w:b/>
          <w:bCs/>
          <w:color w:val="000000" w:themeColor="text1"/>
          <w:sz w:val="32"/>
          <w:szCs w:val="32"/>
          <w:highlight w:val="none"/>
        </w:rPr>
        <w:t>强化理论武装。</w:t>
      </w:r>
      <w:r>
        <w:rPr>
          <w:rFonts w:hint="eastAsia" w:ascii="仿宋_GB2312" w:eastAsia="仿宋_GB2312"/>
          <w:color w:val="000000" w:themeColor="text1"/>
          <w:sz w:val="32"/>
          <w:szCs w:val="32"/>
          <w:highlight w:val="none"/>
        </w:rPr>
        <w:t>开展“党史”教育，成立组织机构，制定实施方案，专题学习8次，研讨交流3次，撰写党史学习心得40余篇。以“我为群众办实事”为载体，</w:t>
      </w:r>
      <w:r>
        <w:rPr>
          <w:rFonts w:hint="eastAsia" w:ascii="仿宋_GB2312" w:hAnsi="仿宋_GB2312" w:eastAsia="仿宋_GB2312" w:cs="仿宋_GB2312"/>
          <w:color w:val="000000" w:themeColor="text1"/>
          <w:sz w:val="32"/>
          <w:szCs w:val="32"/>
          <w:highlight w:val="none"/>
        </w:rPr>
        <w:t>把办实事、解难题贯穿党史学习教育全过程，</w:t>
      </w:r>
      <w:r>
        <w:rPr>
          <w:rFonts w:hint="eastAsia" w:ascii="仿宋_GB2312" w:eastAsia="仿宋_GB2312"/>
          <w:color w:val="000000" w:themeColor="text1"/>
          <w:sz w:val="32"/>
          <w:szCs w:val="32"/>
          <w:highlight w:val="none"/>
        </w:rPr>
        <w:t>开展实践活动</w:t>
      </w:r>
      <w:r>
        <w:rPr>
          <w:rFonts w:ascii="仿宋_GB2312" w:eastAsia="仿宋_GB2312"/>
          <w:color w:val="000000" w:themeColor="text1"/>
          <w:sz w:val="32"/>
          <w:szCs w:val="32"/>
          <w:highlight w:val="none"/>
        </w:rPr>
        <w:t>26</w:t>
      </w:r>
      <w:r>
        <w:rPr>
          <w:rFonts w:hint="eastAsia" w:ascii="仿宋_GB2312" w:eastAsia="仿宋_GB2312"/>
          <w:color w:val="000000" w:themeColor="text1"/>
          <w:sz w:val="32"/>
          <w:szCs w:val="32"/>
          <w:highlight w:val="none"/>
        </w:rPr>
        <w:t>次，其中举办</w:t>
      </w:r>
      <w:r>
        <w:rPr>
          <w:rFonts w:ascii="仿宋_GB2312" w:eastAsia="仿宋_GB2312"/>
          <w:color w:val="000000" w:themeColor="text1"/>
          <w:sz w:val="32"/>
          <w:szCs w:val="32"/>
          <w:highlight w:val="none"/>
        </w:rPr>
        <w:t>9</w:t>
      </w:r>
      <w:r>
        <w:rPr>
          <w:rFonts w:hint="eastAsia" w:ascii="仿宋_GB2312" w:eastAsia="仿宋_GB2312"/>
          <w:color w:val="000000" w:themeColor="text1"/>
          <w:sz w:val="32"/>
          <w:szCs w:val="32"/>
          <w:highlight w:val="none"/>
        </w:rPr>
        <w:t>次服务企业、</w:t>
      </w:r>
      <w:r>
        <w:rPr>
          <w:rFonts w:ascii="仿宋_GB2312" w:eastAsia="仿宋_GB2312"/>
          <w:color w:val="000000" w:themeColor="text1"/>
          <w:sz w:val="32"/>
          <w:szCs w:val="32"/>
          <w:highlight w:val="none"/>
        </w:rPr>
        <w:t>9</w:t>
      </w:r>
      <w:r>
        <w:rPr>
          <w:rFonts w:hint="eastAsia" w:ascii="仿宋_GB2312" w:eastAsia="仿宋_GB2312"/>
          <w:color w:val="000000" w:themeColor="text1"/>
          <w:sz w:val="32"/>
          <w:szCs w:val="32"/>
          <w:highlight w:val="none"/>
        </w:rPr>
        <w:t>次服务群众接待日活动，接待企业22家次、群众</w:t>
      </w:r>
      <w:r>
        <w:rPr>
          <w:rFonts w:ascii="仿宋_GB2312" w:eastAsia="仿宋_GB2312"/>
          <w:color w:val="000000" w:themeColor="text1"/>
          <w:sz w:val="32"/>
          <w:szCs w:val="32"/>
          <w:highlight w:val="none"/>
        </w:rPr>
        <w:t>36</w:t>
      </w:r>
      <w:r>
        <w:rPr>
          <w:rFonts w:hint="eastAsia" w:ascii="仿宋_GB2312" w:eastAsia="仿宋_GB2312"/>
          <w:color w:val="000000" w:themeColor="text1"/>
          <w:sz w:val="32"/>
          <w:szCs w:val="32"/>
          <w:highlight w:val="none"/>
        </w:rPr>
        <w:t>人次，当场</w:t>
      </w:r>
      <w:r>
        <w:rPr>
          <w:rFonts w:ascii="仿宋_GB2312" w:eastAsia="仿宋_GB2312"/>
          <w:color w:val="000000" w:themeColor="text1"/>
          <w:sz w:val="32"/>
          <w:szCs w:val="32"/>
          <w:highlight w:val="none"/>
        </w:rPr>
        <w:t>解决群众</w:t>
      </w:r>
      <w:r>
        <w:rPr>
          <w:rFonts w:hint="eastAsia" w:ascii="仿宋_GB2312" w:eastAsia="仿宋_GB2312"/>
          <w:color w:val="000000" w:themeColor="text1"/>
          <w:sz w:val="32"/>
          <w:szCs w:val="32"/>
          <w:highlight w:val="none"/>
        </w:rPr>
        <w:t>“</w:t>
      </w:r>
      <w:r>
        <w:rPr>
          <w:rFonts w:ascii="仿宋_GB2312" w:eastAsia="仿宋_GB2312"/>
          <w:color w:val="000000" w:themeColor="text1"/>
          <w:sz w:val="32"/>
          <w:szCs w:val="32"/>
          <w:highlight w:val="none"/>
        </w:rPr>
        <w:t>急难愁盼</w:t>
      </w:r>
      <w:r>
        <w:rPr>
          <w:rFonts w:hint="eastAsia" w:ascii="仿宋_GB2312" w:eastAsia="仿宋_GB2312"/>
          <w:color w:val="000000" w:themeColor="text1"/>
          <w:sz w:val="32"/>
          <w:szCs w:val="32"/>
          <w:highlight w:val="none"/>
        </w:rPr>
        <w:t>”</w:t>
      </w:r>
      <w:r>
        <w:rPr>
          <w:rFonts w:ascii="仿宋_GB2312" w:eastAsia="仿宋_GB2312"/>
          <w:color w:val="000000" w:themeColor="text1"/>
          <w:sz w:val="32"/>
          <w:szCs w:val="32"/>
          <w:highlight w:val="none"/>
        </w:rPr>
        <w:t>问题</w:t>
      </w:r>
      <w:r>
        <w:rPr>
          <w:rFonts w:hint="eastAsia" w:ascii="仿宋_GB2312" w:eastAsia="仿宋_GB2312"/>
          <w:color w:val="000000" w:themeColor="text1"/>
          <w:sz w:val="32"/>
          <w:szCs w:val="32"/>
          <w:highlight w:val="none"/>
        </w:rPr>
        <w:t>21个，协调处理问题11个。全年组织线上线下学习20余次，对标中央、省、市，学政治、学业务、学法律，与提升高水平生态环境保护首位能力相结合，抓作风，练内功，全力打造一支新时代生态环保铁军。</w:t>
      </w:r>
    </w:p>
    <w:p>
      <w:pPr>
        <w:spacing w:line="600" w:lineRule="exact"/>
        <w:ind w:left="-210" w:leftChars="-100" w:right="-210" w:rightChars="-100" w:firstLine="643" w:firstLineChars="200"/>
        <w:rPr>
          <w:rFonts w:ascii="仿宋_GB2312" w:hAnsi="仿宋_GB2312" w:eastAsia="仿宋_GB2312" w:cs="仿宋_GB2312"/>
          <w:sz w:val="32"/>
          <w:szCs w:val="32"/>
          <w:highlight w:val="none"/>
        </w:rPr>
      </w:pPr>
      <w:r>
        <w:rPr>
          <w:rFonts w:hint="eastAsia" w:ascii="楷体_GB2312" w:eastAsia="楷体_GB2312"/>
          <w:b/>
          <w:color w:val="000000" w:themeColor="text1"/>
          <w:sz w:val="32"/>
          <w:szCs w:val="32"/>
          <w:highlight w:val="none"/>
        </w:rPr>
        <w:t>（二）一年来，我们抓统筹、勤调度，蓝天保卫成效明显。</w:t>
      </w:r>
      <w:r>
        <w:rPr>
          <w:rFonts w:hint="eastAsia" w:ascii="仿宋_GB2312" w:hAnsi="仿宋_GB2312" w:eastAsia="仿宋_GB2312" w:cs="仿宋_GB2312"/>
          <w:b/>
          <w:sz w:val="32"/>
          <w:szCs w:val="32"/>
          <w:highlight w:val="none"/>
        </w:rPr>
        <w:t>统筹调度大气污染防治。</w:t>
      </w:r>
      <w:r>
        <w:rPr>
          <w:rFonts w:hint="eastAsia" w:ascii="仿宋_GB2312" w:hAnsi="仿宋_GB2312" w:eastAsia="仿宋_GB2312" w:cs="仿宋_GB2312"/>
          <w:sz w:val="32"/>
          <w:szCs w:val="32"/>
          <w:highlight w:val="none"/>
        </w:rPr>
        <w:t>召开大气、水、土壤污染防治专委会4次，召开秋冬季大气污染防治攻坚暨突出生态环境问题整改调度推进会2次，</w:t>
      </w:r>
      <w:r>
        <w:rPr>
          <w:rFonts w:hint="eastAsia" w:ascii="仿宋_GB2312" w:hAnsi="仿宋_GB2312" w:eastAsia="仿宋_GB2312" w:cs="仿宋_GB2312"/>
          <w:bCs/>
          <w:sz w:val="32"/>
          <w:szCs w:val="32"/>
          <w:highlight w:val="none"/>
        </w:rPr>
        <w:t>制定并实施</w:t>
      </w:r>
      <w:r>
        <w:rPr>
          <w:rFonts w:hint="eastAsia" w:ascii="仿宋_GB2312" w:hAnsi="仿宋_GB2312" w:eastAsia="仿宋_GB2312" w:cs="仿宋_GB2312"/>
          <w:sz w:val="32"/>
          <w:szCs w:val="32"/>
          <w:highlight w:val="none"/>
        </w:rPr>
        <w:t>《庐山市2021-2022年秋冬季大气污染防治攻坚行动方案》，环委办牵头协调，督办大气问题防治，大气专委会成员单位密切协作配合，形成“分工协作、齐抓共管”的工作格局。</w:t>
      </w:r>
      <w:r>
        <w:rPr>
          <w:rFonts w:hint="eastAsia" w:ascii="仿宋_GB2312" w:hAnsi="仿宋_GB2312" w:eastAsia="仿宋_GB2312" w:cs="仿宋_GB2312"/>
          <w:b/>
          <w:sz w:val="32"/>
          <w:szCs w:val="32"/>
          <w:highlight w:val="none"/>
        </w:rPr>
        <w:t>强化监督工业污染源。</w:t>
      </w:r>
      <w:r>
        <w:rPr>
          <w:rFonts w:hint="eastAsia" w:ascii="仿宋_GB2312" w:hAnsi="仿宋_GB2312" w:eastAsia="仿宋_GB2312" w:cs="仿宋_GB2312"/>
          <w:sz w:val="32"/>
          <w:szCs w:val="32"/>
          <w:highlight w:val="none"/>
        </w:rPr>
        <w:t>以涉气企业思麦博、轩庐家具、锐胜台球、鑫耀建材为重点，常态化开展废气治理设施检查，督导企业进行工艺改造、设备更新，完成了正杰工贸工业废气治理、轩庐家具等挥发性有机物（VOCs）治理设施改造。</w:t>
      </w:r>
      <w:r>
        <w:rPr>
          <w:rFonts w:hint="eastAsia" w:ascii="仿宋_GB2312" w:hAnsi="仿宋_GB2312" w:eastAsia="仿宋_GB2312" w:cs="仿宋_GB2312"/>
          <w:b/>
          <w:sz w:val="32"/>
          <w:szCs w:val="32"/>
          <w:highlight w:val="none"/>
        </w:rPr>
        <w:t>抓好抓实扬尘管控。</w:t>
      </w:r>
      <w:r>
        <w:rPr>
          <w:rFonts w:hint="eastAsia" w:ascii="仿宋_GB2312" w:hAnsi="仿宋_GB2312" w:eastAsia="仿宋_GB2312" w:cs="仿宋_GB2312"/>
          <w:sz w:val="32"/>
          <w:szCs w:val="32"/>
          <w:highlight w:val="none"/>
        </w:rPr>
        <w:t>加大道路扬尘管控和城市保洁力度，严查渣土运输车辆违法行为，部分路段中型及以上货车禁限行; 加大建筑工地、拆迁项目和收储地块等扬尘治理力度，严格执行“八个百分百”扬尘管控，保障各项扬尘防治措施正常使用；督促矿山企业按照“三合一”方案加快绿色矿山建设进度。</w:t>
      </w:r>
      <w:r>
        <w:rPr>
          <w:rFonts w:hint="eastAsia" w:ascii="仿宋_GB2312" w:hAnsi="仿宋_GB2312" w:eastAsia="仿宋_GB2312" w:cs="仿宋_GB2312"/>
          <w:b/>
          <w:sz w:val="32"/>
          <w:szCs w:val="32"/>
          <w:highlight w:val="none"/>
        </w:rPr>
        <w:t>抓好移动源污染管控。</w:t>
      </w:r>
      <w:r>
        <w:rPr>
          <w:rFonts w:hint="eastAsia" w:ascii="仿宋_GB2312" w:hAnsi="仿宋_GB2312" w:eastAsia="仿宋_GB2312" w:cs="仿宋_GB2312"/>
          <w:sz w:val="32"/>
          <w:szCs w:val="32"/>
          <w:highlight w:val="none"/>
        </w:rPr>
        <w:t>严查未登记申报环保编码入场作业机械及尾气超标机械，督促施工单位、物流园区、建筑工地签订使用、租赁尾气排放达标机械；不断推进和完善非道路移动机械摸底调查和编码登记工作，已发放牌照595个；</w:t>
      </w:r>
      <w:r>
        <w:rPr>
          <w:rFonts w:hint="eastAsia" w:ascii="仿宋_GB2312" w:hAnsi="仿宋_GB2312" w:eastAsia="仿宋_GB2312" w:cs="仿宋_GB2312"/>
          <w:color w:val="000000" w:themeColor="text1"/>
          <w:sz w:val="32"/>
          <w:szCs w:val="32"/>
          <w:highlight w:val="none"/>
        </w:rPr>
        <w:t>在重要道路布点安装黑烟抓拍系统3处，联合九江市生态环境局和交警、交通部门开展柴油货车尾气路检路查专项执法3次，设立白鹿镇环山公路上阳孟贵路口和鄱阳湖西大道高新科技园路口两个检查点，采用便携式尾气检测仪抽检车辆18辆，对1辆不达标车下达了《机动车排气污染限期改正告知单》，责令限期维修。</w:t>
      </w:r>
      <w:r>
        <w:rPr>
          <w:rFonts w:hint="eastAsia" w:ascii="仿宋_GB2312" w:hAnsi="仿宋_GB2312" w:eastAsia="仿宋_GB2312" w:cs="仿宋_GB2312"/>
          <w:b/>
          <w:sz w:val="32"/>
          <w:szCs w:val="32"/>
          <w:highlight w:val="none"/>
        </w:rPr>
        <w:t>抓好餐饮油烟监管。</w:t>
      </w:r>
      <w:r>
        <w:rPr>
          <w:rFonts w:hint="eastAsia" w:ascii="仿宋_GB2312" w:hAnsi="仿宋_GB2312" w:eastAsia="仿宋_GB2312" w:cs="仿宋_GB2312"/>
          <w:sz w:val="32"/>
          <w:szCs w:val="32"/>
          <w:highlight w:val="none"/>
        </w:rPr>
        <w:t>343家餐饮单位安装了油烟净化器。</w:t>
      </w:r>
      <w:r>
        <w:rPr>
          <w:rFonts w:hint="eastAsia" w:ascii="仿宋_GB2312" w:hAnsi="仿宋_GB2312" w:eastAsia="仿宋_GB2312" w:cs="仿宋_GB2312"/>
          <w:b/>
          <w:sz w:val="32"/>
          <w:szCs w:val="32"/>
          <w:highlight w:val="none"/>
        </w:rPr>
        <w:t>抓好露天焚烧管控。</w:t>
      </w:r>
      <w:r>
        <w:rPr>
          <w:rFonts w:hint="eastAsia" w:ascii="仿宋_GB2312" w:hAnsi="仿宋_GB2312" w:eastAsia="仿宋_GB2312" w:cs="仿宋_GB2312"/>
          <w:sz w:val="32"/>
          <w:szCs w:val="32"/>
          <w:highlight w:val="none"/>
        </w:rPr>
        <w:t>印发《关于做好农作物秸秆及垃圾杂物露天焚烧工作的通知》，督促乡镇落实秸秆焚烧属地责任，安排责任人在重点时段、重点区域进行盯守，及时制止野外焚烧行为，全年</w:t>
      </w:r>
      <w:r>
        <w:rPr>
          <w:rFonts w:hint="eastAsia" w:ascii="仿宋_GB2312" w:hAnsi="仿宋_GB2312" w:eastAsia="仿宋_GB2312" w:cs="仿宋_GB2312"/>
          <w:color w:val="000000" w:themeColor="text1"/>
          <w:sz w:val="32"/>
          <w:szCs w:val="32"/>
          <w:highlight w:val="none"/>
        </w:rPr>
        <w:t>处罚66起，罚款5.08万元。</w:t>
      </w:r>
    </w:p>
    <w:p>
      <w:pPr>
        <w:spacing w:line="600" w:lineRule="exact"/>
        <w:ind w:left="-210" w:leftChars="-100" w:right="-210" w:rightChars="-100" w:firstLine="643" w:firstLineChars="200"/>
        <w:rPr>
          <w:rFonts w:ascii="仿宋_GB2312" w:hAnsi="仿宋_GB2312" w:eastAsia="仿宋_GB2312" w:cs="仿宋_GB2312"/>
          <w:sz w:val="32"/>
          <w:szCs w:val="32"/>
          <w:highlight w:val="none"/>
        </w:rPr>
      </w:pPr>
      <w:r>
        <w:rPr>
          <w:rFonts w:hint="eastAsia" w:ascii="楷体_GB2312" w:eastAsia="楷体_GB2312"/>
          <w:b/>
          <w:color w:val="000000" w:themeColor="text1"/>
          <w:sz w:val="32"/>
          <w:szCs w:val="32"/>
          <w:highlight w:val="none"/>
        </w:rPr>
        <w:t>（三）一年来，我们施良策、强治理，碧水攻坚取得突破。</w:t>
      </w:r>
      <w:r>
        <w:rPr>
          <w:rFonts w:hint="eastAsia" w:ascii="仿宋_GB2312" w:hAnsi="仿宋_GB2312" w:eastAsia="仿宋_GB2312" w:cs="仿宋_GB2312"/>
          <w:b/>
          <w:sz w:val="32"/>
          <w:szCs w:val="32"/>
          <w:highlight w:val="none"/>
        </w:rPr>
        <w:t>饮用水安全得到</w:t>
      </w:r>
      <w:r>
        <w:rPr>
          <w:rFonts w:hint="eastAsia" w:ascii="仿宋_GB2312" w:hAnsi="仿宋_GB2312" w:eastAsia="仿宋_GB2312" w:cs="仿宋_GB2312"/>
          <w:b/>
          <w:sz w:val="32"/>
          <w:szCs w:val="32"/>
          <w:highlight w:val="none"/>
          <w:lang w:eastAsia="zh-CN"/>
        </w:rPr>
        <w:t>有力</w:t>
      </w:r>
      <w:r>
        <w:rPr>
          <w:rFonts w:hint="eastAsia" w:ascii="仿宋_GB2312" w:hAnsi="仿宋_GB2312" w:eastAsia="仿宋_GB2312" w:cs="仿宋_GB2312"/>
          <w:b/>
          <w:sz w:val="32"/>
          <w:szCs w:val="32"/>
          <w:highlight w:val="none"/>
        </w:rPr>
        <w:t>保障。</w:t>
      </w:r>
      <w:r>
        <w:rPr>
          <w:rFonts w:hint="eastAsia" w:ascii="仿宋_GB2312" w:hAnsi="仿宋_GB2312" w:eastAsia="仿宋_GB2312" w:cs="仿宋_GB2312"/>
          <w:sz w:val="32"/>
          <w:szCs w:val="32"/>
          <w:highlight w:val="none"/>
        </w:rPr>
        <w:t>组织开展县级以下水源地环境保护专项行动，对集中式饮用水源地定期巡查；鄱阳湖型砂厂取水口水源地水质实时自动监测，数据联网上传到省生态环境厅平台。</w:t>
      </w:r>
      <w:r>
        <w:rPr>
          <w:rFonts w:hint="eastAsia" w:ascii="仿宋_GB2312" w:hAnsi="仿宋_GB2312" w:eastAsia="仿宋_GB2312" w:cs="仿宋_GB2312"/>
          <w:b/>
          <w:sz w:val="32"/>
          <w:szCs w:val="32"/>
          <w:highlight w:val="none"/>
        </w:rPr>
        <w:t>入河排污口整治</w:t>
      </w:r>
      <w:r>
        <w:rPr>
          <w:rFonts w:hint="eastAsia" w:ascii="仿宋_GB2312" w:hAnsi="仿宋_GB2312" w:eastAsia="仿宋_GB2312" w:cs="仿宋_GB2312"/>
          <w:b/>
          <w:sz w:val="32"/>
          <w:szCs w:val="32"/>
          <w:highlight w:val="none"/>
          <w:lang w:eastAsia="zh-CN"/>
        </w:rPr>
        <w:t>施策</w:t>
      </w:r>
      <w:r>
        <w:rPr>
          <w:rFonts w:hint="eastAsia" w:ascii="仿宋_GB2312" w:hAnsi="仿宋_GB2312" w:eastAsia="仿宋_GB2312" w:cs="仿宋_GB2312"/>
          <w:b/>
          <w:sz w:val="32"/>
          <w:szCs w:val="32"/>
          <w:highlight w:val="none"/>
        </w:rPr>
        <w:t>精准。</w:t>
      </w:r>
      <w:r>
        <w:rPr>
          <w:rFonts w:hint="eastAsia" w:ascii="仿宋_GB2312" w:hAnsi="仿宋_GB2312" w:eastAsia="仿宋_GB2312" w:cs="仿宋_GB2312"/>
          <w:sz w:val="32"/>
          <w:szCs w:val="32"/>
          <w:highlight w:val="none"/>
        </w:rPr>
        <w:t>鄱阳湖110公里的岸线共排查出62个入河排口，其中地表径流49个，企业和污水处理设施排污口10个、城区生活污水和雨水混合排污口3个，</w:t>
      </w:r>
      <w:r>
        <w:rPr>
          <w:rFonts w:hint="eastAsia" w:ascii="仿宋_GB2312" w:hAnsi="仿宋_GB2312" w:eastAsia="仿宋_GB2312" w:cs="仿宋_GB2312"/>
          <w:sz w:val="32"/>
          <w:szCs w:val="32"/>
          <w:highlight w:val="none"/>
          <w:lang w:eastAsia="zh-CN"/>
        </w:rPr>
        <w:t>按“一口一策”</w:t>
      </w:r>
      <w:r>
        <w:rPr>
          <w:rFonts w:hint="eastAsia" w:ascii="仿宋_GB2312" w:hAnsi="仿宋_GB2312" w:eastAsia="仿宋_GB2312" w:cs="仿宋_GB2312"/>
          <w:sz w:val="32"/>
          <w:szCs w:val="32"/>
          <w:highlight w:val="none"/>
        </w:rPr>
        <w:t>全部列入整治，目前已完成整治12个，南康镇紫阳堤入河排污口正在实施；我市9个入河排污口分类、命名、编码工作全部完成，并参照《长江、黄河和渤海入海（河）排污口标志牌设置规则（试行）》设置排污口标志牌和二维码信息；对星子断面上游5公里范围内16个入河排污口，蚌湖断面上游5公里范围内3个入河排污口进行排查、采样检测，建立台账清单。</w:t>
      </w:r>
      <w:r>
        <w:rPr>
          <w:rFonts w:hint="eastAsia" w:ascii="仿宋_GB2312" w:hAnsi="仿宋_GB2312" w:eastAsia="仿宋_GB2312" w:cs="仿宋_GB2312"/>
          <w:b/>
          <w:sz w:val="32"/>
          <w:szCs w:val="32"/>
          <w:highlight w:val="none"/>
        </w:rPr>
        <w:t>鄱阳湖水</w:t>
      </w:r>
      <w:r>
        <w:rPr>
          <w:rFonts w:hint="eastAsia" w:ascii="仿宋_GB2312" w:hAnsi="仿宋_GB2312" w:eastAsia="仿宋_GB2312" w:cs="仿宋_GB2312"/>
          <w:b/>
          <w:sz w:val="32"/>
          <w:szCs w:val="32"/>
          <w:highlight w:val="none"/>
          <w:lang w:eastAsia="zh-CN"/>
        </w:rPr>
        <w:t>环境治理</w:t>
      </w:r>
      <w:r>
        <w:rPr>
          <w:rFonts w:hint="eastAsia" w:ascii="仿宋_GB2312" w:hAnsi="仿宋_GB2312" w:eastAsia="仿宋_GB2312" w:cs="仿宋_GB2312"/>
          <w:b/>
          <w:sz w:val="32"/>
          <w:szCs w:val="32"/>
          <w:highlight w:val="none"/>
        </w:rPr>
        <w:t>有效</w:t>
      </w:r>
      <w:r>
        <w:rPr>
          <w:rFonts w:hint="eastAsia" w:ascii="仿宋_GB2312" w:hAnsi="仿宋_GB2312" w:eastAsia="仿宋_GB2312" w:cs="仿宋_GB2312"/>
          <w:b/>
          <w:sz w:val="32"/>
          <w:szCs w:val="32"/>
          <w:highlight w:val="none"/>
          <w:lang w:eastAsia="zh-CN"/>
        </w:rPr>
        <w:t>管控</w:t>
      </w: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eastAsia="zh-CN"/>
        </w:rPr>
        <w:t>一是</w:t>
      </w:r>
      <w:r>
        <w:rPr>
          <w:rFonts w:hint="eastAsia" w:ascii="仿宋_GB2312" w:hAnsi="仿宋_GB2312" w:eastAsia="仿宋_GB2312" w:cs="仿宋_GB2312"/>
          <w:b/>
          <w:bCs/>
          <w:sz w:val="32"/>
          <w:szCs w:val="32"/>
          <w:highlight w:val="none"/>
          <w:lang w:eastAsia="zh-CN"/>
        </w:rPr>
        <w:t>高位</w:t>
      </w:r>
      <w:r>
        <w:rPr>
          <w:rFonts w:hint="eastAsia" w:ascii="仿宋_GB2312" w:hAnsi="仿宋_GB2312" w:eastAsia="仿宋_GB2312" w:cs="仿宋_GB2312"/>
          <w:b/>
          <w:bCs/>
          <w:sz w:val="32"/>
          <w:szCs w:val="32"/>
          <w:highlight w:val="none"/>
        </w:rPr>
        <w:t>推动</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lang w:eastAsia="zh-CN"/>
        </w:rPr>
        <w:t>出台</w:t>
      </w:r>
      <w:r>
        <w:rPr>
          <w:rFonts w:hint="eastAsia" w:ascii="仿宋_GB2312" w:hAnsi="仿宋_GB2312" w:eastAsia="仿宋_GB2312" w:cs="仿宋_GB2312"/>
          <w:color w:val="000000" w:themeColor="text1"/>
          <w:sz w:val="32"/>
          <w:szCs w:val="32"/>
          <w:highlight w:val="none"/>
        </w:rPr>
        <w:t>《鄱阳湖蚌湖断面庐山市段水质改善整改方案》（庐环委字〔2020〕1号）持续攻坚，将任务清单落实到各乡镇和责任部门；</w:t>
      </w:r>
      <w:r>
        <w:rPr>
          <w:rFonts w:hint="eastAsia" w:ascii="仿宋_GB2312" w:hAnsi="仿宋_GB2312" w:eastAsia="仿宋_GB2312" w:cs="仿宋_GB2312"/>
          <w:b/>
          <w:bCs/>
          <w:color w:val="000000" w:themeColor="text1"/>
          <w:sz w:val="32"/>
          <w:szCs w:val="32"/>
          <w:highlight w:val="none"/>
          <w:lang w:eastAsia="zh-CN"/>
        </w:rPr>
        <w:t>二是精准溯源</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布设乡（镇）界断面15个和蚌湖流域断面9个，实行周监测周通报，有效监控排入鄱阳湖各水系的水质情况，全年发布《蚌湖断面周边水系水质通报》33期、《全市环境质量状况通报》11期。</w:t>
      </w:r>
      <w:r>
        <w:rPr>
          <w:rFonts w:hint="eastAsia" w:ascii="仿宋_GB2312" w:hAnsi="仿宋_GB2312" w:eastAsia="仿宋_GB2312" w:cs="仿宋_GB2312"/>
          <w:b/>
          <w:bCs/>
          <w:color w:val="000000" w:themeColor="text1"/>
          <w:sz w:val="32"/>
          <w:szCs w:val="32"/>
          <w:highlight w:val="none"/>
          <w:lang w:eastAsia="zh-CN"/>
        </w:rPr>
        <w:t>三是重点整治</w:t>
      </w:r>
      <w:r>
        <w:rPr>
          <w:rFonts w:hint="eastAsia" w:ascii="仿宋_GB2312" w:hAnsi="仿宋_GB2312" w:eastAsia="仿宋_GB2312" w:cs="仿宋_GB2312"/>
          <w:b w:val="0"/>
          <w:bCs w:val="0"/>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rPr>
        <w:t>投资435万元的水源地保护规范化建设项目全面启动，投资355万元的农村黑臭水体项目正在实施，投资3.5亿元的污水治理“城乡一体化”工程有序推进。</w:t>
      </w:r>
    </w:p>
    <w:p>
      <w:pPr>
        <w:spacing w:line="600" w:lineRule="exact"/>
        <w:ind w:left="-210" w:leftChars="-100" w:right="-210" w:rightChars="-100" w:firstLine="643" w:firstLineChars="200"/>
        <w:rPr>
          <w:rFonts w:ascii="仿宋_GB2312" w:hAnsi="仿宋_GB2312" w:eastAsia="仿宋_GB2312" w:cs="仿宋_GB2312"/>
          <w:sz w:val="32"/>
          <w:szCs w:val="32"/>
          <w:highlight w:val="none"/>
        </w:rPr>
      </w:pPr>
      <w:r>
        <w:rPr>
          <w:rFonts w:hint="eastAsia" w:ascii="楷体_GB2312" w:eastAsia="楷体_GB2312"/>
          <w:b/>
          <w:color w:val="000000" w:themeColor="text1"/>
          <w:sz w:val="32"/>
          <w:szCs w:val="32"/>
          <w:highlight w:val="none"/>
        </w:rPr>
        <w:t>（四）一年来，我们稳基础、盯重点，净土守卫扎实推进。</w:t>
      </w:r>
      <w:r>
        <w:rPr>
          <w:rFonts w:hint="eastAsia" w:ascii="仿宋_GB2312" w:hAnsi="仿宋_GB2312" w:eastAsia="仿宋_GB2312" w:cs="仿宋_GB2312"/>
          <w:b/>
          <w:sz w:val="32"/>
          <w:szCs w:val="32"/>
          <w:highlight w:val="none"/>
        </w:rPr>
        <w:t>完成农用地污染防治专项行动。</w:t>
      </w:r>
      <w:r>
        <w:rPr>
          <w:rFonts w:hint="eastAsia" w:ascii="仿宋_GB2312" w:hAnsi="仿宋_GB2312" w:eastAsia="仿宋_GB2312" w:cs="仿宋_GB2312"/>
          <w:sz w:val="32"/>
          <w:szCs w:val="32"/>
          <w:highlight w:val="none"/>
        </w:rPr>
        <w:t>根据《2021年庐山市农用地污染防治工作要点》，完成了今年3个农村环境综合整治、2个农村黑臭水体治理工作任务。</w:t>
      </w:r>
      <w:r>
        <w:rPr>
          <w:rFonts w:hint="eastAsia" w:ascii="仿宋_GB2312" w:hAnsi="仿宋_GB2312" w:eastAsia="仿宋_GB2312" w:cs="仿宋_GB2312"/>
          <w:color w:val="000000" w:themeColor="text1"/>
          <w:sz w:val="32"/>
          <w:szCs w:val="32"/>
          <w:highlight w:val="none"/>
        </w:rPr>
        <w:t>我市废弃矿山共37座，损毁面积203.13公顷，目前已完成修复面积163.76公顷</w:t>
      </w:r>
      <w:r>
        <w:rPr>
          <w:rFonts w:hint="eastAsia" w:ascii="仿宋_GB2312" w:hAnsi="仿宋_GB2312" w:eastAsia="仿宋_GB2312" w:cs="仿宋_GB2312"/>
          <w:color w:val="000000" w:themeColor="text1"/>
          <w:sz w:val="32"/>
          <w:szCs w:val="32"/>
          <w:highlight w:val="none"/>
          <w:lang w:eastAsia="zh-CN"/>
        </w:rPr>
        <w:t>，会同自然资源部门对</w:t>
      </w:r>
      <w:r>
        <w:rPr>
          <w:rFonts w:hint="eastAsia" w:ascii="仿宋_GB2312" w:hAnsi="仿宋_GB2312" w:eastAsia="仿宋_GB2312" w:cs="仿宋_GB2312"/>
          <w:color w:val="000000" w:themeColor="text1"/>
          <w:sz w:val="32"/>
          <w:szCs w:val="32"/>
          <w:highlight w:val="none"/>
          <w:lang w:val="en-US" w:eastAsia="zh-CN"/>
        </w:rPr>
        <w:t>6家矿山进行了信访问题实地核查，10个信访问题全面整改完成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sz w:val="32"/>
          <w:szCs w:val="32"/>
          <w:highlight w:val="none"/>
        </w:rPr>
        <w:t>完成建设用地污染防治专项行动。</w:t>
      </w:r>
      <w:r>
        <w:rPr>
          <w:rFonts w:hint="eastAsia" w:ascii="仿宋_GB2312" w:hAnsi="仿宋_GB2312" w:eastAsia="仿宋_GB2312" w:cs="仿宋_GB2312"/>
          <w:sz w:val="32"/>
          <w:szCs w:val="32"/>
          <w:highlight w:val="none"/>
        </w:rPr>
        <w:t>按照省生态环境厅会同省自然资源厅对部分污染地块（含疑似）再开发情况进行抽查核实要求，将江西劲能科技电子有限公司纳入全国污染地块土壤环境管理系统；与庐山市应急管理局开展尾矿库风险隐患排查工作，未发现涉镉、铊、钼、锑等重金属尾矿库。</w:t>
      </w:r>
      <w:r>
        <w:rPr>
          <w:rFonts w:hint="eastAsia" w:ascii="仿宋_GB2312" w:hAnsi="仿宋_GB2312" w:eastAsia="仿宋_GB2312" w:cs="仿宋_GB2312"/>
          <w:b/>
          <w:sz w:val="32"/>
          <w:szCs w:val="32"/>
          <w:highlight w:val="none"/>
        </w:rPr>
        <w:t>危险废物处置严查严防。</w:t>
      </w:r>
      <w:r>
        <w:rPr>
          <w:rFonts w:hint="eastAsia" w:ascii="仿宋_GB2312" w:hAnsi="仿宋_GB2312" w:eastAsia="仿宋_GB2312" w:cs="仿宋_GB2312"/>
          <w:sz w:val="32"/>
          <w:szCs w:val="32"/>
          <w:highlight w:val="none"/>
        </w:rPr>
        <w:t>按照《庐山市危险废物等安全专项整治三年行动实施方案》要求，核查7个重点行业企业用地土壤污染状况，完成3家省市危险废物重点企业及6家县级危险废物重点企业危险废物产生量与实际产生量的对比检查；聚焦废铅酸蓄电池产生、收集、利用、处置环节，重点对10家机动车维修企业、2家废品回收站、3家废铅酸蓄电池集中收集试点单位开展了废铅酸蓄电池收集、处置专项检查，逐一核实废铅酸蓄电池来源、产生量、去向，落实企业环保主体责任;组织开展机动车维修企业危险废物处置检查，应纳尽纳，全部进入江西省危险废物监管平台管理，分期培训，培训160人次。</w:t>
      </w:r>
      <w:r>
        <w:rPr>
          <w:rFonts w:hint="eastAsia" w:ascii="仿宋_GB2312" w:hAnsi="仿宋_GB2312" w:eastAsia="仿宋_GB2312" w:cs="仿宋_GB2312"/>
          <w:b/>
          <w:sz w:val="32"/>
          <w:szCs w:val="32"/>
          <w:highlight w:val="none"/>
        </w:rPr>
        <w:t>加强医疗卫生机构专项检查。</w:t>
      </w:r>
      <w:r>
        <w:rPr>
          <w:rFonts w:hint="eastAsia" w:ascii="仿宋_GB2312" w:hAnsi="仿宋_GB2312" w:eastAsia="仿宋_GB2312" w:cs="仿宋_GB2312"/>
          <w:sz w:val="32"/>
          <w:szCs w:val="32"/>
          <w:highlight w:val="none"/>
        </w:rPr>
        <w:t>每周2次对疫情防控隔离点、重点医院巡查，落实科学规范管理、处置相关医疗废物要求，确保疫情防控期间医疗废物得到及时、有序、高效、无害化处置，筑牢环境安全防线。</w:t>
      </w:r>
    </w:p>
    <w:p>
      <w:pPr>
        <w:spacing w:line="600" w:lineRule="exact"/>
        <w:ind w:left="-210" w:leftChars="-100" w:right="-210" w:rightChars="-100" w:firstLine="643" w:firstLineChars="200"/>
        <w:rPr>
          <w:rFonts w:ascii="仿宋_GB2312" w:hAnsi="仿宋_GB2312" w:eastAsia="仿宋_GB2312" w:cs="仿宋_GB2312"/>
          <w:color w:val="000000" w:themeColor="text1"/>
          <w:sz w:val="32"/>
          <w:szCs w:val="32"/>
          <w:highlight w:val="none"/>
        </w:rPr>
      </w:pPr>
      <w:r>
        <w:rPr>
          <w:rFonts w:hint="eastAsia" w:ascii="楷体_GB2312" w:eastAsia="楷体_GB2312"/>
          <w:b/>
          <w:color w:val="000000" w:themeColor="text1"/>
          <w:sz w:val="32"/>
          <w:szCs w:val="32"/>
          <w:highlight w:val="none"/>
        </w:rPr>
        <w:t>（五）一年来，我们严起来、敢亮剑，环境执法迈出新步。</w:t>
      </w:r>
      <w:r>
        <w:rPr>
          <w:rFonts w:hint="eastAsia" w:ascii="仿宋_GB2312" w:eastAsia="仿宋_GB2312"/>
          <w:b/>
          <w:color w:val="000000" w:themeColor="text1"/>
          <w:sz w:val="32"/>
          <w:szCs w:val="32"/>
          <w:highlight w:val="none"/>
        </w:rPr>
        <w:t>实施六大领域专项整治。</w:t>
      </w:r>
      <w:r>
        <w:rPr>
          <w:rFonts w:hint="eastAsia" w:ascii="仿宋_GB2312" w:eastAsia="仿宋_GB2312"/>
          <w:color w:val="000000" w:themeColor="text1"/>
          <w:sz w:val="32"/>
          <w:szCs w:val="32"/>
          <w:highlight w:val="none"/>
        </w:rPr>
        <w:t>在原有网格化监管基础上，进一步延伸细化行业监管触角，分领域按行业台账式管理。共建立 “散乱污”企业清理整治台账；建立47户</w:t>
      </w:r>
      <w:r>
        <w:rPr>
          <w:rFonts w:hint="eastAsia" w:ascii="仿宋_GB2312" w:hAnsi="微软雅黑" w:eastAsia="仿宋_GB2312"/>
          <w:color w:val="000000" w:themeColor="text1"/>
          <w:sz w:val="32"/>
          <w:szCs w:val="32"/>
          <w:highlight w:val="none"/>
        </w:rPr>
        <w:t>畜禽养殖业</w:t>
      </w:r>
      <w:r>
        <w:rPr>
          <w:rFonts w:hint="eastAsia" w:ascii="仿宋_GB2312" w:eastAsia="仿宋_GB2312"/>
          <w:color w:val="000000" w:themeColor="text1"/>
          <w:sz w:val="32"/>
          <w:szCs w:val="32"/>
          <w:highlight w:val="none"/>
        </w:rPr>
        <w:t>基础工作管理台账；对辖区21家加油站建立了一站一档监管台账资料；开展汽车修理行业专项清查，全市大小66家修理厂（店）全部建档纳入监管；全市挥发性有机物（VOCs）排放企业12家纳入监管。对全市企业</w:t>
      </w:r>
      <w:r>
        <w:rPr>
          <w:rFonts w:hint="eastAsia" w:ascii="仿宋_GB2312" w:hAnsi="仿宋_GB2312" w:eastAsia="仿宋_GB2312" w:cs="仿宋_GB2312"/>
          <w:color w:val="000000" w:themeColor="text1"/>
          <w:sz w:val="32"/>
          <w:szCs w:val="32"/>
          <w:highlight w:val="none"/>
        </w:rPr>
        <w:t>全面压实红黄牌警示和A、B、C类管理，10家企业列入黄牌警示，划分绿色（A）144家、蓝色（B）１家、黄色（C）5家。</w:t>
      </w:r>
      <w:r>
        <w:rPr>
          <w:rFonts w:hint="eastAsia" w:ascii="仿宋_GB2312" w:hAnsi="仿宋_GB2312" w:eastAsia="仿宋_GB2312" w:cs="仿宋_GB2312"/>
          <w:b/>
          <w:color w:val="000000" w:themeColor="text1"/>
          <w:sz w:val="32"/>
          <w:szCs w:val="32"/>
          <w:highlight w:val="none"/>
        </w:rPr>
        <w:t>实施“夜鹰”专项执法行动。</w:t>
      </w:r>
      <w:r>
        <w:rPr>
          <w:rFonts w:hint="eastAsia" w:ascii="仿宋_GB2312" w:hAnsi="仿宋_GB2312" w:eastAsia="仿宋_GB2312" w:cs="仿宋_GB2312"/>
          <w:color w:val="000000" w:themeColor="text1"/>
          <w:sz w:val="32"/>
          <w:szCs w:val="32"/>
          <w:highlight w:val="none"/>
        </w:rPr>
        <w:t>开展为期2个月的春季“夜鹰行动”，突击检查企业33家次，发现问题9个，整改完成7个，立案处罚2起，彻底消除企业环境违法的侥幸心理。</w:t>
      </w:r>
      <w:r>
        <w:rPr>
          <w:rFonts w:hint="eastAsia" w:ascii="仿宋_GB2312" w:hAnsi="仿宋_GB2312" w:eastAsia="仿宋_GB2312" w:cs="仿宋_GB2312"/>
          <w:b/>
          <w:color w:val="000000" w:themeColor="text1"/>
          <w:sz w:val="32"/>
          <w:szCs w:val="32"/>
          <w:highlight w:val="none"/>
        </w:rPr>
        <w:t>规范使用移动执法系统。</w:t>
      </w:r>
      <w:r>
        <w:rPr>
          <w:rFonts w:hint="eastAsia" w:ascii="仿宋_GB2312" w:hAnsi="仿宋_GB2312" w:eastAsia="仿宋_GB2312" w:cs="仿宋_GB2312"/>
          <w:color w:val="000000" w:themeColor="text1"/>
          <w:sz w:val="32"/>
          <w:szCs w:val="32"/>
          <w:highlight w:val="none"/>
        </w:rPr>
        <w:t>执法人员及时、规范使用移动执法系统，目前移动执法录入529家次，人均录入率居全省前列，九江市第1。</w:t>
      </w:r>
      <w:r>
        <w:rPr>
          <w:rFonts w:hint="eastAsia" w:ascii="仿宋_GB2312" w:hAnsi="仿宋_GB2312" w:eastAsia="仿宋_GB2312" w:cs="仿宋_GB2312"/>
          <w:b/>
          <w:color w:val="000000" w:themeColor="text1"/>
          <w:sz w:val="32"/>
          <w:szCs w:val="32"/>
          <w:highlight w:val="none"/>
        </w:rPr>
        <w:t>落实生态损害赔偿制度。</w:t>
      </w:r>
      <w:r>
        <w:rPr>
          <w:rFonts w:hint="eastAsia" w:ascii="仿宋_GB2312" w:hAnsi="仿宋_GB2312" w:eastAsia="仿宋_GB2312" w:cs="仿宋_GB2312"/>
          <w:color w:val="000000" w:themeColor="text1"/>
          <w:sz w:val="32"/>
          <w:szCs w:val="32"/>
          <w:highlight w:val="none"/>
        </w:rPr>
        <w:t>启动办理生态环境损害赔偿案件6起，均全部完成鉴定评估和损害赔偿磋商，收缴替代性赔偿金13.29万元。圆满办结历时3年的蛟塘镇原非法炼铝厂违法处置危险废物生态环境损害赔偿修复案，安全转移处置危废900.4吨。</w:t>
      </w:r>
      <w:r>
        <w:rPr>
          <w:rFonts w:hint="eastAsia" w:ascii="仿宋_GB2312" w:eastAsia="仿宋_GB2312"/>
          <w:b/>
          <w:color w:val="000000" w:themeColor="text1"/>
          <w:sz w:val="32"/>
          <w:szCs w:val="32"/>
          <w:highlight w:val="none"/>
        </w:rPr>
        <w:t>坚持源头严控防治方针。</w:t>
      </w:r>
      <w:r>
        <w:rPr>
          <w:rFonts w:ascii="仿宋_GB2312" w:eastAsia="仿宋_GB2312"/>
          <w:color w:val="000000" w:themeColor="text1"/>
          <w:sz w:val="32"/>
          <w:szCs w:val="32"/>
          <w:highlight w:val="none"/>
        </w:rPr>
        <w:t>严控</w:t>
      </w:r>
      <w:r>
        <w:rPr>
          <w:rFonts w:hint="eastAsia" w:ascii="仿宋_GB2312" w:eastAsia="仿宋_GB2312"/>
          <w:color w:val="000000" w:themeColor="text1"/>
          <w:sz w:val="32"/>
          <w:szCs w:val="32"/>
          <w:highlight w:val="none"/>
        </w:rPr>
        <w:t>“</w:t>
      </w:r>
      <w:r>
        <w:rPr>
          <w:rFonts w:ascii="仿宋_GB2312" w:eastAsia="仿宋_GB2312"/>
          <w:color w:val="000000" w:themeColor="text1"/>
          <w:sz w:val="32"/>
          <w:szCs w:val="32"/>
          <w:highlight w:val="none"/>
        </w:rPr>
        <w:t>两高</w:t>
      </w:r>
      <w:r>
        <w:rPr>
          <w:rFonts w:hint="eastAsia" w:ascii="仿宋_GB2312" w:eastAsia="仿宋_GB2312"/>
          <w:color w:val="000000" w:themeColor="text1"/>
          <w:sz w:val="32"/>
          <w:szCs w:val="32"/>
          <w:highlight w:val="none"/>
        </w:rPr>
        <w:t>”项目</w:t>
      </w:r>
      <w:r>
        <w:rPr>
          <w:rFonts w:ascii="仿宋_GB2312" w:eastAsia="仿宋_GB2312"/>
          <w:color w:val="000000" w:themeColor="text1"/>
          <w:sz w:val="32"/>
          <w:szCs w:val="32"/>
          <w:highlight w:val="none"/>
        </w:rPr>
        <w:t>，</w:t>
      </w:r>
      <w:r>
        <w:rPr>
          <w:rFonts w:hint="eastAsia" w:ascii="仿宋_GB2312" w:eastAsia="仿宋_GB2312"/>
          <w:color w:val="000000" w:themeColor="text1"/>
          <w:sz w:val="32"/>
          <w:szCs w:val="32"/>
          <w:highlight w:val="none"/>
        </w:rPr>
        <w:t>建立项目环评联审联批机制，业务股室、执法大队、监测站对新（改、扩）建项目进行联审联批，全面实行环评编制主持人现场质询管理，加强环评中介信息的真实性和完整性检查，今年完成审批环境影响报告表项目11个、环评报告编制规范性审查项目6个，企业</w:t>
      </w:r>
      <w:r>
        <w:rPr>
          <w:rFonts w:hint="eastAsia" w:ascii="仿宋_GB2312" w:hAnsi="仿宋" w:eastAsia="仿宋_GB2312" w:cs="仿宋"/>
          <w:color w:val="000000" w:themeColor="text1"/>
          <w:sz w:val="32"/>
          <w:szCs w:val="32"/>
          <w:highlight w:val="none"/>
        </w:rPr>
        <w:t>自主环评登记备案47个</w:t>
      </w:r>
      <w:r>
        <w:rPr>
          <w:rFonts w:hint="eastAsia" w:ascii="仿宋_GB2312" w:eastAsia="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rPr>
        <w:t>加强排污许可监督管理，实现排污许可证核发全覆盖，今年核发简化管理3张，登记管理19张，全市已累计核发排污许可证41张，其中重点管理2张、简化管理39张。</w:t>
      </w:r>
      <w:r>
        <w:rPr>
          <w:rFonts w:hint="eastAsia" w:ascii="仿宋_GB2312" w:hAnsi="仿宋_GB2312" w:eastAsia="仿宋_GB2312" w:cs="仿宋_GB2312"/>
          <w:b/>
          <w:bCs/>
          <w:color w:val="000000" w:themeColor="text1"/>
          <w:sz w:val="32"/>
          <w:szCs w:val="32"/>
          <w:highlight w:val="none"/>
        </w:rPr>
        <w:t>严厉查处环境违法行为。</w:t>
      </w:r>
      <w:r>
        <w:rPr>
          <w:rFonts w:hint="eastAsia" w:ascii="仿宋_GB2312" w:hAnsi="仿宋_GB2312" w:eastAsia="仿宋_GB2312" w:cs="仿宋_GB2312"/>
          <w:color w:val="000000" w:themeColor="text1"/>
          <w:sz w:val="32"/>
          <w:szCs w:val="32"/>
          <w:highlight w:val="none"/>
        </w:rPr>
        <w:t>立案查处环境违法案件11起，已办结11起，处罚金额92.325万元，同比增长63.4%。特别是查处萌宝亲子农耕公司牛蛙养殖废水污染环境案，重罚20万元，并关停取缔，达到查处一个、警示一片的效果，从源头堵住了外省淘汰水产养殖污染项目转移我市的路径。</w:t>
      </w:r>
      <w:r>
        <w:rPr>
          <w:rFonts w:hint="eastAsia" w:ascii="仿宋_GB2312" w:hAnsi="仿宋_GB2312" w:eastAsia="仿宋_GB2312" w:cs="仿宋_GB2312"/>
          <w:b/>
          <w:bCs/>
          <w:color w:val="000000" w:themeColor="text1"/>
          <w:sz w:val="32"/>
          <w:szCs w:val="32"/>
          <w:highlight w:val="none"/>
        </w:rPr>
        <w:t>妥善处理环境信访举报。</w:t>
      </w:r>
      <w:r>
        <w:rPr>
          <w:rFonts w:hint="eastAsia" w:ascii="仿宋_GB2312" w:hAnsi="仿宋_GB2312" w:eastAsia="仿宋_GB2312" w:cs="仿宋_GB2312"/>
          <w:color w:val="000000" w:themeColor="text1"/>
          <w:sz w:val="32"/>
          <w:szCs w:val="32"/>
          <w:highlight w:val="none"/>
        </w:rPr>
        <w:t>全年接办53件，全部办结、满意率100%，及时化解矛盾，消除生态环境隐患。</w:t>
      </w:r>
    </w:p>
    <w:p>
      <w:pPr>
        <w:spacing w:line="600" w:lineRule="exact"/>
        <w:ind w:left="-210" w:leftChars="-100" w:right="-210" w:rightChars="-100" w:firstLine="643" w:firstLineChars="200"/>
        <w:rPr>
          <w:rFonts w:ascii="仿宋_GB2312" w:hAnsi="仿宋_GB2312" w:eastAsia="仿宋_GB2312" w:cs="仿宋_GB2312"/>
          <w:color w:val="000000" w:themeColor="text1"/>
          <w:spacing w:val="-6"/>
          <w:sz w:val="32"/>
          <w:szCs w:val="32"/>
          <w:highlight w:val="none"/>
        </w:rPr>
      </w:pPr>
      <w:r>
        <w:rPr>
          <w:rFonts w:hint="eastAsia" w:ascii="楷体_GB2312" w:eastAsia="楷体_GB2312"/>
          <w:b/>
          <w:color w:val="000000" w:themeColor="text1"/>
          <w:sz w:val="32"/>
          <w:szCs w:val="32"/>
          <w:highlight w:val="none"/>
        </w:rPr>
        <w:t>（六）一年来，我们主动领、全面改，督察问题逐一销号。</w:t>
      </w:r>
      <w:r>
        <w:rPr>
          <w:rFonts w:hint="eastAsia" w:ascii="仿宋_GB2312" w:hAnsi="仿宋_GB2312" w:eastAsia="仿宋_GB2312" w:cs="Times New Roman"/>
          <w:b/>
          <w:kern w:val="0"/>
          <w:sz w:val="32"/>
          <w:szCs w:val="32"/>
          <w:highlight w:val="none"/>
        </w:rPr>
        <w:t>开展第二轮中央生态环保督察问题整改。</w:t>
      </w:r>
      <w:r>
        <w:rPr>
          <w:rFonts w:hint="eastAsia" w:ascii="仿宋_GB2312" w:hAnsi="仿宋_GB2312" w:eastAsia="仿宋_GB2312" w:cs="仿宋_GB2312"/>
          <w:color w:val="000000" w:themeColor="text1"/>
          <w:sz w:val="32"/>
          <w:szCs w:val="32"/>
          <w:highlight w:val="none"/>
        </w:rPr>
        <w:t>中央第二轮环保督察组向九江市反馈了26个问题，庐山市认领了17个共性问题，制定《庐山市贯彻落实中央生态环境保护督察报告整改方案》，</w:t>
      </w:r>
      <w:r>
        <w:rPr>
          <w:rFonts w:hint="eastAsia" w:ascii="仿宋_GB2312" w:hAnsi="仿宋_GB2312" w:eastAsia="仿宋_GB2312" w:cs="仿宋_GB2312"/>
          <w:sz w:val="32"/>
          <w:szCs w:val="32"/>
          <w:highlight w:val="none"/>
        </w:rPr>
        <w:t>明确整改目标、时限、措施和责任单位、责任领导，</w:t>
      </w:r>
      <w:r>
        <w:rPr>
          <w:rFonts w:hint="eastAsia" w:ascii="仿宋_GB2312" w:hAnsi="仿宋_GB2312" w:eastAsia="仿宋_GB2312" w:cs="仿宋_GB2312"/>
          <w:color w:val="000000" w:themeColor="text1"/>
          <w:sz w:val="32"/>
          <w:szCs w:val="32"/>
          <w:highlight w:val="none"/>
        </w:rPr>
        <w:t>下发整改督办函12份，</w:t>
      </w:r>
      <w:r>
        <w:rPr>
          <w:rFonts w:hint="eastAsia" w:ascii="仿宋_GB2312" w:hAnsi="仿宋_GB2312" w:eastAsia="仿宋_GB2312" w:cs="仿宋_GB2312"/>
          <w:sz w:val="32"/>
          <w:szCs w:val="32"/>
          <w:highlight w:val="none"/>
        </w:rPr>
        <w:t>制定整改措施57条，</w:t>
      </w:r>
      <w:r>
        <w:rPr>
          <w:rFonts w:hint="eastAsia" w:ascii="仿宋_GB2312" w:hAnsi="宋体" w:eastAsia="仿宋_GB2312" w:cs="宋体"/>
          <w:color w:val="000000"/>
          <w:kern w:val="0"/>
          <w:sz w:val="32"/>
          <w:szCs w:val="32"/>
          <w:highlight w:val="none"/>
        </w:rPr>
        <w:t>完成36条，</w:t>
      </w:r>
      <w:r>
        <w:rPr>
          <w:rFonts w:hint="eastAsia" w:ascii="仿宋_GB2312" w:hAnsi="仿宋_GB2312" w:eastAsia="仿宋_GB2312" w:cs="仿宋_GB2312"/>
          <w:sz w:val="32"/>
          <w:szCs w:val="32"/>
          <w:highlight w:val="none"/>
        </w:rPr>
        <w:t>完成率63.2%</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b/>
          <w:color w:val="000000" w:themeColor="text1"/>
          <w:sz w:val="32"/>
          <w:szCs w:val="32"/>
          <w:highlight w:val="none"/>
        </w:rPr>
        <w:t>完成</w:t>
      </w:r>
      <w:r>
        <w:rPr>
          <w:rFonts w:hint="eastAsia" w:ascii="仿宋_GB2312" w:hAnsi="仿宋_GB2312" w:eastAsia="仿宋_GB2312" w:cs="Times New Roman"/>
          <w:b/>
          <w:color w:val="000000" w:themeColor="text1"/>
          <w:kern w:val="0"/>
          <w:sz w:val="32"/>
          <w:szCs w:val="32"/>
          <w:highlight w:val="none"/>
        </w:rPr>
        <w:t>“8+1”类环保督察审计问题整改。</w:t>
      </w:r>
      <w:r>
        <w:rPr>
          <w:rFonts w:hint="eastAsia" w:ascii="仿宋_GB2312" w:hAnsi="仿宋_GB2312" w:eastAsia="仿宋_GB2312" w:cs="仿宋_GB2312"/>
          <w:color w:val="000000" w:themeColor="text1"/>
          <w:sz w:val="32"/>
          <w:szCs w:val="32"/>
          <w:highlight w:val="none"/>
        </w:rPr>
        <w:t>历年中央环保督察审计反馈问题共108个，限期整改的有88个，已全部完成，完成率100</w:t>
      </w:r>
      <w:r>
        <w:rPr>
          <w:rFonts w:hint="eastAsia" w:ascii="宋体" w:hAnsi="宋体" w:eastAsia="宋体" w:cs="宋体"/>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rPr>
        <w:t>；长期坚持的有20个，全部达到时序进度。</w:t>
      </w:r>
      <w:r>
        <w:rPr>
          <w:rFonts w:hint="eastAsia" w:ascii="仿宋_GB2312" w:hAnsi="仿宋_GB2312" w:eastAsia="仿宋_GB2312" w:cs="Times New Roman"/>
          <w:b/>
          <w:color w:val="000000" w:themeColor="text1"/>
          <w:kern w:val="0"/>
          <w:sz w:val="32"/>
          <w:szCs w:val="32"/>
          <w:highlight w:val="none"/>
        </w:rPr>
        <w:t>完成赣北专员办专项督导问题整改。</w:t>
      </w:r>
      <w:r>
        <w:rPr>
          <w:rFonts w:hint="eastAsia" w:ascii="仿宋_GB2312" w:hAnsi="仿宋_GB2312" w:eastAsia="仿宋_GB2312" w:cs="仿宋_GB2312"/>
          <w:color w:val="000000" w:themeColor="text1"/>
          <w:spacing w:val="-6"/>
          <w:sz w:val="32"/>
          <w:szCs w:val="32"/>
          <w:highlight w:val="none"/>
        </w:rPr>
        <w:t>专项督导反馈2个问题，已整改完成，完成率100％。</w:t>
      </w:r>
      <w:r>
        <w:rPr>
          <w:rFonts w:hint="eastAsia" w:ascii="仿宋_GB2312" w:hAnsi="仿宋_GB2312" w:eastAsia="仿宋_GB2312" w:cs="仿宋_GB2312"/>
          <w:b/>
          <w:color w:val="000000" w:themeColor="text1"/>
          <w:spacing w:val="-6"/>
          <w:sz w:val="32"/>
          <w:szCs w:val="32"/>
          <w:highlight w:val="none"/>
        </w:rPr>
        <w:t>推进办理</w:t>
      </w:r>
      <w:r>
        <w:rPr>
          <w:rFonts w:hint="eastAsia" w:ascii="仿宋_GB2312" w:hAnsi="仿宋_GB2312" w:eastAsia="仿宋_GB2312" w:cs="Times New Roman"/>
          <w:b/>
          <w:kern w:val="0"/>
          <w:sz w:val="32"/>
          <w:szCs w:val="32"/>
          <w:highlight w:val="none"/>
        </w:rPr>
        <w:t>中央环保督察交办信访件。</w:t>
      </w:r>
      <w:r>
        <w:rPr>
          <w:rFonts w:hint="eastAsia" w:ascii="仿宋_GB2312" w:hAnsi="仿宋_GB2312" w:eastAsia="仿宋_GB2312" w:cs="仿宋_GB2312"/>
          <w:color w:val="000000" w:themeColor="text1"/>
          <w:spacing w:val="-6"/>
          <w:sz w:val="32"/>
          <w:szCs w:val="32"/>
          <w:highlight w:val="none"/>
        </w:rPr>
        <w:t>实施《庐山市第二轮中央生态环境保护督察信访问题整改方案》，认真办理</w:t>
      </w:r>
      <w:r>
        <w:rPr>
          <w:rFonts w:hint="eastAsia" w:ascii="仿宋_GB2312" w:hAnsi="仿宋_GB2312" w:eastAsia="仿宋_GB2312" w:cs="仿宋_GB2312"/>
          <w:sz w:val="32"/>
          <w:szCs w:val="32"/>
          <w:highlight w:val="none"/>
        </w:rPr>
        <w:t>交办信访件20件，其中一般问题信访件14件、重点问题信访件6件，</w:t>
      </w:r>
      <w:r>
        <w:rPr>
          <w:rFonts w:hint="eastAsia" w:ascii="仿宋_GB2312" w:hAnsi="仿宋_GB2312" w:eastAsia="仿宋_GB2312" w:cs="仿宋_GB2312"/>
          <w:color w:val="000000" w:themeColor="text1"/>
          <w:sz w:val="32"/>
          <w:szCs w:val="32"/>
          <w:highlight w:val="none"/>
        </w:rPr>
        <w:t>已办结16件，办结率80％。</w:t>
      </w:r>
      <w:r>
        <w:rPr>
          <w:rFonts w:hint="eastAsia" w:ascii="仿宋_GB2312" w:hAnsi="仿宋_GB2312" w:eastAsia="仿宋_GB2312" w:cs="仿宋_GB2312"/>
          <w:b/>
          <w:color w:val="000000" w:themeColor="text1"/>
          <w:sz w:val="32"/>
          <w:szCs w:val="32"/>
          <w:highlight w:val="none"/>
        </w:rPr>
        <w:t>及时办理</w:t>
      </w:r>
      <w:r>
        <w:rPr>
          <w:rFonts w:hint="eastAsia" w:ascii="仿宋_GB2312" w:hAnsi="仿宋_GB2312" w:eastAsia="仿宋_GB2312" w:cs="仿宋_GB2312"/>
          <w:b/>
          <w:color w:val="000000" w:themeColor="text1"/>
          <w:spacing w:val="-6"/>
          <w:sz w:val="32"/>
          <w:szCs w:val="32"/>
          <w:highlight w:val="none"/>
        </w:rPr>
        <w:t>群众身边突出生态环境问题。</w:t>
      </w:r>
      <w:r>
        <w:rPr>
          <w:rFonts w:hint="eastAsia" w:ascii="仿宋_GB2312" w:hAnsi="仿宋_GB2312" w:eastAsia="仿宋_GB2312" w:cs="仿宋_GB2312"/>
          <w:color w:val="000000" w:themeColor="text1"/>
          <w:spacing w:val="-6"/>
          <w:sz w:val="32"/>
          <w:szCs w:val="32"/>
          <w:highlight w:val="none"/>
        </w:rPr>
        <w:t>今年共受理横塘镇和平村垃圾石屑和噪声扰民、华林镇赣北板岩矿山噪声和粉尘污染、横塘镇板岩示范基地污水直排和饮用水源地二级保护区游客乱丢垃圾等4件群众身边突出环境信访问题，已全部办结，获得群众对办理重视程度、速度、效果的3个满意度认可。</w:t>
      </w:r>
    </w:p>
    <w:p>
      <w:pPr>
        <w:spacing w:line="600" w:lineRule="exact"/>
        <w:ind w:left="-210" w:leftChars="-100" w:right="-210" w:rightChars="-100" w:firstLine="643" w:firstLineChars="200"/>
        <w:rPr>
          <w:rFonts w:ascii="仿宋_GB2312" w:eastAsia="仿宋_GB2312"/>
          <w:color w:val="000000" w:themeColor="text1"/>
          <w:sz w:val="32"/>
          <w:szCs w:val="32"/>
          <w:highlight w:val="none"/>
        </w:rPr>
      </w:pPr>
      <w:r>
        <w:rPr>
          <w:rFonts w:hint="eastAsia" w:ascii="楷体_GB2312" w:eastAsia="楷体_GB2312"/>
          <w:b/>
          <w:color w:val="000000" w:themeColor="text1"/>
          <w:sz w:val="32"/>
          <w:szCs w:val="32"/>
          <w:highlight w:val="none"/>
        </w:rPr>
        <w:t>（七）一年来，我们扩渠道、发强音，环保宣传成绩喜人。</w:t>
      </w:r>
      <w:r>
        <w:rPr>
          <w:rFonts w:hint="eastAsia" w:ascii="仿宋_GB2312" w:eastAsia="仿宋_GB2312"/>
          <w:b/>
          <w:color w:val="000000" w:themeColor="text1"/>
          <w:sz w:val="32"/>
          <w:szCs w:val="32"/>
          <w:highlight w:val="none"/>
        </w:rPr>
        <w:t>强化宣传到位。</w:t>
      </w:r>
      <w:r>
        <w:rPr>
          <w:rFonts w:hint="eastAsia" w:ascii="仿宋_GB2312" w:hAnsi="仿宋_GB2312" w:eastAsia="仿宋_GB2312" w:cs="仿宋_GB2312"/>
          <w:color w:val="000000" w:themeColor="text1"/>
          <w:sz w:val="32"/>
          <w:szCs w:val="32"/>
          <w:highlight w:val="none"/>
        </w:rPr>
        <w:t>加强生态环境保护法律法规宣传，进一步提高尊法、守法意识。</w:t>
      </w:r>
      <w:r>
        <w:rPr>
          <w:rStyle w:val="10"/>
          <w:rFonts w:hint="eastAsia" w:ascii="仿宋_GB2312" w:hAnsi="仿宋_GB2312" w:eastAsia="仿宋_GB2312" w:cs="仿宋_GB2312"/>
          <w:color w:val="000000" w:themeColor="text1"/>
          <w:sz w:val="32"/>
          <w:szCs w:val="32"/>
          <w:highlight w:val="none"/>
        </w:rPr>
        <w:t>运用“两微一端”编发新闻稿件1</w:t>
      </w:r>
      <w:r>
        <w:rPr>
          <w:rStyle w:val="10"/>
          <w:rFonts w:hint="eastAsia" w:ascii="仿宋_GB2312" w:hAnsi="仿宋_GB2312" w:eastAsia="仿宋_GB2312" w:cs="仿宋_GB2312"/>
          <w:color w:val="000000" w:themeColor="text1"/>
          <w:sz w:val="32"/>
          <w:szCs w:val="32"/>
          <w:highlight w:val="none"/>
          <w:lang w:val="en-US"/>
        </w:rPr>
        <w:t>26</w:t>
      </w:r>
      <w:r>
        <w:rPr>
          <w:rStyle w:val="10"/>
          <w:rFonts w:hint="eastAsia" w:ascii="仿宋_GB2312" w:hAnsi="仿宋_GB2312" w:eastAsia="仿宋_GB2312" w:cs="仿宋_GB2312"/>
          <w:color w:val="000000" w:themeColor="text1"/>
          <w:sz w:val="32"/>
          <w:szCs w:val="32"/>
          <w:highlight w:val="none"/>
        </w:rPr>
        <w:t>篇，市局上稿</w:t>
      </w:r>
      <w:r>
        <w:rPr>
          <w:rStyle w:val="10"/>
          <w:rFonts w:hint="eastAsia" w:ascii="仿宋_GB2312" w:hAnsi="仿宋_GB2312" w:eastAsia="仿宋_GB2312" w:cs="仿宋_GB2312"/>
          <w:color w:val="000000" w:themeColor="text1"/>
          <w:sz w:val="32"/>
          <w:szCs w:val="32"/>
          <w:highlight w:val="none"/>
          <w:lang w:val="en-US"/>
        </w:rPr>
        <w:t>104</w:t>
      </w:r>
      <w:r>
        <w:rPr>
          <w:rStyle w:val="10"/>
          <w:rFonts w:hint="eastAsia" w:ascii="仿宋_GB2312" w:hAnsi="仿宋_GB2312" w:eastAsia="仿宋_GB2312" w:cs="仿宋_GB2312"/>
          <w:color w:val="000000" w:themeColor="text1"/>
          <w:sz w:val="32"/>
          <w:szCs w:val="32"/>
          <w:highlight w:val="none"/>
        </w:rPr>
        <w:t>篇，省厅上稿1</w:t>
      </w:r>
      <w:r>
        <w:rPr>
          <w:rStyle w:val="10"/>
          <w:rFonts w:hint="eastAsia" w:ascii="仿宋_GB2312" w:hAnsi="仿宋_GB2312" w:eastAsia="仿宋_GB2312" w:cs="仿宋_GB2312"/>
          <w:color w:val="000000" w:themeColor="text1"/>
          <w:sz w:val="32"/>
          <w:szCs w:val="32"/>
          <w:highlight w:val="none"/>
          <w:lang w:val="en-US"/>
        </w:rPr>
        <w:t>2</w:t>
      </w:r>
      <w:r>
        <w:rPr>
          <w:rStyle w:val="10"/>
          <w:rFonts w:hint="eastAsia" w:ascii="仿宋_GB2312" w:hAnsi="仿宋_GB2312" w:eastAsia="仿宋_GB2312" w:cs="仿宋_GB2312"/>
          <w:color w:val="000000" w:themeColor="text1"/>
          <w:sz w:val="32"/>
          <w:szCs w:val="32"/>
          <w:highlight w:val="none"/>
        </w:rPr>
        <w:t>篇，《中国环境报》上稿3篇，宣传片《环保设施向公众开放‘云科普’》被生态环境部官方微博转载，《小山小水游庐山》被省厅推送，获得广泛赞誉。</w:t>
      </w:r>
      <w:r>
        <w:rPr>
          <w:rStyle w:val="10"/>
          <w:rFonts w:hint="eastAsia" w:ascii="仿宋_GB2312" w:hAnsi="仿宋_GB2312" w:eastAsia="仿宋_GB2312" w:cs="仿宋_GB2312"/>
          <w:b/>
          <w:color w:val="000000" w:themeColor="text1"/>
          <w:sz w:val="32"/>
          <w:szCs w:val="32"/>
          <w:highlight w:val="none"/>
        </w:rPr>
        <w:t>广度深度到位。</w:t>
      </w:r>
      <w:r>
        <w:rPr>
          <w:rStyle w:val="10"/>
          <w:rFonts w:hint="eastAsia" w:ascii="仿宋_GB2312" w:hAnsi="仿宋_GB2312" w:eastAsia="仿宋_GB2312" w:cs="仿宋_GB2312"/>
          <w:color w:val="000000" w:themeColor="text1"/>
          <w:sz w:val="32"/>
          <w:szCs w:val="32"/>
          <w:highlight w:val="none"/>
        </w:rPr>
        <w:t>组织新闻发布会1场和专场宣传5场，</w:t>
      </w:r>
      <w:r>
        <w:rPr>
          <w:rFonts w:hint="eastAsia" w:ascii="仿宋_GB2312" w:eastAsia="仿宋_GB2312"/>
          <w:color w:val="000000" w:themeColor="text1"/>
          <w:sz w:val="32"/>
          <w:szCs w:val="32"/>
          <w:highlight w:val="none"/>
        </w:rPr>
        <w:t>先后针对危废、汽车修理、加油站商贸等行业举办培训班4期，培训400余人次。</w:t>
      </w:r>
      <w:r>
        <w:rPr>
          <w:rStyle w:val="10"/>
          <w:rFonts w:hint="eastAsia" w:ascii="仿宋_GB2312" w:hAnsi="仿宋_GB2312" w:eastAsia="仿宋_GB2312" w:cs="仿宋_GB2312"/>
          <w:b/>
          <w:color w:val="000000" w:themeColor="text1"/>
          <w:sz w:val="32"/>
          <w:szCs w:val="32"/>
          <w:highlight w:val="none"/>
        </w:rPr>
        <w:t>服务企业到位。</w:t>
      </w:r>
      <w:r>
        <w:rPr>
          <w:rStyle w:val="10"/>
          <w:rFonts w:hint="eastAsia" w:ascii="仿宋_GB2312" w:hAnsi="仿宋_GB2312" w:eastAsia="仿宋_GB2312" w:cs="仿宋_GB2312"/>
          <w:color w:val="000000" w:themeColor="text1"/>
          <w:sz w:val="32"/>
          <w:szCs w:val="32"/>
          <w:highlight w:val="none"/>
        </w:rPr>
        <w:t>深入企业宣教，帮扶指导企业遵章守法，接访企业113家/次，现场解决问题88个</w:t>
      </w:r>
      <w:r>
        <w:rPr>
          <w:rFonts w:ascii="仿宋_GB2312" w:hAnsi="仿宋_GB2312" w:eastAsia="仿宋_GB2312" w:cs="仿宋_GB2312"/>
          <w:color w:val="000000" w:themeColor="text1"/>
          <w:sz w:val="32"/>
          <w:szCs w:val="32"/>
          <w:highlight w:val="none"/>
        </w:rPr>
        <w:t>。</w:t>
      </w:r>
    </w:p>
    <w:p>
      <w:pPr>
        <w:spacing w:line="600" w:lineRule="exact"/>
        <w:ind w:firstLine="640" w:firstLineChars="200"/>
        <w:rPr>
          <w:rFonts w:ascii="黑体" w:hAnsi="黑体" w:eastAsia="黑体" w:cs="仿宋_GB2312"/>
          <w:bCs/>
          <w:color w:val="000000" w:themeColor="text1"/>
          <w:sz w:val="32"/>
          <w:szCs w:val="32"/>
          <w:highlight w:val="none"/>
        </w:rPr>
      </w:pPr>
      <w:r>
        <w:rPr>
          <w:rFonts w:hint="eastAsia" w:ascii="黑体" w:hAnsi="黑体" w:eastAsia="黑体" w:cs="仿宋_GB2312"/>
          <w:bCs/>
          <w:color w:val="000000" w:themeColor="text1"/>
          <w:sz w:val="32"/>
          <w:szCs w:val="32"/>
          <w:highlight w:val="none"/>
        </w:rPr>
        <w:t>三、</w:t>
      </w:r>
      <w:r>
        <w:rPr>
          <w:rFonts w:hint="eastAsia" w:ascii="黑体" w:hAnsi="黑体" w:eastAsia="黑体" w:cs="Times New Roman"/>
          <w:kern w:val="0"/>
          <w:sz w:val="32"/>
          <w:szCs w:val="32"/>
          <w:highlight w:val="none"/>
        </w:rPr>
        <w:t>凝心聚力，进位赶超的</w:t>
      </w:r>
      <w:r>
        <w:rPr>
          <w:rFonts w:hint="eastAsia" w:ascii="黑体" w:hAnsi="黑体" w:eastAsia="黑体" w:cs="仿宋_GB2312"/>
          <w:bCs/>
          <w:color w:val="000000" w:themeColor="text1"/>
          <w:sz w:val="32"/>
          <w:szCs w:val="32"/>
          <w:highlight w:val="none"/>
        </w:rPr>
        <w:t>特色亮点工作更加出彩</w:t>
      </w:r>
    </w:p>
    <w:p>
      <w:pPr>
        <w:spacing w:line="600" w:lineRule="exact"/>
        <w:ind w:firstLine="643" w:firstLineChars="200"/>
        <w:rPr>
          <w:rFonts w:ascii="仿宋_GB2312" w:hAnsi="仿宋_GB2312" w:eastAsia="仿宋_GB2312" w:cs="仿宋_GB2312"/>
          <w:color w:val="000000" w:themeColor="text1"/>
          <w:sz w:val="32"/>
          <w:szCs w:val="32"/>
          <w:highlight w:val="none"/>
        </w:rPr>
      </w:pPr>
      <w:r>
        <w:rPr>
          <w:rFonts w:hint="eastAsia" w:ascii="楷体" w:hAnsi="楷体" w:eastAsia="楷体" w:cs="仿宋_GB2312"/>
          <w:b/>
          <w:bCs/>
          <w:color w:val="000000" w:themeColor="text1"/>
          <w:sz w:val="32"/>
          <w:szCs w:val="32"/>
          <w:highlight w:val="none"/>
        </w:rPr>
        <w:t>（一）</w:t>
      </w:r>
      <w:r>
        <w:rPr>
          <w:rFonts w:hint="eastAsia" w:ascii="楷体_GB2312" w:hAnsi="仿宋_GB2312" w:eastAsia="楷体_GB2312" w:cs="仿宋_GB2312"/>
          <w:b/>
          <w:kern w:val="0"/>
          <w:sz w:val="32"/>
          <w:szCs w:val="32"/>
          <w:highlight w:val="none"/>
        </w:rPr>
        <w:t>生态文明建设推进有力。</w:t>
      </w:r>
      <w:r>
        <w:rPr>
          <w:rFonts w:hint="eastAsia" w:ascii="楷体" w:hAnsi="楷体" w:eastAsia="楷体"/>
          <w:color w:val="000000" w:themeColor="text1"/>
          <w:sz w:val="32"/>
          <w:szCs w:val="32"/>
          <w:highlight w:val="none"/>
          <w:shd w:val="clear" w:color="auto" w:fill="FFFFFF"/>
        </w:rPr>
        <w:t>“</w:t>
      </w:r>
      <w:r>
        <w:rPr>
          <w:rFonts w:hint="eastAsia" w:ascii="仿宋_GB2312" w:hAnsi="仿宋_GB2312" w:eastAsia="仿宋_GB2312" w:cs="仿宋_GB2312"/>
          <w:b/>
          <w:color w:val="000000" w:themeColor="text1"/>
          <w:sz w:val="32"/>
          <w:szCs w:val="32"/>
          <w:highlight w:val="none"/>
        </w:rPr>
        <w:t>双创</w:t>
      </w:r>
      <w:r>
        <w:rPr>
          <w:rFonts w:hint="eastAsia" w:ascii="楷体" w:hAnsi="楷体" w:eastAsia="楷体"/>
          <w:color w:val="000000" w:themeColor="text1"/>
          <w:sz w:val="32"/>
          <w:szCs w:val="32"/>
          <w:highlight w:val="none"/>
          <w:shd w:val="clear" w:color="auto" w:fill="FFFFFF"/>
        </w:rPr>
        <w:t>”</w:t>
      </w:r>
      <w:r>
        <w:rPr>
          <w:rFonts w:hint="eastAsia" w:ascii="仿宋_GB2312" w:hAnsi="仿宋_GB2312" w:eastAsia="仿宋_GB2312" w:cs="仿宋_GB2312"/>
          <w:b/>
          <w:color w:val="000000" w:themeColor="text1"/>
          <w:sz w:val="32"/>
          <w:szCs w:val="32"/>
          <w:highlight w:val="none"/>
        </w:rPr>
        <w:t>工作进展顺利。</w:t>
      </w:r>
      <w:r>
        <w:rPr>
          <w:rFonts w:hint="eastAsia" w:ascii="仿宋_GB2312" w:hAnsi="仿宋_GB2312" w:eastAsia="仿宋_GB2312" w:cs="仿宋_GB2312"/>
          <w:color w:val="000000" w:themeColor="text1"/>
          <w:sz w:val="32"/>
          <w:szCs w:val="32"/>
          <w:highlight w:val="none"/>
        </w:rPr>
        <w:t>国家生态文明建设示范区和“绿水青山就是金山银山”省级实践创新基地创建工作有序开展，《庐山市生态文明建设示范区规划》已通过专家论证，为确保生态文明示范区建设的顺利开展和实施提供纲领性文件。</w:t>
      </w:r>
      <w:r>
        <w:rPr>
          <w:rFonts w:hint="eastAsia" w:ascii="仿宋_GB2312" w:hAnsi="仿宋_GB2312" w:eastAsia="仿宋_GB2312" w:cs="仿宋_GB2312"/>
          <w:b/>
          <w:color w:val="000000" w:themeColor="text1"/>
          <w:sz w:val="32"/>
          <w:szCs w:val="32"/>
          <w:highlight w:val="none"/>
        </w:rPr>
        <w:t>生态创建连创佳绩。</w:t>
      </w:r>
      <w:r>
        <w:rPr>
          <w:rFonts w:hint="eastAsia" w:ascii="仿宋_GB2312" w:hAnsi="仿宋_GB2312" w:eastAsia="仿宋_GB2312" w:cs="仿宋_GB2312"/>
          <w:color w:val="000000" w:themeColor="text1"/>
          <w:sz w:val="32"/>
          <w:szCs w:val="32"/>
          <w:highlight w:val="none"/>
        </w:rPr>
        <w:t>“绿水青山就是金山银山省级实践创新基地”正式获省生态环境厅和省文化旅游厅联合命名授牌；省级生态文明建设示范县（市）顺利通过省生态环境厅复审，年度内连拿2块奖牌。“</w:t>
      </w:r>
      <w:r>
        <w:rPr>
          <w:rFonts w:hint="eastAsia" w:ascii="仿宋_GB2312" w:hAnsi="仿宋_GB2312" w:eastAsia="仿宋_GB2312" w:cs="仿宋_GB2312"/>
          <w:b/>
          <w:color w:val="000000" w:themeColor="text1"/>
          <w:sz w:val="32"/>
          <w:szCs w:val="32"/>
          <w:highlight w:val="none"/>
        </w:rPr>
        <w:t>两山</w:t>
      </w:r>
      <w:r>
        <w:rPr>
          <w:rFonts w:hint="eastAsia"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b/>
          <w:color w:val="000000" w:themeColor="text1"/>
          <w:sz w:val="32"/>
          <w:szCs w:val="32"/>
          <w:highlight w:val="none"/>
        </w:rPr>
        <w:t>转化加速推进。</w:t>
      </w:r>
      <w:r>
        <w:rPr>
          <w:rFonts w:hint="eastAsia" w:ascii="仿宋_GB2312" w:hAnsi="仿宋_GB2312" w:eastAsia="仿宋_GB2312" w:cs="仿宋_GB2312"/>
          <w:color w:val="000000" w:themeColor="text1"/>
          <w:sz w:val="32"/>
          <w:szCs w:val="32"/>
          <w:highlight w:val="none"/>
        </w:rPr>
        <w:t>积极探索“绿水青山”向“金山银山”转化的有效途径，</w:t>
      </w:r>
      <w:r>
        <w:rPr>
          <w:rFonts w:hint="eastAsia" w:ascii="仿宋_GB2312" w:eastAsia="仿宋_GB2312"/>
          <w:color w:val="000000" w:themeColor="text1"/>
          <w:sz w:val="32"/>
          <w:szCs w:val="32"/>
          <w:highlight w:val="none"/>
        </w:rPr>
        <w:t>形成可复制、可推广的“两山”实践模式，</w:t>
      </w:r>
      <w:r>
        <w:rPr>
          <w:rFonts w:hint="eastAsia" w:ascii="仿宋_GB2312" w:hAnsi="仿宋_GB2312" w:eastAsia="仿宋_GB2312" w:cs="仿宋_GB2312"/>
          <w:color w:val="000000" w:themeColor="text1"/>
          <w:sz w:val="32"/>
          <w:szCs w:val="32"/>
          <w:highlight w:val="none"/>
        </w:rPr>
        <w:t>成功打造了海会镇鄱湖湾新型生态旅游综合体、白鹿镇邱家坳乡村旅游网红打卡景点、南康镇禁捕退捕转产就业示范点、华林镇宜荷园农旅示范点、牯岭镇茶旅融合示范基地等一批“两山”转化示范基地，其中白鹿镇典型事例被8月11日《中国环境报》美丽中国版刊载。</w:t>
      </w:r>
    </w:p>
    <w:p>
      <w:pPr>
        <w:spacing w:line="600" w:lineRule="exact"/>
        <w:ind w:firstLine="643" w:firstLineChars="200"/>
        <w:rPr>
          <w:rFonts w:ascii="仿宋_GB2312" w:eastAsia="仿宋_GB2312"/>
          <w:sz w:val="32"/>
          <w:szCs w:val="32"/>
        </w:rPr>
      </w:pPr>
      <w:r>
        <w:rPr>
          <w:rFonts w:ascii="楷体" w:hAnsi="楷体" w:eastAsia="楷体" w:cs="仿宋_GB2312"/>
          <w:b/>
          <w:bCs/>
          <w:color w:val="000000" w:themeColor="text1"/>
          <w:sz w:val="32"/>
          <w:szCs w:val="32"/>
          <w:highlight w:val="none"/>
        </w:rPr>
        <w:t>（</w:t>
      </w:r>
      <w:r>
        <w:rPr>
          <w:rFonts w:hint="eastAsia" w:ascii="楷体" w:hAnsi="楷体" w:eastAsia="楷体" w:cs="仿宋_GB2312"/>
          <w:b/>
          <w:bCs/>
          <w:color w:val="000000" w:themeColor="text1"/>
          <w:sz w:val="32"/>
          <w:szCs w:val="32"/>
          <w:highlight w:val="none"/>
        </w:rPr>
        <w:t>二</w:t>
      </w:r>
      <w:r>
        <w:rPr>
          <w:rFonts w:ascii="楷体" w:hAnsi="楷体" w:eastAsia="楷体" w:cs="仿宋_GB2312"/>
          <w:b/>
          <w:bCs/>
          <w:color w:val="000000" w:themeColor="text1"/>
          <w:sz w:val="32"/>
          <w:szCs w:val="32"/>
          <w:highlight w:val="none"/>
        </w:rPr>
        <w:t>）</w:t>
      </w:r>
      <w:r>
        <w:rPr>
          <w:rFonts w:hint="eastAsia" w:ascii="楷体_GB2312" w:hAnsi="仿宋_GB2312" w:eastAsia="楷体_GB2312" w:cs="仿宋_GB2312"/>
          <w:b/>
          <w:kern w:val="0"/>
          <w:sz w:val="32"/>
          <w:szCs w:val="32"/>
          <w:highlight w:val="none"/>
        </w:rPr>
        <w:t>两法密切衔接联动有力。</w:t>
      </w:r>
      <w:r>
        <w:rPr>
          <w:rFonts w:hint="eastAsia" w:ascii="仿宋_GB2312" w:hAnsi="仿宋_GB2312" w:eastAsia="仿宋_GB2312" w:cs="仿宋_GB2312"/>
          <w:b/>
          <w:color w:val="000000" w:themeColor="text1"/>
          <w:sz w:val="32"/>
          <w:szCs w:val="32"/>
          <w:highlight w:val="none"/>
        </w:rPr>
        <w:t>做好两法衔接形成合力。</w:t>
      </w:r>
      <w:r>
        <w:rPr>
          <w:rFonts w:hint="eastAsia" w:ascii="仿宋_GB2312" w:hAnsi="仿宋_GB2312" w:eastAsia="仿宋_GB2312" w:cs="仿宋_GB2312"/>
          <w:color w:val="000000" w:themeColor="text1"/>
          <w:sz w:val="32"/>
          <w:szCs w:val="32"/>
          <w:highlight w:val="none"/>
        </w:rPr>
        <w:t>与公安、检察、法院、司法等部门建立了工作联系制度，互通环境违法行为线索，定期会商有关环境违法案件，今年已开展会商3次，办结检察建议3个。</w:t>
      </w:r>
      <w:r>
        <w:rPr>
          <w:rFonts w:hint="eastAsia" w:ascii="仿宋_GB2312" w:hAnsi="仿宋_GB2312" w:eastAsia="仿宋_GB2312" w:cs="仿宋_GB2312"/>
          <w:b/>
          <w:color w:val="000000" w:themeColor="text1"/>
          <w:sz w:val="32"/>
          <w:szCs w:val="32"/>
          <w:highlight w:val="none"/>
        </w:rPr>
        <w:t>落实生态损害赔偿制度。</w:t>
      </w:r>
      <w:r>
        <w:rPr>
          <w:rFonts w:hint="eastAsia" w:ascii="仿宋_GB2312" w:hAnsi="仿宋_GB2312" w:eastAsia="仿宋_GB2312" w:cs="仿宋_GB2312"/>
          <w:color w:val="000000" w:themeColor="text1"/>
          <w:sz w:val="32"/>
          <w:szCs w:val="32"/>
          <w:highlight w:val="none"/>
        </w:rPr>
        <w:t>办理生态环境损害赔偿案件6起，全部完成鉴定评估和损害赔偿磋商，收缴替代性赔偿金13.29万元。</w:t>
      </w:r>
      <w:r>
        <w:rPr>
          <w:rFonts w:hint="eastAsia" w:ascii="仿宋_GB2312" w:hAnsi="仿宋_GB2312" w:eastAsia="仿宋_GB2312" w:cs="仿宋_GB2312"/>
          <w:b/>
          <w:color w:val="000000" w:themeColor="text1"/>
          <w:sz w:val="32"/>
          <w:szCs w:val="32"/>
          <w:highlight w:val="none"/>
        </w:rPr>
        <w:t>妥善化解危废旧案难题。</w:t>
      </w:r>
      <w:r>
        <w:rPr>
          <w:rFonts w:hint="eastAsia" w:ascii="仿宋_GB2312" w:hAnsi="仿宋" w:eastAsia="仿宋_GB2312" w:cs="Times New Roman"/>
          <w:sz w:val="32"/>
          <w:szCs w:val="32"/>
          <w:highlight w:val="none"/>
        </w:rPr>
        <w:t>市县两级生态环境局、公安局、检察院</w:t>
      </w:r>
      <w:r>
        <w:rPr>
          <w:rFonts w:hint="eastAsia" w:ascii="仿宋_GB2312" w:eastAsia="仿宋_GB2312"/>
          <w:sz w:val="32"/>
          <w:szCs w:val="32"/>
          <w:highlight w:val="none"/>
        </w:rPr>
        <w:t>对蛟塘镇原非法炼铝厂违法处置危险废物生态环境损害赔偿修复案赔偿方开展三轮磋商，达成由赔偿业务人全权委托具有危险废物处置资质的第三方公司开展现场清理及修复工作，并承担</w:t>
      </w:r>
      <w:r>
        <w:rPr>
          <w:rFonts w:hint="eastAsia" w:ascii="仿宋_GB2312" w:eastAsia="仿宋_GB2312"/>
          <w:sz w:val="32"/>
          <w:szCs w:val="32"/>
        </w:rPr>
        <w:t>本案中环境损害应急处置费用、鉴定评估及其他与生态环境损害修复相关的支出，</w:t>
      </w:r>
      <w:r>
        <w:rPr>
          <w:rFonts w:hint="eastAsia" w:ascii="仿宋_GB2312" w:hAnsi="仿宋" w:eastAsia="仿宋_GB2312" w:cs="Times New Roman"/>
          <w:sz w:val="32"/>
          <w:szCs w:val="32"/>
        </w:rPr>
        <w:t>通过生态环境损害赔偿案件调查、评估和索赔等程序，</w:t>
      </w:r>
      <w:r>
        <w:rPr>
          <w:rFonts w:hint="eastAsia" w:ascii="仿宋_GB2312" w:hAnsi="仿宋_GB2312" w:eastAsia="仿宋_GB2312" w:cs="仿宋_GB2312"/>
          <w:sz w:val="32"/>
          <w:szCs w:val="32"/>
        </w:rPr>
        <w:t>安全转移处置危废900.4吨，历时3年圆满办结蛟塘镇原非法炼铝厂违法处置危险废物生态环境损害赔偿修复案</w:t>
      </w:r>
      <w:r>
        <w:rPr>
          <w:rFonts w:hint="eastAsia" w:ascii="仿宋_GB2312" w:eastAsia="仿宋_GB2312"/>
          <w:sz w:val="32"/>
          <w:szCs w:val="32"/>
        </w:rPr>
        <w:t>，有效实现“损害者赔偿”“污染者担责”，起到了较好的警示作用。</w:t>
      </w:r>
    </w:p>
    <w:p>
      <w:pPr>
        <w:spacing w:line="600" w:lineRule="exact"/>
        <w:ind w:firstLine="640" w:firstLineChars="200"/>
        <w:rPr>
          <w:rFonts w:ascii="黑体" w:hAnsi="仿宋_GB2312" w:eastAsia="黑体" w:cs="仿宋_GB2312"/>
          <w:sz w:val="32"/>
          <w:szCs w:val="32"/>
        </w:rPr>
      </w:pPr>
      <w:r>
        <w:rPr>
          <w:rFonts w:hint="eastAsia" w:ascii="黑体" w:eastAsia="黑体"/>
          <w:sz w:val="32"/>
          <w:szCs w:val="32"/>
        </w:rPr>
        <w:t>成绩来之不易，答卷振奋人心。这些成绩的取得，是九江市局党委和庐山市委、市政府坚强领导的结果，是局领导班子合力共为的结果，是全局干部团结拼搏的结果。在肯定成绩的同时，我们也清醒地认识到还存在一些问题和不足。</w:t>
      </w:r>
    </w:p>
    <w:p>
      <w:pPr>
        <w:spacing w:line="600" w:lineRule="exact"/>
        <w:ind w:firstLine="643" w:firstLineChars="200"/>
        <w:rPr>
          <w:rFonts w:ascii="仿宋_GB2312" w:eastAsia="仿宋_GB2312"/>
          <w:color w:val="000000" w:themeColor="text1"/>
          <w:sz w:val="32"/>
          <w:szCs w:val="32"/>
        </w:rPr>
      </w:pPr>
      <w:r>
        <w:rPr>
          <w:rFonts w:hint="eastAsia" w:ascii="楷体" w:hAnsi="楷体" w:eastAsia="楷体" w:cs="仿宋_GB2312"/>
          <w:b/>
          <w:color w:val="000000" w:themeColor="text1"/>
          <w:sz w:val="32"/>
          <w:szCs w:val="32"/>
        </w:rPr>
        <w:t>（一）环境质量改善仍然任重道远。</w:t>
      </w:r>
      <w:r>
        <w:rPr>
          <w:rFonts w:hint="eastAsia" w:ascii="仿宋_GB2312" w:eastAsia="仿宋_GB2312"/>
          <w:b/>
          <w:color w:val="000000" w:themeColor="text1"/>
          <w:sz w:val="32"/>
          <w:szCs w:val="32"/>
        </w:rPr>
        <w:t>大气污染防治措施未到位。</w:t>
      </w:r>
      <w:r>
        <w:rPr>
          <w:rFonts w:hint="eastAsia" w:ascii="仿宋_GB2312" w:eastAsia="仿宋_GB2312"/>
          <w:color w:val="000000" w:themeColor="text1"/>
          <w:sz w:val="32"/>
          <w:szCs w:val="32"/>
        </w:rPr>
        <w:t>城乡露天焚烧屡禁不止、扬尘防控力度不够、海事码头船舶停靠问题未解决到位、建筑工地“8个百分百”执行效率低等问题，影响我市空气质量，造成空气指标系数升高。</w:t>
      </w:r>
      <w:r>
        <w:rPr>
          <w:rFonts w:hint="eastAsia" w:ascii="仿宋_GB2312" w:eastAsia="仿宋_GB2312"/>
          <w:b/>
          <w:color w:val="000000" w:themeColor="text1"/>
          <w:sz w:val="32"/>
          <w:szCs w:val="32"/>
        </w:rPr>
        <w:t>水污染防治措施未落实。</w:t>
      </w:r>
      <w:r>
        <w:rPr>
          <w:rFonts w:hint="eastAsia" w:ascii="仿宋_GB2312" w:hAnsi="仿宋" w:eastAsia="仿宋_GB2312"/>
          <w:color w:val="000000" w:themeColor="text1"/>
          <w:sz w:val="32"/>
          <w:szCs w:val="32"/>
        </w:rPr>
        <w:t>湖库水产养殖问题久拖未决、城区生活污水收集管网不完善、</w:t>
      </w:r>
      <w:r>
        <w:rPr>
          <w:rFonts w:hint="eastAsia" w:ascii="仿宋_GB2312" w:hAnsi="仿宋_GB2312" w:eastAsia="仿宋_GB2312" w:cs="仿宋_GB2312"/>
          <w:color w:val="000000" w:themeColor="text1"/>
          <w:kern w:val="0"/>
          <w:sz w:val="32"/>
          <w:szCs w:val="32"/>
        </w:rPr>
        <w:t>农村生活污水收集和处理率低</w:t>
      </w:r>
      <w:r>
        <w:rPr>
          <w:rFonts w:hint="eastAsia" w:ascii="仿宋_GB2312" w:hAnsi="仿宋" w:eastAsia="仿宋_GB2312"/>
          <w:color w:val="000000" w:themeColor="text1"/>
          <w:sz w:val="32"/>
          <w:szCs w:val="32"/>
        </w:rPr>
        <w:t>、船舶废水治理力度不够等原因，造成鄱阳湖星子断面、蚌湖断面水质改善效果不明显；</w:t>
      </w:r>
      <w:r>
        <w:rPr>
          <w:rFonts w:hint="eastAsia" w:ascii="仿宋_GB2312" w:hAnsi="仿宋_GB2312" w:eastAsia="仿宋_GB2312" w:cs="仿宋_GB2312"/>
          <w:color w:val="000000" w:themeColor="text1"/>
          <w:sz w:val="32"/>
          <w:szCs w:val="32"/>
        </w:rPr>
        <w:t>鄱阳湖枯水期存在牛羊放养的现象，水质恶化风险加大</w:t>
      </w:r>
      <w:r>
        <w:rPr>
          <w:rFonts w:hint="eastAsia" w:ascii="仿宋_GB2312" w:hAnsi="仿宋" w:eastAsia="仿宋_GB2312"/>
          <w:color w:val="000000" w:themeColor="text1"/>
          <w:sz w:val="32"/>
          <w:szCs w:val="32"/>
        </w:rPr>
        <w:t>；部分</w:t>
      </w:r>
      <w:r>
        <w:rPr>
          <w:rFonts w:hint="eastAsia" w:ascii="仿宋_GB2312" w:hAnsi="仿宋_GB2312" w:eastAsia="仿宋_GB2312" w:cs="仿宋_GB2312"/>
          <w:color w:val="000000" w:themeColor="text1"/>
          <w:sz w:val="32"/>
          <w:szCs w:val="32"/>
        </w:rPr>
        <w:t>医疗机构废水未经纳管处理，未达到一级A排放到外环境，存在疫情安全隐患。</w:t>
      </w:r>
      <w:r>
        <w:rPr>
          <w:rFonts w:hint="eastAsia" w:ascii="仿宋_GB2312" w:hAnsi="仿宋" w:eastAsia="仿宋_GB2312"/>
          <w:b/>
          <w:color w:val="000000" w:themeColor="text1"/>
          <w:sz w:val="32"/>
          <w:szCs w:val="32"/>
        </w:rPr>
        <w:t>土壤污染防治措施未巩固。</w:t>
      </w:r>
      <w:r>
        <w:rPr>
          <w:rFonts w:hint="eastAsia" w:ascii="仿宋_GB2312" w:hAnsi="仿宋_GB2312" w:eastAsia="仿宋_GB2312" w:cs="仿宋_GB2312"/>
          <w:bCs/>
          <w:color w:val="000000" w:themeColor="text1"/>
          <w:kern w:val="0"/>
          <w:sz w:val="32"/>
          <w:szCs w:val="32"/>
        </w:rPr>
        <w:t>部分乡镇随意设置尾矿处置项目，矿山生态环境受到二次破坏。</w:t>
      </w:r>
    </w:p>
    <w:p>
      <w:pPr>
        <w:pBdr>
          <w:bottom w:val="single" w:color="FFFFFF" w:sz="4" w:space="31"/>
        </w:pBdr>
        <w:tabs>
          <w:tab w:val="left" w:pos="8640"/>
        </w:tabs>
        <w:adjustRightInd w:val="0"/>
        <w:snapToGrid w:val="0"/>
        <w:spacing w:line="600" w:lineRule="exact"/>
        <w:ind w:firstLine="643" w:firstLineChars="200"/>
        <w:rPr>
          <w:rFonts w:ascii="仿宋_GB2312" w:hAnsi="仿宋_GB2312" w:eastAsia="仿宋_GB2312" w:cs="仿宋_GB2312"/>
          <w:color w:val="000000" w:themeColor="text1"/>
          <w:kern w:val="0"/>
          <w:sz w:val="32"/>
          <w:szCs w:val="32"/>
        </w:rPr>
      </w:pPr>
      <w:r>
        <w:rPr>
          <w:rFonts w:hint="eastAsia" w:ascii="楷体" w:hAnsi="楷体" w:eastAsia="楷体" w:cs="仿宋_GB2312"/>
          <w:b/>
          <w:color w:val="000000" w:themeColor="text1"/>
          <w:sz w:val="32"/>
          <w:szCs w:val="32"/>
        </w:rPr>
        <w:t>（二）重点生态环境问题整改进展不平衡。</w:t>
      </w:r>
      <w:r>
        <w:rPr>
          <w:rFonts w:hint="eastAsia" w:ascii="仿宋_GB2312" w:hAnsi="仿宋_GB2312" w:eastAsia="仿宋_GB2312" w:cs="仿宋_GB2312"/>
          <w:b/>
          <w:bCs/>
          <w:color w:val="000000" w:themeColor="text1"/>
          <w:kern w:val="0"/>
          <w:sz w:val="32"/>
          <w:szCs w:val="32"/>
        </w:rPr>
        <w:t>部分突出问题整改推进较缓</w:t>
      </w:r>
      <w:r>
        <w:rPr>
          <w:rFonts w:hint="eastAsia" w:ascii="仿宋_GB2312" w:hAnsi="仿宋_GB2312" w:eastAsia="仿宋_GB2312" w:cs="仿宋_GB2312"/>
          <w:bCs/>
          <w:color w:val="000000" w:themeColor="text1"/>
          <w:kern w:val="0"/>
          <w:sz w:val="32"/>
          <w:szCs w:val="32"/>
        </w:rPr>
        <w:t>，</w:t>
      </w:r>
      <w:r>
        <w:rPr>
          <w:rFonts w:hint="eastAsia" w:ascii="仿宋_GB2312" w:hAnsi="仿宋_GB2312" w:eastAsia="仿宋_GB2312" w:cs="仿宋_GB2312"/>
          <w:color w:val="000000" w:themeColor="text1"/>
          <w:sz w:val="32"/>
          <w:szCs w:val="32"/>
        </w:rPr>
        <w:t>鄱湖高新项目区石材产业园污水处理厂建设项目、工业园区调区扩区工作、备用水源建设项目等重点工作无进展，庐山风景区涉水一体化项目、城镇污水处理一体化项目、沙湖山供水一体化项目仍未完成，</w:t>
      </w:r>
      <w:r>
        <w:rPr>
          <w:rFonts w:hint="eastAsia" w:ascii="仿宋_GB2312" w:hAnsi="仿宋_GB2312" w:eastAsia="仿宋_GB2312" w:cs="仿宋_GB2312"/>
          <w:bCs/>
          <w:color w:val="000000" w:themeColor="text1"/>
          <w:kern w:val="0"/>
          <w:sz w:val="32"/>
          <w:szCs w:val="32"/>
        </w:rPr>
        <w:t>庐山莲花台饮用水水源保护地卫星图斑核查问题未整改销号。</w:t>
      </w:r>
      <w:r>
        <w:rPr>
          <w:rFonts w:hint="eastAsia" w:ascii="仿宋_GB2312" w:hAnsi="仿宋_GB2312" w:eastAsia="仿宋_GB2312" w:cs="仿宋_GB2312"/>
          <w:b/>
          <w:bCs/>
          <w:color w:val="000000" w:themeColor="text1"/>
          <w:kern w:val="0"/>
          <w:sz w:val="32"/>
          <w:szCs w:val="32"/>
        </w:rPr>
        <w:t>落实中央环保督察问题整改要求有</w:t>
      </w:r>
      <w:r>
        <w:rPr>
          <w:rFonts w:hint="eastAsia" w:ascii="仿宋_GB2312" w:hAnsi="仿宋_GB2312" w:eastAsia="仿宋_GB2312" w:cs="仿宋_GB2312"/>
          <w:b/>
          <w:bCs/>
          <w:color w:val="000000" w:themeColor="text1"/>
          <w:kern w:val="0"/>
          <w:sz w:val="32"/>
          <w:szCs w:val="32"/>
          <w:lang w:eastAsia="zh-CN"/>
        </w:rPr>
        <w:t>差距</w:t>
      </w:r>
      <w:r>
        <w:rPr>
          <w:rFonts w:hint="eastAsia" w:ascii="仿宋_GB2312" w:hAnsi="仿宋_GB2312" w:eastAsia="仿宋_GB2312" w:cs="仿宋_GB2312"/>
          <w:b/>
          <w:bCs/>
          <w:color w:val="000000" w:themeColor="text1"/>
          <w:kern w:val="0"/>
          <w:sz w:val="32"/>
          <w:szCs w:val="32"/>
        </w:rPr>
        <w:t>。</w:t>
      </w:r>
      <w:r>
        <w:rPr>
          <w:rFonts w:hint="eastAsia" w:ascii="仿宋_GB2312" w:hAnsi="仿宋_GB2312" w:eastAsia="仿宋_GB2312" w:cs="仿宋_GB2312"/>
          <w:color w:val="000000" w:themeColor="text1"/>
          <w:kern w:val="0"/>
          <w:sz w:val="32"/>
          <w:szCs w:val="32"/>
        </w:rPr>
        <w:t>部分责任单位存在等靠观望思想，问题整改落实紧迫感不强；部分信访问题未按措施要求整改到位，整改效果不明显，与目标要求存在差距，问题整改信息报送和销号台账质量不高。</w:t>
      </w:r>
    </w:p>
    <w:p>
      <w:pPr>
        <w:pBdr>
          <w:bottom w:val="single" w:color="FFFFFF" w:sz="4" w:space="31"/>
        </w:pBdr>
        <w:tabs>
          <w:tab w:val="left" w:pos="8640"/>
        </w:tabs>
        <w:adjustRightInd w:val="0"/>
        <w:snapToGrid w:val="0"/>
        <w:spacing w:line="600" w:lineRule="exact"/>
        <w:ind w:firstLine="643" w:firstLineChars="200"/>
        <w:rPr>
          <w:rFonts w:ascii="仿宋_GB2312" w:hAnsi="仿宋_GB2312" w:eastAsia="仿宋_GB2312" w:cs="仿宋_GB2312"/>
          <w:bCs/>
          <w:kern w:val="0"/>
          <w:sz w:val="32"/>
          <w:szCs w:val="32"/>
        </w:rPr>
      </w:pPr>
      <w:r>
        <w:rPr>
          <w:rFonts w:hint="eastAsia" w:ascii="楷体" w:hAnsi="楷体" w:eastAsia="楷体" w:cs="仿宋_GB2312"/>
          <w:b/>
          <w:color w:val="000000" w:themeColor="text1"/>
          <w:sz w:val="32"/>
          <w:szCs w:val="32"/>
        </w:rPr>
        <w:t>（三）“碳达峰</w:t>
      </w:r>
      <w:r>
        <w:rPr>
          <w:rFonts w:ascii="楷体" w:hAnsi="楷体" w:eastAsia="楷体" w:cs="仿宋_GB2312"/>
          <w:b/>
          <w:color w:val="000000" w:themeColor="text1"/>
          <w:sz w:val="32"/>
          <w:szCs w:val="32"/>
        </w:rPr>
        <w:t>”</w:t>
      </w:r>
      <w:r>
        <w:rPr>
          <w:rFonts w:hint="eastAsia" w:ascii="楷体" w:hAnsi="楷体" w:eastAsia="楷体" w:cs="仿宋_GB2312"/>
          <w:b/>
          <w:color w:val="000000" w:themeColor="text1"/>
          <w:sz w:val="32"/>
          <w:szCs w:val="32"/>
        </w:rPr>
        <w:t>行动方案未启动编制。</w:t>
      </w:r>
      <w:r>
        <w:rPr>
          <w:rFonts w:hint="eastAsia" w:ascii="仿宋_GB2312" w:hAnsi="仿宋_GB2312" w:eastAsia="仿宋_GB2312" w:cs="仿宋_GB2312"/>
          <w:bCs/>
          <w:kern w:val="0"/>
          <w:sz w:val="32"/>
          <w:szCs w:val="32"/>
        </w:rPr>
        <w:t>中央经济工作会议将做好“碳达峰碳中和”工作列为五个全局性、战略性、前瞻性的问题之一，要求抓紧制定2030年前碳排放达峰行动方案。庐山市受制于历史条件、区位条件、产业结构、能源结构、运输结构、用地结构等面临着巨大的调整优化、转型升级压力，开展碳达峰行动面临的工作任务艰巨。</w:t>
      </w:r>
    </w:p>
    <w:p>
      <w:pPr>
        <w:pBdr>
          <w:bottom w:val="single" w:color="FFFFFF" w:sz="4" w:space="31"/>
        </w:pBdr>
        <w:tabs>
          <w:tab w:val="left" w:pos="8640"/>
        </w:tabs>
        <w:adjustRightInd w:val="0"/>
        <w:snapToGrid w:val="0"/>
        <w:spacing w:line="600" w:lineRule="exact"/>
        <w:ind w:firstLine="643" w:firstLineChars="200"/>
        <w:rPr>
          <w:rFonts w:ascii="仿宋_GB2312" w:hAnsi="楷体" w:eastAsia="仿宋_GB2312" w:cs="仿宋_GB2312"/>
          <w:color w:val="000000" w:themeColor="text1"/>
          <w:sz w:val="32"/>
          <w:szCs w:val="32"/>
        </w:rPr>
      </w:pPr>
      <w:r>
        <w:rPr>
          <w:rFonts w:hint="eastAsia" w:ascii="楷体" w:hAnsi="楷体" w:eastAsia="楷体" w:cs="仿宋_GB2312"/>
          <w:b/>
          <w:color w:val="000000" w:themeColor="text1"/>
          <w:sz w:val="32"/>
          <w:szCs w:val="32"/>
        </w:rPr>
        <w:t>（四）基础能力与履职要求还有差距。</w:t>
      </w:r>
      <w:r>
        <w:rPr>
          <w:rFonts w:hint="eastAsia" w:ascii="仿宋_GB2312" w:hAnsi="楷体" w:eastAsia="仿宋_GB2312" w:cs="仿宋_GB2312"/>
          <w:color w:val="000000" w:themeColor="text1"/>
          <w:sz w:val="32"/>
          <w:szCs w:val="32"/>
        </w:rPr>
        <w:t>发现环境问题能力有待提高，在工作中、执法检查中存在该检查的没有检查到位，该发现的没有及时发现，该整改的没有及时整改，工作存在明显短板和薄弱环节。机构改革后，现有人员素质参差不齐，存在学历水平不高、专业化水平偏低、年龄偏大等问题，尤其是环保及法律相关专业人员缺乏，与承担的职责和任务不匹配。</w:t>
      </w:r>
    </w:p>
    <w:p>
      <w:pPr>
        <w:pBdr>
          <w:bottom w:val="single" w:color="FFFFFF" w:sz="4" w:space="31"/>
        </w:pBdr>
        <w:tabs>
          <w:tab w:val="left" w:pos="8640"/>
        </w:tabs>
        <w:adjustRightInd w:val="0"/>
        <w:snapToGrid w:val="0"/>
        <w:spacing w:line="600" w:lineRule="exact"/>
        <w:ind w:firstLine="640" w:firstLineChars="200"/>
        <w:rPr>
          <w:rFonts w:ascii="黑体" w:hAnsi="黑体" w:eastAsia="黑体" w:cs="仿宋_GB2312"/>
          <w:color w:val="000000" w:themeColor="text1"/>
          <w:sz w:val="32"/>
          <w:szCs w:val="32"/>
        </w:rPr>
      </w:pPr>
      <w:r>
        <w:rPr>
          <w:rFonts w:hint="eastAsia" w:ascii="黑体" w:hAnsi="黑体" w:eastAsia="黑体" w:cs="仿宋_GB2312"/>
          <w:color w:val="000000" w:themeColor="text1"/>
          <w:sz w:val="32"/>
          <w:szCs w:val="32"/>
        </w:rPr>
        <w:t>四、坚定不移，奋力谱写2022年生态环境事业新篇章</w:t>
      </w:r>
    </w:p>
    <w:p>
      <w:pPr>
        <w:pBdr>
          <w:bottom w:val="single" w:color="FFFFFF" w:sz="4" w:space="31"/>
        </w:pBdr>
        <w:tabs>
          <w:tab w:val="left" w:pos="8640"/>
        </w:tabs>
        <w:spacing w:line="600" w:lineRule="exact"/>
        <w:ind w:firstLine="643" w:firstLineChars="200"/>
        <w:rPr>
          <w:rFonts w:ascii="仿宋_GB2312" w:hAnsi="仿宋_GB2312" w:eastAsia="仿宋_GB2312" w:cs="仿宋_GB2312"/>
          <w:bCs/>
          <w:kern w:val="0"/>
          <w:sz w:val="32"/>
          <w:szCs w:val="32"/>
        </w:rPr>
      </w:pPr>
      <w:r>
        <w:rPr>
          <w:rFonts w:ascii="楷体" w:hAnsi="楷体" w:eastAsia="楷体" w:cs="仿宋_GB2312"/>
          <w:b/>
          <w:bCs/>
          <w:kern w:val="0"/>
          <w:sz w:val="32"/>
          <w:szCs w:val="32"/>
        </w:rPr>
        <w:t>（</w:t>
      </w:r>
      <w:r>
        <w:rPr>
          <w:rFonts w:hint="eastAsia" w:ascii="楷体" w:hAnsi="楷体" w:eastAsia="楷体" w:cs="仿宋_GB2312"/>
          <w:b/>
          <w:bCs/>
          <w:kern w:val="0"/>
          <w:sz w:val="32"/>
          <w:szCs w:val="32"/>
        </w:rPr>
        <w:t>一</w:t>
      </w:r>
      <w:r>
        <w:rPr>
          <w:rFonts w:ascii="楷体" w:hAnsi="楷体" w:eastAsia="楷体" w:cs="仿宋_GB2312"/>
          <w:b/>
          <w:bCs/>
          <w:kern w:val="0"/>
          <w:sz w:val="32"/>
          <w:szCs w:val="32"/>
        </w:rPr>
        <w:t>）</w:t>
      </w:r>
      <w:r>
        <w:rPr>
          <w:rFonts w:hint="eastAsia" w:ascii="楷体" w:hAnsi="楷体" w:eastAsia="楷体" w:cs="仿宋_GB2312"/>
          <w:b/>
          <w:bCs/>
          <w:kern w:val="0"/>
          <w:sz w:val="32"/>
          <w:szCs w:val="32"/>
        </w:rPr>
        <w:t>聚焦主责主业，深入打好污染防治攻坚。</w:t>
      </w:r>
      <w:r>
        <w:rPr>
          <w:rFonts w:hint="eastAsia" w:ascii="仿宋_GB2312" w:hAnsi="仿宋_GB2312" w:eastAsia="仿宋_GB2312" w:cs="仿宋_GB2312"/>
          <w:b/>
          <w:bCs/>
          <w:kern w:val="0"/>
          <w:sz w:val="32"/>
          <w:szCs w:val="32"/>
        </w:rPr>
        <w:t>一是</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保蓝天</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Cs/>
          <w:kern w:val="0"/>
          <w:sz w:val="32"/>
          <w:szCs w:val="32"/>
        </w:rPr>
        <w:t>严格落实《庐山市2021-2022年秋冬季大气污染防治攻坚行动方案》，通过加大城区保洁力度、实施露天焚烧联防联控、全面落实建筑工地“8个百分百”制度、规范渣土运输管理、严格管控渣土运输车超载和非封闭式运输、加强海事码头附近停靠船舶生产生活污染物排放管理等措施，改善我市2个县级和10个乡镇级空气自动监控站PM2.5指数。</w:t>
      </w:r>
      <w:r>
        <w:rPr>
          <w:rFonts w:hint="eastAsia" w:ascii="仿宋_GB2312" w:hAnsi="仿宋_GB2312" w:eastAsia="仿宋_GB2312" w:cs="仿宋_GB2312"/>
          <w:b/>
          <w:bCs/>
          <w:kern w:val="0"/>
          <w:sz w:val="32"/>
          <w:szCs w:val="32"/>
        </w:rPr>
        <w:t>二是</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护碧水</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Cs/>
          <w:kern w:val="0"/>
          <w:sz w:val="32"/>
          <w:szCs w:val="32"/>
        </w:rPr>
        <w:t>对违规水产养殖联合整治、加大城镇及农村生活污水集中深度处理效率；控制农药化肥面源污染，布点乡村振兴点多考虑黑臭水体和三格式卫生公厕等措施，对32个农村黑臭水体启动专项整治计划，其中12个纳入流域上下游横向生态补偿奖励资金项目库整治，另外20个纳入农村环境综合整治一并推进；巩固国考、省控断面水质，提高乡镇、城区水系水质达标率，确保饮用水水质全年百分百达标；抓紧封洲禁牧的宣传和管控，严禁放养污染湖体和支流水质；推进实施龙溪湖、蓼花池周边环境综合理，实施滨湖湿地生态恢复建设。</w:t>
      </w:r>
      <w:r>
        <w:rPr>
          <w:rFonts w:hint="eastAsia" w:ascii="仿宋_GB2312" w:hAnsi="仿宋_GB2312" w:eastAsia="仿宋_GB2312" w:cs="仿宋_GB2312"/>
          <w:b/>
          <w:bCs/>
          <w:kern w:val="0"/>
          <w:sz w:val="32"/>
          <w:szCs w:val="32"/>
        </w:rPr>
        <w:t>三是</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争净土</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Cs/>
          <w:kern w:val="0"/>
          <w:sz w:val="32"/>
          <w:szCs w:val="32"/>
        </w:rPr>
        <w:t>摸清家底，推进土壤污染状况调查，对重点行业企业用地土壤污染状况核实；管控源头，落实污染源管控措施，强化日常监管，做好“三防”措施；防范风险，强化建设用地准入管理，严把土地安全利用关，确保“净土”利用。</w:t>
      </w:r>
    </w:p>
    <w:p>
      <w:pPr>
        <w:pBdr>
          <w:bottom w:val="single" w:color="FFFFFF" w:sz="4" w:space="31"/>
        </w:pBdr>
        <w:tabs>
          <w:tab w:val="left" w:pos="8640"/>
        </w:tabs>
        <w:adjustRightInd w:val="0"/>
        <w:snapToGrid w:val="0"/>
        <w:spacing w:line="600" w:lineRule="exact"/>
        <w:ind w:firstLine="643" w:firstLineChars="200"/>
        <w:rPr>
          <w:rFonts w:ascii="仿宋_GB2312" w:hAnsi="仿宋_GB2312" w:eastAsia="仿宋_GB2312" w:cs="仿宋_GB2312"/>
          <w:kern w:val="0"/>
          <w:sz w:val="32"/>
          <w:szCs w:val="32"/>
        </w:rPr>
      </w:pPr>
      <w:r>
        <w:rPr>
          <w:rFonts w:hint="eastAsia" w:ascii="楷体" w:hAnsi="楷体" w:eastAsia="楷体" w:cs="仿宋_GB2312"/>
          <w:b/>
          <w:bCs/>
          <w:kern w:val="0"/>
          <w:sz w:val="32"/>
          <w:szCs w:val="32"/>
        </w:rPr>
        <w:t>（二）提高政治站位，全面决胜问题整改攻坚。</w:t>
      </w:r>
      <w:r>
        <w:rPr>
          <w:rFonts w:hint="eastAsia" w:ascii="仿宋_GB2312" w:hAnsi="仿宋_GB2312" w:eastAsia="仿宋_GB2312" w:cs="仿宋_GB2312"/>
          <w:b/>
          <w:bCs/>
          <w:kern w:val="0"/>
          <w:sz w:val="32"/>
          <w:szCs w:val="32"/>
        </w:rPr>
        <w:t>一是去存量。</w:t>
      </w:r>
      <w:r>
        <w:rPr>
          <w:rFonts w:hint="eastAsia" w:ascii="仿宋_GB2312" w:hAnsi="仿宋_GB2312" w:eastAsia="仿宋_GB2312" w:cs="仿宋_GB2312"/>
          <w:bCs/>
          <w:kern w:val="0"/>
          <w:sz w:val="32"/>
          <w:szCs w:val="32"/>
        </w:rPr>
        <w:t>根据《庐山市解决群众身边突出生态环境问题的实施方案》《庐山市贯彻落实中央生态环境保护督察报告整改方案》《庐山市第二轮中央生态环境保护督察信访问题整改方案》等方案，紧盯整改滞后问题，</w:t>
      </w:r>
      <w:r>
        <w:rPr>
          <w:rFonts w:hint="eastAsia" w:ascii="仿宋_GB2312" w:hAnsi="仿宋_GB2312" w:eastAsia="仿宋_GB2312" w:cs="仿宋_GB2312"/>
          <w:kern w:val="0"/>
          <w:sz w:val="32"/>
          <w:szCs w:val="32"/>
        </w:rPr>
        <w:t>组织力量</w:t>
      </w:r>
      <w:r>
        <w:rPr>
          <w:rFonts w:hint="eastAsia" w:ascii="仿宋_GB2312" w:hAnsi="仿宋_GB2312" w:eastAsia="仿宋_GB2312" w:cs="仿宋_GB2312"/>
          <w:bCs/>
          <w:kern w:val="0"/>
          <w:sz w:val="32"/>
          <w:szCs w:val="32"/>
        </w:rPr>
        <w:t>进行攻坚，对整改推进不力、进度明显滞后、问题仍然突出的，采取函告、通报、约谈和移交问责等措施压实整改责任，</w:t>
      </w:r>
      <w:r>
        <w:rPr>
          <w:rFonts w:hint="eastAsia" w:ascii="仿宋_GB2312" w:hAnsi="仿宋_GB2312" w:eastAsia="仿宋_GB2312" w:cs="仿宋_GB2312"/>
          <w:kern w:val="0"/>
          <w:sz w:val="32"/>
          <w:szCs w:val="32"/>
        </w:rPr>
        <w:t>按时限要求完成整改销号任务。</w:t>
      </w:r>
      <w:r>
        <w:rPr>
          <w:rFonts w:hint="eastAsia" w:ascii="仿宋_GB2312" w:hAnsi="仿宋_GB2312" w:eastAsia="仿宋_GB2312" w:cs="仿宋_GB2312"/>
          <w:b/>
          <w:bCs/>
          <w:kern w:val="0"/>
          <w:sz w:val="32"/>
          <w:szCs w:val="32"/>
        </w:rPr>
        <w:t>二是遏增量。</w:t>
      </w:r>
      <w:r>
        <w:rPr>
          <w:rFonts w:hint="eastAsia" w:ascii="仿宋_GB2312" w:hAnsi="仿宋_GB2312" w:eastAsia="仿宋_GB2312" w:cs="仿宋_GB2312"/>
          <w:kern w:val="0"/>
          <w:sz w:val="32"/>
          <w:szCs w:val="32"/>
        </w:rPr>
        <w:t>在生态环境问题整改中，善于举一反三，深层次排查类似问题，树牢“我为群众办实事”宗旨，高度关注群众反映的热点难点问题，畅通举报渠道，积极担当作为，主动接受社会监督，将矛盾化解在基层，通过自查自改逐步减少各行业领域存在的突出生态环境问题。</w:t>
      </w:r>
      <w:r>
        <w:rPr>
          <w:rFonts w:hint="eastAsia" w:ascii="仿宋_GB2312" w:hAnsi="仿宋_GB2312" w:eastAsia="仿宋_GB2312" w:cs="仿宋_GB2312"/>
          <w:b/>
          <w:bCs/>
          <w:kern w:val="0"/>
          <w:sz w:val="32"/>
          <w:szCs w:val="32"/>
        </w:rPr>
        <w:t>三是保质量。</w:t>
      </w:r>
      <w:r>
        <w:rPr>
          <w:rFonts w:hint="eastAsia" w:ascii="仿宋_GB2312" w:hAnsi="仿宋_GB2312" w:eastAsia="仿宋_GB2312" w:cs="仿宋_GB2312"/>
          <w:kern w:val="0"/>
          <w:sz w:val="32"/>
          <w:szCs w:val="32"/>
        </w:rPr>
        <w:t>着力提升生态环境治理水平，切实形成党委领导、政府主导、行业监管、企业主体、群众监督的生态环境保护大格局。对疑难复杂问题要精准施策、科学施策、依法施策，逐个逐条扎实整改，整改结果经得起上级检查、群众监督、实践检验，以生态环境高水平保护助推社会经济高质量跨越式发展。</w:t>
      </w:r>
    </w:p>
    <w:p>
      <w:pPr>
        <w:pBdr>
          <w:bottom w:val="single" w:color="FFFFFF" w:sz="4" w:space="31"/>
        </w:pBdr>
        <w:tabs>
          <w:tab w:val="left" w:pos="8640"/>
        </w:tabs>
        <w:adjustRightInd w:val="0"/>
        <w:snapToGrid w:val="0"/>
        <w:spacing w:line="600" w:lineRule="exact"/>
        <w:ind w:firstLine="643" w:firstLineChars="200"/>
        <w:rPr>
          <w:rFonts w:ascii="仿宋_GB2312" w:hAnsi="仿宋_GB2312" w:eastAsia="仿宋_GB2312" w:cs="仿宋_GB2312"/>
          <w:color w:val="000000" w:themeColor="text1"/>
          <w:kern w:val="0"/>
          <w:sz w:val="32"/>
          <w:szCs w:val="32"/>
        </w:rPr>
      </w:pPr>
      <w:r>
        <w:rPr>
          <w:rFonts w:ascii="楷体" w:hAnsi="楷体" w:eastAsia="楷体" w:cs="仿宋_GB2312"/>
          <w:b/>
          <w:bCs/>
          <w:kern w:val="0"/>
          <w:sz w:val="32"/>
          <w:szCs w:val="32"/>
        </w:rPr>
        <w:t>（</w:t>
      </w:r>
      <w:r>
        <w:rPr>
          <w:rFonts w:hint="eastAsia" w:ascii="楷体" w:hAnsi="楷体" w:eastAsia="楷体" w:cs="仿宋_GB2312"/>
          <w:b/>
          <w:bCs/>
          <w:kern w:val="0"/>
          <w:sz w:val="32"/>
          <w:szCs w:val="32"/>
        </w:rPr>
        <w:t>三</w:t>
      </w:r>
      <w:r>
        <w:rPr>
          <w:rFonts w:ascii="楷体" w:hAnsi="楷体" w:eastAsia="楷体" w:cs="仿宋_GB2312"/>
          <w:b/>
          <w:bCs/>
          <w:kern w:val="0"/>
          <w:sz w:val="32"/>
          <w:szCs w:val="32"/>
        </w:rPr>
        <w:t>）</w:t>
      </w:r>
      <w:r>
        <w:rPr>
          <w:rFonts w:hint="eastAsia" w:ascii="楷体" w:hAnsi="楷体" w:eastAsia="楷体" w:cs="仿宋_GB2312"/>
          <w:b/>
          <w:bCs/>
          <w:kern w:val="0"/>
          <w:sz w:val="32"/>
          <w:szCs w:val="32"/>
        </w:rPr>
        <w:t>统筹协调推进，创建</w:t>
      </w:r>
      <w:r>
        <w:rPr>
          <w:rFonts w:hint="eastAsia" w:ascii="楷体" w:hAnsi="楷体" w:eastAsia="楷体" w:cs="仿宋_GB2312"/>
          <w:b/>
          <w:bCs/>
          <w:kern w:val="0"/>
          <w:sz w:val="32"/>
          <w:szCs w:val="32"/>
          <w:lang w:eastAsia="zh-CN"/>
        </w:rPr>
        <w:t>国家级</w:t>
      </w:r>
      <w:r>
        <w:rPr>
          <w:rFonts w:hint="eastAsia" w:ascii="楷体" w:hAnsi="楷体" w:eastAsia="楷体" w:cs="仿宋_GB2312"/>
          <w:b/>
          <w:bCs/>
          <w:kern w:val="0"/>
          <w:sz w:val="32"/>
          <w:szCs w:val="32"/>
        </w:rPr>
        <w:t>生态文明建设示范区。</w:t>
      </w:r>
      <w:r>
        <w:rPr>
          <w:rFonts w:hint="eastAsia" w:ascii="仿宋_GB2312" w:hAnsi="仿宋_GB2312" w:eastAsia="仿宋_GB2312" w:cs="仿宋_GB2312"/>
          <w:color w:val="000000" w:themeColor="text1"/>
          <w:kern w:val="0"/>
          <w:sz w:val="32"/>
          <w:szCs w:val="32"/>
        </w:rPr>
        <w:t>持续巩固提升生态优势，加强各部门及乡镇的统筹和协调，建立联系会议机制，制定工作规程和年度工作计划，对各领域建设任务进行分解，确定责任部门，建立责任人清单，明确工作目标、工作任务、时间节点，扎实推进生态创建工作，确保生态文明示范创建各项工程和任务的组织落实、任务落实、措施落实和目标落实，确保2022年成功创建第六批国家生态文明建设示范区。</w:t>
      </w:r>
    </w:p>
    <w:p>
      <w:pPr>
        <w:pBdr>
          <w:bottom w:val="single" w:color="FFFFFF" w:sz="4" w:space="31"/>
        </w:pBdr>
        <w:tabs>
          <w:tab w:val="left" w:pos="8640"/>
        </w:tabs>
        <w:adjustRightInd w:val="0"/>
        <w:snapToGrid w:val="0"/>
        <w:spacing w:line="600" w:lineRule="exact"/>
        <w:ind w:firstLine="643" w:firstLineChars="200"/>
        <w:rPr>
          <w:rFonts w:ascii="仿宋_GB2312" w:hAnsi="仿宋_GB2312" w:eastAsia="仿宋_GB2312" w:cs="仿宋_GB2312"/>
          <w:kern w:val="0"/>
          <w:sz w:val="32"/>
          <w:szCs w:val="32"/>
        </w:rPr>
      </w:pPr>
      <w:r>
        <w:rPr>
          <w:rFonts w:hint="eastAsia" w:ascii="楷体" w:hAnsi="楷体" w:eastAsia="楷体" w:cs="仿宋_GB2312"/>
          <w:b/>
          <w:bCs/>
          <w:kern w:val="0"/>
          <w:sz w:val="32"/>
          <w:szCs w:val="32"/>
        </w:rPr>
        <w:t>（四）坚持系统谋划，推动“碳达峰碳中和”工作</w:t>
      </w:r>
      <w:r>
        <w:rPr>
          <w:rFonts w:hint="eastAsia" w:ascii="楷体" w:hAnsi="楷体" w:eastAsia="楷体" w:cs="仿宋_GB2312"/>
          <w:b/>
          <w:bCs/>
          <w:kern w:val="0"/>
          <w:sz w:val="32"/>
          <w:szCs w:val="32"/>
          <w:lang w:eastAsia="zh-CN"/>
        </w:rPr>
        <w:t>破题</w:t>
      </w:r>
      <w:r>
        <w:rPr>
          <w:rFonts w:hint="eastAsia" w:ascii="楷体" w:hAnsi="楷体" w:eastAsia="楷体" w:cs="仿宋_GB2312"/>
          <w:b/>
          <w:bCs/>
          <w:kern w:val="0"/>
          <w:sz w:val="32"/>
          <w:szCs w:val="32"/>
        </w:rPr>
        <w:t>。</w:t>
      </w:r>
      <w:r>
        <w:rPr>
          <w:rFonts w:hint="eastAsia" w:ascii="仿宋_GB2312" w:hAnsi="仿宋_GB2312" w:eastAsia="仿宋_GB2312" w:cs="仿宋_GB2312"/>
          <w:b/>
          <w:kern w:val="0"/>
          <w:sz w:val="32"/>
          <w:szCs w:val="32"/>
        </w:rPr>
        <w:t>一是</w:t>
      </w:r>
      <w:r>
        <w:rPr>
          <w:rFonts w:hint="eastAsia" w:ascii="仿宋_GB2312" w:hAnsi="仿宋_GB2312" w:eastAsia="仿宋_GB2312" w:cs="仿宋_GB2312"/>
          <w:kern w:val="0"/>
          <w:sz w:val="32"/>
          <w:szCs w:val="32"/>
        </w:rPr>
        <w:t>贯彻落实党的十九届五中全会提出的2035年“碳排放达峰后稳中有降，美丽中国建设目标基本实现”远景目标，成立</w:t>
      </w:r>
      <w:r>
        <w:rPr>
          <w:rFonts w:ascii="仿宋_GB2312" w:hAnsi="仿宋_GB2312" w:eastAsia="仿宋_GB2312" w:cs="仿宋_GB2312"/>
          <w:kern w:val="0"/>
          <w:sz w:val="32"/>
          <w:szCs w:val="32"/>
        </w:rPr>
        <w:t>碳达峰、碳中和工作领导小组，</w:t>
      </w:r>
      <w:r>
        <w:rPr>
          <w:rFonts w:hint="eastAsia" w:ascii="仿宋_GB2312" w:hAnsi="仿宋_GB2312" w:eastAsia="仿宋_GB2312" w:cs="仿宋_GB2312"/>
          <w:kern w:val="0"/>
          <w:sz w:val="32"/>
          <w:szCs w:val="32"/>
        </w:rPr>
        <w:t>研究制定2030年前二氧化碳排放达峰行动方案，</w:t>
      </w:r>
      <w:r>
        <w:rPr>
          <w:rFonts w:ascii="仿宋_GB2312" w:hAnsi="仿宋_GB2312" w:eastAsia="仿宋_GB2312" w:cs="仿宋_GB2312"/>
          <w:kern w:val="0"/>
          <w:sz w:val="32"/>
          <w:szCs w:val="32"/>
        </w:rPr>
        <w:t>整体部署和系统推进</w:t>
      </w:r>
      <w:r>
        <w:rPr>
          <w:rFonts w:hint="eastAsia" w:ascii="仿宋_GB2312" w:hAnsi="仿宋_GB2312" w:eastAsia="仿宋_GB2312" w:cs="仿宋_GB2312"/>
          <w:kern w:val="0"/>
          <w:sz w:val="32"/>
          <w:szCs w:val="32"/>
        </w:rPr>
        <w:t>工作</w:t>
      </w:r>
      <w:r>
        <w:rPr>
          <w:rFonts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二是</w:t>
      </w:r>
      <w:r>
        <w:rPr>
          <w:rFonts w:hint="eastAsia" w:ascii="仿宋_GB2312" w:hAnsi="仿宋_GB2312" w:eastAsia="仿宋_GB2312" w:cs="仿宋_GB2312"/>
          <w:kern w:val="0"/>
          <w:sz w:val="32"/>
          <w:szCs w:val="32"/>
        </w:rPr>
        <w:t>从新形势、新目标、新任务等方面认真研究，以碳排放达峰倒逼能源结构绿色低碳转型、产业结构调整和生态环境质量改善，</w:t>
      </w:r>
      <w:r>
        <w:rPr>
          <w:rFonts w:ascii="仿宋_GB2312" w:hAnsi="仿宋_GB2312" w:eastAsia="仿宋_GB2312" w:cs="仿宋_GB2312"/>
          <w:color w:val="000000" w:themeColor="text1"/>
          <w:sz w:val="32"/>
          <w:szCs w:val="32"/>
        </w:rPr>
        <w:t>实施能源绿色低碳转型行动</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加速低碳技术研发推广，增加生态碳汇，构建绿色低碳循环发展经济体系，健全低碳发展体制机制。</w:t>
      </w:r>
    </w:p>
    <w:p>
      <w:pPr>
        <w:pBdr>
          <w:bottom w:val="single" w:color="FFFFFF" w:sz="4" w:space="31"/>
        </w:pBdr>
        <w:tabs>
          <w:tab w:val="left" w:pos="8640"/>
        </w:tabs>
        <w:adjustRightInd w:val="0"/>
        <w:snapToGrid w:val="0"/>
        <w:spacing w:line="600" w:lineRule="exact"/>
        <w:ind w:firstLine="643" w:firstLineChars="200"/>
        <w:rPr>
          <w:rFonts w:ascii="仿宋_GB2312" w:hAnsi="仿宋_GB2312" w:eastAsia="仿宋_GB2312" w:cs="仿宋_GB2312"/>
          <w:kern w:val="0"/>
          <w:sz w:val="32"/>
          <w:szCs w:val="32"/>
        </w:rPr>
      </w:pPr>
      <w:r>
        <w:rPr>
          <w:rFonts w:hint="eastAsia" w:ascii="楷体_GB2312" w:hAnsi="仿宋_GB2312" w:eastAsia="楷体_GB2312" w:cs="仿宋_GB2312"/>
          <w:b/>
          <w:kern w:val="0"/>
          <w:sz w:val="32"/>
          <w:szCs w:val="32"/>
        </w:rPr>
        <w:t>（五）加强队伍建设，着力提升担当实干能力。</w:t>
      </w:r>
      <w:r>
        <w:rPr>
          <w:rFonts w:hint="eastAsia" w:ascii="仿宋_GB2312" w:hAnsi="仿宋_GB2312" w:eastAsia="仿宋_GB2312" w:cs="仿宋_GB2312"/>
          <w:b/>
          <w:kern w:val="0"/>
          <w:sz w:val="32"/>
          <w:szCs w:val="32"/>
        </w:rPr>
        <w:t>加</w:t>
      </w:r>
      <w:r>
        <w:rPr>
          <w:rFonts w:ascii="仿宋_GB2312" w:hAnsi="仿宋_GB2312" w:eastAsia="仿宋_GB2312" w:cs="仿宋_GB2312"/>
          <w:b/>
          <w:kern w:val="0"/>
          <w:sz w:val="32"/>
          <w:szCs w:val="32"/>
        </w:rPr>
        <w:t>强</w:t>
      </w:r>
      <w:r>
        <w:rPr>
          <w:rFonts w:hint="eastAsia" w:ascii="仿宋_GB2312" w:hAnsi="仿宋_GB2312" w:eastAsia="仿宋_GB2312" w:cs="仿宋_GB2312"/>
          <w:b/>
          <w:kern w:val="0"/>
          <w:sz w:val="32"/>
          <w:szCs w:val="32"/>
        </w:rPr>
        <w:t>组织建设。</w:t>
      </w:r>
      <w:r>
        <w:rPr>
          <w:rFonts w:hint="eastAsia" w:ascii="仿宋_GB2312" w:hAnsi="仿宋_GB2312" w:eastAsia="仿宋_GB2312" w:cs="仿宋_GB2312"/>
          <w:kern w:val="0"/>
          <w:sz w:val="32"/>
          <w:szCs w:val="32"/>
        </w:rPr>
        <w:t>认真贯彻落实新时代党的组织路线，推进“三化”建设提质增效，</w:t>
      </w:r>
      <w:r>
        <w:rPr>
          <w:rFonts w:hint="eastAsia" w:ascii="仿宋_GB2312" w:hAnsi="仿宋_GB2312" w:eastAsia="仿宋_GB2312" w:cs="仿宋_GB2312"/>
          <w:kern w:val="0"/>
          <w:sz w:val="32"/>
          <w:szCs w:val="32"/>
          <w:lang w:eastAsia="zh-CN"/>
        </w:rPr>
        <w:t>“党建</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”来</w:t>
      </w:r>
      <w:r>
        <w:rPr>
          <w:rFonts w:ascii="仿宋_GB2312" w:hAnsi="仿宋_GB2312" w:eastAsia="仿宋_GB2312" w:cs="仿宋_GB2312"/>
          <w:kern w:val="0"/>
          <w:sz w:val="32"/>
          <w:szCs w:val="32"/>
        </w:rPr>
        <w:t>增强队伍凝聚力和战斗力，不断提升队伍专业素养，提高依法办事的工作能力和水平</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加强廉政建设。</w:t>
      </w:r>
      <w:r>
        <w:rPr>
          <w:rFonts w:hint="eastAsia" w:ascii="仿宋_GB2312" w:hAnsi="仿宋_GB2312" w:eastAsia="仿宋_GB2312" w:cs="仿宋_GB2312"/>
          <w:kern w:val="0"/>
          <w:sz w:val="32"/>
          <w:szCs w:val="32"/>
        </w:rPr>
        <w:t>提升拒腐防变能力，突出政治监督，把“严”的主基调长期坚持下去，</w:t>
      </w:r>
      <w:r>
        <w:rPr>
          <w:rFonts w:ascii="仿宋_GB2312" w:hAnsi="仿宋_GB2312" w:eastAsia="仿宋_GB2312" w:cs="仿宋_GB2312"/>
          <w:kern w:val="0"/>
          <w:sz w:val="32"/>
          <w:szCs w:val="32"/>
        </w:rPr>
        <w:t>抓好班子，以上率下，带出敢于担当、作风过硬、廉洁务实、专业高效的生态环境</w:t>
      </w:r>
      <w:r>
        <w:rPr>
          <w:rFonts w:hint="eastAsia" w:ascii="仿宋_GB2312" w:hAnsi="仿宋_GB2312" w:eastAsia="仿宋_GB2312" w:cs="仿宋_GB2312"/>
          <w:kern w:val="0"/>
          <w:sz w:val="32"/>
          <w:szCs w:val="32"/>
        </w:rPr>
        <w:t>铁军</w:t>
      </w:r>
      <w:r>
        <w:rPr>
          <w:rFonts w:ascii="仿宋_GB2312" w:hAnsi="仿宋_GB2312" w:eastAsia="仿宋_GB2312" w:cs="仿宋_GB2312"/>
          <w:kern w:val="0"/>
          <w:sz w:val="32"/>
          <w:szCs w:val="32"/>
        </w:rPr>
        <w:t>队伍。</w:t>
      </w:r>
      <w:r>
        <w:rPr>
          <w:rFonts w:ascii="仿宋_GB2312" w:hAnsi="仿宋_GB2312" w:eastAsia="仿宋_GB2312" w:cs="仿宋_GB2312"/>
          <w:b/>
          <w:kern w:val="0"/>
          <w:sz w:val="32"/>
          <w:szCs w:val="32"/>
        </w:rPr>
        <w:t>加强执法监督</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充分发挥生态环境综合执法队伍职能作用，用好生态环境执法“利器”，加强监测监管，持续优化营商环境，着力解决群众身边的生态环境问题，推动生态环境质量持续改善</w:t>
      </w:r>
      <w:r>
        <w:rPr>
          <w:rFonts w:hint="eastAsia" w:ascii="仿宋_GB2312" w:hAnsi="仿宋_GB2312" w:eastAsia="仿宋_GB2312" w:cs="仿宋_GB2312"/>
          <w:kern w:val="0"/>
          <w:sz w:val="32"/>
          <w:szCs w:val="32"/>
        </w:rPr>
        <w:t>，助力唱响做实“庐山天下悠”品牌。</w:t>
      </w:r>
    </w:p>
    <w:p>
      <w:pPr>
        <w:pBdr>
          <w:bottom w:val="single" w:color="FFFFFF" w:sz="4" w:space="31"/>
        </w:pBdr>
        <w:tabs>
          <w:tab w:val="left" w:pos="8640"/>
        </w:tabs>
        <w:adjustRightInd w:val="0"/>
        <w:snapToGrid w:val="0"/>
        <w:spacing w:line="600" w:lineRule="exact"/>
        <w:ind w:firstLine="640" w:firstLineChars="200"/>
        <w:rPr>
          <w:rFonts w:ascii="仿宋_GB2312" w:hAnsi="仿宋_GB2312" w:eastAsia="仿宋_GB2312" w:cs="仿宋_GB2312"/>
          <w:kern w:val="0"/>
          <w:sz w:val="32"/>
          <w:szCs w:val="32"/>
        </w:rPr>
      </w:pPr>
    </w:p>
    <w:p>
      <w:pPr>
        <w:pBdr>
          <w:bottom w:val="single" w:color="FFFFFF" w:sz="4" w:space="31"/>
        </w:pBdr>
        <w:tabs>
          <w:tab w:val="left" w:pos="8640"/>
        </w:tabs>
        <w:adjustRightInd w:val="0"/>
        <w:snapToGrid w:val="0"/>
        <w:spacing w:line="600" w:lineRule="exact"/>
        <w:ind w:firstLine="640" w:firstLineChars="200"/>
        <w:rPr>
          <w:rFonts w:ascii="仿宋_GB2312" w:hAnsi="仿宋_GB2312" w:eastAsia="仿宋_GB2312" w:cs="仿宋_GB2312"/>
          <w:kern w:val="0"/>
          <w:sz w:val="32"/>
          <w:szCs w:val="32"/>
        </w:rPr>
      </w:pPr>
    </w:p>
    <w:p>
      <w:pPr>
        <w:pBdr>
          <w:bottom w:val="single" w:color="FFFFFF" w:sz="4" w:space="31"/>
        </w:pBdr>
        <w:tabs>
          <w:tab w:val="left" w:pos="8640"/>
        </w:tabs>
        <w:adjustRightInd w:val="0"/>
        <w:snapToGrid w:val="0"/>
        <w:spacing w:line="600" w:lineRule="exact"/>
        <w:ind w:firstLine="640" w:firstLineChars="200"/>
        <w:rPr>
          <w:rFonts w:ascii="仿宋_GB2312" w:hAnsi="仿宋_GB2312" w:eastAsia="仿宋_GB2312" w:cs="仿宋_GB2312"/>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D40BD"/>
    <w:rsid w:val="000058FE"/>
    <w:rsid w:val="000134CF"/>
    <w:rsid w:val="00014352"/>
    <w:rsid w:val="00037910"/>
    <w:rsid w:val="00050547"/>
    <w:rsid w:val="00054625"/>
    <w:rsid w:val="000676C5"/>
    <w:rsid w:val="000745B2"/>
    <w:rsid w:val="00080133"/>
    <w:rsid w:val="000862C0"/>
    <w:rsid w:val="000918E7"/>
    <w:rsid w:val="000B2DB5"/>
    <w:rsid w:val="000B5223"/>
    <w:rsid w:val="000B5700"/>
    <w:rsid w:val="000C23ED"/>
    <w:rsid w:val="000C5F7E"/>
    <w:rsid w:val="000C6C70"/>
    <w:rsid w:val="000D0691"/>
    <w:rsid w:val="000F0486"/>
    <w:rsid w:val="000F4661"/>
    <w:rsid w:val="00116E1C"/>
    <w:rsid w:val="00122DAC"/>
    <w:rsid w:val="001364D3"/>
    <w:rsid w:val="001400AC"/>
    <w:rsid w:val="00143F9C"/>
    <w:rsid w:val="00151063"/>
    <w:rsid w:val="00170243"/>
    <w:rsid w:val="00170892"/>
    <w:rsid w:val="001849FD"/>
    <w:rsid w:val="001873D0"/>
    <w:rsid w:val="001A025E"/>
    <w:rsid w:val="001A2526"/>
    <w:rsid w:val="001A658C"/>
    <w:rsid w:val="001B0291"/>
    <w:rsid w:val="001B26BB"/>
    <w:rsid w:val="001B2A25"/>
    <w:rsid w:val="001B613B"/>
    <w:rsid w:val="001E575F"/>
    <w:rsid w:val="00205C7A"/>
    <w:rsid w:val="00217CA8"/>
    <w:rsid w:val="002200F0"/>
    <w:rsid w:val="00237973"/>
    <w:rsid w:val="00270946"/>
    <w:rsid w:val="00271DC8"/>
    <w:rsid w:val="002734C0"/>
    <w:rsid w:val="0027380B"/>
    <w:rsid w:val="00283A5F"/>
    <w:rsid w:val="00283CA3"/>
    <w:rsid w:val="002920FE"/>
    <w:rsid w:val="00292B64"/>
    <w:rsid w:val="0029677D"/>
    <w:rsid w:val="002A5BD8"/>
    <w:rsid w:val="002C3A8A"/>
    <w:rsid w:val="002E46EA"/>
    <w:rsid w:val="002E525C"/>
    <w:rsid w:val="002F6B11"/>
    <w:rsid w:val="00306B2E"/>
    <w:rsid w:val="00336A21"/>
    <w:rsid w:val="00341960"/>
    <w:rsid w:val="0034313E"/>
    <w:rsid w:val="003452AA"/>
    <w:rsid w:val="00345888"/>
    <w:rsid w:val="00346112"/>
    <w:rsid w:val="003604CC"/>
    <w:rsid w:val="00366879"/>
    <w:rsid w:val="0038547C"/>
    <w:rsid w:val="00390753"/>
    <w:rsid w:val="003A3650"/>
    <w:rsid w:val="003A4FF3"/>
    <w:rsid w:val="003B7F2A"/>
    <w:rsid w:val="003E11AF"/>
    <w:rsid w:val="003E181C"/>
    <w:rsid w:val="004133BE"/>
    <w:rsid w:val="00414841"/>
    <w:rsid w:val="00435725"/>
    <w:rsid w:val="00440DBD"/>
    <w:rsid w:val="0044393B"/>
    <w:rsid w:val="00450E80"/>
    <w:rsid w:val="00456213"/>
    <w:rsid w:val="00456B30"/>
    <w:rsid w:val="0047327A"/>
    <w:rsid w:val="00483C85"/>
    <w:rsid w:val="004B3081"/>
    <w:rsid w:val="004C486C"/>
    <w:rsid w:val="00500514"/>
    <w:rsid w:val="005237C9"/>
    <w:rsid w:val="00534982"/>
    <w:rsid w:val="00542292"/>
    <w:rsid w:val="005447BF"/>
    <w:rsid w:val="005463FD"/>
    <w:rsid w:val="00554564"/>
    <w:rsid w:val="00556448"/>
    <w:rsid w:val="00564B18"/>
    <w:rsid w:val="0058463F"/>
    <w:rsid w:val="00584872"/>
    <w:rsid w:val="005864E5"/>
    <w:rsid w:val="00590924"/>
    <w:rsid w:val="00592045"/>
    <w:rsid w:val="005B3331"/>
    <w:rsid w:val="005C61D0"/>
    <w:rsid w:val="005D51BC"/>
    <w:rsid w:val="005D5A3B"/>
    <w:rsid w:val="005F2B28"/>
    <w:rsid w:val="00613695"/>
    <w:rsid w:val="00621D73"/>
    <w:rsid w:val="00627862"/>
    <w:rsid w:val="00632EE5"/>
    <w:rsid w:val="00633AF8"/>
    <w:rsid w:val="006421C8"/>
    <w:rsid w:val="006532F1"/>
    <w:rsid w:val="00680153"/>
    <w:rsid w:val="006802C8"/>
    <w:rsid w:val="00685BAC"/>
    <w:rsid w:val="006937A3"/>
    <w:rsid w:val="006A3CDA"/>
    <w:rsid w:val="006C64BF"/>
    <w:rsid w:val="006D23FD"/>
    <w:rsid w:val="006E4F87"/>
    <w:rsid w:val="007423E4"/>
    <w:rsid w:val="00755195"/>
    <w:rsid w:val="00764FD0"/>
    <w:rsid w:val="007674DB"/>
    <w:rsid w:val="00771E11"/>
    <w:rsid w:val="00774731"/>
    <w:rsid w:val="00776527"/>
    <w:rsid w:val="007805D4"/>
    <w:rsid w:val="007966C3"/>
    <w:rsid w:val="007C2222"/>
    <w:rsid w:val="007C3FF7"/>
    <w:rsid w:val="007C5F92"/>
    <w:rsid w:val="007D0EB2"/>
    <w:rsid w:val="007D62B0"/>
    <w:rsid w:val="007D6E5B"/>
    <w:rsid w:val="007E404F"/>
    <w:rsid w:val="007E7C9F"/>
    <w:rsid w:val="007F0B68"/>
    <w:rsid w:val="007F6C2B"/>
    <w:rsid w:val="00803120"/>
    <w:rsid w:val="00812434"/>
    <w:rsid w:val="0081364A"/>
    <w:rsid w:val="008247B8"/>
    <w:rsid w:val="008274EA"/>
    <w:rsid w:val="00831BAF"/>
    <w:rsid w:val="00834790"/>
    <w:rsid w:val="00846C18"/>
    <w:rsid w:val="00853DF6"/>
    <w:rsid w:val="00866344"/>
    <w:rsid w:val="00886135"/>
    <w:rsid w:val="00890282"/>
    <w:rsid w:val="00891110"/>
    <w:rsid w:val="00894434"/>
    <w:rsid w:val="00894E54"/>
    <w:rsid w:val="00895B35"/>
    <w:rsid w:val="008A4D85"/>
    <w:rsid w:val="008A5AE8"/>
    <w:rsid w:val="008B2185"/>
    <w:rsid w:val="008B2E49"/>
    <w:rsid w:val="008B7578"/>
    <w:rsid w:val="008C3A79"/>
    <w:rsid w:val="008C3E23"/>
    <w:rsid w:val="008D40BD"/>
    <w:rsid w:val="008D4508"/>
    <w:rsid w:val="008D7278"/>
    <w:rsid w:val="008E66D6"/>
    <w:rsid w:val="00905731"/>
    <w:rsid w:val="009201D3"/>
    <w:rsid w:val="009445B6"/>
    <w:rsid w:val="00950415"/>
    <w:rsid w:val="00963800"/>
    <w:rsid w:val="009908DA"/>
    <w:rsid w:val="00994832"/>
    <w:rsid w:val="009A2EAF"/>
    <w:rsid w:val="009C720A"/>
    <w:rsid w:val="009D5884"/>
    <w:rsid w:val="009D7A4D"/>
    <w:rsid w:val="009E5C6C"/>
    <w:rsid w:val="009F5D6E"/>
    <w:rsid w:val="00A01155"/>
    <w:rsid w:val="00A02A41"/>
    <w:rsid w:val="00A0630D"/>
    <w:rsid w:val="00A46D51"/>
    <w:rsid w:val="00A53D25"/>
    <w:rsid w:val="00A56D1F"/>
    <w:rsid w:val="00A61BB6"/>
    <w:rsid w:val="00A64C60"/>
    <w:rsid w:val="00A6745D"/>
    <w:rsid w:val="00A90BC5"/>
    <w:rsid w:val="00AA2700"/>
    <w:rsid w:val="00AA41F9"/>
    <w:rsid w:val="00AA4785"/>
    <w:rsid w:val="00AF2A5D"/>
    <w:rsid w:val="00AF3383"/>
    <w:rsid w:val="00B10777"/>
    <w:rsid w:val="00B25649"/>
    <w:rsid w:val="00B323E4"/>
    <w:rsid w:val="00B43DDF"/>
    <w:rsid w:val="00B455A9"/>
    <w:rsid w:val="00B54701"/>
    <w:rsid w:val="00B54DFB"/>
    <w:rsid w:val="00B618B9"/>
    <w:rsid w:val="00B64630"/>
    <w:rsid w:val="00B662AD"/>
    <w:rsid w:val="00B725EB"/>
    <w:rsid w:val="00B86ED8"/>
    <w:rsid w:val="00B97D57"/>
    <w:rsid w:val="00BA28B2"/>
    <w:rsid w:val="00BA79B6"/>
    <w:rsid w:val="00BC54D5"/>
    <w:rsid w:val="00BC5B57"/>
    <w:rsid w:val="00BD56DA"/>
    <w:rsid w:val="00BE2F93"/>
    <w:rsid w:val="00BE3319"/>
    <w:rsid w:val="00BF436C"/>
    <w:rsid w:val="00BF74F4"/>
    <w:rsid w:val="00C13285"/>
    <w:rsid w:val="00C15A9A"/>
    <w:rsid w:val="00C234BD"/>
    <w:rsid w:val="00C41DF4"/>
    <w:rsid w:val="00C46944"/>
    <w:rsid w:val="00C46D74"/>
    <w:rsid w:val="00C60203"/>
    <w:rsid w:val="00C6563D"/>
    <w:rsid w:val="00C71955"/>
    <w:rsid w:val="00C8298A"/>
    <w:rsid w:val="00C87D9C"/>
    <w:rsid w:val="00CA3AC2"/>
    <w:rsid w:val="00CA4DF2"/>
    <w:rsid w:val="00CD1EE3"/>
    <w:rsid w:val="00CD3BA7"/>
    <w:rsid w:val="00CF4607"/>
    <w:rsid w:val="00D04EF5"/>
    <w:rsid w:val="00D06B22"/>
    <w:rsid w:val="00D1188B"/>
    <w:rsid w:val="00D12711"/>
    <w:rsid w:val="00D13070"/>
    <w:rsid w:val="00D14925"/>
    <w:rsid w:val="00D20D05"/>
    <w:rsid w:val="00D262EB"/>
    <w:rsid w:val="00D268ED"/>
    <w:rsid w:val="00D27260"/>
    <w:rsid w:val="00D31D61"/>
    <w:rsid w:val="00D54156"/>
    <w:rsid w:val="00D72855"/>
    <w:rsid w:val="00D72EAB"/>
    <w:rsid w:val="00D83B37"/>
    <w:rsid w:val="00D8493D"/>
    <w:rsid w:val="00D86623"/>
    <w:rsid w:val="00D87B1A"/>
    <w:rsid w:val="00DA1B90"/>
    <w:rsid w:val="00DA6FB5"/>
    <w:rsid w:val="00DB396F"/>
    <w:rsid w:val="00DD3462"/>
    <w:rsid w:val="00DD381B"/>
    <w:rsid w:val="00DD7475"/>
    <w:rsid w:val="00DE0675"/>
    <w:rsid w:val="00DF3FDC"/>
    <w:rsid w:val="00E202C2"/>
    <w:rsid w:val="00E368E0"/>
    <w:rsid w:val="00E43029"/>
    <w:rsid w:val="00E60D06"/>
    <w:rsid w:val="00E7156A"/>
    <w:rsid w:val="00E91396"/>
    <w:rsid w:val="00E93950"/>
    <w:rsid w:val="00EC3D51"/>
    <w:rsid w:val="00EF4E74"/>
    <w:rsid w:val="00F03C2E"/>
    <w:rsid w:val="00F13677"/>
    <w:rsid w:val="00F14D68"/>
    <w:rsid w:val="00F1618A"/>
    <w:rsid w:val="00F21975"/>
    <w:rsid w:val="00F43AEC"/>
    <w:rsid w:val="00F56583"/>
    <w:rsid w:val="00F61872"/>
    <w:rsid w:val="00F7125E"/>
    <w:rsid w:val="00F7757B"/>
    <w:rsid w:val="00F81291"/>
    <w:rsid w:val="00FA1F37"/>
    <w:rsid w:val="00FA5D4A"/>
    <w:rsid w:val="00FC050B"/>
    <w:rsid w:val="00FC2DEF"/>
    <w:rsid w:val="00FD46EC"/>
    <w:rsid w:val="00FD6B9A"/>
    <w:rsid w:val="00FD77FB"/>
    <w:rsid w:val="00FE4DEA"/>
    <w:rsid w:val="00FE7E6D"/>
    <w:rsid w:val="00FF32DB"/>
    <w:rsid w:val="00FF3736"/>
    <w:rsid w:val="0D646FD0"/>
    <w:rsid w:val="0FFD54BA"/>
    <w:rsid w:val="137E6912"/>
    <w:rsid w:val="141D6481"/>
    <w:rsid w:val="1AE35FDC"/>
    <w:rsid w:val="1B2F50C2"/>
    <w:rsid w:val="1F8D327A"/>
    <w:rsid w:val="1F9F1A13"/>
    <w:rsid w:val="2B8D373E"/>
    <w:rsid w:val="2BCE7E38"/>
    <w:rsid w:val="2C7D37B3"/>
    <w:rsid w:val="2E036B5F"/>
    <w:rsid w:val="30354AD0"/>
    <w:rsid w:val="306D2D22"/>
    <w:rsid w:val="30FD4EC2"/>
    <w:rsid w:val="31EA3699"/>
    <w:rsid w:val="320715EF"/>
    <w:rsid w:val="337E0E26"/>
    <w:rsid w:val="34BB756E"/>
    <w:rsid w:val="37D01583"/>
    <w:rsid w:val="3B864FAA"/>
    <w:rsid w:val="3BBD6798"/>
    <w:rsid w:val="3C9963E7"/>
    <w:rsid w:val="3EB47508"/>
    <w:rsid w:val="3FCF758A"/>
    <w:rsid w:val="42EB24D2"/>
    <w:rsid w:val="432602A9"/>
    <w:rsid w:val="47DB57AF"/>
    <w:rsid w:val="48164D90"/>
    <w:rsid w:val="4819327F"/>
    <w:rsid w:val="4BA36289"/>
    <w:rsid w:val="4C431071"/>
    <w:rsid w:val="4C932747"/>
    <w:rsid w:val="4E047438"/>
    <w:rsid w:val="4E3F66C2"/>
    <w:rsid w:val="4FEB4D54"/>
    <w:rsid w:val="510D7B62"/>
    <w:rsid w:val="539D45B7"/>
    <w:rsid w:val="574E2D4D"/>
    <w:rsid w:val="585B16D6"/>
    <w:rsid w:val="597B269D"/>
    <w:rsid w:val="5A7620FF"/>
    <w:rsid w:val="5D9205BD"/>
    <w:rsid w:val="5E652175"/>
    <w:rsid w:val="5E7E64C9"/>
    <w:rsid w:val="5EF656A8"/>
    <w:rsid w:val="64FF0C2E"/>
    <w:rsid w:val="657C73C5"/>
    <w:rsid w:val="673C0BC0"/>
    <w:rsid w:val="68C862B9"/>
    <w:rsid w:val="70231548"/>
    <w:rsid w:val="736507F6"/>
    <w:rsid w:val="777728A5"/>
    <w:rsid w:val="780B3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semiHidden/>
    <w:unhideWhenUsed/>
    <w:qFormat/>
    <w:uiPriority w:val="99"/>
    <w:pPr>
      <w:spacing w:after="120"/>
      <w:ind w:left="420" w:leftChars="2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Body Text First Indent 2"/>
    <w:basedOn w:val="1"/>
    <w:next w:val="1"/>
    <w:link w:val="9"/>
    <w:qFormat/>
    <w:uiPriority w:val="99"/>
    <w:pPr>
      <w:ind w:firstLine="210"/>
    </w:pPr>
    <w:rPr>
      <w:szCs w:val="24"/>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6"/>
    <w:link w:val="2"/>
    <w:semiHidden/>
    <w:qFormat/>
    <w:uiPriority w:val="99"/>
  </w:style>
  <w:style w:type="character" w:customStyle="1" w:styleId="9">
    <w:name w:val="正文首行缩进 2 Char"/>
    <w:basedOn w:val="8"/>
    <w:link w:val="4"/>
    <w:qFormat/>
    <w:uiPriority w:val="99"/>
    <w:rPr>
      <w:szCs w:val="24"/>
    </w:rPr>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 w:type="character" w:customStyle="1" w:styleId="11">
    <w:name w:val="页眉 Char"/>
    <w:basedOn w:val="6"/>
    <w:link w:val="5"/>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1284</Words>
  <Characters>7320</Characters>
  <Lines>61</Lines>
  <Paragraphs>17</Paragraphs>
  <TotalTime>31</TotalTime>
  <ScaleCrop>false</ScaleCrop>
  <LinksUpToDate>false</LinksUpToDate>
  <CharactersWithSpaces>8587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2021-11-03T02:35:00Z</dcterms:created>
  <dc:creator>Dell</dc:creator>
  <cp:lastModifiedBy>Administrator</cp:lastModifiedBy>
  <cp:lastPrinted>2022-01-12T00:56:45Z</cp:lastPrinted>
  <dcterms:modified xsi:type="dcterms:W3CDTF">2022-01-12T00:59:39Z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B2B7DB9228B840EDAE493CF68BAF95E3</vt:lpwstr>
  </property>
</Properties>
</file>