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E3212E6">
      <w:pPr>
        <w:snapToGrid w:val="0"/>
        <w:spacing w:line="500" w:lineRule="exact"/>
        <w:jc w:val="center"/>
        <w:rPr>
          <w:rFonts w:hint="default" w:ascii="Times New Roman" w:hAnsi="Times New Roman" w:eastAsia="仿宋" w:cs="Times New Roman"/>
          <w:b/>
          <w:bCs/>
          <w:sz w:val="44"/>
          <w:szCs w:val="44"/>
        </w:rPr>
      </w:pPr>
      <w:r>
        <w:rPr>
          <w:rFonts w:hint="default" w:ascii="仿宋" w:hAnsi="仿宋" w:eastAsia="仿宋" w:cs="仿宋"/>
          <w:b/>
          <w:bCs/>
          <w:color w:val="000000"/>
          <w:sz w:val="40"/>
          <w:szCs w:val="40"/>
        </w:rPr>
        <w:t>九江市食品用玻璃瓶罐产品质量监督抽查实施细则（2025年版）</w:t>
      </w:r>
      <w:bookmarkStart w:id="0" w:name="_GoBack"/>
      <w:bookmarkEnd w:id="0"/>
    </w:p>
    <w:p w14:paraId="0C9DE8A9">
      <w:pPr>
        <w:adjustRightInd w:val="0"/>
        <w:snapToGrid w:val="0"/>
        <w:spacing w:line="480" w:lineRule="exact"/>
        <w:jc w:val="both"/>
        <w:rPr>
          <w:rFonts w:hint="default" w:ascii="Times New Roman" w:hAnsi="Times New Roman" w:eastAsia="仿宋" w:cs="Times New Roman"/>
          <w:b/>
          <w:bCs/>
          <w:sz w:val="44"/>
          <w:szCs w:val="44"/>
        </w:rPr>
      </w:pPr>
    </w:p>
    <w:p w14:paraId="786F27B7">
      <w:pPr>
        <w:adjustRightInd w:val="0"/>
        <w:snapToGrid w:val="0"/>
        <w:spacing w:line="440" w:lineRule="exact"/>
        <w:jc w:val="center"/>
        <w:rPr>
          <w:rFonts w:hint="default" w:ascii="Times New Roman" w:hAnsi="Times New Roman" w:eastAsia="仿宋" w:cs="Times New Roman"/>
          <w:b/>
          <w:bCs/>
          <w:sz w:val="21"/>
          <w:szCs w:val="21"/>
          <w:highlight w:val="lightGray"/>
        </w:rPr>
      </w:pPr>
    </w:p>
    <w:p w14:paraId="1F29576A">
      <w:pPr>
        <w:keepNext w:val="0"/>
        <w:keepLines w:val="0"/>
        <w:pageBreakBefore w:val="0"/>
        <w:widowControl w:val="0"/>
        <w:kinsoku/>
        <w:wordWrap/>
        <w:overflowPunct/>
        <w:topLinePunct w:val="0"/>
        <w:autoSpaceDE/>
        <w:autoSpaceDN/>
        <w:bidi w:val="0"/>
        <w:snapToGrid w:val="0"/>
        <w:spacing w:line="500" w:lineRule="exact"/>
        <w:textAlignment w:val="auto"/>
        <w:rPr>
          <w:rFonts w:hint="default" w:ascii="Times New Roman" w:hAnsi="Times New Roman" w:eastAsia="黑体" w:cs="Times New Roman"/>
          <w:sz w:val="21"/>
          <w:szCs w:val="21"/>
        </w:rPr>
      </w:pPr>
      <w:r>
        <w:rPr>
          <w:rFonts w:hint="default" w:ascii="宋体" w:hAnsi="宋体" w:eastAsia="宋体" w:cs="宋体"/>
          <w:b/>
          <w:sz w:val="24"/>
          <w:szCs w:val="24"/>
          <w:lang w:val="en-US" w:eastAsia="zh-CN"/>
        </w:rPr>
        <w:t>1</w:t>
      </w:r>
      <w:r>
        <w:rPr>
          <w:rFonts w:hint="eastAsia" w:ascii="宋体" w:hAnsi="宋体" w:cs="宋体"/>
          <w:b/>
          <w:sz w:val="24"/>
          <w:szCs w:val="24"/>
          <w:lang w:val="en-US" w:eastAsia="zh-CN"/>
        </w:rPr>
        <w:t>、</w:t>
      </w:r>
      <w:r>
        <w:rPr>
          <w:rFonts w:hint="default" w:ascii="宋体" w:hAnsi="宋体" w:eastAsia="宋体" w:cs="宋体"/>
          <w:b/>
          <w:sz w:val="24"/>
          <w:szCs w:val="24"/>
          <w:lang w:val="en-US" w:eastAsia="zh-CN"/>
        </w:rPr>
        <w:t>抽样方法</w:t>
      </w:r>
    </w:p>
    <w:p w14:paraId="449D158C">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hint="default" w:ascii="Times New Roman" w:hAnsi="Times New Roman" w:cs="Times New Roman"/>
          <w:sz w:val="21"/>
          <w:szCs w:val="21"/>
        </w:rPr>
      </w:pPr>
      <w:r>
        <w:rPr>
          <w:rFonts w:hint="default" w:ascii="Times New Roman" w:hAnsi="Times New Roman" w:cs="Times New Roman"/>
          <w:sz w:val="21"/>
          <w:szCs w:val="21"/>
        </w:rPr>
        <w:t>以随机抽样的方式在</w:t>
      </w:r>
      <w:r>
        <w:rPr>
          <w:szCs w:val="21"/>
        </w:rPr>
        <w:t>被抽样</w:t>
      </w:r>
      <w:r>
        <w:rPr>
          <w:rFonts w:hint="default" w:ascii="Times New Roman" w:hAnsi="Times New Roman" w:cs="Times New Roman"/>
          <w:sz w:val="21"/>
          <w:szCs w:val="21"/>
        </w:rPr>
        <w:t>销售者的待销产品中抽取。</w:t>
      </w:r>
    </w:p>
    <w:p w14:paraId="43E8CEBD">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随机数一般可使用随机数表等方法产生。</w:t>
      </w:r>
    </w:p>
    <w:p w14:paraId="2B5BE3DE">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抽样数量见表1。</w:t>
      </w:r>
    </w:p>
    <w:p w14:paraId="7A176E87">
      <w:pPr>
        <w:keepNext w:val="0"/>
        <w:keepLines w:val="0"/>
        <w:pageBreakBefore w:val="0"/>
        <w:widowControl w:val="0"/>
        <w:kinsoku/>
        <w:wordWrap/>
        <w:overflowPunct/>
        <w:topLinePunct w:val="0"/>
        <w:autoSpaceDE/>
        <w:autoSpaceDN/>
        <w:bidi w:val="0"/>
        <w:adjustRightInd/>
        <w:snapToGrid w:val="0"/>
        <w:spacing w:line="360" w:lineRule="auto"/>
        <w:ind w:left="0" w:leftChars="0" w:right="0" w:rightChars="0" w:firstLine="0" w:firstLineChars="0"/>
        <w:jc w:val="center"/>
        <w:textAlignment w:val="auto"/>
        <w:rPr>
          <w:rFonts w:hint="default" w:ascii="Times New Roman" w:hAnsi="Times New Roman" w:cs="Times New Roman"/>
          <w:sz w:val="21"/>
          <w:szCs w:val="21"/>
        </w:rPr>
      </w:pPr>
      <w:r>
        <w:rPr>
          <w:rFonts w:hint="eastAsia" w:ascii="Times New Roman" w:hAnsi="Times New Roman"/>
          <w:color w:val="000000"/>
          <w:sz w:val="21"/>
          <w:szCs w:val="21"/>
        </w:rPr>
        <w:t>表</w:t>
      </w:r>
      <w:r>
        <w:rPr>
          <w:rFonts w:hint="eastAsia"/>
          <w:color w:val="000000"/>
          <w:sz w:val="21"/>
          <w:szCs w:val="21"/>
          <w:lang w:val="en-US" w:eastAsia="zh-CN"/>
        </w:rPr>
        <w:t>1 食品用玻璃瓶罐产品</w:t>
      </w:r>
      <w:r>
        <w:rPr>
          <w:rFonts w:ascii="Times New Roman" w:hAnsi="Times New Roman"/>
          <w:color w:val="000000"/>
          <w:sz w:val="21"/>
          <w:szCs w:val="21"/>
        </w:rPr>
        <w:t>抽样数量</w:t>
      </w:r>
    </w:p>
    <w:tbl>
      <w:tblPr>
        <w:tblStyle w:val="15"/>
        <w:tblW w:w="5013" w:type="pct"/>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autofit"/>
        <w:tblCellMar>
          <w:top w:w="0" w:type="dxa"/>
          <w:left w:w="0" w:type="dxa"/>
          <w:bottom w:w="0" w:type="dxa"/>
          <w:right w:w="0" w:type="dxa"/>
        </w:tblCellMar>
      </w:tblPr>
      <w:tblGrid>
        <w:gridCol w:w="757"/>
        <w:gridCol w:w="2398"/>
        <w:gridCol w:w="1589"/>
        <w:gridCol w:w="1789"/>
        <w:gridCol w:w="1801"/>
      </w:tblGrid>
      <w:tr w14:paraId="397C9B1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8" w:hRule="atLeast"/>
        </w:trPr>
        <w:tc>
          <w:tcPr>
            <w:tcW w:w="454" w:type="pct"/>
            <w:vAlign w:val="center"/>
          </w:tcPr>
          <w:p w14:paraId="3CE06A54">
            <w:pPr>
              <w:pStyle w:val="14"/>
              <w:jc w:val="center"/>
              <w:rPr>
                <w:rFonts w:hint="eastAsia" w:ascii="宋体" w:hAnsi="宋体" w:eastAsia="宋体" w:cs="宋体"/>
                <w:spacing w:val="-8"/>
                <w:sz w:val="21"/>
                <w:szCs w:val="21"/>
              </w:rPr>
            </w:pPr>
            <w:r>
              <w:rPr>
                <w:rFonts w:hint="eastAsia" w:ascii="宋体" w:hAnsi="宋体" w:eastAsia="宋体" w:cs="宋体"/>
                <w:spacing w:val="-8"/>
                <w:sz w:val="21"/>
                <w:szCs w:val="21"/>
              </w:rPr>
              <w:t>序号</w:t>
            </w:r>
          </w:p>
        </w:tc>
        <w:tc>
          <w:tcPr>
            <w:tcW w:w="1438" w:type="pct"/>
            <w:vAlign w:val="center"/>
          </w:tcPr>
          <w:p w14:paraId="55C65B24">
            <w:pPr>
              <w:pStyle w:val="14"/>
              <w:jc w:val="center"/>
              <w:rPr>
                <w:rFonts w:hint="eastAsia" w:ascii="宋体" w:hAnsi="宋体" w:eastAsia="宋体" w:cs="宋体"/>
                <w:spacing w:val="-8"/>
                <w:sz w:val="21"/>
                <w:szCs w:val="21"/>
              </w:rPr>
            </w:pPr>
            <w:r>
              <w:rPr>
                <w:rFonts w:hint="eastAsia" w:ascii="宋体" w:hAnsi="宋体" w:eastAsia="宋体" w:cs="宋体"/>
                <w:spacing w:val="-8"/>
                <w:sz w:val="21"/>
                <w:szCs w:val="21"/>
              </w:rPr>
              <w:t>产品种类</w:t>
            </w:r>
          </w:p>
        </w:tc>
        <w:tc>
          <w:tcPr>
            <w:tcW w:w="953" w:type="pct"/>
            <w:vAlign w:val="center"/>
          </w:tcPr>
          <w:p w14:paraId="3E2EECAB">
            <w:pPr>
              <w:pStyle w:val="14"/>
              <w:jc w:val="center"/>
              <w:rPr>
                <w:rFonts w:hint="eastAsia" w:ascii="宋体" w:hAnsi="宋体" w:eastAsia="宋体" w:cs="宋体"/>
                <w:spacing w:val="-8"/>
                <w:sz w:val="21"/>
                <w:szCs w:val="21"/>
              </w:rPr>
            </w:pPr>
            <w:r>
              <w:rPr>
                <w:rFonts w:hint="eastAsia" w:ascii="宋体" w:hAnsi="宋体" w:eastAsia="宋体" w:cs="宋体"/>
                <w:spacing w:val="-8"/>
                <w:sz w:val="21"/>
                <w:szCs w:val="21"/>
              </w:rPr>
              <w:t>抽样数量（个）</w:t>
            </w:r>
          </w:p>
        </w:tc>
        <w:tc>
          <w:tcPr>
            <w:tcW w:w="1073" w:type="pct"/>
            <w:vAlign w:val="center"/>
          </w:tcPr>
          <w:p w14:paraId="180FEE9D">
            <w:pPr>
              <w:pStyle w:val="14"/>
              <w:jc w:val="center"/>
              <w:rPr>
                <w:rFonts w:hint="eastAsia" w:ascii="宋体" w:hAnsi="宋体" w:eastAsia="宋体" w:cs="宋体"/>
                <w:spacing w:val="-8"/>
                <w:sz w:val="21"/>
                <w:szCs w:val="21"/>
              </w:rPr>
            </w:pPr>
            <w:r>
              <w:rPr>
                <w:rFonts w:hint="eastAsia" w:ascii="宋体" w:hAnsi="宋体" w:eastAsia="宋体" w:cs="宋体"/>
                <w:spacing w:val="-8"/>
                <w:sz w:val="21"/>
                <w:szCs w:val="21"/>
              </w:rPr>
              <w:t>检验样品数量（个）</w:t>
            </w:r>
          </w:p>
        </w:tc>
        <w:tc>
          <w:tcPr>
            <w:tcW w:w="1080" w:type="pct"/>
            <w:vAlign w:val="center"/>
          </w:tcPr>
          <w:p w14:paraId="4A8A3925">
            <w:pPr>
              <w:pStyle w:val="14"/>
              <w:jc w:val="center"/>
              <w:rPr>
                <w:rFonts w:hint="eastAsia" w:ascii="宋体" w:hAnsi="宋体" w:eastAsia="宋体" w:cs="宋体"/>
                <w:spacing w:val="-8"/>
                <w:sz w:val="21"/>
                <w:szCs w:val="21"/>
              </w:rPr>
            </w:pPr>
            <w:r>
              <w:rPr>
                <w:rFonts w:hint="eastAsia" w:ascii="宋体" w:hAnsi="宋体" w:eastAsia="宋体" w:cs="宋体"/>
                <w:spacing w:val="-8"/>
                <w:sz w:val="21"/>
                <w:szCs w:val="21"/>
              </w:rPr>
              <w:t>备用样品数量（个）</w:t>
            </w:r>
          </w:p>
        </w:tc>
      </w:tr>
      <w:tr w14:paraId="57780EB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4" w:hRule="atLeast"/>
        </w:trPr>
        <w:tc>
          <w:tcPr>
            <w:tcW w:w="454" w:type="pct"/>
            <w:vAlign w:val="center"/>
          </w:tcPr>
          <w:p w14:paraId="159CE104">
            <w:pPr>
              <w:pStyle w:val="14"/>
              <w:jc w:val="center"/>
              <w:rPr>
                <w:rFonts w:hint="eastAsia" w:ascii="宋体" w:hAnsi="宋体" w:eastAsia="宋体" w:cs="宋体"/>
                <w:spacing w:val="-8"/>
                <w:sz w:val="21"/>
                <w:szCs w:val="21"/>
              </w:rPr>
            </w:pPr>
            <w:r>
              <w:rPr>
                <w:rFonts w:hint="eastAsia" w:ascii="宋体" w:hAnsi="宋体" w:eastAsia="宋体" w:cs="宋体"/>
                <w:spacing w:val="-8"/>
                <w:sz w:val="21"/>
                <w:szCs w:val="21"/>
              </w:rPr>
              <w:t>1</w:t>
            </w:r>
          </w:p>
        </w:tc>
        <w:tc>
          <w:tcPr>
            <w:tcW w:w="1438" w:type="pct"/>
            <w:vAlign w:val="center"/>
          </w:tcPr>
          <w:p w14:paraId="5C2B49B1">
            <w:pPr>
              <w:pStyle w:val="14"/>
              <w:jc w:val="center"/>
              <w:rPr>
                <w:rFonts w:hint="eastAsia" w:ascii="宋体" w:hAnsi="宋体" w:eastAsia="宋体" w:cs="宋体"/>
                <w:spacing w:val="-8"/>
                <w:sz w:val="21"/>
                <w:szCs w:val="21"/>
              </w:rPr>
            </w:pPr>
            <w:r>
              <w:rPr>
                <w:rFonts w:hint="eastAsia" w:ascii="宋体" w:hAnsi="宋体" w:eastAsia="宋体" w:cs="宋体"/>
                <w:spacing w:val="-8"/>
                <w:sz w:val="21"/>
                <w:szCs w:val="21"/>
              </w:rPr>
              <w:t>食品用玻璃瓶罐</w:t>
            </w:r>
          </w:p>
        </w:tc>
        <w:tc>
          <w:tcPr>
            <w:tcW w:w="953" w:type="pct"/>
            <w:vAlign w:val="center"/>
          </w:tcPr>
          <w:p w14:paraId="54B1A6D0">
            <w:pPr>
              <w:pStyle w:val="14"/>
              <w:jc w:val="center"/>
              <w:rPr>
                <w:rFonts w:hint="eastAsia" w:ascii="宋体" w:hAnsi="宋体" w:eastAsia="宋体" w:cs="宋体"/>
                <w:spacing w:val="-8"/>
                <w:sz w:val="21"/>
                <w:szCs w:val="21"/>
              </w:rPr>
            </w:pPr>
            <w:r>
              <w:rPr>
                <w:rFonts w:hint="eastAsia" w:ascii="宋体" w:hAnsi="宋体" w:cs="宋体"/>
                <w:spacing w:val="-8"/>
                <w:sz w:val="21"/>
                <w:szCs w:val="21"/>
                <w:lang w:val="en-US" w:eastAsia="zh-CN"/>
              </w:rPr>
              <w:t>4</w:t>
            </w:r>
          </w:p>
        </w:tc>
        <w:tc>
          <w:tcPr>
            <w:tcW w:w="1073" w:type="pct"/>
            <w:vAlign w:val="center"/>
          </w:tcPr>
          <w:p w14:paraId="4AA9877C">
            <w:pPr>
              <w:pStyle w:val="14"/>
              <w:jc w:val="center"/>
              <w:rPr>
                <w:rFonts w:hint="eastAsia" w:ascii="宋体" w:hAnsi="宋体" w:eastAsia="宋体" w:cs="宋体"/>
                <w:spacing w:val="-8"/>
                <w:sz w:val="21"/>
                <w:szCs w:val="21"/>
              </w:rPr>
            </w:pPr>
            <w:r>
              <w:rPr>
                <w:rFonts w:hint="eastAsia" w:ascii="宋体" w:hAnsi="宋体" w:cs="宋体"/>
                <w:spacing w:val="-8"/>
                <w:sz w:val="21"/>
                <w:szCs w:val="21"/>
                <w:lang w:val="en-US" w:eastAsia="zh-CN"/>
              </w:rPr>
              <w:t>2</w:t>
            </w:r>
          </w:p>
        </w:tc>
        <w:tc>
          <w:tcPr>
            <w:tcW w:w="1080" w:type="pct"/>
            <w:vAlign w:val="center"/>
          </w:tcPr>
          <w:p w14:paraId="56B587E1">
            <w:pPr>
              <w:pStyle w:val="14"/>
              <w:jc w:val="center"/>
              <w:rPr>
                <w:rFonts w:hint="eastAsia" w:ascii="宋体" w:hAnsi="宋体" w:eastAsia="宋体" w:cs="宋体"/>
                <w:spacing w:val="-8"/>
                <w:sz w:val="21"/>
                <w:szCs w:val="21"/>
              </w:rPr>
            </w:pPr>
            <w:r>
              <w:rPr>
                <w:rFonts w:hint="eastAsia" w:ascii="宋体" w:hAnsi="宋体" w:cs="宋体"/>
                <w:spacing w:val="-8"/>
                <w:sz w:val="21"/>
                <w:szCs w:val="21"/>
                <w:lang w:val="en-US" w:eastAsia="zh-CN"/>
              </w:rPr>
              <w:t>2</w:t>
            </w:r>
          </w:p>
        </w:tc>
      </w:tr>
    </w:tbl>
    <w:p w14:paraId="12625298">
      <w:pPr>
        <w:keepNext w:val="0"/>
        <w:keepLines w:val="0"/>
        <w:pageBreakBefore w:val="0"/>
        <w:widowControl w:val="0"/>
        <w:kinsoku/>
        <w:wordWrap/>
        <w:overflowPunct/>
        <w:topLinePunct w:val="0"/>
        <w:autoSpaceDE/>
        <w:autoSpaceDN/>
        <w:bidi w:val="0"/>
        <w:snapToGrid w:val="0"/>
        <w:spacing w:line="500" w:lineRule="exact"/>
        <w:textAlignment w:val="auto"/>
        <w:rPr>
          <w:rFonts w:hint="eastAsia" w:ascii="宋体" w:hAnsi="宋体" w:eastAsia="宋体" w:cs="宋体"/>
          <w:b/>
          <w:sz w:val="24"/>
          <w:szCs w:val="24"/>
          <w:lang w:val="en-US" w:eastAsia="zh-CN"/>
        </w:rPr>
      </w:pPr>
      <w:r>
        <w:rPr>
          <w:rFonts w:hint="default" w:ascii="宋体" w:hAnsi="宋体" w:eastAsia="宋体" w:cs="宋体"/>
          <w:b/>
          <w:sz w:val="24"/>
          <w:szCs w:val="24"/>
          <w:lang w:val="en-US" w:eastAsia="zh-CN"/>
        </w:rPr>
        <w:t>2</w:t>
      </w:r>
      <w:r>
        <w:rPr>
          <w:rFonts w:hint="eastAsia" w:ascii="宋体" w:hAnsi="宋体" w:cs="宋体"/>
          <w:b/>
          <w:sz w:val="24"/>
          <w:szCs w:val="24"/>
          <w:lang w:val="en-US" w:eastAsia="zh-CN"/>
        </w:rPr>
        <w:t>、</w:t>
      </w:r>
      <w:r>
        <w:rPr>
          <w:rFonts w:hint="default" w:ascii="宋体" w:hAnsi="宋体" w:eastAsia="宋体" w:cs="宋体"/>
          <w:b/>
          <w:sz w:val="24"/>
          <w:szCs w:val="24"/>
          <w:lang w:val="en-US" w:eastAsia="zh-CN"/>
        </w:rPr>
        <w:t>检验依据</w:t>
      </w:r>
    </w:p>
    <w:p w14:paraId="610742D2">
      <w:pPr>
        <w:keepNext w:val="0"/>
        <w:keepLines w:val="0"/>
        <w:pageBreakBefore w:val="0"/>
        <w:widowControl w:val="0"/>
        <w:kinsoku/>
        <w:wordWrap/>
        <w:overflowPunct/>
        <w:topLinePunct w:val="0"/>
        <w:autoSpaceDE/>
        <w:autoSpaceDN/>
        <w:bidi w:val="0"/>
        <w:adjustRightInd/>
        <w:snapToGrid w:val="0"/>
        <w:spacing w:line="360" w:lineRule="auto"/>
        <w:ind w:left="0" w:leftChars="0" w:right="0" w:rightChars="0" w:firstLine="0" w:firstLineChars="0"/>
        <w:jc w:val="center"/>
        <w:textAlignment w:val="auto"/>
        <w:rPr>
          <w:rFonts w:hint="eastAsia" w:ascii="Times New Roman" w:hAnsi="Times New Roman"/>
          <w:color w:val="000000"/>
          <w:sz w:val="21"/>
          <w:szCs w:val="21"/>
          <w:lang w:val="en-US" w:eastAsia="zh-CN"/>
        </w:rPr>
      </w:pPr>
      <w:r>
        <w:rPr>
          <w:rFonts w:hint="eastAsia" w:ascii="Times New Roman" w:hAnsi="Times New Roman"/>
          <w:color w:val="000000"/>
          <w:sz w:val="21"/>
          <w:szCs w:val="21"/>
          <w:lang w:val="en-US" w:eastAsia="zh-CN"/>
        </w:rPr>
        <w:t>表2 2025年</w:t>
      </w:r>
      <w:r>
        <w:rPr>
          <w:rFonts w:hint="eastAsia" w:ascii="宋体" w:hAnsi="宋体" w:eastAsia="宋体" w:cs="宋体"/>
          <w:spacing w:val="-8"/>
          <w:sz w:val="21"/>
          <w:szCs w:val="21"/>
        </w:rPr>
        <w:t>食品用玻璃瓶罐</w:t>
      </w:r>
      <w:r>
        <w:rPr>
          <w:rFonts w:hint="eastAsia" w:ascii="Times New Roman" w:hAnsi="Times New Roman"/>
          <w:color w:val="000000"/>
          <w:sz w:val="21"/>
          <w:szCs w:val="21"/>
          <w:lang w:val="en-US" w:eastAsia="zh-CN"/>
        </w:rPr>
        <w:t>产品检验项目、依据及方法</w:t>
      </w:r>
    </w:p>
    <w:tbl>
      <w:tblPr>
        <w:tblStyle w:val="15"/>
        <w:tblW w:w="5010" w:type="pct"/>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autofit"/>
        <w:tblCellMar>
          <w:top w:w="0" w:type="dxa"/>
          <w:left w:w="0" w:type="dxa"/>
          <w:bottom w:w="0" w:type="dxa"/>
          <w:right w:w="0" w:type="dxa"/>
        </w:tblCellMar>
      </w:tblPr>
      <w:tblGrid>
        <w:gridCol w:w="751"/>
        <w:gridCol w:w="2423"/>
        <w:gridCol w:w="2374"/>
        <w:gridCol w:w="2781"/>
      </w:tblGrid>
      <w:tr w14:paraId="5888BD2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8" w:hRule="atLeast"/>
        </w:trPr>
        <w:tc>
          <w:tcPr>
            <w:tcW w:w="451" w:type="pct"/>
            <w:vAlign w:val="center"/>
          </w:tcPr>
          <w:p w14:paraId="6E9B5591">
            <w:pPr>
              <w:pStyle w:val="14"/>
              <w:jc w:val="center"/>
              <w:rPr>
                <w:rFonts w:hint="eastAsia" w:ascii="宋体" w:hAnsi="宋体" w:eastAsia="宋体" w:cs="宋体"/>
                <w:spacing w:val="-8"/>
                <w:sz w:val="21"/>
                <w:szCs w:val="21"/>
              </w:rPr>
            </w:pPr>
            <w:r>
              <w:rPr>
                <w:rFonts w:hint="eastAsia" w:ascii="宋体" w:hAnsi="宋体" w:eastAsia="宋体" w:cs="宋体"/>
                <w:spacing w:val="-8"/>
                <w:sz w:val="21"/>
                <w:szCs w:val="21"/>
              </w:rPr>
              <w:t>序号</w:t>
            </w:r>
          </w:p>
        </w:tc>
        <w:tc>
          <w:tcPr>
            <w:tcW w:w="1454" w:type="pct"/>
            <w:vAlign w:val="center"/>
          </w:tcPr>
          <w:p w14:paraId="582E8F5D">
            <w:pPr>
              <w:pStyle w:val="14"/>
              <w:jc w:val="center"/>
              <w:rPr>
                <w:rFonts w:hint="eastAsia" w:ascii="宋体" w:hAnsi="宋体" w:eastAsia="宋体" w:cs="宋体"/>
                <w:spacing w:val="-8"/>
                <w:sz w:val="21"/>
                <w:szCs w:val="21"/>
              </w:rPr>
            </w:pPr>
            <w:r>
              <w:rPr>
                <w:rFonts w:hint="eastAsia" w:ascii="宋体" w:hAnsi="宋体" w:eastAsia="宋体" w:cs="宋体"/>
                <w:spacing w:val="-8"/>
                <w:sz w:val="21"/>
                <w:szCs w:val="21"/>
              </w:rPr>
              <w:t>检验项目</w:t>
            </w:r>
          </w:p>
        </w:tc>
        <w:tc>
          <w:tcPr>
            <w:tcW w:w="1425" w:type="pct"/>
            <w:vAlign w:val="center"/>
          </w:tcPr>
          <w:p w14:paraId="0D3ECE03">
            <w:pPr>
              <w:pStyle w:val="14"/>
              <w:jc w:val="center"/>
              <w:rPr>
                <w:rFonts w:hint="eastAsia" w:ascii="宋体" w:hAnsi="宋体" w:eastAsia="宋体" w:cs="宋体"/>
                <w:spacing w:val="-8"/>
                <w:sz w:val="21"/>
                <w:szCs w:val="21"/>
              </w:rPr>
            </w:pPr>
            <w:r>
              <w:rPr>
                <w:rFonts w:hint="eastAsia" w:ascii="宋体" w:hAnsi="宋体" w:eastAsia="宋体" w:cs="宋体"/>
                <w:spacing w:val="-8"/>
                <w:sz w:val="21"/>
                <w:szCs w:val="21"/>
              </w:rPr>
              <w:t>检验依据</w:t>
            </w:r>
          </w:p>
        </w:tc>
        <w:tc>
          <w:tcPr>
            <w:tcW w:w="1669" w:type="pct"/>
            <w:vAlign w:val="center"/>
          </w:tcPr>
          <w:p w14:paraId="3D71F9CB">
            <w:pPr>
              <w:pStyle w:val="14"/>
              <w:jc w:val="center"/>
              <w:rPr>
                <w:rFonts w:hint="eastAsia" w:ascii="宋体" w:hAnsi="宋体" w:eastAsia="宋体" w:cs="宋体"/>
                <w:spacing w:val="-8"/>
                <w:sz w:val="21"/>
                <w:szCs w:val="21"/>
              </w:rPr>
            </w:pPr>
            <w:r>
              <w:rPr>
                <w:rFonts w:hint="eastAsia" w:ascii="宋体" w:hAnsi="宋体" w:eastAsia="宋体" w:cs="宋体"/>
                <w:spacing w:val="-8"/>
                <w:sz w:val="21"/>
                <w:szCs w:val="21"/>
              </w:rPr>
              <w:t>检验方法</w:t>
            </w:r>
          </w:p>
        </w:tc>
      </w:tr>
      <w:tr w14:paraId="427FBCB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4" w:hRule="atLeast"/>
        </w:trPr>
        <w:tc>
          <w:tcPr>
            <w:tcW w:w="451" w:type="pct"/>
            <w:vAlign w:val="center"/>
          </w:tcPr>
          <w:p w14:paraId="10CC99C5">
            <w:pPr>
              <w:pStyle w:val="14"/>
              <w:jc w:val="center"/>
              <w:rPr>
                <w:rFonts w:hint="eastAsia" w:ascii="宋体" w:hAnsi="宋体" w:eastAsia="宋体" w:cs="宋体"/>
                <w:spacing w:val="-8"/>
                <w:sz w:val="21"/>
                <w:szCs w:val="21"/>
              </w:rPr>
            </w:pPr>
            <w:r>
              <w:rPr>
                <w:rFonts w:hint="eastAsia" w:ascii="宋体" w:hAnsi="宋体" w:eastAsia="宋体" w:cs="宋体"/>
                <w:spacing w:val="-8"/>
                <w:sz w:val="21"/>
                <w:szCs w:val="21"/>
              </w:rPr>
              <w:t>1</w:t>
            </w:r>
          </w:p>
        </w:tc>
        <w:tc>
          <w:tcPr>
            <w:tcW w:w="1454" w:type="pct"/>
            <w:vAlign w:val="center"/>
          </w:tcPr>
          <w:p w14:paraId="1433DAEF">
            <w:pPr>
              <w:pStyle w:val="14"/>
              <w:jc w:val="center"/>
              <w:rPr>
                <w:rFonts w:hint="eastAsia" w:ascii="宋体" w:hAnsi="宋体" w:eastAsia="宋体" w:cs="宋体"/>
                <w:spacing w:val="-8"/>
                <w:sz w:val="21"/>
                <w:szCs w:val="21"/>
              </w:rPr>
            </w:pPr>
            <w:r>
              <w:rPr>
                <w:rFonts w:hint="eastAsia" w:ascii="宋体" w:hAnsi="宋体" w:eastAsia="宋体" w:cs="宋体"/>
                <w:spacing w:val="-8"/>
                <w:sz w:val="21"/>
                <w:szCs w:val="21"/>
              </w:rPr>
              <w:t>感官要求</w:t>
            </w:r>
          </w:p>
        </w:tc>
        <w:tc>
          <w:tcPr>
            <w:tcW w:w="1425" w:type="pct"/>
            <w:vAlign w:val="center"/>
          </w:tcPr>
          <w:p w14:paraId="2462B76D">
            <w:pPr>
              <w:pStyle w:val="14"/>
              <w:jc w:val="center"/>
              <w:rPr>
                <w:rFonts w:hint="eastAsia" w:ascii="宋体" w:hAnsi="宋体" w:eastAsia="宋体" w:cs="宋体"/>
                <w:spacing w:val="-8"/>
                <w:sz w:val="21"/>
                <w:szCs w:val="21"/>
              </w:rPr>
            </w:pPr>
            <w:r>
              <w:rPr>
                <w:rFonts w:hint="eastAsia" w:ascii="宋体" w:hAnsi="宋体" w:eastAsia="宋体" w:cs="宋体"/>
                <w:spacing w:val="-8"/>
                <w:sz w:val="21"/>
                <w:szCs w:val="21"/>
              </w:rPr>
              <w:t>GB 4806.5-2016</w:t>
            </w:r>
          </w:p>
        </w:tc>
        <w:tc>
          <w:tcPr>
            <w:tcW w:w="1669" w:type="pct"/>
            <w:vAlign w:val="center"/>
          </w:tcPr>
          <w:p w14:paraId="7A2397B4">
            <w:pPr>
              <w:pStyle w:val="14"/>
              <w:jc w:val="center"/>
              <w:rPr>
                <w:rFonts w:hint="eastAsia" w:ascii="宋体" w:hAnsi="宋体" w:eastAsia="宋体" w:cs="宋体"/>
                <w:spacing w:val="-8"/>
                <w:sz w:val="21"/>
                <w:szCs w:val="21"/>
              </w:rPr>
            </w:pPr>
            <w:r>
              <w:rPr>
                <w:rFonts w:hint="eastAsia" w:ascii="宋体" w:hAnsi="宋体" w:eastAsia="宋体" w:cs="宋体"/>
                <w:spacing w:val="-8"/>
                <w:sz w:val="21"/>
                <w:szCs w:val="21"/>
              </w:rPr>
              <w:t>GB 4806.5-2016</w:t>
            </w:r>
          </w:p>
        </w:tc>
      </w:tr>
      <w:tr w14:paraId="2DB6069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31" w:hRule="atLeast"/>
        </w:trPr>
        <w:tc>
          <w:tcPr>
            <w:tcW w:w="451" w:type="pct"/>
            <w:vAlign w:val="center"/>
          </w:tcPr>
          <w:p w14:paraId="3976A625">
            <w:pPr>
              <w:pStyle w:val="14"/>
              <w:jc w:val="center"/>
              <w:rPr>
                <w:rFonts w:hint="eastAsia" w:ascii="宋体" w:hAnsi="宋体" w:eastAsia="宋体" w:cs="宋体"/>
                <w:spacing w:val="-8"/>
                <w:sz w:val="21"/>
                <w:szCs w:val="21"/>
              </w:rPr>
            </w:pPr>
            <w:r>
              <w:rPr>
                <w:rFonts w:hint="eastAsia" w:ascii="宋体" w:hAnsi="宋体" w:eastAsia="宋体" w:cs="宋体"/>
                <w:spacing w:val="-8"/>
                <w:sz w:val="21"/>
                <w:szCs w:val="21"/>
              </w:rPr>
              <w:t>2</w:t>
            </w:r>
          </w:p>
        </w:tc>
        <w:tc>
          <w:tcPr>
            <w:tcW w:w="1454" w:type="pct"/>
            <w:vAlign w:val="center"/>
          </w:tcPr>
          <w:p w14:paraId="17D0BD19">
            <w:pPr>
              <w:pStyle w:val="14"/>
              <w:jc w:val="center"/>
              <w:rPr>
                <w:rFonts w:hint="eastAsia" w:ascii="宋体" w:hAnsi="宋体" w:eastAsia="宋体" w:cs="宋体"/>
                <w:spacing w:val="-8"/>
                <w:sz w:val="21"/>
                <w:szCs w:val="21"/>
              </w:rPr>
            </w:pPr>
            <w:r>
              <w:rPr>
                <w:rFonts w:hint="eastAsia" w:ascii="宋体" w:hAnsi="宋体" w:eastAsia="宋体" w:cs="宋体"/>
                <w:spacing w:val="-8"/>
                <w:sz w:val="21"/>
                <w:szCs w:val="21"/>
              </w:rPr>
              <w:t>铅（Pb）迁移量</w:t>
            </w:r>
          </w:p>
        </w:tc>
        <w:tc>
          <w:tcPr>
            <w:tcW w:w="1425" w:type="pct"/>
            <w:vAlign w:val="center"/>
          </w:tcPr>
          <w:p w14:paraId="3DF331E3">
            <w:pPr>
              <w:pStyle w:val="14"/>
              <w:jc w:val="center"/>
              <w:rPr>
                <w:rFonts w:hint="eastAsia" w:ascii="宋体" w:hAnsi="宋体" w:eastAsia="宋体" w:cs="宋体"/>
                <w:spacing w:val="-8"/>
                <w:sz w:val="21"/>
                <w:szCs w:val="21"/>
              </w:rPr>
            </w:pPr>
            <w:r>
              <w:rPr>
                <w:rFonts w:hint="eastAsia" w:ascii="宋体" w:hAnsi="宋体" w:eastAsia="宋体" w:cs="宋体"/>
                <w:spacing w:val="-8"/>
                <w:sz w:val="21"/>
                <w:szCs w:val="21"/>
              </w:rPr>
              <w:t>GB 4806.5-2016</w:t>
            </w:r>
          </w:p>
        </w:tc>
        <w:tc>
          <w:tcPr>
            <w:tcW w:w="1669" w:type="pct"/>
            <w:vAlign w:val="center"/>
          </w:tcPr>
          <w:p w14:paraId="35CDA815">
            <w:pPr>
              <w:pStyle w:val="14"/>
              <w:jc w:val="center"/>
              <w:rPr>
                <w:rFonts w:hint="eastAsia" w:ascii="宋体" w:hAnsi="宋体" w:eastAsia="宋体" w:cs="宋体"/>
                <w:spacing w:val="-8"/>
                <w:sz w:val="21"/>
                <w:szCs w:val="21"/>
              </w:rPr>
            </w:pPr>
            <w:r>
              <w:rPr>
                <w:rFonts w:hint="eastAsia" w:ascii="宋体" w:hAnsi="宋体" w:eastAsia="宋体" w:cs="宋体"/>
                <w:spacing w:val="-8"/>
                <w:sz w:val="21"/>
                <w:szCs w:val="21"/>
              </w:rPr>
              <w:t>GB 31604.34-2016 或 GB 31604.49-2023</w:t>
            </w:r>
          </w:p>
        </w:tc>
      </w:tr>
      <w:tr w14:paraId="0321DC3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45" w:hRule="atLeast"/>
        </w:trPr>
        <w:tc>
          <w:tcPr>
            <w:tcW w:w="451" w:type="pct"/>
            <w:vAlign w:val="center"/>
          </w:tcPr>
          <w:p w14:paraId="3B26D9D1">
            <w:pPr>
              <w:pStyle w:val="14"/>
              <w:jc w:val="center"/>
              <w:rPr>
                <w:rFonts w:hint="eastAsia" w:ascii="宋体" w:hAnsi="宋体" w:eastAsia="宋体" w:cs="宋体"/>
                <w:spacing w:val="-8"/>
                <w:sz w:val="21"/>
                <w:szCs w:val="21"/>
              </w:rPr>
            </w:pPr>
            <w:r>
              <w:rPr>
                <w:rFonts w:hint="eastAsia" w:ascii="宋体" w:hAnsi="宋体" w:eastAsia="宋体" w:cs="宋体"/>
                <w:spacing w:val="-8"/>
                <w:sz w:val="21"/>
                <w:szCs w:val="21"/>
              </w:rPr>
              <w:t>3</w:t>
            </w:r>
          </w:p>
        </w:tc>
        <w:tc>
          <w:tcPr>
            <w:tcW w:w="1454" w:type="pct"/>
            <w:vAlign w:val="center"/>
          </w:tcPr>
          <w:p w14:paraId="5C7F0B67">
            <w:pPr>
              <w:pStyle w:val="14"/>
              <w:jc w:val="center"/>
              <w:rPr>
                <w:rFonts w:hint="eastAsia" w:ascii="宋体" w:hAnsi="宋体" w:eastAsia="宋体" w:cs="宋体"/>
                <w:spacing w:val="-8"/>
                <w:sz w:val="21"/>
                <w:szCs w:val="21"/>
              </w:rPr>
            </w:pPr>
            <w:r>
              <w:rPr>
                <w:rFonts w:hint="eastAsia" w:ascii="宋体" w:hAnsi="宋体" w:eastAsia="宋体" w:cs="宋体"/>
                <w:spacing w:val="-8"/>
                <w:sz w:val="21"/>
                <w:szCs w:val="21"/>
              </w:rPr>
              <w:t>镉（Cd）迁移量</w:t>
            </w:r>
          </w:p>
        </w:tc>
        <w:tc>
          <w:tcPr>
            <w:tcW w:w="1425" w:type="pct"/>
            <w:vAlign w:val="center"/>
          </w:tcPr>
          <w:p w14:paraId="10E55E84">
            <w:pPr>
              <w:pStyle w:val="14"/>
              <w:jc w:val="center"/>
              <w:rPr>
                <w:rFonts w:hint="eastAsia" w:ascii="宋体" w:hAnsi="宋体" w:eastAsia="宋体" w:cs="宋体"/>
                <w:spacing w:val="-8"/>
                <w:sz w:val="21"/>
                <w:szCs w:val="21"/>
              </w:rPr>
            </w:pPr>
            <w:r>
              <w:rPr>
                <w:rFonts w:hint="eastAsia" w:ascii="宋体" w:hAnsi="宋体" w:eastAsia="宋体" w:cs="宋体"/>
                <w:spacing w:val="-8"/>
                <w:sz w:val="21"/>
                <w:szCs w:val="21"/>
              </w:rPr>
              <w:t>GB 4806.5-2016</w:t>
            </w:r>
          </w:p>
        </w:tc>
        <w:tc>
          <w:tcPr>
            <w:tcW w:w="1669" w:type="pct"/>
            <w:vAlign w:val="center"/>
          </w:tcPr>
          <w:p w14:paraId="4A67973D">
            <w:pPr>
              <w:pStyle w:val="14"/>
              <w:jc w:val="center"/>
              <w:rPr>
                <w:rFonts w:hint="eastAsia" w:ascii="宋体" w:hAnsi="宋体" w:eastAsia="宋体" w:cs="宋体"/>
                <w:spacing w:val="-8"/>
                <w:sz w:val="21"/>
                <w:szCs w:val="21"/>
              </w:rPr>
            </w:pPr>
            <w:r>
              <w:rPr>
                <w:rFonts w:hint="eastAsia" w:ascii="宋体" w:hAnsi="宋体" w:eastAsia="宋体" w:cs="宋体"/>
                <w:spacing w:val="-8"/>
                <w:sz w:val="21"/>
                <w:szCs w:val="21"/>
              </w:rPr>
              <w:t>GB 31604.24-2016 或 GB 31604.49-2023</w:t>
            </w:r>
          </w:p>
        </w:tc>
      </w:tr>
    </w:tbl>
    <w:p w14:paraId="680CE253">
      <w:pPr>
        <w:keepNext w:val="0"/>
        <w:keepLines w:val="0"/>
        <w:pageBreakBefore w:val="0"/>
        <w:widowControl w:val="0"/>
        <w:kinsoku/>
        <w:wordWrap/>
        <w:overflowPunct/>
        <w:topLinePunct w:val="0"/>
        <w:autoSpaceDE/>
        <w:autoSpaceDN/>
        <w:bidi w:val="0"/>
        <w:adjustRightInd w:val="0"/>
        <w:snapToGrid w:val="0"/>
        <w:spacing w:line="440" w:lineRule="exact"/>
        <w:ind w:firstLine="420" w:firstLineChars="200"/>
        <w:textAlignment w:val="auto"/>
        <w:rPr>
          <w:rFonts w:hint="default" w:ascii="Times New Roman" w:hAnsi="Times New Roman" w:cs="Times New Roman"/>
          <w:sz w:val="21"/>
          <w:szCs w:val="21"/>
        </w:rPr>
      </w:pPr>
      <w:r>
        <w:rPr>
          <w:rFonts w:hint="default" w:ascii="Times New Roman" w:hAnsi="Times New Roman" w:cs="Times New Roman"/>
          <w:sz w:val="21"/>
          <w:szCs w:val="21"/>
        </w:rPr>
        <w:t>执行企业标准、团体标准、地方标准的产品，检验项目参照上述内容执行。</w:t>
      </w:r>
    </w:p>
    <w:p w14:paraId="6737E47A">
      <w:pPr>
        <w:keepNext w:val="0"/>
        <w:keepLines w:val="0"/>
        <w:pageBreakBefore w:val="0"/>
        <w:widowControl w:val="0"/>
        <w:kinsoku/>
        <w:wordWrap/>
        <w:overflowPunct/>
        <w:topLinePunct w:val="0"/>
        <w:autoSpaceDE/>
        <w:autoSpaceDN/>
        <w:bidi w:val="0"/>
        <w:adjustRightInd w:val="0"/>
        <w:snapToGrid w:val="0"/>
        <w:spacing w:line="440" w:lineRule="exact"/>
        <w:ind w:firstLine="420" w:firstLineChars="200"/>
        <w:textAlignment w:val="auto"/>
        <w:rPr>
          <w:rFonts w:hint="default" w:ascii="Times New Roman" w:hAnsi="Times New Roman" w:cs="Times New Roman"/>
          <w:sz w:val="21"/>
          <w:szCs w:val="21"/>
        </w:rPr>
      </w:pPr>
      <w:r>
        <w:rPr>
          <w:rFonts w:hint="default" w:ascii="Times New Roman" w:hAnsi="Times New Roman" w:cs="Times New Roman"/>
          <w:sz w:val="21"/>
          <w:szCs w:val="21"/>
        </w:rPr>
        <w:t>凡是注日期的文件，其随后所有的修改单（不包括勘误的内容）或修订版不适用于本细则。凡是不注日期的文件，其最新版本适用于本细则。</w:t>
      </w:r>
    </w:p>
    <w:p w14:paraId="7CE2EC8F">
      <w:pPr>
        <w:keepNext w:val="0"/>
        <w:keepLines w:val="0"/>
        <w:pageBreakBefore w:val="0"/>
        <w:widowControl w:val="0"/>
        <w:kinsoku/>
        <w:wordWrap/>
        <w:overflowPunct/>
        <w:topLinePunct w:val="0"/>
        <w:autoSpaceDE/>
        <w:autoSpaceDN/>
        <w:bidi w:val="0"/>
        <w:snapToGrid w:val="0"/>
        <w:spacing w:line="500" w:lineRule="exact"/>
        <w:textAlignment w:val="auto"/>
        <w:rPr>
          <w:rFonts w:hint="default" w:ascii="Times New Roman" w:hAnsi="Times New Roman" w:eastAsia="黑体" w:cs="Times New Roman"/>
          <w:sz w:val="21"/>
          <w:szCs w:val="21"/>
        </w:rPr>
      </w:pPr>
      <w:r>
        <w:rPr>
          <w:rFonts w:hint="default" w:ascii="宋体" w:hAnsi="宋体" w:eastAsia="宋体" w:cs="宋体"/>
          <w:b/>
          <w:sz w:val="24"/>
          <w:szCs w:val="24"/>
          <w:lang w:val="en-US" w:eastAsia="zh-CN"/>
        </w:rPr>
        <w:t>3</w:t>
      </w:r>
      <w:r>
        <w:rPr>
          <w:rFonts w:hint="eastAsia" w:ascii="宋体" w:hAnsi="宋体" w:cs="宋体"/>
          <w:b/>
          <w:sz w:val="24"/>
          <w:szCs w:val="24"/>
          <w:lang w:val="en-US" w:eastAsia="zh-CN"/>
        </w:rPr>
        <w:t>、</w:t>
      </w:r>
      <w:r>
        <w:rPr>
          <w:rFonts w:hint="default" w:ascii="宋体" w:hAnsi="宋体" w:eastAsia="宋体" w:cs="宋体"/>
          <w:b/>
          <w:sz w:val="24"/>
          <w:szCs w:val="24"/>
          <w:lang w:val="en-US" w:eastAsia="zh-CN"/>
        </w:rPr>
        <w:t>判定规则</w:t>
      </w:r>
    </w:p>
    <w:p w14:paraId="64D0A368">
      <w:pPr>
        <w:keepNext w:val="0"/>
        <w:keepLines w:val="0"/>
        <w:pageBreakBefore w:val="0"/>
        <w:widowControl w:val="0"/>
        <w:kinsoku/>
        <w:wordWrap/>
        <w:overflowPunct/>
        <w:topLinePunct w:val="0"/>
        <w:autoSpaceDE/>
        <w:autoSpaceDN/>
        <w:bidi w:val="0"/>
        <w:snapToGrid w:val="0"/>
        <w:spacing w:line="500" w:lineRule="exact"/>
        <w:textAlignment w:val="auto"/>
        <w:rPr>
          <w:rFonts w:hint="default" w:ascii="宋体" w:hAnsi="宋体" w:eastAsia="宋体" w:cs="宋体"/>
          <w:b/>
          <w:bCs w:val="0"/>
          <w:sz w:val="24"/>
          <w:szCs w:val="24"/>
        </w:rPr>
      </w:pPr>
      <w:r>
        <w:rPr>
          <w:rFonts w:hint="default" w:ascii="宋体" w:hAnsi="宋体" w:eastAsia="宋体" w:cs="宋体"/>
          <w:b/>
          <w:bCs w:val="0"/>
          <w:sz w:val="24"/>
          <w:szCs w:val="24"/>
        </w:rPr>
        <w:t>3.1依据标准</w:t>
      </w:r>
    </w:p>
    <w:p w14:paraId="46A79F40">
      <w:pPr>
        <w:adjustRightInd w:val="0"/>
        <w:snapToGrid w:val="0"/>
        <w:spacing w:line="440" w:lineRule="exact"/>
        <w:ind w:firstLine="359" w:firstLineChars="171"/>
        <w:rPr>
          <w:rFonts w:hint="default" w:ascii="Times New Roman" w:hAnsi="Times New Roman" w:cs="Times New Roman"/>
          <w:sz w:val="21"/>
          <w:szCs w:val="21"/>
        </w:rPr>
      </w:pPr>
      <w:r>
        <w:rPr>
          <w:rFonts w:hint="default" w:ascii="Times New Roman" w:hAnsi="Times New Roman" w:cs="Times New Roman"/>
          <w:sz w:val="21"/>
          <w:szCs w:val="21"/>
        </w:rPr>
        <w:t>GB 4806.5-2016</w:t>
      </w:r>
      <w:r>
        <w:rPr>
          <w:rFonts w:hint="eastAsia" w:ascii="Times New Roman" w:hAnsi="Times New Roman" w:cs="Times New Roman"/>
          <w:sz w:val="21"/>
          <w:szCs w:val="21"/>
          <w:lang w:val="en-US" w:eastAsia="zh-CN"/>
        </w:rPr>
        <w:t xml:space="preserve"> </w:t>
      </w:r>
      <w:r>
        <w:rPr>
          <w:rFonts w:hint="default" w:ascii="Times New Roman" w:hAnsi="Times New Roman" w:cs="Times New Roman"/>
          <w:sz w:val="21"/>
          <w:szCs w:val="21"/>
        </w:rPr>
        <w:t>食品安全国家标准 玻璃制品</w:t>
      </w:r>
    </w:p>
    <w:p w14:paraId="1E02BCD9">
      <w:pPr>
        <w:keepNext w:val="0"/>
        <w:keepLines w:val="0"/>
        <w:pageBreakBefore w:val="0"/>
        <w:widowControl w:val="0"/>
        <w:kinsoku/>
        <w:wordWrap/>
        <w:overflowPunct/>
        <w:topLinePunct w:val="0"/>
        <w:autoSpaceDE/>
        <w:autoSpaceDN/>
        <w:bidi w:val="0"/>
        <w:adjustRightInd w:val="0"/>
        <w:snapToGrid w:val="0"/>
        <w:spacing w:line="440" w:lineRule="exact"/>
        <w:ind w:firstLine="420" w:firstLineChars="200"/>
        <w:textAlignment w:val="auto"/>
        <w:rPr>
          <w:rFonts w:hint="eastAsia" w:ascii="Times New Roman" w:hAnsi="Times New Roman" w:eastAsia="宋体" w:cs="Times New Roman"/>
          <w:sz w:val="21"/>
          <w:szCs w:val="21"/>
          <w:lang w:eastAsia="zh-CN"/>
        </w:rPr>
      </w:pPr>
      <w:r>
        <w:rPr>
          <w:rFonts w:hint="default" w:ascii="Times New Roman" w:hAnsi="Times New Roman" w:cs="Times New Roman"/>
          <w:sz w:val="21"/>
          <w:szCs w:val="21"/>
        </w:rPr>
        <w:t>现行有效的企业标准、团体标准、地方标准及产品明示质量要求</w:t>
      </w:r>
      <w:r>
        <w:rPr>
          <w:rFonts w:hint="eastAsia" w:ascii="Times New Roman" w:hAnsi="Times New Roman" w:cs="Times New Roman"/>
          <w:sz w:val="21"/>
          <w:szCs w:val="21"/>
          <w:lang w:eastAsia="zh-CN"/>
        </w:rPr>
        <w:t>。</w:t>
      </w:r>
    </w:p>
    <w:p w14:paraId="4347F25E">
      <w:pPr>
        <w:keepNext w:val="0"/>
        <w:keepLines w:val="0"/>
        <w:pageBreakBefore w:val="0"/>
        <w:widowControl w:val="0"/>
        <w:kinsoku/>
        <w:wordWrap/>
        <w:overflowPunct/>
        <w:topLinePunct w:val="0"/>
        <w:autoSpaceDE/>
        <w:autoSpaceDN/>
        <w:bidi w:val="0"/>
        <w:snapToGrid w:val="0"/>
        <w:spacing w:line="500" w:lineRule="exact"/>
        <w:textAlignment w:val="auto"/>
        <w:rPr>
          <w:rFonts w:hint="default" w:ascii="宋体" w:hAnsi="宋体" w:eastAsia="宋体" w:cs="宋体"/>
          <w:b/>
          <w:bCs w:val="0"/>
          <w:sz w:val="24"/>
          <w:szCs w:val="24"/>
        </w:rPr>
      </w:pPr>
      <w:r>
        <w:rPr>
          <w:rFonts w:hint="default" w:ascii="宋体" w:hAnsi="宋体" w:eastAsia="宋体" w:cs="宋体"/>
          <w:b/>
          <w:bCs w:val="0"/>
          <w:sz w:val="24"/>
          <w:szCs w:val="24"/>
        </w:rPr>
        <w:t>3.2判定原则</w:t>
      </w:r>
    </w:p>
    <w:p w14:paraId="39788920">
      <w:pPr>
        <w:keepNext w:val="0"/>
        <w:keepLines w:val="0"/>
        <w:pageBreakBefore w:val="0"/>
        <w:widowControl w:val="0"/>
        <w:kinsoku/>
        <w:wordWrap/>
        <w:overflowPunct/>
        <w:topLinePunct w:val="0"/>
        <w:autoSpaceDE/>
        <w:autoSpaceDN/>
        <w:bidi w:val="0"/>
        <w:adjustRightInd/>
        <w:snapToGrid w:val="0"/>
        <w:spacing w:line="440" w:lineRule="exact"/>
        <w:ind w:firstLine="420" w:firstLineChars="200"/>
        <w:textAlignment w:val="auto"/>
        <w:rPr>
          <w:rFonts w:hint="default" w:ascii="Times New Roman" w:hAnsi="Times New Roman" w:cs="Times New Roman"/>
          <w:sz w:val="21"/>
          <w:szCs w:val="21"/>
        </w:rPr>
      </w:pPr>
      <w:r>
        <w:rPr>
          <w:rFonts w:hint="default" w:ascii="Times New Roman" w:hAnsi="Times New Roman" w:cs="Times New Roman"/>
          <w:sz w:val="21"/>
          <w:szCs w:val="21"/>
        </w:rPr>
        <w:t>经检验，检验项目全部合格，判定为被抽查产品所检项目未发现不合格；检验项目中任一项或一项以上不合格，判定为被抽查产品不合格。</w:t>
      </w:r>
    </w:p>
    <w:p w14:paraId="755AEF86">
      <w:pPr>
        <w:keepNext w:val="0"/>
        <w:keepLines w:val="0"/>
        <w:pageBreakBefore w:val="0"/>
        <w:widowControl w:val="0"/>
        <w:kinsoku/>
        <w:wordWrap/>
        <w:overflowPunct/>
        <w:topLinePunct w:val="0"/>
        <w:autoSpaceDE/>
        <w:autoSpaceDN/>
        <w:bidi w:val="0"/>
        <w:adjustRightInd/>
        <w:snapToGrid w:val="0"/>
        <w:spacing w:line="440" w:lineRule="exact"/>
        <w:ind w:firstLine="420" w:firstLineChars="200"/>
        <w:textAlignment w:val="auto"/>
        <w:rPr>
          <w:rFonts w:hint="default" w:ascii="Times New Roman" w:hAnsi="Times New Roman" w:cs="Times New Roman"/>
          <w:sz w:val="21"/>
          <w:szCs w:val="21"/>
        </w:rPr>
      </w:pPr>
      <w:r>
        <w:rPr>
          <w:rFonts w:hint="default" w:ascii="Times New Roman" w:hAnsi="Times New Roman" w:cs="Times New Roman"/>
          <w:sz w:val="21"/>
          <w:szCs w:val="21"/>
        </w:rPr>
        <w:t>若被检产品明示的质量要求高于本细则中检验项目依据的标准要求时，应按被检产品明示的质量要求判定。</w:t>
      </w:r>
    </w:p>
    <w:p w14:paraId="2B288BC6">
      <w:pPr>
        <w:keepNext w:val="0"/>
        <w:keepLines w:val="0"/>
        <w:pageBreakBefore w:val="0"/>
        <w:widowControl w:val="0"/>
        <w:kinsoku/>
        <w:wordWrap/>
        <w:overflowPunct/>
        <w:topLinePunct w:val="0"/>
        <w:autoSpaceDE/>
        <w:autoSpaceDN/>
        <w:bidi w:val="0"/>
        <w:adjustRightInd/>
        <w:snapToGrid w:val="0"/>
        <w:spacing w:line="440" w:lineRule="exact"/>
        <w:ind w:firstLine="420" w:firstLineChars="200"/>
        <w:textAlignment w:val="auto"/>
        <w:rPr>
          <w:rFonts w:hint="default" w:ascii="Times New Roman" w:hAnsi="Times New Roman" w:cs="Times New Roman"/>
          <w:sz w:val="21"/>
          <w:szCs w:val="21"/>
        </w:rPr>
      </w:pPr>
      <w:r>
        <w:rPr>
          <w:rFonts w:hint="default" w:ascii="Times New Roman" w:hAnsi="Times New Roman" w:cs="Times New Roman"/>
          <w:sz w:val="21"/>
          <w:szCs w:val="21"/>
        </w:rPr>
        <w:t>若被检产品明示的质量要求低于本细则中检验项目依据的强制性标准要求时，应按照强制性标准要求判定。</w:t>
      </w:r>
    </w:p>
    <w:p w14:paraId="3C77E631">
      <w:pPr>
        <w:keepNext w:val="0"/>
        <w:keepLines w:val="0"/>
        <w:pageBreakBefore w:val="0"/>
        <w:widowControl w:val="0"/>
        <w:kinsoku/>
        <w:wordWrap/>
        <w:overflowPunct/>
        <w:topLinePunct w:val="0"/>
        <w:autoSpaceDE/>
        <w:autoSpaceDN/>
        <w:bidi w:val="0"/>
        <w:adjustRightInd/>
        <w:snapToGrid w:val="0"/>
        <w:spacing w:line="440" w:lineRule="exact"/>
        <w:ind w:firstLine="420" w:firstLineChars="200"/>
        <w:textAlignment w:val="auto"/>
        <w:rPr>
          <w:rFonts w:hint="default" w:ascii="Times New Roman" w:hAnsi="Times New Roman" w:cs="Times New Roman"/>
          <w:sz w:val="21"/>
          <w:szCs w:val="21"/>
        </w:rPr>
      </w:pPr>
      <w:r>
        <w:rPr>
          <w:rFonts w:hint="default" w:ascii="Times New Roman" w:hAnsi="Times New Roman" w:cs="Times New Roman"/>
          <w:sz w:val="21"/>
          <w:szCs w:val="21"/>
        </w:rPr>
        <w:t>若被检产品明示的质量要求低于或包含本细则中检验项目依据的推荐性标准要求时，应以被检产品明示的质量要求判定。</w:t>
      </w:r>
    </w:p>
    <w:p w14:paraId="3AF5995C">
      <w:pPr>
        <w:keepNext w:val="0"/>
        <w:keepLines w:val="0"/>
        <w:pageBreakBefore w:val="0"/>
        <w:widowControl w:val="0"/>
        <w:kinsoku/>
        <w:wordWrap/>
        <w:overflowPunct/>
        <w:topLinePunct w:val="0"/>
        <w:autoSpaceDE/>
        <w:autoSpaceDN/>
        <w:bidi w:val="0"/>
        <w:adjustRightInd/>
        <w:snapToGrid w:val="0"/>
        <w:spacing w:line="440" w:lineRule="exact"/>
        <w:ind w:firstLine="420" w:firstLineChars="200"/>
        <w:textAlignment w:val="auto"/>
        <w:rPr>
          <w:rFonts w:hint="default" w:ascii="Times New Roman" w:hAnsi="Times New Roman" w:cs="Times New Roman"/>
          <w:sz w:val="21"/>
          <w:szCs w:val="21"/>
        </w:rPr>
      </w:pPr>
      <w:r>
        <w:rPr>
          <w:rFonts w:hint="default" w:ascii="Times New Roman" w:hAnsi="Times New Roman" w:cs="Times New Roman"/>
          <w:sz w:val="21"/>
          <w:szCs w:val="21"/>
        </w:rPr>
        <w:t>若被检产品明示的质量要求缺少本细则中检验项目依据的强制性标准要求时，应按照强制性标准要求判定。</w:t>
      </w:r>
    </w:p>
    <w:p w14:paraId="4B8842F0">
      <w:pPr>
        <w:keepNext w:val="0"/>
        <w:keepLines w:val="0"/>
        <w:pageBreakBefore w:val="0"/>
        <w:widowControl w:val="0"/>
        <w:kinsoku/>
        <w:wordWrap/>
        <w:overflowPunct/>
        <w:topLinePunct w:val="0"/>
        <w:autoSpaceDE/>
        <w:autoSpaceDN/>
        <w:bidi w:val="0"/>
        <w:adjustRightInd/>
        <w:snapToGrid w:val="0"/>
        <w:spacing w:line="440" w:lineRule="exact"/>
        <w:ind w:firstLine="420" w:firstLineChars="200"/>
        <w:textAlignment w:val="auto"/>
        <w:rPr>
          <w:rFonts w:hint="default" w:ascii="Times New Roman" w:hAnsi="Times New Roman" w:cs="Times New Roman"/>
          <w:sz w:val="21"/>
          <w:szCs w:val="21"/>
        </w:rPr>
      </w:pPr>
      <w:r>
        <w:rPr>
          <w:rFonts w:hint="default" w:ascii="Times New Roman" w:hAnsi="Times New Roman" w:cs="Times New Roman"/>
          <w:sz w:val="21"/>
          <w:szCs w:val="21"/>
        </w:rPr>
        <w:t>若被检产品明示的质量要求缺少本细则中检验项目依据的推荐性标准要求时，该项目不参与判定。</w:t>
      </w:r>
    </w:p>
    <w:sectPr>
      <w:footerReference r:id="rId4" w:type="first"/>
      <w:footerReference r:id="rId3" w:type="default"/>
      <w:pgSz w:w="11906" w:h="16838"/>
      <w:pgMar w:top="1440" w:right="1800" w:bottom="1440" w:left="1800" w:header="851" w:footer="1191" w:gutter="0"/>
      <w:pgNumType w:start="1"/>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20ABA15">
    <w:pPr>
      <w:pStyle w:val="4"/>
      <w:rPr>
        <w:rFonts w:cs="Calibri"/>
      </w:rPr>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60325" cy="154940"/>
              <wp:effectExtent l="0" t="0" r="0" b="0"/>
              <wp:wrapNone/>
              <wp:docPr id="1482100446" name="文本框 1"/>
              <wp:cNvGraphicFramePr/>
              <a:graphic xmlns:a="http://schemas.openxmlformats.org/drawingml/2006/main">
                <a:graphicData uri="http://schemas.microsoft.com/office/word/2010/wordprocessingShape">
                  <wps:wsp>
                    <wps:cNvSpPr txBox="1">
                      <a:spLocks noChangeArrowheads="1"/>
                    </wps:cNvSpPr>
                    <wps:spPr bwMode="auto">
                      <a:xfrm>
                        <a:off x="0" y="0"/>
                        <a:ext cx="60325" cy="154940"/>
                      </a:xfrm>
                      <a:prstGeom prst="rect">
                        <a:avLst/>
                      </a:prstGeom>
                      <a:noFill/>
                      <a:ln>
                        <a:noFill/>
                      </a:ln>
                    </wps:spPr>
                    <wps:txbx>
                      <w:txbxContent>
                        <w:p w14:paraId="63362093">
                          <w:pPr>
                            <w:pStyle w:val="4"/>
                            <w:rPr>
                              <w:rFonts w:eastAsia="宋体" w:cs="Calibri"/>
                            </w:rPr>
                          </w:pPr>
                          <w:r>
                            <w:fldChar w:fldCharType="begin"/>
                          </w:r>
                          <w:r>
                            <w:instrText xml:space="preserve"> PAGE  \* MERGEFORMAT </w:instrText>
                          </w:r>
                          <w:r>
                            <w:fldChar w:fldCharType="separate"/>
                          </w:r>
                          <w:r>
                            <w:rPr>
                              <w:lang w:val="en-US" w:eastAsia="zh-CN"/>
                            </w:rPr>
                            <w:t>3</w:t>
                          </w:r>
                          <w:r>
                            <w:fldChar w:fldCharType="end"/>
                          </w:r>
                        </w:p>
                      </w:txbxContent>
                    </wps:txbx>
                    <wps:bodyPr rot="0" vert="horz" wrap="none" lIns="0" tIns="0" rIns="0" bIns="0" anchor="t" anchorCtr="0" upright="1">
                      <a:spAutoFit/>
                    </wps:bodyPr>
                  </wps:wsp>
                </a:graphicData>
              </a:graphic>
            </wp:anchor>
          </w:drawing>
        </mc:Choice>
        <mc:Fallback>
          <w:pict>
            <v:shape id="文本框 1" o:spid="_x0000_s1026" o:spt="202" type="#_x0000_t202" style="position:absolute;left:0pt;margin-top:0pt;height:12.2pt;width:4.75pt;mso-position-horizontal:center;mso-position-horizontal-relative:margin;mso-wrap-style:none;z-index:251660288;mso-width-relative:page;mso-height-relative:page;" filled="f" stroked="f" coordsize="21600,21600" o:gfxdata="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eo0nyNEAAAACAQAADwAAAAAAAAABACAAAAAi&#10;AAAAZHJzL2Rvd25yZXYueG1sUEsBAhQAFAAAAAgAh07iQAbvuMYRAgAACgQAAA4AAAAAAAAAAQAg&#10;AAAAIAEAAGRycy9lMm9Eb2MueG1sUEsFBgAAAAAGAAYAWQEAAKMFAAAAAA==&#10;">
              <v:fill on="f" focussize="0,0"/>
              <v:stroke on="f"/>
              <v:imagedata o:title=""/>
              <o:lock v:ext="edit" aspectratio="f"/>
              <v:textbox inset="0mm,0mm,0mm,0mm" style="mso-fit-shape-to-text:t;">
                <w:txbxContent>
                  <w:p w14:paraId="63362093">
                    <w:pPr>
                      <w:pStyle w:val="4"/>
                      <w:rPr>
                        <w:rFonts w:eastAsia="宋体" w:cs="Calibri"/>
                      </w:rPr>
                    </w:pPr>
                    <w:r>
                      <w:fldChar w:fldCharType="begin"/>
                    </w:r>
                    <w:r>
                      <w:instrText xml:space="preserve"> PAGE  \* MERGEFORMAT </w:instrText>
                    </w:r>
                    <w:r>
                      <w:fldChar w:fldCharType="separate"/>
                    </w:r>
                    <w:r>
                      <w:rPr>
                        <w:lang w:val="en-US" w:eastAsia="zh-CN"/>
                      </w:rPr>
                      <w:t>3</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301D030">
    <w:pPr>
      <w:pStyle w:val="4"/>
      <w:rPr>
        <w:rFonts w:cs="Calibri"/>
      </w:rPr>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60325" cy="154940"/>
              <wp:effectExtent l="0" t="0" r="0" b="0"/>
              <wp:wrapNone/>
              <wp:docPr id="1706203602" name="文本框 2"/>
              <wp:cNvGraphicFramePr/>
              <a:graphic xmlns:a="http://schemas.openxmlformats.org/drawingml/2006/main">
                <a:graphicData uri="http://schemas.microsoft.com/office/word/2010/wordprocessingShape">
                  <wps:wsp>
                    <wps:cNvSpPr txBox="1">
                      <a:spLocks noChangeArrowheads="1"/>
                    </wps:cNvSpPr>
                    <wps:spPr bwMode="auto">
                      <a:xfrm>
                        <a:off x="0" y="0"/>
                        <a:ext cx="60325" cy="154940"/>
                      </a:xfrm>
                      <a:prstGeom prst="rect">
                        <a:avLst/>
                      </a:prstGeom>
                      <a:noFill/>
                      <a:ln>
                        <a:noFill/>
                      </a:ln>
                    </wps:spPr>
                    <wps:txbx>
                      <w:txbxContent>
                        <w:p w14:paraId="57F92C78">
                          <w:pPr>
                            <w:pStyle w:val="4"/>
                            <w:rPr>
                              <w:rFonts w:eastAsia="宋体" w:cs="Calibri"/>
                            </w:rPr>
                          </w:pPr>
                          <w:r>
                            <w:fldChar w:fldCharType="begin"/>
                          </w:r>
                          <w:r>
                            <w:instrText xml:space="preserve"> PAGE  \* MERGEFORMAT </w:instrText>
                          </w:r>
                          <w:r>
                            <w:fldChar w:fldCharType="separate"/>
                          </w:r>
                          <w:r>
                            <w:rPr>
                              <w:lang w:val="en-US" w:eastAsia="zh-CN"/>
                            </w:rPr>
                            <w:t>1</w:t>
                          </w:r>
                          <w:r>
                            <w:fldChar w:fldCharType="end"/>
                          </w:r>
                        </w:p>
                      </w:txbxContent>
                    </wps:txbx>
                    <wps:bodyPr rot="0" vert="horz" wrap="none" lIns="0" tIns="0" rIns="0" bIns="0" anchor="t" anchorCtr="0" upright="1">
                      <a:spAutoFit/>
                    </wps:bodyPr>
                  </wps:wsp>
                </a:graphicData>
              </a:graphic>
            </wp:anchor>
          </w:drawing>
        </mc:Choice>
        <mc:Fallback>
          <w:pict>
            <v:shape id="文本框 2" o:spid="_x0000_s1026" o:spt="202" type="#_x0000_t202" style="position:absolute;left:0pt;margin-top:0pt;height:12.2pt;width:4.75pt;mso-position-horizontal:center;mso-position-horizontal-relative:margin;mso-wrap-style:none;z-index:251659264;mso-width-relative:page;mso-height-relative:page;" filled="f" stroked="f" coordsize="21600,21600" o:gfxdata="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eo0nyNEAAAACAQAADwAAAAAAAAABACAAAAAi&#10;AAAAZHJzL2Rvd25yZXYueG1sUEsBAhQAFAAAAAgAh07iQLFmKxERAgAACgQAAA4AAAAAAAAAAQAg&#10;AAAAIAEAAGRycy9lMm9Eb2MueG1sUEsFBgAAAAAGAAYAWQEAAKMFAAAAAA==&#10;">
              <v:fill on="f" focussize="0,0"/>
              <v:stroke on="f"/>
              <v:imagedata o:title=""/>
              <o:lock v:ext="edit" aspectratio="f"/>
              <v:textbox inset="0mm,0mm,0mm,0mm" style="mso-fit-shape-to-text:t;">
                <w:txbxContent>
                  <w:p w14:paraId="57F92C78">
                    <w:pPr>
                      <w:pStyle w:val="4"/>
                      <w:rPr>
                        <w:rFonts w:eastAsia="宋体" w:cs="Calibri"/>
                      </w:rPr>
                    </w:pPr>
                    <w:r>
                      <w:fldChar w:fldCharType="begin"/>
                    </w:r>
                    <w:r>
                      <w:instrText xml:space="preserve"> PAGE  \* MERGEFORMAT </w:instrText>
                    </w:r>
                    <w:r>
                      <w:fldChar w:fldCharType="separate"/>
                    </w:r>
                    <w:r>
                      <w:rPr>
                        <w:lang w:val="en-US" w:eastAsia="zh-CN"/>
                      </w:rPr>
                      <w:t>1</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oNotHyphenateCaps/>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DMwODViY2ViZWQ4YmRiMTI4MzMxMjFkNGVlMDY5NzQifQ=="/>
  </w:docVars>
  <w:rsids>
    <w:rsidRoot w:val="00D5405B"/>
    <w:rsid w:val="000072CC"/>
    <w:rsid w:val="0001286A"/>
    <w:rsid w:val="000171C0"/>
    <w:rsid w:val="0002043B"/>
    <w:rsid w:val="00025AE4"/>
    <w:rsid w:val="00025CA6"/>
    <w:rsid w:val="00026506"/>
    <w:rsid w:val="00026B17"/>
    <w:rsid w:val="00030F7C"/>
    <w:rsid w:val="00053863"/>
    <w:rsid w:val="00055CBF"/>
    <w:rsid w:val="00060F67"/>
    <w:rsid w:val="00066069"/>
    <w:rsid w:val="00076350"/>
    <w:rsid w:val="000772DD"/>
    <w:rsid w:val="00077400"/>
    <w:rsid w:val="00077990"/>
    <w:rsid w:val="00082D47"/>
    <w:rsid w:val="00083BA4"/>
    <w:rsid w:val="00085E36"/>
    <w:rsid w:val="00095A97"/>
    <w:rsid w:val="000A2F7A"/>
    <w:rsid w:val="000A3CAE"/>
    <w:rsid w:val="000A5587"/>
    <w:rsid w:val="000B1797"/>
    <w:rsid w:val="000B6E51"/>
    <w:rsid w:val="000C2772"/>
    <w:rsid w:val="000D66CD"/>
    <w:rsid w:val="000D69C5"/>
    <w:rsid w:val="000E1A0E"/>
    <w:rsid w:val="000F5A98"/>
    <w:rsid w:val="0010260B"/>
    <w:rsid w:val="00103172"/>
    <w:rsid w:val="00116680"/>
    <w:rsid w:val="00116785"/>
    <w:rsid w:val="0011788A"/>
    <w:rsid w:val="001233E8"/>
    <w:rsid w:val="001263E2"/>
    <w:rsid w:val="00126F7D"/>
    <w:rsid w:val="0012758A"/>
    <w:rsid w:val="00133864"/>
    <w:rsid w:val="00133CF7"/>
    <w:rsid w:val="00146044"/>
    <w:rsid w:val="0015082A"/>
    <w:rsid w:val="00152247"/>
    <w:rsid w:val="00156FFE"/>
    <w:rsid w:val="00166831"/>
    <w:rsid w:val="00171EEA"/>
    <w:rsid w:val="00172551"/>
    <w:rsid w:val="001750B5"/>
    <w:rsid w:val="0018595F"/>
    <w:rsid w:val="00193CBC"/>
    <w:rsid w:val="001A2B92"/>
    <w:rsid w:val="001B54E5"/>
    <w:rsid w:val="001B5B00"/>
    <w:rsid w:val="001C34B9"/>
    <w:rsid w:val="001C45A3"/>
    <w:rsid w:val="001C52E2"/>
    <w:rsid w:val="001D13D3"/>
    <w:rsid w:val="001E66E7"/>
    <w:rsid w:val="001F3B71"/>
    <w:rsid w:val="001F4A22"/>
    <w:rsid w:val="00203549"/>
    <w:rsid w:val="002056DC"/>
    <w:rsid w:val="002217E1"/>
    <w:rsid w:val="00245EF2"/>
    <w:rsid w:val="00274740"/>
    <w:rsid w:val="00281373"/>
    <w:rsid w:val="002856F3"/>
    <w:rsid w:val="002A5AFB"/>
    <w:rsid w:val="002B2DBA"/>
    <w:rsid w:val="002B31EB"/>
    <w:rsid w:val="002C1F17"/>
    <w:rsid w:val="002C2A99"/>
    <w:rsid w:val="002D05EB"/>
    <w:rsid w:val="002D73B3"/>
    <w:rsid w:val="002D7FE6"/>
    <w:rsid w:val="002E3F7F"/>
    <w:rsid w:val="002F7E59"/>
    <w:rsid w:val="00303414"/>
    <w:rsid w:val="00312ECE"/>
    <w:rsid w:val="003160F2"/>
    <w:rsid w:val="00321205"/>
    <w:rsid w:val="00326242"/>
    <w:rsid w:val="0034396F"/>
    <w:rsid w:val="00354BC3"/>
    <w:rsid w:val="00360295"/>
    <w:rsid w:val="00361795"/>
    <w:rsid w:val="00363AD5"/>
    <w:rsid w:val="00372899"/>
    <w:rsid w:val="0037572D"/>
    <w:rsid w:val="00383201"/>
    <w:rsid w:val="00390105"/>
    <w:rsid w:val="003A201B"/>
    <w:rsid w:val="003A36C6"/>
    <w:rsid w:val="003B5800"/>
    <w:rsid w:val="003E2063"/>
    <w:rsid w:val="003E6A32"/>
    <w:rsid w:val="004031D7"/>
    <w:rsid w:val="004039C9"/>
    <w:rsid w:val="00403E87"/>
    <w:rsid w:val="00425172"/>
    <w:rsid w:val="00425403"/>
    <w:rsid w:val="004375FD"/>
    <w:rsid w:val="00437974"/>
    <w:rsid w:val="004465D6"/>
    <w:rsid w:val="00453130"/>
    <w:rsid w:val="00462456"/>
    <w:rsid w:val="00463FAE"/>
    <w:rsid w:val="00463FC1"/>
    <w:rsid w:val="00481EAB"/>
    <w:rsid w:val="00487378"/>
    <w:rsid w:val="00493C6E"/>
    <w:rsid w:val="004A7140"/>
    <w:rsid w:val="004A75EE"/>
    <w:rsid w:val="004B1F51"/>
    <w:rsid w:val="004B5F9D"/>
    <w:rsid w:val="004D5D4E"/>
    <w:rsid w:val="004E5C4C"/>
    <w:rsid w:val="004E7AB4"/>
    <w:rsid w:val="004F0585"/>
    <w:rsid w:val="004F1A7A"/>
    <w:rsid w:val="0050716C"/>
    <w:rsid w:val="00510E23"/>
    <w:rsid w:val="00513EC4"/>
    <w:rsid w:val="005338CF"/>
    <w:rsid w:val="0054021E"/>
    <w:rsid w:val="00540922"/>
    <w:rsid w:val="0054269A"/>
    <w:rsid w:val="00546122"/>
    <w:rsid w:val="0057124C"/>
    <w:rsid w:val="0059024C"/>
    <w:rsid w:val="005B048C"/>
    <w:rsid w:val="005B55D2"/>
    <w:rsid w:val="005C6AFD"/>
    <w:rsid w:val="005C7001"/>
    <w:rsid w:val="006073DB"/>
    <w:rsid w:val="00617A0B"/>
    <w:rsid w:val="00626741"/>
    <w:rsid w:val="00637112"/>
    <w:rsid w:val="00642B48"/>
    <w:rsid w:val="0064413B"/>
    <w:rsid w:val="00646F8C"/>
    <w:rsid w:val="00647A4F"/>
    <w:rsid w:val="00647B3E"/>
    <w:rsid w:val="00647F58"/>
    <w:rsid w:val="006527CA"/>
    <w:rsid w:val="00652CBC"/>
    <w:rsid w:val="0065482F"/>
    <w:rsid w:val="006568FC"/>
    <w:rsid w:val="00660B4B"/>
    <w:rsid w:val="00661D48"/>
    <w:rsid w:val="006634C5"/>
    <w:rsid w:val="0067112E"/>
    <w:rsid w:val="00671BB8"/>
    <w:rsid w:val="006771F5"/>
    <w:rsid w:val="00681F38"/>
    <w:rsid w:val="00684DFA"/>
    <w:rsid w:val="006860ED"/>
    <w:rsid w:val="00690A51"/>
    <w:rsid w:val="006A37FB"/>
    <w:rsid w:val="006A3BCD"/>
    <w:rsid w:val="006A4825"/>
    <w:rsid w:val="006A675B"/>
    <w:rsid w:val="006B43E9"/>
    <w:rsid w:val="006B5491"/>
    <w:rsid w:val="006C1876"/>
    <w:rsid w:val="006C1C83"/>
    <w:rsid w:val="006C3505"/>
    <w:rsid w:val="006D1BD5"/>
    <w:rsid w:val="006D73F4"/>
    <w:rsid w:val="006E0C0B"/>
    <w:rsid w:val="006E44C7"/>
    <w:rsid w:val="00704466"/>
    <w:rsid w:val="00704C63"/>
    <w:rsid w:val="00713B4A"/>
    <w:rsid w:val="0071472A"/>
    <w:rsid w:val="00720B0B"/>
    <w:rsid w:val="00740DCA"/>
    <w:rsid w:val="00756DC0"/>
    <w:rsid w:val="0076250A"/>
    <w:rsid w:val="007A6ABF"/>
    <w:rsid w:val="007B11EF"/>
    <w:rsid w:val="007B4063"/>
    <w:rsid w:val="007B7635"/>
    <w:rsid w:val="007C56E7"/>
    <w:rsid w:val="007C6536"/>
    <w:rsid w:val="007D536A"/>
    <w:rsid w:val="007D7EC0"/>
    <w:rsid w:val="007E2C65"/>
    <w:rsid w:val="007F0196"/>
    <w:rsid w:val="007F64AD"/>
    <w:rsid w:val="007F675C"/>
    <w:rsid w:val="00813061"/>
    <w:rsid w:val="00817598"/>
    <w:rsid w:val="00823CAF"/>
    <w:rsid w:val="008250EA"/>
    <w:rsid w:val="0084180E"/>
    <w:rsid w:val="00842A87"/>
    <w:rsid w:val="00850761"/>
    <w:rsid w:val="00852697"/>
    <w:rsid w:val="00856BE3"/>
    <w:rsid w:val="0085783B"/>
    <w:rsid w:val="0086438D"/>
    <w:rsid w:val="00865DB7"/>
    <w:rsid w:val="008700CA"/>
    <w:rsid w:val="00871868"/>
    <w:rsid w:val="00871D2E"/>
    <w:rsid w:val="0087456B"/>
    <w:rsid w:val="008750E0"/>
    <w:rsid w:val="0088051E"/>
    <w:rsid w:val="00881153"/>
    <w:rsid w:val="008846B4"/>
    <w:rsid w:val="008918B9"/>
    <w:rsid w:val="00894707"/>
    <w:rsid w:val="00897921"/>
    <w:rsid w:val="008A7FDD"/>
    <w:rsid w:val="008B1D46"/>
    <w:rsid w:val="008C29DE"/>
    <w:rsid w:val="008C2AB8"/>
    <w:rsid w:val="008C3204"/>
    <w:rsid w:val="008C4849"/>
    <w:rsid w:val="008C65DC"/>
    <w:rsid w:val="008D0DE0"/>
    <w:rsid w:val="008D4A2F"/>
    <w:rsid w:val="008D6902"/>
    <w:rsid w:val="008F0C2B"/>
    <w:rsid w:val="008F6B06"/>
    <w:rsid w:val="0090548F"/>
    <w:rsid w:val="00905937"/>
    <w:rsid w:val="0091077B"/>
    <w:rsid w:val="00932D7B"/>
    <w:rsid w:val="009343C4"/>
    <w:rsid w:val="009459A7"/>
    <w:rsid w:val="00950285"/>
    <w:rsid w:val="00952820"/>
    <w:rsid w:val="009552B0"/>
    <w:rsid w:val="00963C41"/>
    <w:rsid w:val="00965DA1"/>
    <w:rsid w:val="00971A5E"/>
    <w:rsid w:val="0098564E"/>
    <w:rsid w:val="009B5A56"/>
    <w:rsid w:val="009C58A2"/>
    <w:rsid w:val="009D0EEB"/>
    <w:rsid w:val="009D1E46"/>
    <w:rsid w:val="009D6100"/>
    <w:rsid w:val="009F2F59"/>
    <w:rsid w:val="009F3497"/>
    <w:rsid w:val="00A00835"/>
    <w:rsid w:val="00A02F9C"/>
    <w:rsid w:val="00A108D1"/>
    <w:rsid w:val="00A12277"/>
    <w:rsid w:val="00A21EBC"/>
    <w:rsid w:val="00A472CA"/>
    <w:rsid w:val="00A510DF"/>
    <w:rsid w:val="00A5360F"/>
    <w:rsid w:val="00A55EE0"/>
    <w:rsid w:val="00A72DF9"/>
    <w:rsid w:val="00A87B03"/>
    <w:rsid w:val="00A92DBB"/>
    <w:rsid w:val="00A93E86"/>
    <w:rsid w:val="00AA4D2B"/>
    <w:rsid w:val="00AD207F"/>
    <w:rsid w:val="00AD214F"/>
    <w:rsid w:val="00AD519B"/>
    <w:rsid w:val="00AE2BAD"/>
    <w:rsid w:val="00AE44AD"/>
    <w:rsid w:val="00AE44CF"/>
    <w:rsid w:val="00AE45F8"/>
    <w:rsid w:val="00AE5DF7"/>
    <w:rsid w:val="00AF26C8"/>
    <w:rsid w:val="00AF53A0"/>
    <w:rsid w:val="00AF7FD3"/>
    <w:rsid w:val="00B02990"/>
    <w:rsid w:val="00B045D2"/>
    <w:rsid w:val="00B11F99"/>
    <w:rsid w:val="00B138C5"/>
    <w:rsid w:val="00B23BC1"/>
    <w:rsid w:val="00B24EDD"/>
    <w:rsid w:val="00B36F66"/>
    <w:rsid w:val="00B47B99"/>
    <w:rsid w:val="00B54A71"/>
    <w:rsid w:val="00B57C43"/>
    <w:rsid w:val="00B6740F"/>
    <w:rsid w:val="00B6788A"/>
    <w:rsid w:val="00B70A1A"/>
    <w:rsid w:val="00B819AE"/>
    <w:rsid w:val="00B85F04"/>
    <w:rsid w:val="00B919C3"/>
    <w:rsid w:val="00B949CB"/>
    <w:rsid w:val="00BB2252"/>
    <w:rsid w:val="00BB35FA"/>
    <w:rsid w:val="00BB6923"/>
    <w:rsid w:val="00BB6D65"/>
    <w:rsid w:val="00BC2F8E"/>
    <w:rsid w:val="00BC5EAA"/>
    <w:rsid w:val="00BC666B"/>
    <w:rsid w:val="00BD14F0"/>
    <w:rsid w:val="00BE2A30"/>
    <w:rsid w:val="00BE3940"/>
    <w:rsid w:val="00BF7F7D"/>
    <w:rsid w:val="00C10139"/>
    <w:rsid w:val="00C35A59"/>
    <w:rsid w:val="00C40F57"/>
    <w:rsid w:val="00C45860"/>
    <w:rsid w:val="00C4618E"/>
    <w:rsid w:val="00C46ED4"/>
    <w:rsid w:val="00C5059E"/>
    <w:rsid w:val="00C525DC"/>
    <w:rsid w:val="00C56DEB"/>
    <w:rsid w:val="00C57846"/>
    <w:rsid w:val="00C63048"/>
    <w:rsid w:val="00C70A29"/>
    <w:rsid w:val="00C72BE6"/>
    <w:rsid w:val="00C80701"/>
    <w:rsid w:val="00C814AB"/>
    <w:rsid w:val="00C820A1"/>
    <w:rsid w:val="00C84D1B"/>
    <w:rsid w:val="00C92AB0"/>
    <w:rsid w:val="00CA7DD9"/>
    <w:rsid w:val="00CB2060"/>
    <w:rsid w:val="00CB65B2"/>
    <w:rsid w:val="00CB6D4F"/>
    <w:rsid w:val="00CC5986"/>
    <w:rsid w:val="00CC797E"/>
    <w:rsid w:val="00CE149D"/>
    <w:rsid w:val="00CE67F6"/>
    <w:rsid w:val="00CE754F"/>
    <w:rsid w:val="00D05DF5"/>
    <w:rsid w:val="00D109EA"/>
    <w:rsid w:val="00D15882"/>
    <w:rsid w:val="00D16E10"/>
    <w:rsid w:val="00D2003B"/>
    <w:rsid w:val="00D5405B"/>
    <w:rsid w:val="00D547FC"/>
    <w:rsid w:val="00D6052D"/>
    <w:rsid w:val="00D70122"/>
    <w:rsid w:val="00D7030D"/>
    <w:rsid w:val="00D7679F"/>
    <w:rsid w:val="00D80E58"/>
    <w:rsid w:val="00D81925"/>
    <w:rsid w:val="00D8512B"/>
    <w:rsid w:val="00D91AF5"/>
    <w:rsid w:val="00D91C44"/>
    <w:rsid w:val="00DB056C"/>
    <w:rsid w:val="00DB0AF4"/>
    <w:rsid w:val="00DB4BF7"/>
    <w:rsid w:val="00DD3A0F"/>
    <w:rsid w:val="00DD3EDA"/>
    <w:rsid w:val="00DE3139"/>
    <w:rsid w:val="00DE50BD"/>
    <w:rsid w:val="00DE6FA0"/>
    <w:rsid w:val="00E13661"/>
    <w:rsid w:val="00E15957"/>
    <w:rsid w:val="00E16030"/>
    <w:rsid w:val="00E20730"/>
    <w:rsid w:val="00E21DE6"/>
    <w:rsid w:val="00E376C3"/>
    <w:rsid w:val="00E40633"/>
    <w:rsid w:val="00E52893"/>
    <w:rsid w:val="00E65D5B"/>
    <w:rsid w:val="00E67210"/>
    <w:rsid w:val="00E70EB9"/>
    <w:rsid w:val="00E72DAD"/>
    <w:rsid w:val="00E86130"/>
    <w:rsid w:val="00E9520D"/>
    <w:rsid w:val="00EA3055"/>
    <w:rsid w:val="00EA330E"/>
    <w:rsid w:val="00EB3FC5"/>
    <w:rsid w:val="00EC13D8"/>
    <w:rsid w:val="00EC41A3"/>
    <w:rsid w:val="00ED5B30"/>
    <w:rsid w:val="00EE5CAD"/>
    <w:rsid w:val="00EF0338"/>
    <w:rsid w:val="00EF0F94"/>
    <w:rsid w:val="00EF2C5F"/>
    <w:rsid w:val="00EF2ED5"/>
    <w:rsid w:val="00EF4A02"/>
    <w:rsid w:val="00F06D6F"/>
    <w:rsid w:val="00F173F5"/>
    <w:rsid w:val="00F30E64"/>
    <w:rsid w:val="00F346CB"/>
    <w:rsid w:val="00F37CDF"/>
    <w:rsid w:val="00F40B52"/>
    <w:rsid w:val="00F440C6"/>
    <w:rsid w:val="00F50DA1"/>
    <w:rsid w:val="00F544C7"/>
    <w:rsid w:val="00F60BEE"/>
    <w:rsid w:val="00F61911"/>
    <w:rsid w:val="00F653C4"/>
    <w:rsid w:val="00F776C2"/>
    <w:rsid w:val="00F85F57"/>
    <w:rsid w:val="00F860B3"/>
    <w:rsid w:val="00F95A19"/>
    <w:rsid w:val="00F97125"/>
    <w:rsid w:val="00FA2A02"/>
    <w:rsid w:val="00FA37B4"/>
    <w:rsid w:val="00FA54F5"/>
    <w:rsid w:val="00FA778F"/>
    <w:rsid w:val="00FB22D5"/>
    <w:rsid w:val="00FC1F9B"/>
    <w:rsid w:val="00FC5FE3"/>
    <w:rsid w:val="00FD05A8"/>
    <w:rsid w:val="00FD6FEF"/>
    <w:rsid w:val="00FD749D"/>
    <w:rsid w:val="00FE2DE6"/>
    <w:rsid w:val="00FE3106"/>
    <w:rsid w:val="00FE440A"/>
    <w:rsid w:val="00FF67B1"/>
    <w:rsid w:val="00FF6EA3"/>
    <w:rsid w:val="013C4452"/>
    <w:rsid w:val="04304177"/>
    <w:rsid w:val="064B0D6A"/>
    <w:rsid w:val="0A0707D1"/>
    <w:rsid w:val="0B225C96"/>
    <w:rsid w:val="0C282E53"/>
    <w:rsid w:val="10EB2FA9"/>
    <w:rsid w:val="12E912B0"/>
    <w:rsid w:val="17E4768B"/>
    <w:rsid w:val="1963343B"/>
    <w:rsid w:val="1AF92F65"/>
    <w:rsid w:val="1CCF0A4E"/>
    <w:rsid w:val="22871434"/>
    <w:rsid w:val="23777DCA"/>
    <w:rsid w:val="24174969"/>
    <w:rsid w:val="25722A5D"/>
    <w:rsid w:val="276036AE"/>
    <w:rsid w:val="29F83714"/>
    <w:rsid w:val="2A2E52DB"/>
    <w:rsid w:val="2DDB08B8"/>
    <w:rsid w:val="2E2F49AB"/>
    <w:rsid w:val="2E754543"/>
    <w:rsid w:val="2EB77514"/>
    <w:rsid w:val="33B44FB3"/>
    <w:rsid w:val="36C179A7"/>
    <w:rsid w:val="395E1F7C"/>
    <w:rsid w:val="3CAC1730"/>
    <w:rsid w:val="3DB64099"/>
    <w:rsid w:val="3DE24FE8"/>
    <w:rsid w:val="40D2476E"/>
    <w:rsid w:val="47154AA7"/>
    <w:rsid w:val="48121517"/>
    <w:rsid w:val="48570B6C"/>
    <w:rsid w:val="4EE71B56"/>
    <w:rsid w:val="516C5100"/>
    <w:rsid w:val="5192021D"/>
    <w:rsid w:val="53901ECC"/>
    <w:rsid w:val="539719A4"/>
    <w:rsid w:val="5411167A"/>
    <w:rsid w:val="55327046"/>
    <w:rsid w:val="57041A0F"/>
    <w:rsid w:val="573F7409"/>
    <w:rsid w:val="59D9671C"/>
    <w:rsid w:val="5B6A1FFD"/>
    <w:rsid w:val="62475312"/>
    <w:rsid w:val="68C13425"/>
    <w:rsid w:val="6A220752"/>
    <w:rsid w:val="6B9426A9"/>
    <w:rsid w:val="6BC42A4A"/>
    <w:rsid w:val="6E2C7E5B"/>
    <w:rsid w:val="6E81035E"/>
    <w:rsid w:val="6EBC53D5"/>
    <w:rsid w:val="6F8A3B25"/>
    <w:rsid w:val="71313CDF"/>
    <w:rsid w:val="71646B09"/>
    <w:rsid w:val="7B5A2BED"/>
    <w:rsid w:val="7CAC402C"/>
    <w:rsid w:val="7D8D3D7E"/>
    <w:rsid w:val="7E1D0A31"/>
    <w:rsid w:val="7E7C27FD"/>
    <w:rsid w:val="7E9A5CD6"/>
    <w:rsid w:val="7FF871B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等线" w:hAnsi="等线" w:eastAsia="等线"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qFormat="1" w:unhideWhenUsed="0" w:uiPriority="99"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nhideWhenUsed="0" w:uiPriority="99"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name="Balloon Text"/>
    <w:lsdException w:qFormat="1"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Calibri"/>
      <w:kern w:val="2"/>
      <w:sz w:val="21"/>
      <w:szCs w:val="21"/>
      <w:lang w:val="en-US" w:eastAsia="zh-CN" w:bidi="ar-SA"/>
    </w:rPr>
  </w:style>
  <w:style w:type="character" w:default="1" w:styleId="8">
    <w:name w:val="Default Paragraph Font"/>
    <w:semiHidden/>
    <w:qFormat/>
    <w:uiPriority w:val="99"/>
  </w:style>
  <w:style w:type="table" w:default="1" w:styleId="6">
    <w:name w:val="Normal Table"/>
    <w:unhideWhenUsed/>
    <w:qFormat/>
    <w:uiPriority w:val="99"/>
    <w:tblPr>
      <w:tblCellMar>
        <w:top w:w="0" w:type="dxa"/>
        <w:left w:w="108" w:type="dxa"/>
        <w:bottom w:w="0" w:type="dxa"/>
        <w:right w:w="108" w:type="dxa"/>
      </w:tblCellMar>
    </w:tblPr>
  </w:style>
  <w:style w:type="paragraph" w:styleId="2">
    <w:name w:val="annotation text"/>
    <w:basedOn w:val="1"/>
    <w:link w:val="9"/>
    <w:semiHidden/>
    <w:qFormat/>
    <w:uiPriority w:val="99"/>
    <w:pPr>
      <w:jc w:val="left"/>
    </w:pPr>
    <w:rPr>
      <w:rFonts w:cs="Times New Roman"/>
      <w:kern w:val="0"/>
    </w:rPr>
  </w:style>
  <w:style w:type="paragraph" w:styleId="3">
    <w:name w:val="Balloon Text"/>
    <w:basedOn w:val="1"/>
    <w:link w:val="10"/>
    <w:semiHidden/>
    <w:qFormat/>
    <w:uiPriority w:val="99"/>
    <w:rPr>
      <w:rFonts w:cs="Times New Roman"/>
      <w:sz w:val="18"/>
      <w:szCs w:val="18"/>
    </w:rPr>
  </w:style>
  <w:style w:type="paragraph" w:styleId="4">
    <w:name w:val="footer"/>
    <w:basedOn w:val="1"/>
    <w:link w:val="11"/>
    <w:qFormat/>
    <w:uiPriority w:val="99"/>
    <w:pPr>
      <w:tabs>
        <w:tab w:val="center" w:pos="4153"/>
        <w:tab w:val="right" w:pos="8306"/>
      </w:tabs>
      <w:snapToGrid w:val="0"/>
      <w:jc w:val="left"/>
    </w:pPr>
    <w:rPr>
      <w:rFonts w:ascii="等线" w:hAnsi="等线" w:eastAsia="等线" w:cs="Times New Roman"/>
      <w:kern w:val="0"/>
      <w:sz w:val="18"/>
      <w:szCs w:val="18"/>
    </w:rPr>
  </w:style>
  <w:style w:type="paragraph" w:styleId="5">
    <w:name w:val="header"/>
    <w:basedOn w:val="1"/>
    <w:link w:val="12"/>
    <w:qFormat/>
    <w:uiPriority w:val="99"/>
    <w:pPr>
      <w:pBdr>
        <w:bottom w:val="single" w:color="auto" w:sz="6" w:space="1"/>
      </w:pBdr>
      <w:tabs>
        <w:tab w:val="center" w:pos="4153"/>
        <w:tab w:val="right" w:pos="8306"/>
      </w:tabs>
      <w:snapToGrid w:val="0"/>
      <w:jc w:val="center"/>
    </w:pPr>
    <w:rPr>
      <w:rFonts w:ascii="等线" w:hAnsi="等线" w:eastAsia="等线" w:cs="Times New Roman"/>
      <w:kern w:val="0"/>
      <w:sz w:val="18"/>
      <w:szCs w:val="18"/>
    </w:rPr>
  </w:style>
  <w:style w:type="table" w:styleId="7">
    <w:name w:val="Table Grid"/>
    <w:basedOn w:val="6"/>
    <w:qFormat/>
    <w:locked/>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9">
    <w:name w:val="批注文字 字符"/>
    <w:link w:val="2"/>
    <w:semiHidden/>
    <w:qFormat/>
    <w:locked/>
    <w:uiPriority w:val="99"/>
    <w:rPr>
      <w:rFonts w:ascii="Calibri" w:hAnsi="Calibri" w:eastAsia="宋体" w:cs="Calibri"/>
      <w:sz w:val="21"/>
      <w:szCs w:val="21"/>
    </w:rPr>
  </w:style>
  <w:style w:type="character" w:customStyle="1" w:styleId="10">
    <w:name w:val="批注框文本 字符"/>
    <w:link w:val="3"/>
    <w:semiHidden/>
    <w:qFormat/>
    <w:locked/>
    <w:uiPriority w:val="99"/>
    <w:rPr>
      <w:rFonts w:ascii="Calibri" w:hAnsi="Calibri" w:eastAsia="宋体" w:cs="Calibri"/>
      <w:kern w:val="2"/>
      <w:sz w:val="18"/>
      <w:szCs w:val="18"/>
    </w:rPr>
  </w:style>
  <w:style w:type="character" w:customStyle="1" w:styleId="11">
    <w:name w:val="页脚 字符"/>
    <w:link w:val="4"/>
    <w:qFormat/>
    <w:locked/>
    <w:uiPriority w:val="99"/>
    <w:rPr>
      <w:sz w:val="18"/>
      <w:szCs w:val="18"/>
    </w:rPr>
  </w:style>
  <w:style w:type="character" w:customStyle="1" w:styleId="12">
    <w:name w:val="页眉 字符"/>
    <w:link w:val="5"/>
    <w:qFormat/>
    <w:locked/>
    <w:uiPriority w:val="99"/>
    <w:rPr>
      <w:sz w:val="18"/>
      <w:szCs w:val="18"/>
    </w:rPr>
  </w:style>
  <w:style w:type="paragraph" w:customStyle="1" w:styleId="13">
    <w:name w:val="Revision"/>
    <w:semiHidden/>
    <w:qFormat/>
    <w:uiPriority w:val="99"/>
    <w:rPr>
      <w:rFonts w:ascii="Calibri" w:hAnsi="Calibri" w:eastAsia="宋体" w:cs="Calibri"/>
      <w:kern w:val="2"/>
      <w:sz w:val="21"/>
      <w:szCs w:val="21"/>
      <w:lang w:val="en-US" w:eastAsia="zh-CN" w:bidi="ar-SA"/>
    </w:rPr>
  </w:style>
  <w:style w:type="paragraph" w:customStyle="1" w:styleId="14">
    <w:name w:val="Table Text"/>
    <w:basedOn w:val="1"/>
    <w:semiHidden/>
    <w:qFormat/>
    <w:uiPriority w:val="0"/>
  </w:style>
  <w:style w:type="table" w:customStyle="1" w:styleId="15">
    <w:name w:val="Table Normal"/>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china</Company>
  <Pages>2</Pages>
  <Words>674</Words>
  <Characters>793</Characters>
  <Lines>7</Lines>
  <Paragraphs>2</Paragraphs>
  <TotalTime>0</TotalTime>
  <ScaleCrop>false</ScaleCrop>
  <LinksUpToDate>false</LinksUpToDate>
  <CharactersWithSpaces>810</CharactersWithSpaces>
  <Application>WPS Office_12.1.0.21171_F1E327BC-269C-435d-A152-05C5408002CA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2023-11-06T01:48:00Z</dcterms:created>
  <dc:creator>lenovo</dc:creator>
  <cp:lastModifiedBy>weiy1ng</cp:lastModifiedBy>
  <dcterms:modified xsi:type="dcterms:W3CDTF">2025-07-28T07:05:52Z</dcterms:modified>
  <dc:title>童鞋产品质量国家监督抽查实施细则</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2052-12.1.0.21171</vt:lpwstr>
  </property>
  <property fmtid="{D5CDD505-2E9C-101B-9397-08002B2CF9AE}" pid="3" name="ICV">
    <vt:lpwstr>B624EC8BC5F04168820F7E2D722A554B_13</vt:lpwstr>
  </property>
  <property fmtid="{D5CDD505-2E9C-101B-9397-08002B2CF9AE}" pid="4" name="KSOTemplateDocerSaveRecord">
    <vt:lpwstr>eyJoZGlkIjoiZDRjNTI1MjFiZDYzM2Q0YjIwNzE0NTkzNGNlZGZjMTkiLCJ1c2VySWQiOiIyNDQ1OTgwODEifQ==</vt:lpwstr>
  </property>
</Properties>
</file>