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33D567">
      <w:pPr>
        <w:snapToGrid w:val="0"/>
        <w:spacing w:line="500" w:lineRule="exact"/>
        <w:jc w:val="center"/>
        <w:rPr>
          <w:rFonts w:hint="default" w:ascii="仿宋" w:hAnsi="仿宋" w:eastAsia="仿宋" w:cs="仿宋"/>
          <w:b/>
          <w:bCs/>
          <w:color w:val="000000"/>
          <w:sz w:val="40"/>
          <w:szCs w:val="40"/>
        </w:rPr>
      </w:pPr>
      <w:r>
        <w:rPr>
          <w:rFonts w:hint="default" w:ascii="仿宋" w:hAnsi="仿宋" w:eastAsia="仿宋" w:cs="仿宋"/>
          <w:b/>
          <w:bCs/>
          <w:color w:val="000000"/>
          <w:sz w:val="40"/>
          <w:szCs w:val="40"/>
          <w:lang w:val="en-US" w:eastAsia="zh-CN"/>
        </w:rPr>
        <w:t>九江</w:t>
      </w:r>
      <w:r>
        <w:rPr>
          <w:rFonts w:hint="default" w:ascii="仿宋" w:hAnsi="仿宋" w:eastAsia="仿宋" w:cs="仿宋"/>
          <w:b/>
          <w:bCs/>
          <w:color w:val="000000"/>
          <w:sz w:val="40"/>
          <w:szCs w:val="40"/>
        </w:rPr>
        <w:t>市食品用塑料包装容器工具等制品产品质量监督抽查实施细则（202</w:t>
      </w:r>
      <w:r>
        <w:rPr>
          <w:rFonts w:hint="default" w:ascii="仿宋" w:hAnsi="仿宋" w:eastAsia="仿宋" w:cs="仿宋"/>
          <w:b/>
          <w:bCs/>
          <w:color w:val="000000"/>
          <w:sz w:val="40"/>
          <w:szCs w:val="40"/>
          <w:lang w:val="en-US" w:eastAsia="zh-CN"/>
        </w:rPr>
        <w:t>5</w:t>
      </w:r>
      <w:r>
        <w:rPr>
          <w:rFonts w:hint="default" w:ascii="仿宋" w:hAnsi="仿宋" w:eastAsia="仿宋" w:cs="仿宋"/>
          <w:b/>
          <w:bCs/>
          <w:color w:val="000000"/>
          <w:sz w:val="40"/>
          <w:szCs w:val="40"/>
        </w:rPr>
        <w:t>年版）</w:t>
      </w:r>
      <w:bookmarkStart w:id="0" w:name="_GoBack"/>
      <w:bookmarkEnd w:id="0"/>
    </w:p>
    <w:p w14:paraId="1F79C4B8">
      <w:pPr>
        <w:snapToGrid w:val="0"/>
        <w:spacing w:line="500" w:lineRule="exact"/>
        <w:rPr>
          <w:rFonts w:hint="default" w:ascii="Times New Roman" w:hAnsi="Times New Roman" w:cs="Times New Roman"/>
          <w:b/>
          <w:sz w:val="24"/>
          <w:szCs w:val="24"/>
        </w:rPr>
      </w:pPr>
      <w:r>
        <w:rPr>
          <w:rFonts w:hint="default" w:ascii="Times New Roman" w:hAnsi="Times New Roman" w:cs="Times New Roman"/>
          <w:b/>
          <w:sz w:val="24"/>
          <w:szCs w:val="24"/>
        </w:rPr>
        <w:t>1、抽样方法</w:t>
      </w:r>
    </w:p>
    <w:p w14:paraId="17440153">
      <w:pPr>
        <w:snapToGrid w:val="0"/>
        <w:spacing w:line="500" w:lineRule="exact"/>
        <w:ind w:firstLine="480" w:firstLineChars="200"/>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以随机抽样的方式在被抽样生产者、销售者的待销产品中抽取。</w:t>
      </w:r>
    </w:p>
    <w:p w14:paraId="2355DFC0">
      <w:pPr>
        <w:snapToGrid w:val="0"/>
        <w:spacing w:line="500" w:lineRule="exact"/>
        <w:ind w:firstLine="480" w:firstLineChars="200"/>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随机数一般可使用随机数表、随机数骰子或扑克牌等方法产生。</w:t>
      </w:r>
    </w:p>
    <w:p w14:paraId="05C53891">
      <w:pPr>
        <w:snapToGrid w:val="0"/>
        <w:spacing w:line="500" w:lineRule="exact"/>
        <w:ind w:firstLine="480" w:firstLineChars="200"/>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抽样基数及数量：以同一批号、同一规格的产品为抽样基数，抽样基数满足抽样数量即可。每批次产品抽取样品数量见表1。</w:t>
      </w:r>
    </w:p>
    <w:p w14:paraId="6AA38265">
      <w:pPr>
        <w:snapToGrid w:val="0"/>
        <w:spacing w:line="500" w:lineRule="exact"/>
        <w:ind w:firstLine="480" w:firstLineChars="200"/>
        <w:jc w:val="center"/>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表1 抽样数量</w:t>
      </w:r>
    </w:p>
    <w:tbl>
      <w:tblPr>
        <w:tblStyle w:val="4"/>
        <w:tblW w:w="51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4"/>
        <w:gridCol w:w="1535"/>
        <w:gridCol w:w="6550"/>
      </w:tblGrid>
      <w:tr w14:paraId="62107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416" w:type="pct"/>
            <w:tcBorders>
              <w:top w:val="single" w:color="auto" w:sz="4" w:space="0"/>
              <w:left w:val="single" w:color="auto" w:sz="4" w:space="0"/>
              <w:bottom w:val="single" w:color="auto" w:sz="4" w:space="0"/>
              <w:right w:val="single" w:color="auto" w:sz="4" w:space="0"/>
            </w:tcBorders>
            <w:vAlign w:val="center"/>
          </w:tcPr>
          <w:p w14:paraId="36BF9D97">
            <w:pPr>
              <w:snapToGrid w:val="0"/>
              <w:spacing w:line="360" w:lineRule="exact"/>
              <w:jc w:val="center"/>
              <w:rPr>
                <w:rFonts w:hint="default" w:ascii="Times New Roman" w:hAnsi="Times New Roman" w:cs="Times New Roman"/>
                <w:sz w:val="24"/>
              </w:rPr>
            </w:pPr>
            <w:r>
              <w:rPr>
                <w:rFonts w:hint="default" w:ascii="Times New Roman" w:hAnsi="Times New Roman" w:cs="Times New Roman"/>
                <w:sz w:val="24"/>
              </w:rPr>
              <w:t>序号</w:t>
            </w:r>
          </w:p>
        </w:tc>
        <w:tc>
          <w:tcPr>
            <w:tcW w:w="870" w:type="pct"/>
            <w:tcBorders>
              <w:top w:val="single" w:color="auto" w:sz="4" w:space="0"/>
              <w:left w:val="single" w:color="auto" w:sz="4" w:space="0"/>
              <w:bottom w:val="single" w:color="auto" w:sz="4" w:space="0"/>
              <w:right w:val="single" w:color="auto" w:sz="4" w:space="0"/>
            </w:tcBorders>
            <w:vAlign w:val="center"/>
          </w:tcPr>
          <w:p w14:paraId="2A617CCB">
            <w:pPr>
              <w:snapToGrid w:val="0"/>
              <w:spacing w:line="360" w:lineRule="exact"/>
              <w:jc w:val="center"/>
              <w:rPr>
                <w:rFonts w:hint="default" w:ascii="Times New Roman" w:hAnsi="Times New Roman" w:cs="Times New Roman"/>
                <w:sz w:val="24"/>
              </w:rPr>
            </w:pPr>
            <w:r>
              <w:rPr>
                <w:rFonts w:hint="default" w:ascii="Times New Roman" w:hAnsi="Times New Roman" w:cs="Times New Roman"/>
                <w:sz w:val="24"/>
              </w:rPr>
              <w:t>产品名称</w:t>
            </w:r>
          </w:p>
        </w:tc>
        <w:tc>
          <w:tcPr>
            <w:tcW w:w="3713" w:type="pct"/>
            <w:tcBorders>
              <w:top w:val="single" w:color="auto" w:sz="4" w:space="0"/>
              <w:left w:val="single" w:color="auto" w:sz="4" w:space="0"/>
              <w:right w:val="single" w:color="auto" w:sz="4" w:space="0"/>
            </w:tcBorders>
            <w:vAlign w:val="center"/>
          </w:tcPr>
          <w:p w14:paraId="6A47F5DC">
            <w:pPr>
              <w:snapToGrid w:val="0"/>
              <w:spacing w:line="360" w:lineRule="exact"/>
              <w:jc w:val="center"/>
              <w:rPr>
                <w:rFonts w:hint="default" w:ascii="Times New Roman" w:hAnsi="Times New Roman" w:cs="Times New Roman"/>
                <w:sz w:val="24"/>
              </w:rPr>
            </w:pPr>
            <w:r>
              <w:rPr>
                <w:rFonts w:hint="default" w:ascii="Times New Roman" w:hAnsi="Times New Roman" w:cs="Times New Roman"/>
                <w:sz w:val="24"/>
              </w:rPr>
              <w:t>抽样数量</w:t>
            </w:r>
          </w:p>
        </w:tc>
      </w:tr>
      <w:tr w14:paraId="3B87D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416" w:type="pct"/>
            <w:tcBorders>
              <w:top w:val="single" w:color="auto" w:sz="4" w:space="0"/>
              <w:left w:val="single" w:color="auto" w:sz="4" w:space="0"/>
              <w:bottom w:val="single" w:color="auto" w:sz="4" w:space="0"/>
              <w:right w:val="single" w:color="auto" w:sz="4" w:space="0"/>
            </w:tcBorders>
            <w:vAlign w:val="center"/>
          </w:tcPr>
          <w:p w14:paraId="2126C2D1">
            <w:pPr>
              <w:snapToGrid w:val="0"/>
              <w:spacing w:line="360" w:lineRule="exact"/>
              <w:jc w:val="center"/>
              <w:rPr>
                <w:rFonts w:hint="default" w:ascii="Times New Roman" w:hAnsi="Times New Roman" w:cs="Times New Roman"/>
                <w:sz w:val="24"/>
              </w:rPr>
            </w:pPr>
            <w:r>
              <w:rPr>
                <w:rFonts w:hint="default" w:ascii="Times New Roman" w:hAnsi="Times New Roman" w:cs="Times New Roman"/>
                <w:sz w:val="24"/>
              </w:rPr>
              <w:t>1</w:t>
            </w:r>
          </w:p>
        </w:tc>
        <w:tc>
          <w:tcPr>
            <w:tcW w:w="870" w:type="pct"/>
            <w:tcBorders>
              <w:top w:val="single" w:color="auto" w:sz="4" w:space="0"/>
              <w:left w:val="single" w:color="auto" w:sz="4" w:space="0"/>
              <w:bottom w:val="single" w:color="auto" w:sz="4" w:space="0"/>
              <w:right w:val="single" w:color="auto" w:sz="4" w:space="0"/>
            </w:tcBorders>
            <w:shd w:val="clear" w:color="auto" w:fill="auto"/>
            <w:vAlign w:val="center"/>
          </w:tcPr>
          <w:p w14:paraId="165DB4D6">
            <w:pPr>
              <w:snapToGrid w:val="0"/>
              <w:spacing w:line="360" w:lineRule="exact"/>
              <w:jc w:val="center"/>
              <w:rPr>
                <w:rFonts w:hint="default" w:ascii="Times New Roman" w:hAnsi="Times New Roman" w:eastAsia="宋体" w:cs="Times New Roman"/>
                <w:kern w:val="2"/>
                <w:sz w:val="24"/>
                <w:szCs w:val="22"/>
                <w:lang w:val="en-US" w:eastAsia="zh-CN" w:bidi="ar-SA"/>
              </w:rPr>
            </w:pPr>
            <w:r>
              <w:rPr>
                <w:rFonts w:hint="default" w:ascii="Times New Roman" w:hAnsi="Times New Roman" w:cs="Times New Roman"/>
                <w:sz w:val="24"/>
              </w:rPr>
              <w:t>食品接触用特定工具及塑料件</w:t>
            </w:r>
          </w:p>
        </w:tc>
        <w:tc>
          <w:tcPr>
            <w:tcW w:w="3713" w:type="pct"/>
            <w:tcBorders>
              <w:top w:val="single" w:color="auto" w:sz="4" w:space="0"/>
              <w:left w:val="single" w:color="auto" w:sz="4" w:space="0"/>
              <w:right w:val="single" w:color="auto" w:sz="4" w:space="0"/>
            </w:tcBorders>
            <w:shd w:val="clear" w:color="auto" w:fill="auto"/>
            <w:vAlign w:val="center"/>
          </w:tcPr>
          <w:p w14:paraId="32795F77">
            <w:pPr>
              <w:snapToGrid w:val="0"/>
              <w:spacing w:line="360" w:lineRule="exact"/>
              <w:jc w:val="center"/>
              <w:rPr>
                <w:rFonts w:hint="default" w:ascii="Times New Roman" w:hAnsi="Times New Roman" w:eastAsia="宋体" w:cs="Times New Roman"/>
                <w:kern w:val="2"/>
                <w:sz w:val="24"/>
                <w:szCs w:val="22"/>
                <w:lang w:val="en-US" w:eastAsia="zh-CN" w:bidi="ar-SA"/>
              </w:rPr>
            </w:pPr>
            <w:r>
              <w:rPr>
                <w:rFonts w:hint="default" w:ascii="Times New Roman" w:hAnsi="Times New Roman" w:cs="Times New Roman"/>
                <w:sz w:val="24"/>
              </w:rPr>
              <w:t>随机抽取样本60</w:t>
            </w:r>
            <w:r>
              <w:rPr>
                <w:rFonts w:hint="eastAsia" w:ascii="Times New Roman" w:hAnsi="Times New Roman" w:cs="Times New Roman"/>
                <w:sz w:val="24"/>
                <w:lang w:val="en-US" w:eastAsia="zh-CN"/>
              </w:rPr>
              <w:t>个</w:t>
            </w:r>
            <w:r>
              <w:rPr>
                <w:rFonts w:hint="default" w:ascii="Times New Roman" w:hAnsi="Times New Roman" w:cs="Times New Roman"/>
                <w:sz w:val="24"/>
              </w:rPr>
              <w:t>（套）。其中40</w:t>
            </w:r>
            <w:r>
              <w:rPr>
                <w:rFonts w:hint="eastAsia" w:ascii="Times New Roman" w:hAnsi="Times New Roman" w:cs="Times New Roman"/>
                <w:sz w:val="24"/>
                <w:lang w:val="en-US" w:eastAsia="zh-CN"/>
              </w:rPr>
              <w:t>个</w:t>
            </w:r>
            <w:r>
              <w:rPr>
                <w:rFonts w:hint="default" w:ascii="Times New Roman" w:hAnsi="Times New Roman" w:cs="Times New Roman"/>
                <w:sz w:val="24"/>
              </w:rPr>
              <w:t>（套）作为检验样品，20</w:t>
            </w:r>
            <w:r>
              <w:rPr>
                <w:rFonts w:hint="eastAsia" w:ascii="Times New Roman" w:hAnsi="Times New Roman" w:cs="Times New Roman"/>
                <w:sz w:val="24"/>
                <w:lang w:val="en-US" w:eastAsia="zh-CN"/>
              </w:rPr>
              <w:t>个</w:t>
            </w:r>
            <w:r>
              <w:rPr>
                <w:rFonts w:hint="default" w:ascii="Times New Roman" w:hAnsi="Times New Roman" w:cs="Times New Roman"/>
                <w:sz w:val="24"/>
              </w:rPr>
              <w:t>（套）作为备用样品。</w:t>
            </w:r>
          </w:p>
        </w:tc>
      </w:tr>
      <w:tr w14:paraId="7DA8E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16" w:type="pct"/>
            <w:tcBorders>
              <w:top w:val="single" w:color="auto" w:sz="4" w:space="0"/>
              <w:left w:val="single" w:color="auto" w:sz="4" w:space="0"/>
              <w:bottom w:val="single" w:color="auto" w:sz="4" w:space="0"/>
              <w:right w:val="single" w:color="auto" w:sz="4" w:space="0"/>
            </w:tcBorders>
            <w:vAlign w:val="center"/>
          </w:tcPr>
          <w:p w14:paraId="4AADECC9">
            <w:pPr>
              <w:snapToGrid w:val="0"/>
              <w:spacing w:line="360" w:lineRule="exact"/>
              <w:jc w:val="center"/>
              <w:rPr>
                <w:rFonts w:hint="default" w:ascii="Times New Roman" w:hAnsi="Times New Roman" w:cs="Times New Roman"/>
                <w:sz w:val="24"/>
              </w:rPr>
            </w:pPr>
            <w:r>
              <w:rPr>
                <w:rFonts w:hint="default" w:ascii="Times New Roman" w:hAnsi="Times New Roman" w:cs="Times New Roman"/>
                <w:sz w:val="24"/>
              </w:rPr>
              <w:t>2</w:t>
            </w:r>
          </w:p>
        </w:tc>
        <w:tc>
          <w:tcPr>
            <w:tcW w:w="870" w:type="pct"/>
            <w:tcBorders>
              <w:top w:val="single" w:color="auto" w:sz="4" w:space="0"/>
              <w:left w:val="single" w:color="auto" w:sz="4" w:space="0"/>
              <w:bottom w:val="single" w:color="auto" w:sz="4" w:space="0"/>
              <w:right w:val="single" w:color="auto" w:sz="4" w:space="0"/>
            </w:tcBorders>
            <w:shd w:val="clear" w:color="auto" w:fill="auto"/>
            <w:vAlign w:val="center"/>
          </w:tcPr>
          <w:p w14:paraId="558F605F">
            <w:pPr>
              <w:snapToGrid w:val="0"/>
              <w:spacing w:line="360" w:lineRule="exact"/>
              <w:jc w:val="center"/>
              <w:rPr>
                <w:rFonts w:hint="default" w:ascii="Times New Roman" w:hAnsi="Times New Roman" w:eastAsia="宋体" w:cs="Times New Roman"/>
                <w:kern w:val="2"/>
                <w:sz w:val="24"/>
                <w:szCs w:val="22"/>
                <w:lang w:val="en-US" w:eastAsia="zh-CN" w:bidi="ar-SA"/>
              </w:rPr>
            </w:pPr>
            <w:r>
              <w:rPr>
                <w:rFonts w:hint="default" w:ascii="Times New Roman" w:hAnsi="Times New Roman" w:cs="Times New Roman"/>
                <w:sz w:val="24"/>
              </w:rPr>
              <w:t>饮用吸管</w:t>
            </w:r>
          </w:p>
        </w:tc>
        <w:tc>
          <w:tcPr>
            <w:tcW w:w="3713" w:type="pct"/>
            <w:tcBorders>
              <w:left w:val="single" w:color="auto" w:sz="4" w:space="0"/>
              <w:right w:val="single" w:color="auto" w:sz="4" w:space="0"/>
            </w:tcBorders>
            <w:shd w:val="clear" w:color="auto" w:fill="auto"/>
            <w:vAlign w:val="center"/>
          </w:tcPr>
          <w:p w14:paraId="064362C3">
            <w:pPr>
              <w:snapToGrid w:val="0"/>
              <w:spacing w:line="360" w:lineRule="exact"/>
              <w:jc w:val="center"/>
              <w:rPr>
                <w:rFonts w:hint="default" w:ascii="Times New Roman" w:hAnsi="Times New Roman" w:eastAsia="宋体" w:cs="Times New Roman"/>
                <w:kern w:val="2"/>
                <w:sz w:val="24"/>
                <w:szCs w:val="22"/>
                <w:lang w:val="en-US" w:eastAsia="zh-CN" w:bidi="ar-SA"/>
              </w:rPr>
            </w:pPr>
            <w:r>
              <w:rPr>
                <w:rFonts w:hint="default" w:ascii="Times New Roman" w:hAnsi="Times New Roman" w:cs="Times New Roman"/>
                <w:sz w:val="24"/>
              </w:rPr>
              <w:t>随机抽取样本300支（根）。其中200支（根）作为检验样品，100支（根）作为备用样品。</w:t>
            </w:r>
          </w:p>
        </w:tc>
      </w:tr>
    </w:tbl>
    <w:p w14:paraId="36120156">
      <w:pPr>
        <w:adjustRightInd w:val="0"/>
        <w:spacing w:line="300" w:lineRule="auto"/>
        <w:ind w:firstLine="420" w:firstLineChars="200"/>
        <w:rPr>
          <w:rFonts w:hint="default" w:ascii="Times New Roman" w:hAnsi="Times New Roman"/>
          <w:szCs w:val="21"/>
        </w:rPr>
      </w:pPr>
      <w:r>
        <w:rPr>
          <w:rFonts w:hint="default" w:ascii="Times New Roman" w:hAnsi="Times New Roman"/>
          <w:szCs w:val="21"/>
        </w:rPr>
        <w:t>注：产品抽样数量可根据样品的实际大小，在满足检验的条件下做适当调整。</w:t>
      </w:r>
    </w:p>
    <w:p w14:paraId="3CA91816">
      <w:pPr>
        <w:pStyle w:val="10"/>
        <w:numPr>
          <w:ilvl w:val="0"/>
          <w:numId w:val="1"/>
        </w:numPr>
        <w:snapToGrid w:val="0"/>
        <w:spacing w:line="440" w:lineRule="exact"/>
        <w:ind w:firstLineChars="0"/>
        <w:rPr>
          <w:rFonts w:hint="default" w:ascii="Times New Roman" w:hAnsi="Times New Roman" w:cs="Times New Roman"/>
          <w:b/>
          <w:color w:val="000000"/>
          <w:sz w:val="24"/>
          <w:szCs w:val="24"/>
        </w:rPr>
      </w:pPr>
      <w:r>
        <w:rPr>
          <w:rFonts w:hint="default" w:ascii="Times New Roman" w:hAnsi="Times New Roman" w:cs="Times New Roman"/>
          <w:b/>
          <w:color w:val="000000"/>
          <w:sz w:val="24"/>
          <w:szCs w:val="24"/>
        </w:rPr>
        <w:t>检验依据</w:t>
      </w:r>
    </w:p>
    <w:p w14:paraId="6405A317">
      <w:pPr>
        <w:snapToGrid w:val="0"/>
        <w:spacing w:line="500" w:lineRule="exact"/>
        <w:jc w:val="left"/>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2.1 食品用塑料包装容器工具等制品</w:t>
      </w:r>
    </w:p>
    <w:p w14:paraId="70E69C9C">
      <w:pPr>
        <w:snapToGrid w:val="0"/>
        <w:spacing w:line="500" w:lineRule="exact"/>
        <w:ind w:firstLine="480" w:firstLineChars="200"/>
        <w:jc w:val="center"/>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表2  食品用塑料包装容器工具等制品产品检验项目、依据、方法</w:t>
      </w:r>
    </w:p>
    <w:tbl>
      <w:tblPr>
        <w:tblStyle w:val="4"/>
        <w:tblW w:w="508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7"/>
        <w:gridCol w:w="3001"/>
        <w:gridCol w:w="2456"/>
        <w:gridCol w:w="2490"/>
      </w:tblGrid>
      <w:tr w14:paraId="00FA4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419" w:type="pct"/>
            <w:vMerge w:val="restart"/>
            <w:vAlign w:val="center"/>
          </w:tcPr>
          <w:p w14:paraId="0BDBEB43">
            <w:pPr>
              <w:spacing w:line="300" w:lineRule="auto"/>
              <w:jc w:val="center"/>
              <w:rPr>
                <w:rFonts w:hint="default" w:ascii="Times New Roman" w:hAnsi="Times New Roman" w:cs="Times New Roman"/>
                <w:bCs/>
                <w:sz w:val="24"/>
                <w:szCs w:val="24"/>
              </w:rPr>
            </w:pPr>
            <w:r>
              <w:rPr>
                <w:rFonts w:hint="default" w:ascii="Times New Roman" w:hAnsi="Times New Roman" w:cs="Times New Roman"/>
                <w:bCs/>
                <w:sz w:val="24"/>
                <w:szCs w:val="24"/>
              </w:rPr>
              <w:t>序号</w:t>
            </w:r>
          </w:p>
        </w:tc>
        <w:tc>
          <w:tcPr>
            <w:tcW w:w="1729" w:type="pct"/>
            <w:vMerge w:val="restart"/>
            <w:vAlign w:val="center"/>
          </w:tcPr>
          <w:p w14:paraId="0C4FE020">
            <w:pPr>
              <w:spacing w:line="300" w:lineRule="auto"/>
              <w:jc w:val="center"/>
              <w:rPr>
                <w:rFonts w:hint="default" w:ascii="Times New Roman" w:hAnsi="Times New Roman" w:cs="Times New Roman"/>
                <w:bCs/>
                <w:sz w:val="24"/>
                <w:szCs w:val="24"/>
              </w:rPr>
            </w:pPr>
            <w:r>
              <w:rPr>
                <w:rFonts w:hint="default" w:ascii="Times New Roman" w:hAnsi="Times New Roman" w:cs="Times New Roman"/>
                <w:bCs/>
                <w:sz w:val="24"/>
                <w:szCs w:val="24"/>
              </w:rPr>
              <w:t>检验项目</w:t>
            </w:r>
          </w:p>
        </w:tc>
        <w:tc>
          <w:tcPr>
            <w:tcW w:w="1415" w:type="pct"/>
            <w:vMerge w:val="restart"/>
            <w:vAlign w:val="center"/>
          </w:tcPr>
          <w:p w14:paraId="17E4CF0C">
            <w:pPr>
              <w:spacing w:line="300" w:lineRule="auto"/>
              <w:jc w:val="center"/>
              <w:rPr>
                <w:rFonts w:hint="default" w:ascii="Times New Roman" w:hAnsi="Times New Roman" w:cs="Times New Roman"/>
                <w:bCs/>
                <w:sz w:val="24"/>
                <w:szCs w:val="24"/>
              </w:rPr>
            </w:pPr>
            <w:r>
              <w:rPr>
                <w:rFonts w:hint="default" w:ascii="Times New Roman" w:hAnsi="Times New Roman" w:cs="Times New Roman"/>
                <w:bCs/>
                <w:sz w:val="24"/>
                <w:szCs w:val="24"/>
              </w:rPr>
              <w:t>依据标准</w:t>
            </w:r>
          </w:p>
        </w:tc>
        <w:tc>
          <w:tcPr>
            <w:tcW w:w="1434" w:type="pct"/>
            <w:vMerge w:val="restart"/>
            <w:vAlign w:val="center"/>
          </w:tcPr>
          <w:p w14:paraId="05DA30DF">
            <w:pPr>
              <w:spacing w:line="300" w:lineRule="auto"/>
              <w:jc w:val="center"/>
              <w:rPr>
                <w:rFonts w:hint="default" w:ascii="Times New Roman" w:hAnsi="Times New Roman" w:cs="Times New Roman"/>
                <w:bCs/>
                <w:sz w:val="24"/>
                <w:szCs w:val="24"/>
              </w:rPr>
            </w:pPr>
            <w:r>
              <w:rPr>
                <w:rFonts w:hint="default" w:ascii="Times New Roman" w:hAnsi="Times New Roman" w:cs="Times New Roman"/>
                <w:bCs/>
                <w:sz w:val="24"/>
                <w:szCs w:val="24"/>
              </w:rPr>
              <w:t>检测方法</w:t>
            </w:r>
          </w:p>
        </w:tc>
      </w:tr>
      <w:tr w14:paraId="2D9BA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419" w:type="pct"/>
            <w:vMerge w:val="continue"/>
          </w:tcPr>
          <w:p w14:paraId="1762C2F9">
            <w:pPr>
              <w:spacing w:line="300" w:lineRule="auto"/>
              <w:jc w:val="center"/>
              <w:rPr>
                <w:rFonts w:hint="default" w:ascii="Times New Roman" w:hAnsi="Times New Roman" w:cs="Times New Roman"/>
                <w:bCs/>
                <w:sz w:val="24"/>
                <w:szCs w:val="24"/>
              </w:rPr>
            </w:pPr>
          </w:p>
        </w:tc>
        <w:tc>
          <w:tcPr>
            <w:tcW w:w="1729" w:type="pct"/>
            <w:vMerge w:val="continue"/>
          </w:tcPr>
          <w:p w14:paraId="0EC38851">
            <w:pPr>
              <w:spacing w:line="300" w:lineRule="auto"/>
              <w:jc w:val="center"/>
              <w:rPr>
                <w:rFonts w:hint="default" w:ascii="Times New Roman" w:hAnsi="Times New Roman" w:cs="Times New Roman"/>
                <w:bCs/>
                <w:sz w:val="24"/>
                <w:szCs w:val="24"/>
              </w:rPr>
            </w:pPr>
          </w:p>
        </w:tc>
        <w:tc>
          <w:tcPr>
            <w:tcW w:w="1415" w:type="pct"/>
            <w:vMerge w:val="continue"/>
          </w:tcPr>
          <w:p w14:paraId="666472F2">
            <w:pPr>
              <w:spacing w:line="300" w:lineRule="auto"/>
              <w:jc w:val="center"/>
              <w:rPr>
                <w:rFonts w:hint="default" w:ascii="Times New Roman" w:hAnsi="Times New Roman" w:cs="Times New Roman"/>
                <w:bCs/>
                <w:sz w:val="24"/>
                <w:szCs w:val="24"/>
              </w:rPr>
            </w:pPr>
          </w:p>
        </w:tc>
        <w:tc>
          <w:tcPr>
            <w:tcW w:w="1434" w:type="pct"/>
            <w:vMerge w:val="continue"/>
          </w:tcPr>
          <w:p w14:paraId="037FC509">
            <w:pPr>
              <w:spacing w:line="300" w:lineRule="auto"/>
              <w:jc w:val="center"/>
              <w:rPr>
                <w:rFonts w:hint="default" w:ascii="Times New Roman" w:hAnsi="Times New Roman" w:cs="Times New Roman"/>
                <w:bCs/>
                <w:sz w:val="24"/>
                <w:szCs w:val="24"/>
              </w:rPr>
            </w:pPr>
          </w:p>
        </w:tc>
      </w:tr>
      <w:tr w14:paraId="0F7CE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9" w:type="pct"/>
            <w:vAlign w:val="center"/>
          </w:tcPr>
          <w:p w14:paraId="762B35AC">
            <w:pPr>
              <w:spacing w:line="300" w:lineRule="auto"/>
              <w:jc w:val="center"/>
              <w:rPr>
                <w:rFonts w:hint="default" w:ascii="Times New Roman" w:hAnsi="Times New Roman" w:cs="Times New Roman"/>
                <w:bCs/>
                <w:sz w:val="24"/>
                <w:szCs w:val="24"/>
              </w:rPr>
            </w:pPr>
            <w:r>
              <w:rPr>
                <w:rFonts w:hint="default" w:ascii="Times New Roman" w:hAnsi="Times New Roman" w:cs="Times New Roman"/>
                <w:sz w:val="24"/>
                <w:szCs w:val="24"/>
              </w:rPr>
              <w:t>1</w:t>
            </w:r>
          </w:p>
        </w:tc>
        <w:tc>
          <w:tcPr>
            <w:tcW w:w="1729" w:type="pct"/>
            <w:vAlign w:val="center"/>
          </w:tcPr>
          <w:p w14:paraId="08597A49">
            <w:pPr>
              <w:spacing w:line="300" w:lineRule="auto"/>
              <w:jc w:val="center"/>
              <w:rPr>
                <w:rFonts w:hint="default" w:ascii="Times New Roman" w:hAnsi="Times New Roman" w:cs="Times New Roman"/>
                <w:bCs/>
                <w:sz w:val="24"/>
                <w:szCs w:val="24"/>
              </w:rPr>
            </w:pPr>
            <w:r>
              <w:rPr>
                <w:rFonts w:hint="default" w:ascii="Times New Roman" w:hAnsi="Times New Roman" w:cs="Times New Roman"/>
                <w:sz w:val="24"/>
                <w:szCs w:val="24"/>
              </w:rPr>
              <w:t>感官要求</w:t>
            </w:r>
          </w:p>
        </w:tc>
        <w:tc>
          <w:tcPr>
            <w:tcW w:w="1415" w:type="pct"/>
            <w:vAlign w:val="center"/>
          </w:tcPr>
          <w:p w14:paraId="4C2E601B">
            <w:pPr>
              <w:spacing w:line="300" w:lineRule="auto"/>
              <w:jc w:val="center"/>
              <w:rPr>
                <w:rFonts w:hint="default" w:ascii="Times New Roman" w:hAnsi="Times New Roman" w:eastAsia="宋体" w:cs="Times New Roman"/>
                <w:bCs/>
                <w:sz w:val="24"/>
                <w:szCs w:val="24"/>
                <w:lang w:eastAsia="zh-CN"/>
              </w:rPr>
            </w:pPr>
            <w:r>
              <w:rPr>
                <w:rFonts w:hint="default" w:ascii="Times New Roman" w:hAnsi="Times New Roman" w:cs="Times New Roman"/>
                <w:sz w:val="24"/>
                <w:szCs w:val="24"/>
                <w:lang w:eastAsia="zh-CN"/>
              </w:rPr>
              <w:t>GB 4806.7-2023</w:t>
            </w:r>
          </w:p>
        </w:tc>
        <w:tc>
          <w:tcPr>
            <w:tcW w:w="1434" w:type="pct"/>
            <w:vAlign w:val="center"/>
          </w:tcPr>
          <w:p w14:paraId="00B5A9B5">
            <w:pPr>
              <w:spacing w:line="300" w:lineRule="auto"/>
              <w:jc w:val="center"/>
              <w:rPr>
                <w:rFonts w:hint="default" w:ascii="Times New Roman" w:hAnsi="Times New Roman" w:eastAsia="宋体" w:cs="Times New Roman"/>
                <w:bCs/>
                <w:sz w:val="24"/>
                <w:szCs w:val="24"/>
                <w:lang w:eastAsia="zh-CN"/>
              </w:rPr>
            </w:pPr>
            <w:r>
              <w:rPr>
                <w:rFonts w:hint="default" w:ascii="Times New Roman" w:hAnsi="Times New Roman" w:cs="Times New Roman"/>
                <w:sz w:val="24"/>
                <w:szCs w:val="24"/>
                <w:lang w:eastAsia="zh-CN"/>
              </w:rPr>
              <w:t>GB 4806.7-2023</w:t>
            </w:r>
          </w:p>
        </w:tc>
      </w:tr>
      <w:tr w14:paraId="00D1C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9" w:type="pct"/>
            <w:vAlign w:val="center"/>
          </w:tcPr>
          <w:p w14:paraId="573780D4">
            <w:pPr>
              <w:spacing w:line="300" w:lineRule="auto"/>
              <w:jc w:val="center"/>
              <w:rPr>
                <w:rFonts w:hint="default" w:ascii="Times New Roman" w:hAnsi="Times New Roman" w:cs="Times New Roman"/>
                <w:bCs/>
                <w:sz w:val="24"/>
                <w:szCs w:val="24"/>
              </w:rPr>
            </w:pPr>
            <w:r>
              <w:rPr>
                <w:rFonts w:hint="default" w:ascii="Times New Roman" w:hAnsi="Times New Roman" w:cs="Times New Roman"/>
                <w:sz w:val="24"/>
                <w:szCs w:val="24"/>
              </w:rPr>
              <w:t>2</w:t>
            </w:r>
          </w:p>
        </w:tc>
        <w:tc>
          <w:tcPr>
            <w:tcW w:w="1729" w:type="pct"/>
            <w:vAlign w:val="center"/>
          </w:tcPr>
          <w:p w14:paraId="6663BD3F">
            <w:pPr>
              <w:spacing w:line="300" w:lineRule="auto"/>
              <w:jc w:val="center"/>
              <w:rPr>
                <w:rFonts w:hint="default" w:ascii="Times New Roman" w:hAnsi="Times New Roman" w:cs="Times New Roman"/>
                <w:bCs/>
                <w:sz w:val="24"/>
                <w:szCs w:val="24"/>
              </w:rPr>
            </w:pPr>
            <w:r>
              <w:rPr>
                <w:rFonts w:hint="default" w:ascii="Times New Roman" w:hAnsi="Times New Roman" w:cs="Times New Roman"/>
                <w:sz w:val="24"/>
                <w:szCs w:val="24"/>
              </w:rPr>
              <w:t>总迁移量</w:t>
            </w:r>
          </w:p>
        </w:tc>
        <w:tc>
          <w:tcPr>
            <w:tcW w:w="1415" w:type="pct"/>
          </w:tcPr>
          <w:p w14:paraId="5E26875A">
            <w:pPr>
              <w:spacing w:line="300" w:lineRule="auto"/>
              <w:jc w:val="center"/>
              <w:rPr>
                <w:rFonts w:hint="default" w:ascii="Times New Roman" w:hAnsi="Times New Roman" w:eastAsia="宋体" w:cs="Times New Roman"/>
                <w:bCs/>
                <w:sz w:val="24"/>
                <w:szCs w:val="24"/>
                <w:lang w:eastAsia="zh-CN"/>
              </w:rPr>
            </w:pPr>
            <w:r>
              <w:rPr>
                <w:rFonts w:hint="default" w:ascii="Times New Roman" w:hAnsi="Times New Roman" w:cs="Times New Roman"/>
                <w:sz w:val="24"/>
                <w:szCs w:val="24"/>
                <w:lang w:eastAsia="zh-CN"/>
              </w:rPr>
              <w:t>GB 4806.7-2023</w:t>
            </w:r>
          </w:p>
        </w:tc>
        <w:tc>
          <w:tcPr>
            <w:tcW w:w="1434" w:type="pct"/>
            <w:vAlign w:val="center"/>
          </w:tcPr>
          <w:p w14:paraId="0733FF51">
            <w:pPr>
              <w:spacing w:line="300" w:lineRule="auto"/>
              <w:jc w:val="center"/>
              <w:rPr>
                <w:rFonts w:hint="default" w:ascii="Times New Roman" w:hAnsi="Times New Roman" w:cs="Times New Roman"/>
                <w:bCs/>
                <w:sz w:val="24"/>
                <w:szCs w:val="24"/>
              </w:rPr>
            </w:pPr>
            <w:r>
              <w:rPr>
                <w:rFonts w:hint="default" w:ascii="Times New Roman" w:hAnsi="Times New Roman" w:cs="Times New Roman"/>
                <w:sz w:val="24"/>
                <w:szCs w:val="24"/>
              </w:rPr>
              <w:t>GB 31604.8-2021</w:t>
            </w:r>
          </w:p>
        </w:tc>
      </w:tr>
      <w:tr w14:paraId="3CB1C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9" w:type="pct"/>
            <w:vAlign w:val="center"/>
          </w:tcPr>
          <w:p w14:paraId="3F6C1828">
            <w:pPr>
              <w:spacing w:line="300" w:lineRule="auto"/>
              <w:jc w:val="center"/>
              <w:rPr>
                <w:rFonts w:hint="default" w:ascii="Times New Roman" w:hAnsi="Times New Roman" w:cs="Times New Roman"/>
                <w:bCs/>
                <w:sz w:val="24"/>
                <w:szCs w:val="24"/>
              </w:rPr>
            </w:pPr>
            <w:r>
              <w:rPr>
                <w:rFonts w:hint="default" w:ascii="Times New Roman" w:hAnsi="Times New Roman" w:cs="Times New Roman"/>
                <w:sz w:val="24"/>
                <w:szCs w:val="24"/>
              </w:rPr>
              <w:t>3</w:t>
            </w:r>
          </w:p>
        </w:tc>
        <w:tc>
          <w:tcPr>
            <w:tcW w:w="1729" w:type="pct"/>
            <w:vAlign w:val="center"/>
          </w:tcPr>
          <w:p w14:paraId="10D58684">
            <w:pPr>
              <w:spacing w:line="300" w:lineRule="auto"/>
              <w:jc w:val="center"/>
              <w:rPr>
                <w:rFonts w:hint="default" w:ascii="Times New Roman" w:hAnsi="Times New Roman" w:cs="Times New Roman"/>
                <w:bCs/>
                <w:sz w:val="24"/>
                <w:szCs w:val="24"/>
              </w:rPr>
            </w:pPr>
            <w:r>
              <w:rPr>
                <w:rFonts w:hint="default" w:ascii="Times New Roman" w:hAnsi="Times New Roman" w:cs="Times New Roman"/>
                <w:sz w:val="24"/>
                <w:szCs w:val="24"/>
              </w:rPr>
              <w:t>高锰酸钾消耗量</w:t>
            </w:r>
          </w:p>
        </w:tc>
        <w:tc>
          <w:tcPr>
            <w:tcW w:w="1415" w:type="pct"/>
            <w:vAlign w:val="center"/>
          </w:tcPr>
          <w:p w14:paraId="51A52CD5">
            <w:pPr>
              <w:spacing w:line="300" w:lineRule="auto"/>
              <w:jc w:val="center"/>
              <w:rPr>
                <w:rFonts w:hint="default" w:ascii="Times New Roman" w:hAnsi="Times New Roman" w:eastAsia="宋体" w:cs="Times New Roman"/>
                <w:bCs/>
                <w:sz w:val="24"/>
                <w:szCs w:val="24"/>
                <w:lang w:eastAsia="zh-CN"/>
              </w:rPr>
            </w:pPr>
            <w:r>
              <w:rPr>
                <w:rFonts w:hint="default" w:ascii="Times New Roman" w:hAnsi="Times New Roman" w:cs="Times New Roman"/>
                <w:sz w:val="24"/>
                <w:szCs w:val="24"/>
                <w:lang w:eastAsia="zh-CN"/>
              </w:rPr>
              <w:t>GB 4806.7-2023</w:t>
            </w:r>
          </w:p>
        </w:tc>
        <w:tc>
          <w:tcPr>
            <w:tcW w:w="1434" w:type="pct"/>
            <w:vAlign w:val="center"/>
          </w:tcPr>
          <w:p w14:paraId="0423C8BE">
            <w:pPr>
              <w:spacing w:line="300" w:lineRule="auto"/>
              <w:jc w:val="center"/>
              <w:rPr>
                <w:rFonts w:hint="default" w:ascii="Times New Roman" w:hAnsi="Times New Roman" w:cs="Times New Roman"/>
                <w:bCs/>
                <w:sz w:val="24"/>
                <w:szCs w:val="24"/>
              </w:rPr>
            </w:pPr>
            <w:r>
              <w:rPr>
                <w:rFonts w:hint="default" w:ascii="Times New Roman" w:hAnsi="Times New Roman" w:cs="Times New Roman"/>
                <w:sz w:val="24"/>
                <w:szCs w:val="24"/>
              </w:rPr>
              <w:t>GB 31604.2-2016</w:t>
            </w:r>
          </w:p>
        </w:tc>
      </w:tr>
      <w:tr w14:paraId="1C207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9" w:type="pct"/>
            <w:vAlign w:val="center"/>
          </w:tcPr>
          <w:p w14:paraId="36B31333">
            <w:pPr>
              <w:spacing w:line="300" w:lineRule="auto"/>
              <w:jc w:val="center"/>
              <w:rPr>
                <w:rFonts w:hint="default" w:ascii="Times New Roman" w:hAnsi="Times New Roman" w:cs="Times New Roman"/>
                <w:bCs/>
                <w:sz w:val="24"/>
                <w:szCs w:val="24"/>
              </w:rPr>
            </w:pPr>
            <w:r>
              <w:rPr>
                <w:rFonts w:hint="default" w:ascii="Times New Roman" w:hAnsi="Times New Roman" w:cs="Times New Roman"/>
                <w:sz w:val="24"/>
                <w:szCs w:val="24"/>
              </w:rPr>
              <w:t>4</w:t>
            </w:r>
          </w:p>
        </w:tc>
        <w:tc>
          <w:tcPr>
            <w:tcW w:w="1729" w:type="pct"/>
            <w:vAlign w:val="center"/>
          </w:tcPr>
          <w:p w14:paraId="2BA8CF98">
            <w:pPr>
              <w:spacing w:line="300" w:lineRule="auto"/>
              <w:jc w:val="center"/>
              <w:rPr>
                <w:rFonts w:hint="default" w:ascii="Times New Roman" w:hAnsi="Times New Roman" w:cs="Times New Roman"/>
                <w:bCs/>
                <w:sz w:val="24"/>
                <w:szCs w:val="24"/>
              </w:rPr>
            </w:pPr>
            <w:r>
              <w:rPr>
                <w:rFonts w:hint="default" w:ascii="Times New Roman" w:hAnsi="Times New Roman" w:cs="Times New Roman"/>
                <w:sz w:val="24"/>
                <w:szCs w:val="24"/>
              </w:rPr>
              <w:t>重金属（以Pb计）</w:t>
            </w:r>
          </w:p>
        </w:tc>
        <w:tc>
          <w:tcPr>
            <w:tcW w:w="1415" w:type="pct"/>
            <w:vAlign w:val="center"/>
          </w:tcPr>
          <w:p w14:paraId="1F0D3558">
            <w:pPr>
              <w:spacing w:line="300" w:lineRule="auto"/>
              <w:jc w:val="center"/>
              <w:rPr>
                <w:rFonts w:hint="default" w:ascii="Times New Roman" w:hAnsi="Times New Roman" w:eastAsia="宋体" w:cs="Times New Roman"/>
                <w:bCs/>
                <w:sz w:val="24"/>
                <w:szCs w:val="24"/>
                <w:lang w:eastAsia="zh-CN"/>
              </w:rPr>
            </w:pPr>
            <w:r>
              <w:rPr>
                <w:rFonts w:hint="default" w:ascii="Times New Roman" w:hAnsi="Times New Roman" w:cs="Times New Roman"/>
                <w:sz w:val="24"/>
                <w:szCs w:val="24"/>
                <w:lang w:eastAsia="zh-CN"/>
              </w:rPr>
              <w:t>GB 4806.7-2023</w:t>
            </w:r>
          </w:p>
        </w:tc>
        <w:tc>
          <w:tcPr>
            <w:tcW w:w="1434" w:type="pct"/>
            <w:vAlign w:val="center"/>
          </w:tcPr>
          <w:p w14:paraId="65C3C65E">
            <w:pPr>
              <w:spacing w:line="300" w:lineRule="auto"/>
              <w:jc w:val="center"/>
              <w:rPr>
                <w:rFonts w:hint="default" w:ascii="Times New Roman" w:hAnsi="Times New Roman" w:cs="Times New Roman"/>
                <w:bCs/>
                <w:sz w:val="24"/>
                <w:szCs w:val="24"/>
              </w:rPr>
            </w:pPr>
            <w:r>
              <w:rPr>
                <w:rFonts w:hint="default" w:ascii="Times New Roman" w:hAnsi="Times New Roman" w:cs="Times New Roman"/>
                <w:sz w:val="24"/>
                <w:szCs w:val="24"/>
              </w:rPr>
              <w:t>GB 31604.9-2016</w:t>
            </w:r>
          </w:p>
        </w:tc>
      </w:tr>
    </w:tbl>
    <w:p w14:paraId="6699FFB6">
      <w:pPr>
        <w:jc w:val="center"/>
        <w:rPr>
          <w:rFonts w:hint="default" w:ascii="Times New Roman" w:hAnsi="Times New Roman" w:cs="Times New Roman"/>
          <w:sz w:val="24"/>
          <w:szCs w:val="24"/>
        </w:rPr>
      </w:pPr>
    </w:p>
    <w:p w14:paraId="68F2565A">
      <w:pPr>
        <w:snapToGrid w:val="0"/>
        <w:spacing w:line="500" w:lineRule="exact"/>
        <w:ind w:firstLine="480" w:firstLineChars="200"/>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执行企业标准、团体标准、地方标准的产品，检验项目参照上述内容执行。</w:t>
      </w:r>
    </w:p>
    <w:p w14:paraId="2C418BCF">
      <w:pPr>
        <w:snapToGrid w:val="0"/>
        <w:spacing w:line="500" w:lineRule="exact"/>
        <w:ind w:firstLine="480" w:firstLineChars="200"/>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凡是注日期的文件，其随后所有的修改单（不包括勘误的内容）或修订版不适用于本细则。凡是不注日期的文件，其最新版本适用于本细则。</w:t>
      </w:r>
    </w:p>
    <w:p w14:paraId="52ED9C47">
      <w:pPr>
        <w:spacing w:line="360" w:lineRule="auto"/>
        <w:rPr>
          <w:rFonts w:hint="default" w:ascii="Times New Roman" w:hAnsi="Times New Roman" w:cs="Times New Roman"/>
          <w:b/>
          <w:color w:val="000000"/>
          <w:sz w:val="24"/>
          <w:szCs w:val="24"/>
        </w:rPr>
      </w:pPr>
      <w:r>
        <w:rPr>
          <w:rFonts w:hint="default" w:ascii="Times New Roman" w:hAnsi="Times New Roman" w:cs="Times New Roman"/>
          <w:b/>
          <w:color w:val="000000"/>
          <w:sz w:val="24"/>
          <w:szCs w:val="24"/>
        </w:rPr>
        <w:t>3 判定规则</w:t>
      </w:r>
    </w:p>
    <w:p w14:paraId="400443FC">
      <w:pPr>
        <w:snapToGrid w:val="0"/>
        <w:spacing w:line="440" w:lineRule="exact"/>
        <w:rPr>
          <w:rFonts w:hint="default" w:ascii="Times New Roman" w:hAnsi="Times New Roman" w:cs="Times New Roman"/>
          <w:color w:val="000000"/>
          <w:sz w:val="24"/>
          <w:szCs w:val="24"/>
        </w:rPr>
      </w:pPr>
      <w:r>
        <w:rPr>
          <w:rFonts w:hint="default" w:ascii="Times New Roman" w:hAnsi="Times New Roman" w:cs="Times New Roman"/>
          <w:b/>
          <w:color w:val="000000"/>
          <w:sz w:val="24"/>
          <w:szCs w:val="24"/>
        </w:rPr>
        <w:t>3.1依据标准</w:t>
      </w:r>
    </w:p>
    <w:p w14:paraId="6FA71237">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GB 4806.7-2023  食品安全国家标准 食品接触用塑料材料及制品</w:t>
      </w:r>
    </w:p>
    <w:p w14:paraId="41FE5BD3">
      <w:pPr>
        <w:adjustRightInd w:val="0"/>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现行有效的企业标准、团体标准、地方标准及产品明示质量要求。</w:t>
      </w:r>
    </w:p>
    <w:p w14:paraId="33435174">
      <w:pPr>
        <w:snapToGrid w:val="0"/>
        <w:spacing w:line="440" w:lineRule="exact"/>
        <w:rPr>
          <w:rFonts w:hint="default" w:ascii="Times New Roman" w:hAnsi="Times New Roman" w:cs="Times New Roman"/>
          <w:b/>
          <w:color w:val="000000"/>
          <w:sz w:val="24"/>
          <w:szCs w:val="24"/>
        </w:rPr>
      </w:pPr>
      <w:r>
        <w:rPr>
          <w:rFonts w:hint="default" w:ascii="Times New Roman" w:hAnsi="Times New Roman" w:cs="Times New Roman"/>
          <w:b/>
          <w:color w:val="000000"/>
          <w:sz w:val="24"/>
          <w:szCs w:val="24"/>
        </w:rPr>
        <w:t>3.2判定原则</w:t>
      </w:r>
    </w:p>
    <w:p w14:paraId="6EB8CA45">
      <w:pPr>
        <w:snapToGrid w:val="0"/>
        <w:spacing w:line="440" w:lineRule="exact"/>
        <w:ind w:firstLine="480" w:firstLineChars="200"/>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经检验，检验项目全部合格，判定为被抽查产品所检项目未发现不合格；检验项目中任一项或一项以上不合格，判定为被抽查产品不合格。</w:t>
      </w:r>
    </w:p>
    <w:p w14:paraId="4670428F">
      <w:pPr>
        <w:snapToGrid w:val="0"/>
        <w:spacing w:line="440" w:lineRule="exact"/>
        <w:ind w:firstLine="480" w:firstLineChars="200"/>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若被检产品明示的质量要求高于本细则中检验项目依据的标准要求时，应按被检产品明示的质量要求判定。</w:t>
      </w:r>
    </w:p>
    <w:p w14:paraId="5969A8FF">
      <w:pPr>
        <w:snapToGrid w:val="0"/>
        <w:spacing w:line="440" w:lineRule="exact"/>
        <w:ind w:firstLine="480" w:firstLineChars="200"/>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若被检产品明示的质量要求低于本细则中检验项目依据的强制性标准要求时，应按照强制性标准要求判定。</w:t>
      </w:r>
    </w:p>
    <w:p w14:paraId="146400A7">
      <w:pPr>
        <w:snapToGrid w:val="0"/>
        <w:spacing w:line="440" w:lineRule="exact"/>
        <w:ind w:firstLine="480" w:firstLineChars="200"/>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若被检产品明示的质量要求低于或包含本细则中检验项目依据的推荐性标准要求时，应以被检产品明示的质量要求判定。</w:t>
      </w:r>
    </w:p>
    <w:p w14:paraId="2643B7AB">
      <w:pPr>
        <w:snapToGrid w:val="0"/>
        <w:spacing w:line="440" w:lineRule="exact"/>
        <w:ind w:firstLine="480" w:firstLineChars="200"/>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若被检产品明示的质量要求缺少本细则中检验项目依据的强制性标准要求时，应按照强制性标准要求判定。</w:t>
      </w:r>
    </w:p>
    <w:p w14:paraId="79AE620C">
      <w:pPr>
        <w:snapToGrid w:val="0"/>
        <w:spacing w:line="440" w:lineRule="exact"/>
        <w:ind w:firstLine="480" w:firstLineChars="200"/>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若被检产品明示的质量要求缺少本细则中检验项目依据的推荐性标准要求时，该项目不参与判定。</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10274">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859485283" name="文本框 1025"/>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14:paraId="5EBFBAA6">
                          <w:pPr>
                            <w:pStyle w:val="2"/>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LW7l30AAAAAIBAAAPAAAAAAAAAAEAIAAA&#10;ACIAAABkcnMvZG93bnJldi54bWxQSwECFAAUAAAACACHTuJAxO4QRxQCAAANBAAADgAAAAAAAAAB&#10;ACAAAAAfAQAAZHJzL2Uyb0RvYy54bWxQSwUGAAAAAAYABgBZAQAApQUAAAAA&#10;">
              <v:fill on="f" focussize="0,0"/>
              <v:stroke on="f"/>
              <v:imagedata o:title=""/>
              <o:lock v:ext="edit" aspectratio="f"/>
              <v:textbox inset="0mm,0mm,0mm,0mm" style="mso-fit-shape-to-text:t;">
                <w:txbxContent>
                  <w:p w14:paraId="5EBFBAA6">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DE0D37"/>
    <w:multiLevelType w:val="multilevel"/>
    <w:tmpl w:val="07DE0D37"/>
    <w:lvl w:ilvl="0" w:tentative="0">
      <w:start w:val="2"/>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MwODViY2ViZWQ4YmRiMTI4MzMxMjFkNGVlMDY5NzQifQ=="/>
  </w:docVars>
  <w:rsids>
    <w:rsidRoot w:val="006F1AF3"/>
    <w:rsid w:val="00010091"/>
    <w:rsid w:val="000A78B4"/>
    <w:rsid w:val="000D374E"/>
    <w:rsid w:val="00145170"/>
    <w:rsid w:val="0016489C"/>
    <w:rsid w:val="001672FB"/>
    <w:rsid w:val="001E0F69"/>
    <w:rsid w:val="002272B5"/>
    <w:rsid w:val="00253385"/>
    <w:rsid w:val="002B5788"/>
    <w:rsid w:val="002F428A"/>
    <w:rsid w:val="00306E13"/>
    <w:rsid w:val="00361EAD"/>
    <w:rsid w:val="00391A10"/>
    <w:rsid w:val="004926BF"/>
    <w:rsid w:val="004B140F"/>
    <w:rsid w:val="004C7C84"/>
    <w:rsid w:val="0052139E"/>
    <w:rsid w:val="00530445"/>
    <w:rsid w:val="005705EB"/>
    <w:rsid w:val="005974E7"/>
    <w:rsid w:val="005A36E3"/>
    <w:rsid w:val="00627835"/>
    <w:rsid w:val="00630F87"/>
    <w:rsid w:val="00693487"/>
    <w:rsid w:val="006E797F"/>
    <w:rsid w:val="006F1AF3"/>
    <w:rsid w:val="00781947"/>
    <w:rsid w:val="007C6B21"/>
    <w:rsid w:val="00814FA1"/>
    <w:rsid w:val="0085030A"/>
    <w:rsid w:val="00896F7D"/>
    <w:rsid w:val="008F02C9"/>
    <w:rsid w:val="00914368"/>
    <w:rsid w:val="00916334"/>
    <w:rsid w:val="00962670"/>
    <w:rsid w:val="009940B7"/>
    <w:rsid w:val="009C6DEF"/>
    <w:rsid w:val="00A13565"/>
    <w:rsid w:val="00A5252A"/>
    <w:rsid w:val="00B87FF3"/>
    <w:rsid w:val="00BF29A6"/>
    <w:rsid w:val="00C35E97"/>
    <w:rsid w:val="00C42DFA"/>
    <w:rsid w:val="00C83602"/>
    <w:rsid w:val="00CD6BCE"/>
    <w:rsid w:val="00DE7DAB"/>
    <w:rsid w:val="00E2059F"/>
    <w:rsid w:val="00E41CA9"/>
    <w:rsid w:val="00E443F0"/>
    <w:rsid w:val="00E627A7"/>
    <w:rsid w:val="00F043A6"/>
    <w:rsid w:val="00F2767B"/>
    <w:rsid w:val="00F46C10"/>
    <w:rsid w:val="00F8030E"/>
    <w:rsid w:val="00FF57B7"/>
    <w:rsid w:val="01B23B23"/>
    <w:rsid w:val="02736C18"/>
    <w:rsid w:val="037526E0"/>
    <w:rsid w:val="049E2AAA"/>
    <w:rsid w:val="08810D30"/>
    <w:rsid w:val="08A30004"/>
    <w:rsid w:val="09E11136"/>
    <w:rsid w:val="0D2F71D1"/>
    <w:rsid w:val="122C7864"/>
    <w:rsid w:val="12475601"/>
    <w:rsid w:val="14994BEF"/>
    <w:rsid w:val="17F029C5"/>
    <w:rsid w:val="18412B91"/>
    <w:rsid w:val="19EA26BB"/>
    <w:rsid w:val="21350FE0"/>
    <w:rsid w:val="21861385"/>
    <w:rsid w:val="22B83352"/>
    <w:rsid w:val="26451DF0"/>
    <w:rsid w:val="27622CBE"/>
    <w:rsid w:val="283E12FF"/>
    <w:rsid w:val="29C03070"/>
    <w:rsid w:val="2AF41556"/>
    <w:rsid w:val="2F6E13C6"/>
    <w:rsid w:val="33BB388C"/>
    <w:rsid w:val="34E03F10"/>
    <w:rsid w:val="3D1411FD"/>
    <w:rsid w:val="3DD67843"/>
    <w:rsid w:val="40D06DCD"/>
    <w:rsid w:val="410D3255"/>
    <w:rsid w:val="448E5922"/>
    <w:rsid w:val="465355D4"/>
    <w:rsid w:val="49CA31C2"/>
    <w:rsid w:val="4D6C2208"/>
    <w:rsid w:val="4F874FD6"/>
    <w:rsid w:val="4FA461B8"/>
    <w:rsid w:val="55683324"/>
    <w:rsid w:val="56D24E01"/>
    <w:rsid w:val="5FBF4A38"/>
    <w:rsid w:val="60B2123C"/>
    <w:rsid w:val="62192DFA"/>
    <w:rsid w:val="63BB3749"/>
    <w:rsid w:val="64460A80"/>
    <w:rsid w:val="671B4E94"/>
    <w:rsid w:val="68626001"/>
    <w:rsid w:val="6B8559CE"/>
    <w:rsid w:val="6BD000B6"/>
    <w:rsid w:val="707D5F22"/>
    <w:rsid w:val="708E7F10"/>
    <w:rsid w:val="73786198"/>
    <w:rsid w:val="76FA70C6"/>
    <w:rsid w:val="79C51957"/>
    <w:rsid w:val="7A3A5984"/>
    <w:rsid w:val="7D55454B"/>
    <w:rsid w:val="FC5E46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脚 字符"/>
    <w:basedOn w:val="5"/>
    <w:link w:val="2"/>
    <w:qFormat/>
    <w:uiPriority w:val="0"/>
    <w:rPr>
      <w:rFonts w:ascii="Calibri" w:hAnsi="Calibri"/>
      <w:kern w:val="2"/>
      <w:sz w:val="18"/>
      <w:szCs w:val="18"/>
    </w:rPr>
  </w:style>
  <w:style w:type="character" w:customStyle="1" w:styleId="7">
    <w:name w:val="页眉 字符"/>
    <w:basedOn w:val="5"/>
    <w:link w:val="3"/>
    <w:qFormat/>
    <w:uiPriority w:val="0"/>
    <w:rPr>
      <w:rFonts w:ascii="Calibri" w:hAnsi="Calibri"/>
      <w:kern w:val="2"/>
      <w:sz w:val="18"/>
      <w:szCs w:val="18"/>
    </w:rPr>
  </w:style>
  <w:style w:type="paragraph" w:customStyle="1" w:styleId="8">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9">
    <w:name w:val="Char Char1 Char Char"/>
    <w:basedOn w:val="1"/>
    <w:qFormat/>
    <w:uiPriority w:val="0"/>
    <w:pPr>
      <w:widowControl/>
      <w:spacing w:after="160" w:line="240" w:lineRule="exact"/>
      <w:jc w:val="left"/>
    </w:pPr>
    <w:rPr>
      <w:rFonts w:ascii="Verdana" w:hAnsi="Verdana"/>
      <w:kern w:val="0"/>
      <w:sz w:val="18"/>
      <w:szCs w:val="20"/>
      <w:lang w:eastAsia="en-US"/>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Company>
  <Pages>2</Pages>
  <Words>859</Words>
  <Characters>980</Characters>
  <Lines>25</Lines>
  <Paragraphs>7</Paragraphs>
  <TotalTime>0</TotalTime>
  <ScaleCrop>false</ScaleCrop>
  <LinksUpToDate>false</LinksUpToDate>
  <CharactersWithSpaces>997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2024-06-25T09:24:00Z</dcterms:created>
  <dc:creator>PC1729</dc:creator>
  <cp:lastModifiedBy>weiy1ng</cp:lastModifiedBy>
  <dcterms:modified xsi:type="dcterms:W3CDTF">2025-07-28T07:06:04Z</dcterms:modified>
  <dc:title>江西省市场监督管理局2020年生物质固体成型燃料产品</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1F3879D0E3294CD0B578BF0DD5C9EEEC_13</vt:lpwstr>
  </property>
  <property fmtid="{D5CDD505-2E9C-101B-9397-08002B2CF9AE}" pid="4" name="KSOTemplateDocerSaveRecord">
    <vt:lpwstr>eyJoZGlkIjoiZDRjNTI1MjFiZDYzM2Q0YjIwNzE0NTkzNGNlZGZjMTkiLCJ1c2VySWQiOiIyNDQ1OTgwODEifQ==</vt:lpwstr>
  </property>
</Properties>
</file>