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0E255">
      <w:pPr>
        <w:snapToGrid w:val="0"/>
        <w:spacing w:line="500" w:lineRule="exact"/>
        <w:jc w:val="center"/>
        <w:rPr>
          <w:rFonts w:hint="eastAsia" w:ascii="仿宋" w:hAnsi="仿宋" w:eastAsia="仿宋" w:cs="仿宋"/>
          <w:b/>
          <w:bCs/>
          <w:color w:val="000000"/>
          <w:sz w:val="40"/>
          <w:szCs w:val="40"/>
          <w:lang w:eastAsia="zh-CN"/>
        </w:rPr>
      </w:pPr>
      <w:r>
        <w:rPr>
          <w:rFonts w:hint="eastAsia" w:ascii="仿宋" w:hAnsi="仿宋" w:eastAsia="仿宋" w:cs="仿宋"/>
          <w:b/>
          <w:bCs/>
          <w:color w:val="000000"/>
          <w:sz w:val="40"/>
          <w:szCs w:val="40"/>
          <w:lang w:eastAsia="zh-CN"/>
        </w:rPr>
        <w:t>九江市</w:t>
      </w:r>
      <w:r>
        <w:rPr>
          <w:rFonts w:hint="eastAsia" w:ascii="仿宋" w:hAnsi="仿宋" w:eastAsia="仿宋" w:cs="仿宋"/>
          <w:b/>
          <w:bCs/>
          <w:color w:val="000000"/>
          <w:sz w:val="40"/>
          <w:szCs w:val="40"/>
          <w:lang w:eastAsia="zh-CN"/>
        </w:rPr>
        <w:t>纸尿裤产品质量监督抽查实施细则</w:t>
      </w:r>
    </w:p>
    <w:p w14:paraId="1408227D">
      <w:pPr>
        <w:snapToGrid w:val="0"/>
        <w:spacing w:line="500" w:lineRule="exact"/>
        <w:jc w:val="center"/>
        <w:rPr>
          <w:rFonts w:hint="eastAsia" w:ascii="仿宋" w:hAnsi="仿宋" w:eastAsia="仿宋" w:cs="仿宋"/>
          <w:b/>
          <w:bCs/>
          <w:color w:val="000000"/>
          <w:sz w:val="40"/>
          <w:szCs w:val="40"/>
          <w:lang w:eastAsia="zh-CN"/>
        </w:rPr>
      </w:pPr>
      <w:r>
        <w:rPr>
          <w:rFonts w:hint="eastAsia" w:ascii="仿宋" w:hAnsi="仿宋" w:eastAsia="仿宋" w:cs="仿宋"/>
          <w:b/>
          <w:bCs/>
          <w:color w:val="000000"/>
          <w:sz w:val="40"/>
          <w:szCs w:val="40"/>
          <w:lang w:eastAsia="zh-CN"/>
        </w:rPr>
        <w:t>（202</w:t>
      </w:r>
      <w:r>
        <w:rPr>
          <w:rFonts w:hint="eastAsia" w:ascii="仿宋" w:hAnsi="仿宋" w:eastAsia="仿宋" w:cs="仿宋"/>
          <w:b/>
          <w:bCs/>
          <w:color w:val="000000"/>
          <w:sz w:val="40"/>
          <w:szCs w:val="40"/>
          <w:lang w:val="en-US" w:eastAsia="zh-CN"/>
        </w:rPr>
        <w:t>5</w:t>
      </w:r>
      <w:r>
        <w:rPr>
          <w:rFonts w:hint="eastAsia" w:ascii="仿宋" w:hAnsi="仿宋" w:eastAsia="仿宋" w:cs="仿宋"/>
          <w:b/>
          <w:bCs/>
          <w:color w:val="000000"/>
          <w:sz w:val="40"/>
          <w:szCs w:val="40"/>
          <w:lang w:eastAsia="zh-CN"/>
        </w:rPr>
        <w:t>年版）</w:t>
      </w:r>
      <w:bookmarkStart w:id="0" w:name="_GoBack"/>
      <w:bookmarkEnd w:id="0"/>
    </w:p>
    <w:p w14:paraId="534CF428">
      <w:pPr>
        <w:adjustRightInd w:val="0"/>
        <w:spacing w:line="300" w:lineRule="auto"/>
        <w:jc w:val="center"/>
        <w:rPr>
          <w:rFonts w:hint="eastAsia" w:ascii="宋体" w:hAnsi="宋体" w:eastAsia="宋体" w:cs="宋体"/>
          <w:b/>
          <w:bCs/>
          <w:sz w:val="21"/>
          <w:szCs w:val="21"/>
        </w:rPr>
      </w:pPr>
    </w:p>
    <w:p w14:paraId="0D1FDD06">
      <w:pPr>
        <w:snapToGrid w:val="0"/>
        <w:spacing w:line="440" w:lineRule="exact"/>
        <w:rPr>
          <w:rFonts w:hint="eastAsia" w:ascii="宋体" w:hAnsi="宋体" w:eastAsia="宋体" w:cs="宋体"/>
          <w:b/>
          <w:bCs w:val="0"/>
          <w:sz w:val="21"/>
          <w:szCs w:val="21"/>
        </w:rPr>
      </w:pPr>
      <w:r>
        <w:rPr>
          <w:rFonts w:hint="eastAsia" w:ascii="宋体" w:hAnsi="宋体" w:eastAsia="宋体" w:cs="宋体"/>
          <w:b/>
          <w:bCs w:val="0"/>
          <w:sz w:val="21"/>
          <w:szCs w:val="21"/>
        </w:rPr>
        <w:t>1</w:t>
      </w:r>
      <w:r>
        <w:rPr>
          <w:rFonts w:hint="eastAsia" w:ascii="宋体" w:hAnsi="宋体" w:eastAsia="宋体" w:cs="宋体"/>
          <w:b/>
          <w:bCs w:val="0"/>
          <w:sz w:val="21"/>
          <w:szCs w:val="21"/>
          <w:lang w:val="en-US" w:eastAsia="zh-CN"/>
        </w:rPr>
        <w:t>.</w:t>
      </w:r>
      <w:r>
        <w:rPr>
          <w:rFonts w:hint="eastAsia" w:ascii="宋体" w:hAnsi="宋体" w:eastAsia="宋体" w:cs="宋体"/>
          <w:b/>
          <w:bCs w:val="0"/>
          <w:sz w:val="21"/>
          <w:szCs w:val="21"/>
        </w:rPr>
        <w:t>抽样方法</w:t>
      </w:r>
    </w:p>
    <w:p w14:paraId="4FA5BCDD">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以随机抽样的方式在被抽样销售者的待销产品</w:t>
      </w:r>
      <w:r>
        <w:rPr>
          <w:rFonts w:hint="eastAsia" w:ascii="宋体" w:hAnsi="宋体" w:cs="宋体"/>
          <w:color w:val="000000"/>
          <w:sz w:val="21"/>
          <w:szCs w:val="21"/>
          <w:highlight w:val="none"/>
          <w:lang w:eastAsia="zh-CN"/>
        </w:rPr>
        <w:t>中抽取</w:t>
      </w:r>
      <w:r>
        <w:rPr>
          <w:rFonts w:hint="eastAsia" w:ascii="宋体" w:hAnsi="宋体" w:eastAsia="宋体" w:cs="宋体"/>
          <w:color w:val="000000"/>
          <w:sz w:val="21"/>
          <w:szCs w:val="21"/>
          <w:highlight w:val="none"/>
        </w:rPr>
        <w:t>。</w:t>
      </w:r>
    </w:p>
    <w:p w14:paraId="6793D957">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随机数一般可使用随机数表等方法产生。</w:t>
      </w:r>
    </w:p>
    <w:p w14:paraId="3E6C753D">
      <w:pPr>
        <w:snapToGrid w:val="0"/>
        <w:spacing w:line="440" w:lineRule="exact"/>
        <w:ind w:firstLine="421"/>
        <w:rPr>
          <w:rFonts w:hint="default" w:ascii="宋体" w:hAnsi="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抽样基数及数量</w:t>
      </w:r>
      <w:r>
        <w:rPr>
          <w:rFonts w:hint="eastAsia" w:ascii="宋体" w:hAnsi="宋体" w:cs="宋体"/>
          <w:color w:val="000000"/>
          <w:sz w:val="21"/>
          <w:szCs w:val="21"/>
          <w:highlight w:val="none"/>
          <w:lang w:val="en-US" w:eastAsia="zh-CN"/>
        </w:rPr>
        <w:t>：以同一批号的产品为抽样基数，抽样基数满足抽样数量即可。产品的抽样数量见表1，婴儿纸尿裤每包按20片计，成人纸尿裤每包按10片计。</w:t>
      </w:r>
    </w:p>
    <w:p w14:paraId="4FF15D14">
      <w:pPr>
        <w:snapToGrid w:val="0"/>
        <w:spacing w:line="440" w:lineRule="exact"/>
        <w:jc w:val="center"/>
        <w:rPr>
          <w:rFonts w:hint="eastAsia" w:ascii="宋体" w:hAnsi="宋体" w:eastAsia="宋体" w:cs="宋体"/>
          <w:b/>
          <w:sz w:val="21"/>
          <w:szCs w:val="21"/>
        </w:rPr>
      </w:pPr>
      <w:r>
        <w:rPr>
          <w:rFonts w:hint="default" w:ascii="Times New Roman" w:hAnsi="Times New Roman" w:eastAsia="宋体" w:cs="Times New Roman"/>
          <w:sz w:val="21"/>
          <w:szCs w:val="21"/>
        </w:rPr>
        <w:t>表</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 xml:space="preserve"> 抽样数量</w:t>
      </w:r>
    </w:p>
    <w:tbl>
      <w:tblPr>
        <w:tblStyle w:val="5"/>
        <w:tblW w:w="8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2475"/>
        <w:gridCol w:w="1950"/>
        <w:gridCol w:w="1742"/>
      </w:tblGrid>
      <w:tr w14:paraId="0DCE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2216" w:type="dxa"/>
            <w:noWrap w:val="0"/>
            <w:vAlign w:val="center"/>
          </w:tcPr>
          <w:p w14:paraId="32B6217B">
            <w:pPr>
              <w:jc w:val="center"/>
              <w:rPr>
                <w:szCs w:val="21"/>
              </w:rPr>
            </w:pPr>
            <w:r>
              <w:rPr>
                <w:rFonts w:hAnsi="宋体"/>
                <w:szCs w:val="21"/>
              </w:rPr>
              <w:t>产品</w:t>
            </w:r>
          </w:p>
        </w:tc>
        <w:tc>
          <w:tcPr>
            <w:tcW w:w="2475" w:type="dxa"/>
            <w:noWrap w:val="0"/>
            <w:vAlign w:val="center"/>
          </w:tcPr>
          <w:p w14:paraId="40982181">
            <w:pPr>
              <w:jc w:val="center"/>
              <w:rPr>
                <w:szCs w:val="21"/>
              </w:rPr>
            </w:pPr>
            <w:r>
              <w:rPr>
                <w:rFonts w:hAnsi="宋体"/>
                <w:szCs w:val="21"/>
              </w:rPr>
              <w:t>抽样数量</w:t>
            </w:r>
          </w:p>
        </w:tc>
        <w:tc>
          <w:tcPr>
            <w:tcW w:w="1950" w:type="dxa"/>
            <w:noWrap w:val="0"/>
            <w:vAlign w:val="center"/>
          </w:tcPr>
          <w:p w14:paraId="10AAF011">
            <w:pPr>
              <w:jc w:val="center"/>
              <w:rPr>
                <w:szCs w:val="21"/>
              </w:rPr>
            </w:pPr>
            <w:r>
              <w:rPr>
                <w:rFonts w:hAnsi="宋体"/>
                <w:szCs w:val="21"/>
              </w:rPr>
              <w:t>检验数量</w:t>
            </w:r>
          </w:p>
        </w:tc>
        <w:tc>
          <w:tcPr>
            <w:tcW w:w="1742" w:type="dxa"/>
            <w:noWrap w:val="0"/>
            <w:vAlign w:val="center"/>
          </w:tcPr>
          <w:p w14:paraId="4A71BA72">
            <w:pPr>
              <w:jc w:val="center"/>
              <w:rPr>
                <w:szCs w:val="21"/>
              </w:rPr>
            </w:pPr>
            <w:r>
              <w:rPr>
                <w:rFonts w:hAnsi="宋体"/>
                <w:szCs w:val="21"/>
              </w:rPr>
              <w:t>备样数量</w:t>
            </w:r>
          </w:p>
        </w:tc>
      </w:tr>
      <w:tr w14:paraId="2268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2216" w:type="dxa"/>
            <w:noWrap w:val="0"/>
            <w:vAlign w:val="center"/>
          </w:tcPr>
          <w:p w14:paraId="723BA41A">
            <w:pPr>
              <w:jc w:val="center"/>
              <w:rPr>
                <w:rFonts w:hint="eastAsia" w:eastAsia="宋体"/>
                <w:szCs w:val="21"/>
                <w:lang w:eastAsia="zh-CN"/>
              </w:rPr>
            </w:pPr>
            <w:r>
              <w:rPr>
                <w:rFonts w:hint="eastAsia" w:hAnsi="宋体"/>
                <w:szCs w:val="21"/>
                <w:lang w:eastAsia="zh-CN"/>
              </w:rPr>
              <w:t>纸尿裤</w:t>
            </w:r>
          </w:p>
        </w:tc>
        <w:tc>
          <w:tcPr>
            <w:tcW w:w="2475" w:type="dxa"/>
            <w:noWrap w:val="0"/>
            <w:vAlign w:val="center"/>
          </w:tcPr>
          <w:p w14:paraId="3954A011">
            <w:pPr>
              <w:jc w:val="center"/>
              <w:rPr>
                <w:rFonts w:hint="eastAsia" w:eastAsia="宋体"/>
                <w:szCs w:val="21"/>
                <w:lang w:eastAsia="zh-CN"/>
              </w:rPr>
            </w:pPr>
            <w:r>
              <w:rPr>
                <w:rFonts w:hint="eastAsia"/>
                <w:szCs w:val="21"/>
                <w:lang w:val="en-US" w:eastAsia="zh-CN"/>
              </w:rPr>
              <w:t>8个独立包装</w:t>
            </w:r>
          </w:p>
        </w:tc>
        <w:tc>
          <w:tcPr>
            <w:tcW w:w="1950" w:type="dxa"/>
            <w:noWrap w:val="0"/>
            <w:vAlign w:val="center"/>
          </w:tcPr>
          <w:p w14:paraId="528DF3A5">
            <w:pPr>
              <w:jc w:val="center"/>
              <w:rPr>
                <w:szCs w:val="21"/>
              </w:rPr>
            </w:pPr>
            <w:r>
              <w:rPr>
                <w:rFonts w:hint="eastAsia"/>
                <w:szCs w:val="21"/>
                <w:lang w:val="en-US" w:eastAsia="zh-CN"/>
              </w:rPr>
              <w:t>6个独立包装</w:t>
            </w:r>
          </w:p>
        </w:tc>
        <w:tc>
          <w:tcPr>
            <w:tcW w:w="1742" w:type="dxa"/>
            <w:noWrap w:val="0"/>
            <w:vAlign w:val="center"/>
          </w:tcPr>
          <w:p w14:paraId="65501572">
            <w:pPr>
              <w:jc w:val="center"/>
              <w:rPr>
                <w:szCs w:val="21"/>
              </w:rPr>
            </w:pPr>
            <w:r>
              <w:rPr>
                <w:rFonts w:hint="eastAsia"/>
                <w:szCs w:val="21"/>
                <w:lang w:val="en-US" w:eastAsia="zh-CN"/>
              </w:rPr>
              <w:t>2个独立包装</w:t>
            </w:r>
          </w:p>
        </w:tc>
      </w:tr>
    </w:tbl>
    <w:p w14:paraId="232AF314">
      <w:pPr>
        <w:snapToGrid w:val="0"/>
        <w:spacing w:line="440" w:lineRule="exact"/>
        <w:rPr>
          <w:rFonts w:hint="eastAsia" w:ascii="宋体" w:hAnsi="宋体" w:eastAsia="宋体" w:cs="宋体"/>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w:t>
      </w:r>
      <w:r>
        <w:rPr>
          <w:rFonts w:hint="eastAsia" w:ascii="宋体" w:hAnsi="宋体" w:eastAsia="宋体" w:cs="宋体"/>
          <w:b/>
          <w:sz w:val="21"/>
          <w:szCs w:val="21"/>
        </w:rPr>
        <w:t>检验依据</w:t>
      </w:r>
    </w:p>
    <w:p w14:paraId="2C9C4946">
      <w:pPr>
        <w:snapToGrid w:val="0"/>
        <w:spacing w:line="276"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表</w:t>
      </w:r>
      <w:r>
        <w:rPr>
          <w:rFonts w:hint="eastAsia" w:ascii="宋体" w:hAnsi="宋体" w:cs="宋体"/>
          <w:bCs/>
          <w:color w:val="auto"/>
          <w:sz w:val="21"/>
          <w:szCs w:val="21"/>
          <w:highlight w:val="none"/>
          <w:lang w:val="en-US" w:eastAsia="zh-CN"/>
        </w:rPr>
        <w:t>2</w:t>
      </w: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婴儿纸尿裤、婴儿纸尿片产品检验项目、依据及方法</w:t>
      </w:r>
    </w:p>
    <w:tbl>
      <w:tblPr>
        <w:tblStyle w:val="5"/>
        <w:tblW w:w="8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2534"/>
        <w:gridCol w:w="2442"/>
        <w:gridCol w:w="2738"/>
      </w:tblGrid>
      <w:tr w14:paraId="1DCD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01A5370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序号</w:t>
            </w:r>
          </w:p>
        </w:tc>
        <w:tc>
          <w:tcPr>
            <w:tcW w:w="2534" w:type="dxa"/>
            <w:noWrap w:val="0"/>
            <w:vAlign w:val="center"/>
          </w:tcPr>
          <w:p w14:paraId="18000BA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检验项目</w:t>
            </w:r>
          </w:p>
        </w:tc>
        <w:tc>
          <w:tcPr>
            <w:tcW w:w="2442" w:type="dxa"/>
            <w:noWrap w:val="0"/>
            <w:vAlign w:val="center"/>
          </w:tcPr>
          <w:p w14:paraId="1E68D12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检验依据</w:t>
            </w:r>
          </w:p>
        </w:tc>
        <w:tc>
          <w:tcPr>
            <w:tcW w:w="2738" w:type="dxa"/>
            <w:noWrap w:val="0"/>
            <w:vAlign w:val="center"/>
          </w:tcPr>
          <w:p w14:paraId="5568FB4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检验方法</w:t>
            </w:r>
          </w:p>
        </w:tc>
      </w:tr>
      <w:tr w14:paraId="6FE8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0C7B17D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w:t>
            </w:r>
          </w:p>
        </w:tc>
        <w:tc>
          <w:tcPr>
            <w:tcW w:w="2534" w:type="dxa"/>
            <w:noWrap w:val="0"/>
            <w:vAlign w:val="center"/>
          </w:tcPr>
          <w:p w14:paraId="484D6C0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条质量偏差</w:t>
            </w:r>
          </w:p>
        </w:tc>
        <w:tc>
          <w:tcPr>
            <w:tcW w:w="2442" w:type="dxa"/>
            <w:noWrap w:val="0"/>
            <w:vAlign w:val="center"/>
          </w:tcPr>
          <w:p w14:paraId="68CD76F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5755F5C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r>
      <w:tr w14:paraId="15EE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5104FCB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w:t>
            </w:r>
          </w:p>
        </w:tc>
        <w:tc>
          <w:tcPr>
            <w:tcW w:w="2534" w:type="dxa"/>
            <w:noWrap w:val="0"/>
            <w:vAlign w:val="center"/>
          </w:tcPr>
          <w:p w14:paraId="179CBABA">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渗透性能</w:t>
            </w:r>
            <w:r>
              <w:rPr>
                <w:rFonts w:hint="eastAsia" w:ascii="宋体" w:hAnsi="宋体" w:eastAsia="宋体" w:cs="宋体"/>
                <w:color w:val="auto"/>
                <w:kern w:val="0"/>
                <w:sz w:val="21"/>
                <w:szCs w:val="21"/>
                <w:highlight w:val="none"/>
                <w:vertAlign w:val="superscript"/>
                <w:lang w:bidi="ar"/>
              </w:rPr>
              <w:t>a</w:t>
            </w:r>
          </w:p>
        </w:tc>
        <w:tc>
          <w:tcPr>
            <w:tcW w:w="2442" w:type="dxa"/>
            <w:noWrap w:val="0"/>
            <w:vAlign w:val="center"/>
          </w:tcPr>
          <w:p w14:paraId="1A6BFE04">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3CE5407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r>
      <w:tr w14:paraId="130C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7A1D36C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w:t>
            </w:r>
          </w:p>
        </w:tc>
        <w:tc>
          <w:tcPr>
            <w:tcW w:w="2534" w:type="dxa"/>
            <w:noWrap w:val="0"/>
            <w:vAlign w:val="center"/>
          </w:tcPr>
          <w:p w14:paraId="46733A8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防侧漏性能</w:t>
            </w:r>
            <w:r>
              <w:rPr>
                <w:rFonts w:hint="eastAsia" w:ascii="宋体" w:hAnsi="宋体" w:eastAsia="宋体" w:cs="宋体"/>
                <w:color w:val="auto"/>
                <w:kern w:val="0"/>
                <w:sz w:val="21"/>
                <w:szCs w:val="21"/>
                <w:highlight w:val="none"/>
                <w:vertAlign w:val="superscript"/>
                <w:lang w:bidi="ar"/>
              </w:rPr>
              <w:t>b</w:t>
            </w:r>
          </w:p>
        </w:tc>
        <w:tc>
          <w:tcPr>
            <w:tcW w:w="2442" w:type="dxa"/>
            <w:noWrap w:val="0"/>
            <w:vAlign w:val="center"/>
          </w:tcPr>
          <w:p w14:paraId="3D2A74E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16EF476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r>
      <w:tr w14:paraId="79BE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1D6D23F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4</w:t>
            </w:r>
          </w:p>
        </w:tc>
        <w:tc>
          <w:tcPr>
            <w:tcW w:w="2534" w:type="dxa"/>
            <w:noWrap w:val="0"/>
            <w:vAlign w:val="center"/>
          </w:tcPr>
          <w:p w14:paraId="1014C35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pH值</w:t>
            </w:r>
          </w:p>
        </w:tc>
        <w:tc>
          <w:tcPr>
            <w:tcW w:w="2442" w:type="dxa"/>
            <w:noWrap w:val="0"/>
            <w:vAlign w:val="center"/>
          </w:tcPr>
          <w:p w14:paraId="395BCC9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55D4EE9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r>
      <w:tr w14:paraId="4D19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4129C18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5</w:t>
            </w:r>
          </w:p>
        </w:tc>
        <w:tc>
          <w:tcPr>
            <w:tcW w:w="2534" w:type="dxa"/>
            <w:noWrap w:val="0"/>
            <w:vAlign w:val="center"/>
          </w:tcPr>
          <w:p w14:paraId="54668FCB">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铅</w:t>
            </w:r>
          </w:p>
        </w:tc>
        <w:tc>
          <w:tcPr>
            <w:tcW w:w="2442" w:type="dxa"/>
            <w:noWrap w:val="0"/>
            <w:vAlign w:val="center"/>
          </w:tcPr>
          <w:p w14:paraId="17BDFCC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216F1AAA">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化妆品安全技术规范（2015年版）</w:t>
            </w:r>
          </w:p>
        </w:tc>
      </w:tr>
      <w:tr w14:paraId="326A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1DC2057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6</w:t>
            </w:r>
          </w:p>
        </w:tc>
        <w:tc>
          <w:tcPr>
            <w:tcW w:w="2534" w:type="dxa"/>
            <w:noWrap w:val="0"/>
            <w:vAlign w:val="center"/>
          </w:tcPr>
          <w:p w14:paraId="2DB8CDF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砷</w:t>
            </w:r>
          </w:p>
        </w:tc>
        <w:tc>
          <w:tcPr>
            <w:tcW w:w="2442" w:type="dxa"/>
            <w:noWrap w:val="0"/>
            <w:vAlign w:val="center"/>
          </w:tcPr>
          <w:p w14:paraId="022EF27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188B8C35">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化妆品安全技术规范（2015年版）</w:t>
            </w:r>
          </w:p>
        </w:tc>
      </w:tr>
      <w:tr w14:paraId="4F1A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0435DB4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7</w:t>
            </w:r>
          </w:p>
        </w:tc>
        <w:tc>
          <w:tcPr>
            <w:tcW w:w="2534" w:type="dxa"/>
            <w:noWrap w:val="0"/>
            <w:vAlign w:val="center"/>
          </w:tcPr>
          <w:p w14:paraId="729CB155">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镉</w:t>
            </w:r>
          </w:p>
        </w:tc>
        <w:tc>
          <w:tcPr>
            <w:tcW w:w="2442" w:type="dxa"/>
            <w:noWrap w:val="0"/>
            <w:vAlign w:val="center"/>
          </w:tcPr>
          <w:p w14:paraId="57E6370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3571F52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化妆品安全技术规范（2015年版）</w:t>
            </w:r>
          </w:p>
        </w:tc>
      </w:tr>
      <w:tr w14:paraId="5C1D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45DC4F8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8</w:t>
            </w:r>
          </w:p>
        </w:tc>
        <w:tc>
          <w:tcPr>
            <w:tcW w:w="2534" w:type="dxa"/>
            <w:noWrap w:val="0"/>
            <w:vAlign w:val="center"/>
          </w:tcPr>
          <w:p w14:paraId="20E6B6B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汞</w:t>
            </w:r>
          </w:p>
        </w:tc>
        <w:tc>
          <w:tcPr>
            <w:tcW w:w="2442" w:type="dxa"/>
            <w:noWrap w:val="0"/>
            <w:vAlign w:val="center"/>
          </w:tcPr>
          <w:p w14:paraId="6D2464C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73F7021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化妆品安全技术规范（2015年版）</w:t>
            </w:r>
          </w:p>
        </w:tc>
      </w:tr>
      <w:tr w14:paraId="1908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236A31A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9</w:t>
            </w:r>
          </w:p>
        </w:tc>
        <w:tc>
          <w:tcPr>
            <w:tcW w:w="2534" w:type="dxa"/>
            <w:noWrap w:val="0"/>
            <w:vAlign w:val="center"/>
          </w:tcPr>
          <w:p w14:paraId="192F5ED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可迁移性荧光物质</w:t>
            </w:r>
          </w:p>
        </w:tc>
        <w:tc>
          <w:tcPr>
            <w:tcW w:w="2442" w:type="dxa"/>
            <w:noWrap w:val="0"/>
            <w:vAlign w:val="center"/>
          </w:tcPr>
          <w:p w14:paraId="52E316CB">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7E10E52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r>
      <w:tr w14:paraId="6BEE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7240B09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10</w:t>
            </w:r>
          </w:p>
        </w:tc>
        <w:tc>
          <w:tcPr>
            <w:tcW w:w="2534" w:type="dxa"/>
            <w:noWrap w:val="0"/>
            <w:vAlign w:val="center"/>
          </w:tcPr>
          <w:p w14:paraId="70BD615A">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甲醛含量</w:t>
            </w:r>
          </w:p>
        </w:tc>
        <w:tc>
          <w:tcPr>
            <w:tcW w:w="2442" w:type="dxa"/>
            <w:noWrap w:val="0"/>
            <w:vAlign w:val="center"/>
          </w:tcPr>
          <w:p w14:paraId="5D723B9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66F5A97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34448-2017</w:t>
            </w:r>
          </w:p>
        </w:tc>
      </w:tr>
      <w:tr w14:paraId="363A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3452B47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11</w:t>
            </w:r>
          </w:p>
        </w:tc>
        <w:tc>
          <w:tcPr>
            <w:tcW w:w="2534" w:type="dxa"/>
            <w:noWrap w:val="0"/>
            <w:vAlign w:val="center"/>
          </w:tcPr>
          <w:p w14:paraId="396C9AE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邻苯二甲酸酯含量[邻苯二甲酸二丁酯（DBP）、邻苯二甲酸丁苄酯（BBP）、邻苯二甲酸二（2-乙基）己酯（DEHP）]</w:t>
            </w:r>
          </w:p>
        </w:tc>
        <w:tc>
          <w:tcPr>
            <w:tcW w:w="2442" w:type="dxa"/>
            <w:noWrap w:val="0"/>
            <w:vAlign w:val="center"/>
          </w:tcPr>
          <w:p w14:paraId="1EA0BF0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28004.1-2021</w:t>
            </w:r>
          </w:p>
        </w:tc>
        <w:tc>
          <w:tcPr>
            <w:tcW w:w="2738" w:type="dxa"/>
            <w:noWrap w:val="0"/>
            <w:vAlign w:val="center"/>
          </w:tcPr>
          <w:p w14:paraId="6106754B">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"http://sdh.jxbz.org.cn:7003/STDL/Info.aspx?Pi66VWFDnFHQ/Ymjwx02Jjnj0HfLKiwP" \t "http://sdh.jxbz.org.cn:7003/STDL/_blank"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lang w:bidi="ar"/>
              </w:rPr>
              <w:t>GB/T 37860-2019</w:t>
            </w:r>
            <w:r>
              <w:rPr>
                <w:rFonts w:hint="eastAsia" w:ascii="宋体" w:hAnsi="宋体" w:eastAsia="宋体" w:cs="宋体"/>
                <w:color w:val="auto"/>
                <w:kern w:val="0"/>
                <w:sz w:val="21"/>
                <w:szCs w:val="21"/>
                <w:highlight w:val="none"/>
                <w:lang w:bidi="ar"/>
              </w:rPr>
              <w:fldChar w:fldCharType="end"/>
            </w:r>
          </w:p>
        </w:tc>
      </w:tr>
      <w:tr w14:paraId="0005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1E552D1B">
            <w:pPr>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12</w:t>
            </w:r>
          </w:p>
        </w:tc>
        <w:tc>
          <w:tcPr>
            <w:tcW w:w="2534" w:type="dxa"/>
            <w:shd w:val="clear" w:color="auto" w:fill="auto"/>
            <w:noWrap w:val="0"/>
            <w:vAlign w:val="center"/>
          </w:tcPr>
          <w:p w14:paraId="11413646">
            <w:pPr>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bidi="ar"/>
              </w:rPr>
              <w:t>细菌菌落总数</w:t>
            </w:r>
          </w:p>
        </w:tc>
        <w:tc>
          <w:tcPr>
            <w:tcW w:w="2442" w:type="dxa"/>
            <w:shd w:val="clear" w:color="auto" w:fill="auto"/>
            <w:noWrap w:val="0"/>
            <w:vAlign w:val="center"/>
          </w:tcPr>
          <w:p w14:paraId="4D4F885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30C46AD2">
            <w:pPr>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bidi="ar"/>
              </w:rPr>
              <w:t>GB 15979-2024</w:t>
            </w:r>
          </w:p>
        </w:tc>
        <w:tc>
          <w:tcPr>
            <w:tcW w:w="2738" w:type="dxa"/>
            <w:shd w:val="clear" w:color="auto" w:fill="auto"/>
            <w:noWrap w:val="0"/>
            <w:vAlign w:val="center"/>
          </w:tcPr>
          <w:p w14:paraId="0F59DD6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1DDF073E">
            <w:pPr>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bidi="ar"/>
              </w:rPr>
              <w:t>GB 15979-2024</w:t>
            </w:r>
          </w:p>
        </w:tc>
      </w:tr>
      <w:tr w14:paraId="0573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71E1BB91">
            <w:pPr>
              <w:jc w:val="cente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1</w:t>
            </w:r>
            <w:r>
              <w:rPr>
                <w:rFonts w:hint="eastAsia" w:ascii="宋体" w:hAnsi="宋体" w:eastAsia="宋体" w:cs="宋体"/>
                <w:color w:val="auto"/>
                <w:kern w:val="0"/>
                <w:sz w:val="21"/>
                <w:szCs w:val="21"/>
                <w:highlight w:val="none"/>
                <w:lang w:val="en-US" w:eastAsia="zh-CN" w:bidi="ar"/>
              </w:rPr>
              <w:t>3</w:t>
            </w:r>
          </w:p>
        </w:tc>
        <w:tc>
          <w:tcPr>
            <w:tcW w:w="2534" w:type="dxa"/>
            <w:noWrap w:val="0"/>
            <w:vAlign w:val="center"/>
          </w:tcPr>
          <w:p w14:paraId="26F23F7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大肠菌群</w:t>
            </w:r>
          </w:p>
        </w:tc>
        <w:tc>
          <w:tcPr>
            <w:tcW w:w="2442" w:type="dxa"/>
            <w:noWrap w:val="0"/>
            <w:vAlign w:val="center"/>
          </w:tcPr>
          <w:p w14:paraId="1A58670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18FF1C1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c>
          <w:tcPr>
            <w:tcW w:w="2738" w:type="dxa"/>
            <w:noWrap w:val="0"/>
            <w:vAlign w:val="center"/>
          </w:tcPr>
          <w:p w14:paraId="7F712A1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578127A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19A7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30D5482E">
            <w:pPr>
              <w:jc w:val="cente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1</w:t>
            </w:r>
            <w:r>
              <w:rPr>
                <w:rFonts w:hint="eastAsia" w:ascii="宋体" w:hAnsi="宋体" w:eastAsia="宋体" w:cs="宋体"/>
                <w:color w:val="auto"/>
                <w:kern w:val="0"/>
                <w:sz w:val="21"/>
                <w:szCs w:val="21"/>
                <w:highlight w:val="none"/>
                <w:lang w:val="en-US" w:eastAsia="zh-CN" w:bidi="ar"/>
              </w:rPr>
              <w:t>4</w:t>
            </w:r>
          </w:p>
        </w:tc>
        <w:tc>
          <w:tcPr>
            <w:tcW w:w="2534" w:type="dxa"/>
            <w:noWrap w:val="0"/>
            <w:vAlign w:val="center"/>
          </w:tcPr>
          <w:p w14:paraId="6B1F1E3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绿脓杆菌/铜绿假单胞菌</w:t>
            </w:r>
          </w:p>
        </w:tc>
        <w:tc>
          <w:tcPr>
            <w:tcW w:w="2442" w:type="dxa"/>
            <w:noWrap w:val="0"/>
            <w:vAlign w:val="center"/>
          </w:tcPr>
          <w:p w14:paraId="4766678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504C0D86">
            <w:pPr>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GB 15979-2024</w:t>
            </w:r>
          </w:p>
        </w:tc>
        <w:tc>
          <w:tcPr>
            <w:tcW w:w="2738" w:type="dxa"/>
            <w:noWrap w:val="0"/>
            <w:vAlign w:val="center"/>
          </w:tcPr>
          <w:p w14:paraId="05AA797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3CA539DB">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7B9C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2DE48D39">
            <w:pPr>
              <w:jc w:val="cente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1</w:t>
            </w:r>
            <w:r>
              <w:rPr>
                <w:rFonts w:hint="eastAsia" w:ascii="宋体" w:hAnsi="宋体" w:eastAsia="宋体" w:cs="宋体"/>
                <w:color w:val="auto"/>
                <w:kern w:val="0"/>
                <w:sz w:val="21"/>
                <w:szCs w:val="21"/>
                <w:highlight w:val="none"/>
                <w:lang w:val="en-US" w:eastAsia="zh-CN" w:bidi="ar"/>
              </w:rPr>
              <w:t>5</w:t>
            </w:r>
          </w:p>
        </w:tc>
        <w:tc>
          <w:tcPr>
            <w:tcW w:w="2534" w:type="dxa"/>
            <w:noWrap w:val="0"/>
            <w:vAlign w:val="center"/>
          </w:tcPr>
          <w:p w14:paraId="603ADC4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金黄色葡萄球菌</w:t>
            </w:r>
          </w:p>
        </w:tc>
        <w:tc>
          <w:tcPr>
            <w:tcW w:w="2442" w:type="dxa"/>
            <w:noWrap w:val="0"/>
            <w:vAlign w:val="center"/>
          </w:tcPr>
          <w:p w14:paraId="457C8B7A">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7CE90E6D">
            <w:pPr>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GB 15979-2024</w:t>
            </w:r>
          </w:p>
        </w:tc>
        <w:tc>
          <w:tcPr>
            <w:tcW w:w="2738" w:type="dxa"/>
            <w:noWrap w:val="0"/>
            <w:vAlign w:val="center"/>
          </w:tcPr>
          <w:p w14:paraId="0C3C9D1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69CC948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559B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707BEDAA">
            <w:pPr>
              <w:jc w:val="cente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1</w:t>
            </w:r>
            <w:r>
              <w:rPr>
                <w:rFonts w:hint="eastAsia" w:ascii="宋体" w:hAnsi="宋体" w:eastAsia="宋体" w:cs="宋体"/>
                <w:color w:val="auto"/>
                <w:kern w:val="0"/>
                <w:sz w:val="21"/>
                <w:szCs w:val="21"/>
                <w:highlight w:val="none"/>
                <w:lang w:val="en-US" w:eastAsia="zh-CN" w:bidi="ar"/>
              </w:rPr>
              <w:t>6</w:t>
            </w:r>
          </w:p>
        </w:tc>
        <w:tc>
          <w:tcPr>
            <w:tcW w:w="2534" w:type="dxa"/>
            <w:noWrap w:val="0"/>
            <w:vAlign w:val="center"/>
          </w:tcPr>
          <w:p w14:paraId="2D01A67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溶血性链球菌</w:t>
            </w:r>
          </w:p>
        </w:tc>
        <w:tc>
          <w:tcPr>
            <w:tcW w:w="2442" w:type="dxa"/>
            <w:noWrap w:val="0"/>
            <w:vAlign w:val="center"/>
          </w:tcPr>
          <w:p w14:paraId="3AAAC8F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7B7CCBE8">
            <w:pPr>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GB 15979-2024</w:t>
            </w:r>
          </w:p>
        </w:tc>
        <w:tc>
          <w:tcPr>
            <w:tcW w:w="2738" w:type="dxa"/>
            <w:noWrap w:val="0"/>
            <w:vAlign w:val="center"/>
          </w:tcPr>
          <w:p w14:paraId="3FECA1B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53D1D05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0AA8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7" w:type="dxa"/>
            <w:noWrap w:val="0"/>
            <w:vAlign w:val="center"/>
          </w:tcPr>
          <w:p w14:paraId="5F712F9D">
            <w:pPr>
              <w:jc w:val="cente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1</w:t>
            </w:r>
            <w:r>
              <w:rPr>
                <w:rFonts w:hint="eastAsia" w:ascii="宋体" w:hAnsi="宋体" w:eastAsia="宋体" w:cs="宋体"/>
                <w:color w:val="auto"/>
                <w:kern w:val="0"/>
                <w:sz w:val="21"/>
                <w:szCs w:val="21"/>
                <w:highlight w:val="none"/>
                <w:lang w:val="en-US" w:eastAsia="zh-CN" w:bidi="ar"/>
              </w:rPr>
              <w:t>7</w:t>
            </w:r>
          </w:p>
        </w:tc>
        <w:tc>
          <w:tcPr>
            <w:tcW w:w="2534" w:type="dxa"/>
            <w:noWrap w:val="0"/>
            <w:vAlign w:val="center"/>
          </w:tcPr>
          <w:p w14:paraId="008437B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真菌菌落总数</w:t>
            </w:r>
          </w:p>
        </w:tc>
        <w:tc>
          <w:tcPr>
            <w:tcW w:w="2442" w:type="dxa"/>
            <w:noWrap w:val="0"/>
            <w:vAlign w:val="center"/>
          </w:tcPr>
          <w:p w14:paraId="79BD31B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315BDEC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c>
          <w:tcPr>
            <w:tcW w:w="2738" w:type="dxa"/>
            <w:noWrap w:val="0"/>
            <w:vAlign w:val="center"/>
          </w:tcPr>
          <w:p w14:paraId="450F26C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19E28F5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07F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01" w:type="dxa"/>
            <w:gridSpan w:val="4"/>
            <w:noWrap w:val="0"/>
            <w:vAlign w:val="center"/>
          </w:tcPr>
          <w:p w14:paraId="1978253C">
            <w:pP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备注：a:婴儿游泳用纸尿裤、低出生体重儿用纸尿裤以及标称训练如厕或类似用途的产品不考核渗透性能；b:低出生体重儿用纸尿裤</w:t>
            </w:r>
            <w:r>
              <w:rPr>
                <w:rFonts w:hint="eastAsia" w:ascii="宋体" w:hAnsi="宋体" w:eastAsia="宋体" w:cs="宋体"/>
                <w:color w:val="auto"/>
                <w:kern w:val="0"/>
                <w:sz w:val="21"/>
                <w:szCs w:val="21"/>
                <w:highlight w:val="none"/>
                <w:lang w:eastAsia="zh-CN" w:bidi="ar"/>
              </w:rPr>
              <w:t>、婴儿纸尿片</w:t>
            </w:r>
            <w:r>
              <w:rPr>
                <w:rFonts w:hint="eastAsia" w:ascii="宋体" w:hAnsi="宋体" w:eastAsia="宋体" w:cs="宋体"/>
                <w:color w:val="auto"/>
                <w:kern w:val="0"/>
                <w:sz w:val="21"/>
                <w:szCs w:val="21"/>
                <w:highlight w:val="none"/>
                <w:lang w:bidi="ar"/>
              </w:rPr>
              <w:t>不考核防侧漏性能；</w:t>
            </w:r>
          </w:p>
          <w:p w14:paraId="7F78828C">
            <w:pPr>
              <w:ind w:firstLine="420" w:firstLineChars="200"/>
              <w:rPr>
                <w:rFonts w:hint="eastAsia" w:ascii="宋体" w:hAnsi="宋体" w:eastAsia="宋体" w:cs="宋体"/>
                <w:color w:val="auto"/>
                <w:kern w:val="0"/>
                <w:sz w:val="21"/>
                <w:szCs w:val="21"/>
                <w:highlight w:val="none"/>
                <w:lang w:bidi="ar"/>
              </w:rPr>
            </w:pPr>
            <w:r>
              <w:rPr>
                <w:rFonts w:hint="eastAsia"/>
                <w:szCs w:val="21"/>
              </w:rPr>
              <w:t>依据卫健委“卫监督发〔2005〕515号”《健康相关产品国家卫生监督抽检规定》第十九条“产品微生物指标超标的不予复检”的规定，微生物学指标项目不予复检。</w:t>
            </w:r>
          </w:p>
        </w:tc>
      </w:tr>
    </w:tbl>
    <w:p w14:paraId="6C15EA4E">
      <w:pPr>
        <w:snapToGrid w:val="0"/>
        <w:spacing w:line="276" w:lineRule="auto"/>
        <w:jc w:val="center"/>
        <w:rPr>
          <w:rFonts w:hint="eastAsia" w:ascii="宋体" w:hAnsi="宋体" w:eastAsia="宋体" w:cs="宋体"/>
          <w:bCs/>
          <w:color w:val="auto"/>
          <w:sz w:val="24"/>
          <w:szCs w:val="24"/>
          <w:highlight w:val="none"/>
        </w:rPr>
      </w:pPr>
    </w:p>
    <w:p w14:paraId="23CB07EC">
      <w:pPr>
        <w:snapToGrid w:val="0"/>
        <w:spacing w:line="276"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表</w:t>
      </w:r>
      <w:r>
        <w:rPr>
          <w:rFonts w:hint="eastAsia" w:ascii="宋体" w:hAnsi="宋体" w:cs="宋体"/>
          <w:bCs/>
          <w:color w:val="auto"/>
          <w:sz w:val="21"/>
          <w:szCs w:val="21"/>
          <w:highlight w:val="none"/>
          <w:lang w:val="en-US" w:eastAsia="zh-CN"/>
        </w:rPr>
        <w:t>3</w:t>
      </w: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成人纸尿裤、成人纸尿片产品检验项目、依据及方法</w:t>
      </w:r>
    </w:p>
    <w:tbl>
      <w:tblPr>
        <w:tblStyle w:val="5"/>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523"/>
        <w:gridCol w:w="2458"/>
        <w:gridCol w:w="2713"/>
      </w:tblGrid>
      <w:tr w14:paraId="66D8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7295E39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序号</w:t>
            </w:r>
          </w:p>
        </w:tc>
        <w:tc>
          <w:tcPr>
            <w:tcW w:w="2523" w:type="dxa"/>
            <w:noWrap w:val="0"/>
            <w:vAlign w:val="center"/>
          </w:tcPr>
          <w:p w14:paraId="147081C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检验项目</w:t>
            </w:r>
          </w:p>
        </w:tc>
        <w:tc>
          <w:tcPr>
            <w:tcW w:w="2458" w:type="dxa"/>
            <w:noWrap w:val="0"/>
            <w:vAlign w:val="center"/>
          </w:tcPr>
          <w:p w14:paraId="4BA2D83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检验依据</w:t>
            </w:r>
          </w:p>
        </w:tc>
        <w:tc>
          <w:tcPr>
            <w:tcW w:w="2713" w:type="dxa"/>
            <w:noWrap w:val="0"/>
            <w:vAlign w:val="center"/>
          </w:tcPr>
          <w:p w14:paraId="536209E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检验方法</w:t>
            </w:r>
          </w:p>
        </w:tc>
      </w:tr>
      <w:tr w14:paraId="3E3D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5B91D33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w:t>
            </w:r>
          </w:p>
        </w:tc>
        <w:tc>
          <w:tcPr>
            <w:tcW w:w="2523" w:type="dxa"/>
            <w:noWrap w:val="0"/>
            <w:vAlign w:val="center"/>
          </w:tcPr>
          <w:p w14:paraId="57839FE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条质量偏差</w:t>
            </w:r>
          </w:p>
        </w:tc>
        <w:tc>
          <w:tcPr>
            <w:tcW w:w="2458" w:type="dxa"/>
            <w:noWrap w:val="0"/>
            <w:vAlign w:val="center"/>
          </w:tcPr>
          <w:p w14:paraId="086A919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c>
          <w:tcPr>
            <w:tcW w:w="2713" w:type="dxa"/>
            <w:noWrap w:val="0"/>
            <w:vAlign w:val="center"/>
          </w:tcPr>
          <w:p w14:paraId="39703B8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r>
      <w:tr w14:paraId="5405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5393EC3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w:t>
            </w:r>
          </w:p>
        </w:tc>
        <w:tc>
          <w:tcPr>
            <w:tcW w:w="2523" w:type="dxa"/>
            <w:noWrap w:val="0"/>
            <w:vAlign w:val="center"/>
          </w:tcPr>
          <w:p w14:paraId="1E73A18C">
            <w:pPr>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bidi="ar"/>
              </w:rPr>
              <w:t>吸收倍率</w:t>
            </w:r>
            <w:r>
              <w:rPr>
                <w:rFonts w:hint="eastAsia" w:ascii="宋体" w:hAnsi="宋体" w:eastAsia="宋体" w:cs="宋体"/>
                <w:color w:val="auto"/>
                <w:kern w:val="0"/>
                <w:sz w:val="21"/>
                <w:szCs w:val="21"/>
                <w:highlight w:val="none"/>
                <w:vertAlign w:val="superscript"/>
                <w:lang w:val="en-US" w:eastAsia="zh-CN" w:bidi="ar"/>
              </w:rPr>
              <w:t>a</w:t>
            </w:r>
          </w:p>
        </w:tc>
        <w:tc>
          <w:tcPr>
            <w:tcW w:w="2458" w:type="dxa"/>
            <w:noWrap w:val="0"/>
            <w:vAlign w:val="center"/>
          </w:tcPr>
          <w:p w14:paraId="2969428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c>
          <w:tcPr>
            <w:tcW w:w="2713" w:type="dxa"/>
            <w:noWrap w:val="0"/>
            <w:vAlign w:val="center"/>
          </w:tcPr>
          <w:p w14:paraId="269307D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r>
      <w:tr w14:paraId="292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2A80C27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w:t>
            </w:r>
          </w:p>
        </w:tc>
        <w:tc>
          <w:tcPr>
            <w:tcW w:w="2523" w:type="dxa"/>
            <w:noWrap w:val="0"/>
            <w:vAlign w:val="center"/>
          </w:tcPr>
          <w:p w14:paraId="17F4042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pH</w:t>
            </w:r>
          </w:p>
        </w:tc>
        <w:tc>
          <w:tcPr>
            <w:tcW w:w="2458" w:type="dxa"/>
            <w:noWrap w:val="0"/>
            <w:vAlign w:val="center"/>
          </w:tcPr>
          <w:p w14:paraId="75A84975">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c>
          <w:tcPr>
            <w:tcW w:w="2713" w:type="dxa"/>
            <w:noWrap w:val="0"/>
            <w:vAlign w:val="center"/>
          </w:tcPr>
          <w:p w14:paraId="45146E1F">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r>
      <w:tr w14:paraId="3E25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178FCB1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4</w:t>
            </w:r>
          </w:p>
        </w:tc>
        <w:tc>
          <w:tcPr>
            <w:tcW w:w="2523" w:type="dxa"/>
            <w:noWrap w:val="0"/>
            <w:vAlign w:val="center"/>
          </w:tcPr>
          <w:p w14:paraId="12A3928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甲醛含量</w:t>
            </w:r>
          </w:p>
        </w:tc>
        <w:tc>
          <w:tcPr>
            <w:tcW w:w="2458" w:type="dxa"/>
            <w:noWrap w:val="0"/>
            <w:vAlign w:val="center"/>
          </w:tcPr>
          <w:p w14:paraId="49B70F3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c>
          <w:tcPr>
            <w:tcW w:w="2713" w:type="dxa"/>
            <w:noWrap w:val="0"/>
            <w:vAlign w:val="center"/>
          </w:tcPr>
          <w:p w14:paraId="6EAAE955">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34448-2017</w:t>
            </w:r>
          </w:p>
        </w:tc>
      </w:tr>
      <w:tr w14:paraId="3310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450EB5C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5</w:t>
            </w:r>
          </w:p>
        </w:tc>
        <w:tc>
          <w:tcPr>
            <w:tcW w:w="2523" w:type="dxa"/>
            <w:noWrap w:val="0"/>
            <w:vAlign w:val="center"/>
          </w:tcPr>
          <w:p w14:paraId="79501E36">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可迁移性荧光性物质</w:t>
            </w:r>
          </w:p>
        </w:tc>
        <w:tc>
          <w:tcPr>
            <w:tcW w:w="2458" w:type="dxa"/>
            <w:noWrap w:val="0"/>
            <w:vAlign w:val="center"/>
          </w:tcPr>
          <w:p w14:paraId="4741DA0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c>
          <w:tcPr>
            <w:tcW w:w="2713" w:type="dxa"/>
            <w:noWrap w:val="0"/>
            <w:vAlign w:val="center"/>
          </w:tcPr>
          <w:p w14:paraId="29348B6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GB/T 28004.2-2021</w:t>
            </w:r>
          </w:p>
        </w:tc>
      </w:tr>
      <w:tr w14:paraId="6B68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789A42BA">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6</w:t>
            </w:r>
          </w:p>
        </w:tc>
        <w:tc>
          <w:tcPr>
            <w:tcW w:w="2523" w:type="dxa"/>
            <w:noWrap w:val="0"/>
            <w:vAlign w:val="center"/>
          </w:tcPr>
          <w:p w14:paraId="5089A8D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细菌菌落总数</w:t>
            </w:r>
          </w:p>
        </w:tc>
        <w:tc>
          <w:tcPr>
            <w:tcW w:w="2458" w:type="dxa"/>
            <w:noWrap w:val="0"/>
            <w:vAlign w:val="center"/>
          </w:tcPr>
          <w:p w14:paraId="6A9810F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6A2D263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c>
          <w:tcPr>
            <w:tcW w:w="2713" w:type="dxa"/>
            <w:noWrap w:val="0"/>
            <w:vAlign w:val="center"/>
          </w:tcPr>
          <w:p w14:paraId="6A79F205">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39F037C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3C50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63EC954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7</w:t>
            </w:r>
          </w:p>
        </w:tc>
        <w:tc>
          <w:tcPr>
            <w:tcW w:w="2523" w:type="dxa"/>
            <w:noWrap w:val="0"/>
            <w:vAlign w:val="center"/>
          </w:tcPr>
          <w:p w14:paraId="53CBBB64">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大肠菌群</w:t>
            </w:r>
          </w:p>
        </w:tc>
        <w:tc>
          <w:tcPr>
            <w:tcW w:w="2458" w:type="dxa"/>
            <w:noWrap w:val="0"/>
            <w:vAlign w:val="center"/>
          </w:tcPr>
          <w:p w14:paraId="51568D8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1E9F336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c>
          <w:tcPr>
            <w:tcW w:w="2713" w:type="dxa"/>
            <w:noWrap w:val="0"/>
            <w:vAlign w:val="center"/>
          </w:tcPr>
          <w:p w14:paraId="156DED0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17DA5343">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68AF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26730AD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8</w:t>
            </w:r>
          </w:p>
        </w:tc>
        <w:tc>
          <w:tcPr>
            <w:tcW w:w="2523" w:type="dxa"/>
            <w:noWrap w:val="0"/>
            <w:vAlign w:val="center"/>
          </w:tcPr>
          <w:p w14:paraId="6BB759D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绿脓杆菌/铜绿假单胞菌</w:t>
            </w:r>
          </w:p>
        </w:tc>
        <w:tc>
          <w:tcPr>
            <w:tcW w:w="2458" w:type="dxa"/>
            <w:noWrap w:val="0"/>
            <w:vAlign w:val="center"/>
          </w:tcPr>
          <w:p w14:paraId="4EE0EB5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0C460356">
            <w:pPr>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GB 15979-2024</w:t>
            </w:r>
          </w:p>
        </w:tc>
        <w:tc>
          <w:tcPr>
            <w:tcW w:w="2713" w:type="dxa"/>
            <w:noWrap w:val="0"/>
            <w:vAlign w:val="center"/>
          </w:tcPr>
          <w:p w14:paraId="0F58887D">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6306721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2F64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388884D9">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9</w:t>
            </w:r>
          </w:p>
        </w:tc>
        <w:tc>
          <w:tcPr>
            <w:tcW w:w="2523" w:type="dxa"/>
            <w:noWrap w:val="0"/>
            <w:vAlign w:val="center"/>
          </w:tcPr>
          <w:p w14:paraId="6CCACE8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金黄色葡萄球菌</w:t>
            </w:r>
          </w:p>
        </w:tc>
        <w:tc>
          <w:tcPr>
            <w:tcW w:w="2458" w:type="dxa"/>
            <w:noWrap w:val="0"/>
            <w:vAlign w:val="center"/>
          </w:tcPr>
          <w:p w14:paraId="510B3F9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4D79C4EA">
            <w:pPr>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GB 15979-2024</w:t>
            </w:r>
          </w:p>
        </w:tc>
        <w:tc>
          <w:tcPr>
            <w:tcW w:w="2713" w:type="dxa"/>
            <w:noWrap w:val="0"/>
            <w:vAlign w:val="center"/>
          </w:tcPr>
          <w:p w14:paraId="42D1C6B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2A5D59DE">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042A8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13129ABB">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10</w:t>
            </w:r>
          </w:p>
        </w:tc>
        <w:tc>
          <w:tcPr>
            <w:tcW w:w="2523" w:type="dxa"/>
            <w:noWrap w:val="0"/>
            <w:vAlign w:val="center"/>
          </w:tcPr>
          <w:p w14:paraId="010F3F84">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溶血性链球菌</w:t>
            </w:r>
          </w:p>
        </w:tc>
        <w:tc>
          <w:tcPr>
            <w:tcW w:w="2458" w:type="dxa"/>
            <w:noWrap w:val="0"/>
            <w:vAlign w:val="center"/>
          </w:tcPr>
          <w:p w14:paraId="61C7A704">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30D1BB9F">
            <w:pPr>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GB 15979-2024</w:t>
            </w:r>
          </w:p>
        </w:tc>
        <w:tc>
          <w:tcPr>
            <w:tcW w:w="2713" w:type="dxa"/>
            <w:noWrap w:val="0"/>
            <w:vAlign w:val="center"/>
          </w:tcPr>
          <w:p w14:paraId="6D3375C8">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62DB43E1">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3C46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14:paraId="2F3A03B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11</w:t>
            </w:r>
          </w:p>
        </w:tc>
        <w:tc>
          <w:tcPr>
            <w:tcW w:w="2523" w:type="dxa"/>
            <w:noWrap w:val="0"/>
            <w:vAlign w:val="center"/>
          </w:tcPr>
          <w:p w14:paraId="78F0B0F7">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真菌菌落总数</w:t>
            </w:r>
          </w:p>
        </w:tc>
        <w:tc>
          <w:tcPr>
            <w:tcW w:w="2458" w:type="dxa"/>
            <w:noWrap w:val="0"/>
            <w:vAlign w:val="center"/>
          </w:tcPr>
          <w:p w14:paraId="09B2B082">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1FE33C8C">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c>
          <w:tcPr>
            <w:tcW w:w="2713" w:type="dxa"/>
            <w:noWrap w:val="0"/>
            <w:vAlign w:val="center"/>
          </w:tcPr>
          <w:p w14:paraId="054F8D85">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15979-2002</w:t>
            </w:r>
          </w:p>
          <w:p w14:paraId="09973AC0">
            <w:pPr>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GB 15979-2024</w:t>
            </w:r>
          </w:p>
        </w:tc>
      </w:tr>
      <w:tr w14:paraId="4804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9" w:type="dxa"/>
            <w:gridSpan w:val="4"/>
            <w:noWrap w:val="0"/>
            <w:vAlign w:val="center"/>
          </w:tcPr>
          <w:p w14:paraId="0C9655F8">
            <w:pPr>
              <w:jc w:val="both"/>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备注：a 轻度失禁用成人纸尿裤（片）考核该指标；</w:t>
            </w:r>
            <w:r>
              <w:rPr>
                <w:rFonts w:hint="eastAsia"/>
                <w:szCs w:val="21"/>
                <w:lang w:val="en-US" w:eastAsia="zh-CN"/>
              </w:rPr>
              <w:t xml:space="preserve"> </w:t>
            </w:r>
            <w:r>
              <w:rPr>
                <w:rFonts w:hint="eastAsia"/>
                <w:szCs w:val="21"/>
              </w:rPr>
              <w:t>依据卫健委“卫监督发〔2005〕515号”《健康相关产品国家卫生监督抽检规定》第十九条“产品微生物指标超标的不予复检”的规定，微生物学指标项目不予复检。</w:t>
            </w:r>
          </w:p>
        </w:tc>
      </w:tr>
    </w:tbl>
    <w:p w14:paraId="0CD71CB2">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执行企业标准、团体标准、地方标准的产品，检验项目参照上述内容执行。</w:t>
      </w:r>
    </w:p>
    <w:p w14:paraId="7C104206">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凡是注日期的文件，其随后所有的修改单（不包括勘误的内容）或修订版不适用于本规范。凡是不注日期的文件，其最新版本适用于本细则。</w:t>
      </w:r>
    </w:p>
    <w:p w14:paraId="0D9CEC43">
      <w:pPr>
        <w:snapToGrid w:val="0"/>
        <w:spacing w:line="4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b/>
          <w:sz w:val="21"/>
          <w:szCs w:val="21"/>
          <w:highlight w:val="none"/>
          <w:lang w:val="en-US" w:eastAsia="zh-CN"/>
        </w:rPr>
        <w:t>.</w:t>
      </w:r>
      <w:r>
        <w:rPr>
          <w:rFonts w:hint="eastAsia" w:ascii="宋体" w:hAnsi="宋体" w:eastAsia="宋体" w:cs="宋体"/>
          <w:b/>
          <w:sz w:val="21"/>
          <w:szCs w:val="21"/>
          <w:highlight w:val="none"/>
        </w:rPr>
        <w:t>判定规则</w:t>
      </w:r>
    </w:p>
    <w:p w14:paraId="6C990A41">
      <w:pPr>
        <w:snapToGrid w:val="0"/>
        <w:spacing w:line="4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3.1依据标准</w:t>
      </w:r>
    </w:p>
    <w:p w14:paraId="5B166AF8">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下列文件凡是注明日期的，其随后所有的修改单或修订版均不适用于本细则。凡是不注明日期的，其最新版本适用于本细则。</w:t>
      </w:r>
    </w:p>
    <w:p w14:paraId="2DE5301B">
      <w:pPr>
        <w:adjustRightIn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GB/T 28004.1-2021 </w:t>
      </w:r>
      <w:r>
        <w:rPr>
          <w:rFonts w:hint="eastAsia" w:ascii="宋体" w:hAnsi="宋体" w:eastAsia="宋体" w:cs="宋体"/>
          <w:sz w:val="21"/>
          <w:szCs w:val="21"/>
        </w:rPr>
        <w:t>纸尿裤 第1部分：婴儿纸尿裤</w:t>
      </w:r>
    </w:p>
    <w:p w14:paraId="03E582A2">
      <w:pPr>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 xml:space="preserve">GB/T 28004.2-2021 </w:t>
      </w:r>
      <w:r>
        <w:rPr>
          <w:rFonts w:hint="eastAsia" w:ascii="宋体" w:hAnsi="宋体" w:eastAsia="宋体" w:cs="宋体"/>
          <w:sz w:val="21"/>
          <w:szCs w:val="21"/>
        </w:rPr>
        <w:t>纸尿裤 第2部分：成人纸尿裤</w:t>
      </w:r>
    </w:p>
    <w:p w14:paraId="158F2DB8">
      <w:pPr>
        <w:adjustRightIn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fldChar w:fldCharType="begin"/>
      </w:r>
      <w:r>
        <w:rPr>
          <w:rFonts w:hint="eastAsia" w:ascii="宋体" w:hAnsi="宋体" w:eastAsia="宋体" w:cs="宋体"/>
          <w:sz w:val="21"/>
          <w:szCs w:val="21"/>
          <w:lang w:val="en-US" w:eastAsia="zh-CN"/>
        </w:rPr>
        <w:instrText xml:space="preserve"> HYPERLINK "http://sdh.jxbz.org.cn:7003/STDL/Info.aspx?Pi66VWFDnFHWccKF2te+k24h1+ovIQ1e" \t "http://sdh.jxbz.org.cn:7003/STDL/_blank" </w:instrText>
      </w:r>
      <w:r>
        <w:rPr>
          <w:rFonts w:hint="eastAsia" w:ascii="宋体" w:hAnsi="宋体" w:eastAsia="宋体" w:cs="宋体"/>
          <w:sz w:val="21"/>
          <w:szCs w:val="21"/>
          <w:lang w:val="en-US" w:eastAsia="zh-CN"/>
        </w:rPr>
        <w:fldChar w:fldCharType="separate"/>
      </w:r>
      <w:r>
        <w:rPr>
          <w:rFonts w:hint="eastAsia" w:ascii="宋体" w:hAnsi="宋体" w:eastAsia="宋体" w:cs="宋体"/>
          <w:sz w:val="21"/>
          <w:szCs w:val="21"/>
          <w:lang w:val="en-US" w:eastAsia="zh-CN"/>
        </w:rPr>
        <w:t>GB 15979-2002</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一次性使用卫生用品卫生标准</w:t>
      </w:r>
    </w:p>
    <w:p w14:paraId="28300F5C">
      <w:pPr>
        <w:adjustRightInd w:val="0"/>
        <w:spacing w:line="36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fldChar w:fldCharType="begin"/>
      </w:r>
      <w:r>
        <w:rPr>
          <w:rFonts w:hint="eastAsia" w:ascii="宋体" w:hAnsi="宋体" w:eastAsia="宋体" w:cs="宋体"/>
          <w:sz w:val="21"/>
          <w:szCs w:val="21"/>
          <w:lang w:val="en-US" w:eastAsia="zh-CN"/>
        </w:rPr>
        <w:instrText xml:space="preserve"> HYPERLINK "http://sdh.jxbz.org.cn:7003/STDL/Info.aspx?Pi66VWFDnFFjiUt6s9tXBMJ1ZfCivGDF" \t "http://sdh.jxbz.org.cn:7003/STDL/_blank" </w:instrText>
      </w:r>
      <w:r>
        <w:rPr>
          <w:rFonts w:hint="eastAsia" w:ascii="宋体" w:hAnsi="宋体" w:eastAsia="宋体" w:cs="宋体"/>
          <w:sz w:val="21"/>
          <w:szCs w:val="21"/>
          <w:lang w:val="en-US" w:eastAsia="zh-CN"/>
        </w:rPr>
        <w:fldChar w:fldCharType="separate"/>
      </w:r>
      <w:r>
        <w:rPr>
          <w:rFonts w:hint="eastAsia" w:ascii="宋体" w:hAnsi="宋体" w:eastAsia="宋体" w:cs="宋体"/>
          <w:sz w:val="21"/>
          <w:szCs w:val="21"/>
          <w:lang w:val="en-US" w:eastAsia="zh-CN"/>
        </w:rPr>
        <w:t>GB 15979-2024</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一次性使用卫生用品卫生要求</w:t>
      </w:r>
    </w:p>
    <w:p w14:paraId="0EFF1DD0">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现行有效的企业标准、团体标准、地方标准及产品明示质量要求。</w:t>
      </w:r>
    </w:p>
    <w:p w14:paraId="596C5D74">
      <w:pPr>
        <w:snapToGrid w:val="0"/>
        <w:spacing w:line="4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3.2 判定原则</w:t>
      </w:r>
    </w:p>
    <w:p w14:paraId="66236638">
      <w:pPr>
        <w:snapToGrid w:val="0"/>
        <w:spacing w:line="44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经</w:t>
      </w:r>
      <w:r>
        <w:rPr>
          <w:rFonts w:hint="eastAsia" w:ascii="宋体" w:hAnsi="宋体" w:eastAsia="宋体" w:cs="宋体"/>
          <w:color w:val="000000"/>
          <w:sz w:val="21"/>
          <w:szCs w:val="21"/>
        </w:rPr>
        <w:t>检验，检验项目全部合格，判定为被抽查产品所检项目未发现不合格；检验项目中任一项或一项以上不合格，判定为被抽查产品不合格。</w:t>
      </w:r>
    </w:p>
    <w:p w14:paraId="07AB3602">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14:paraId="23A61B45">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14:paraId="292AE07A">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14:paraId="74D6D12C">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14:paraId="2749D156">
      <w:pPr>
        <w:snapToGrid w:val="0"/>
        <w:spacing w:line="440" w:lineRule="exact"/>
        <w:ind w:firstLine="417" w:firstLineChars="199"/>
        <w:rPr>
          <w:rFonts w:hint="eastAsia" w:ascii="宋体" w:hAnsi="宋体" w:eastAsia="宋体" w:cs="宋体"/>
          <w:color w:val="000000"/>
          <w:sz w:val="21"/>
          <w:szCs w:val="21"/>
          <w:highlight w:val="none"/>
        </w:rPr>
      </w:pPr>
      <w:r>
        <w:rPr>
          <w:rFonts w:hint="eastAsia" w:ascii="宋体" w:hAnsi="宋体" w:eastAsia="宋体" w:cs="宋体"/>
          <w:color w:val="000000"/>
          <w:sz w:val="21"/>
          <w:szCs w:val="21"/>
        </w:rPr>
        <w:t>若被检产品明示的质量要求缺少本细则中检验项目依据的推荐性标准要求时，该项目不参与判定。</w:t>
      </w:r>
    </w:p>
    <w:sectPr>
      <w:footerReference r:id="rId3" w:type="default"/>
      <w:footerReference r:id="rId4" w:type="even"/>
      <w:pgSz w:w="11906" w:h="16838"/>
      <w:pgMar w:top="1440" w:right="1803" w:bottom="1440" w:left="1803"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66DB531-4186-4BE0-85B8-6D9E8EAB9294}"/>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embedRegular r:id="rId2" w:fontKey="{16CBE1D8-B622-4623-9E91-7F0EBD3A4B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8EEA7">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14:paraId="4F61BEE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45EC1">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2395A457">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YTExOTI3ZGJhYmUxZWY5OTFjNzM4MDYyZGIyZDUifQ=="/>
  </w:docVars>
  <w:rsids>
    <w:rsidRoot w:val="00172A27"/>
    <w:rsid w:val="00012B0D"/>
    <w:rsid w:val="00025697"/>
    <w:rsid w:val="0004415E"/>
    <w:rsid w:val="00064A51"/>
    <w:rsid w:val="00160A81"/>
    <w:rsid w:val="00172A27"/>
    <w:rsid w:val="00186314"/>
    <w:rsid w:val="001B7DE6"/>
    <w:rsid w:val="001C444C"/>
    <w:rsid w:val="001F0EA8"/>
    <w:rsid w:val="001F5715"/>
    <w:rsid w:val="00206AFC"/>
    <w:rsid w:val="00213D44"/>
    <w:rsid w:val="002448CB"/>
    <w:rsid w:val="002A7CB8"/>
    <w:rsid w:val="003932D3"/>
    <w:rsid w:val="003E1F22"/>
    <w:rsid w:val="004710E5"/>
    <w:rsid w:val="00473E30"/>
    <w:rsid w:val="00493E98"/>
    <w:rsid w:val="004B7699"/>
    <w:rsid w:val="004C5730"/>
    <w:rsid w:val="004E1763"/>
    <w:rsid w:val="00540196"/>
    <w:rsid w:val="005708F4"/>
    <w:rsid w:val="0057097D"/>
    <w:rsid w:val="00583487"/>
    <w:rsid w:val="0061001F"/>
    <w:rsid w:val="00612F8D"/>
    <w:rsid w:val="00641999"/>
    <w:rsid w:val="00713BAB"/>
    <w:rsid w:val="007E2A33"/>
    <w:rsid w:val="007E75E8"/>
    <w:rsid w:val="00886D2D"/>
    <w:rsid w:val="00897941"/>
    <w:rsid w:val="008A67F4"/>
    <w:rsid w:val="008E2AA3"/>
    <w:rsid w:val="008F41FD"/>
    <w:rsid w:val="0092374C"/>
    <w:rsid w:val="00981B6F"/>
    <w:rsid w:val="009F62A2"/>
    <w:rsid w:val="00A0073C"/>
    <w:rsid w:val="00A109DC"/>
    <w:rsid w:val="00A9797D"/>
    <w:rsid w:val="00AC1025"/>
    <w:rsid w:val="00AC57F3"/>
    <w:rsid w:val="00B35A12"/>
    <w:rsid w:val="00B762BE"/>
    <w:rsid w:val="00B96F12"/>
    <w:rsid w:val="00BF77C3"/>
    <w:rsid w:val="00C343D9"/>
    <w:rsid w:val="00C84E5A"/>
    <w:rsid w:val="00CF7CFC"/>
    <w:rsid w:val="00D06481"/>
    <w:rsid w:val="00DD51A4"/>
    <w:rsid w:val="00E15AFC"/>
    <w:rsid w:val="00F27BB4"/>
    <w:rsid w:val="00F81988"/>
    <w:rsid w:val="00F9662F"/>
    <w:rsid w:val="00F97675"/>
    <w:rsid w:val="00FC0E01"/>
    <w:rsid w:val="05E72587"/>
    <w:rsid w:val="065C5FD3"/>
    <w:rsid w:val="07280338"/>
    <w:rsid w:val="077A3CEC"/>
    <w:rsid w:val="094445B2"/>
    <w:rsid w:val="0BBC5900"/>
    <w:rsid w:val="0BD31F12"/>
    <w:rsid w:val="0DCD315E"/>
    <w:rsid w:val="0FB56AC3"/>
    <w:rsid w:val="0FCF40FE"/>
    <w:rsid w:val="132F2114"/>
    <w:rsid w:val="15A77B14"/>
    <w:rsid w:val="19596F42"/>
    <w:rsid w:val="1A635C3D"/>
    <w:rsid w:val="1DC721AF"/>
    <w:rsid w:val="1F8606F7"/>
    <w:rsid w:val="23284114"/>
    <w:rsid w:val="241D3ECD"/>
    <w:rsid w:val="264D053E"/>
    <w:rsid w:val="275845E3"/>
    <w:rsid w:val="2809530D"/>
    <w:rsid w:val="28771609"/>
    <w:rsid w:val="289E74C8"/>
    <w:rsid w:val="28A5355D"/>
    <w:rsid w:val="2C036AB3"/>
    <w:rsid w:val="2C803B90"/>
    <w:rsid w:val="31A21D73"/>
    <w:rsid w:val="325269CF"/>
    <w:rsid w:val="34D87A93"/>
    <w:rsid w:val="34DE4287"/>
    <w:rsid w:val="355E6877"/>
    <w:rsid w:val="35F40F8A"/>
    <w:rsid w:val="3D3433C6"/>
    <w:rsid w:val="3DE84D67"/>
    <w:rsid w:val="3E613D17"/>
    <w:rsid w:val="47CA2A58"/>
    <w:rsid w:val="48096DEF"/>
    <w:rsid w:val="48482AF2"/>
    <w:rsid w:val="495E789E"/>
    <w:rsid w:val="4AA5596D"/>
    <w:rsid w:val="4AA7341E"/>
    <w:rsid w:val="4D8A6527"/>
    <w:rsid w:val="52101A58"/>
    <w:rsid w:val="521F5647"/>
    <w:rsid w:val="52C6632C"/>
    <w:rsid w:val="52D90E94"/>
    <w:rsid w:val="55C65767"/>
    <w:rsid w:val="57B161EC"/>
    <w:rsid w:val="584D65AC"/>
    <w:rsid w:val="589A00DE"/>
    <w:rsid w:val="598633F7"/>
    <w:rsid w:val="5B2062E1"/>
    <w:rsid w:val="5BD67257"/>
    <w:rsid w:val="5BEC463A"/>
    <w:rsid w:val="605817D3"/>
    <w:rsid w:val="608B0F41"/>
    <w:rsid w:val="60DC17D9"/>
    <w:rsid w:val="60EF2F4E"/>
    <w:rsid w:val="60F3411E"/>
    <w:rsid w:val="61691F7C"/>
    <w:rsid w:val="65F7277D"/>
    <w:rsid w:val="66214BD3"/>
    <w:rsid w:val="6B7E7A20"/>
    <w:rsid w:val="6D290EA3"/>
    <w:rsid w:val="6E090CF5"/>
    <w:rsid w:val="6E0C2361"/>
    <w:rsid w:val="6F241291"/>
    <w:rsid w:val="700759C5"/>
    <w:rsid w:val="70D94A29"/>
    <w:rsid w:val="74143FCA"/>
    <w:rsid w:val="74E11B08"/>
    <w:rsid w:val="755A447C"/>
    <w:rsid w:val="7677439C"/>
    <w:rsid w:val="76B72D03"/>
    <w:rsid w:val="78CA3D09"/>
    <w:rsid w:val="78FE27F1"/>
    <w:rsid w:val="791D05B3"/>
    <w:rsid w:val="7A37552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99"/>
    <w:rPr>
      <w:rFonts w:cs="Times New Roman"/>
    </w:rPr>
  </w:style>
  <w:style w:type="character" w:customStyle="1" w:styleId="9">
    <w:name w:val="Balloon Text Char"/>
    <w:basedOn w:val="7"/>
    <w:link w:val="2"/>
    <w:semiHidden/>
    <w:qFormat/>
    <w:locked/>
    <w:uiPriority w:val="99"/>
    <w:rPr>
      <w:rFonts w:ascii="Times New Roman" w:hAnsi="Times New Roman" w:cs="Times New Roman"/>
      <w:kern w:val="2"/>
      <w:sz w:val="18"/>
      <w:szCs w:val="18"/>
    </w:rPr>
  </w:style>
  <w:style w:type="character" w:customStyle="1" w:styleId="10">
    <w:name w:val="Footer Char"/>
    <w:basedOn w:val="7"/>
    <w:link w:val="3"/>
    <w:semiHidden/>
    <w:qFormat/>
    <w:locked/>
    <w:uiPriority w:val="99"/>
    <w:rPr>
      <w:rFonts w:ascii="Times New Roman" w:hAnsi="Times New Roman" w:cs="Times New Roman"/>
      <w:sz w:val="18"/>
      <w:szCs w:val="18"/>
    </w:rPr>
  </w:style>
  <w:style w:type="character" w:customStyle="1" w:styleId="11">
    <w:name w:val="Header Char"/>
    <w:basedOn w:val="7"/>
    <w:link w:val="4"/>
    <w:qFormat/>
    <w:locked/>
    <w:uiPriority w:val="99"/>
    <w:rPr>
      <w:rFonts w:ascii="Times New Roman" w:hAnsi="Times New Roman" w:eastAsia="宋体" w:cs="Times New Roman"/>
      <w:kern w:val="2"/>
      <w:sz w:val="18"/>
      <w:szCs w:val="18"/>
    </w:rPr>
  </w:style>
  <w:style w:type="paragraph" w:customStyle="1" w:styleId="12">
    <w:name w:val="表格内容"/>
    <w:basedOn w:val="1"/>
    <w:qFormat/>
    <w:uiPriority w:val="99"/>
    <w:pPr>
      <w:snapToGrid w:val="0"/>
      <w:spacing w:line="320" w:lineRule="exact"/>
      <w:jc w:val="center"/>
    </w:pPr>
    <w:rPr>
      <w:rFonts w:ascii="仿宋_GB2312" w:hAnsi="Calibri" w:eastAsia="仿宋_GB2312" w:cs="Sim Su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Kingsoft</Company>
  <Pages>3</Pages>
  <Words>1478</Words>
  <Characters>2448</Characters>
  <Lines>0</Lines>
  <Paragraphs>0</Paragraphs>
  <TotalTime>1</TotalTime>
  <ScaleCrop>false</ScaleCrop>
  <LinksUpToDate>false</LinksUpToDate>
  <CharactersWithSpaces>2538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2021-11-11T01:50:00Z</dcterms:created>
  <dc:creator>陈林茂</dc:creator>
  <cp:lastModifiedBy>weiy1ng</cp:lastModifiedBy>
  <dcterms:modified xsi:type="dcterms:W3CDTF">2025-07-28T07:07:57Z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8E546B9FF5484B8CB4A1C9FCCDA50D2B_13</vt:lpwstr>
  </property>
  <property fmtid="{D5CDD505-2E9C-101B-9397-08002B2CF9AE}" pid="4" name="KSOTemplateDocerSaveRecord">
    <vt:lpwstr>eyJoZGlkIjoiZDRjNTI1MjFiZDYzM2Q0YjIwNzE0NTkzNGNlZGZjMTkiLCJ1c2VySWQiOiIyNDQ1OTgwODEifQ==</vt:lpwstr>
  </property>
</Properties>
</file>