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ABCEE">
      <w:pPr>
        <w:snapToGrid w:val="0"/>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九江市市场监督管理局建筑保温材料</w:t>
      </w:r>
    </w:p>
    <w:p w14:paraId="28F083EB">
      <w:pPr>
        <w:snapToGrid w:val="0"/>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产品质量监督抽查实施细则</w:t>
      </w:r>
    </w:p>
    <w:p w14:paraId="7439C884">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5</w:t>
      </w:r>
      <w:r>
        <w:rPr>
          <w:rFonts w:eastAsia="方正小标宋简体"/>
          <w:color w:val="000000"/>
          <w:sz w:val="32"/>
          <w:szCs w:val="32"/>
        </w:rPr>
        <w:t>年版）</w:t>
      </w:r>
    </w:p>
    <w:p w14:paraId="656106F5">
      <w:pPr>
        <w:snapToGrid w:val="0"/>
        <w:spacing w:line="440" w:lineRule="exact"/>
        <w:jc w:val="center"/>
        <w:rPr>
          <w:rFonts w:eastAsia="方正小标宋简体"/>
          <w:color w:val="000000"/>
          <w:sz w:val="32"/>
          <w:szCs w:val="32"/>
        </w:rPr>
      </w:pPr>
    </w:p>
    <w:p w14:paraId="56E6DD4B">
      <w:pPr>
        <w:snapToGrid w:val="0"/>
        <w:spacing w:line="440" w:lineRule="exact"/>
        <w:rPr>
          <w:rFonts w:hint="eastAsia" w:eastAsia="黑体"/>
          <w:sz w:val="24"/>
          <w:szCs w:val="24"/>
        </w:rPr>
      </w:pPr>
      <w:r>
        <w:rPr>
          <w:rFonts w:eastAsia="黑体"/>
          <w:sz w:val="24"/>
          <w:szCs w:val="24"/>
        </w:rPr>
        <w:t>1 抽样</w:t>
      </w:r>
      <w:r>
        <w:rPr>
          <w:rFonts w:hint="eastAsia" w:eastAsia="黑体"/>
          <w:sz w:val="24"/>
          <w:szCs w:val="24"/>
        </w:rPr>
        <w:t>方法</w:t>
      </w:r>
    </w:p>
    <w:p w14:paraId="1BF975D1">
      <w:pPr>
        <w:snapToGrid w:val="0"/>
        <w:spacing w:line="440" w:lineRule="exact"/>
        <w:ind w:firstLine="420" w:firstLineChars="200"/>
        <w:rPr>
          <w:rFonts w:hint="eastAsia" w:ascii="宋体" w:hAnsi="宋体"/>
          <w:szCs w:val="21"/>
        </w:rPr>
      </w:pPr>
      <w:r>
        <w:rPr>
          <w:rFonts w:hint="eastAsia" w:ascii="宋体" w:hAnsi="宋体"/>
          <w:szCs w:val="21"/>
        </w:rPr>
        <w:t>本次抽查采用随机抽样，抽取的样品应为同规格、同批次的产品，抽取有产品质量检验合格证明或者以其他形式表明合格的、近期生产的产品，若产品标注有效期，则有效期应在监督抽查整体工作结束后。如存在多个规格型号，优先抽取企业的主导产品。</w:t>
      </w:r>
    </w:p>
    <w:p w14:paraId="3FAAF0F7">
      <w:pPr>
        <w:snapToGrid w:val="0"/>
        <w:spacing w:line="440" w:lineRule="exact"/>
        <w:ind w:firstLine="420" w:firstLineChars="200"/>
        <w:rPr>
          <w:rFonts w:hint="eastAsia" w:ascii="宋体" w:hAnsi="宋体"/>
          <w:szCs w:val="21"/>
        </w:rPr>
      </w:pPr>
      <w:r>
        <w:rPr>
          <w:rFonts w:hint="eastAsia" w:ascii="宋体" w:hAnsi="宋体"/>
          <w:szCs w:val="21"/>
        </w:rPr>
        <w:t>所抽样品应留存样品标签标识及照片。</w:t>
      </w:r>
    </w:p>
    <w:p w14:paraId="1039CFFE">
      <w:pPr>
        <w:snapToGrid w:val="0"/>
        <w:spacing w:line="440" w:lineRule="exact"/>
        <w:ind w:firstLine="420" w:firstLineChars="200"/>
        <w:rPr>
          <w:rFonts w:hint="eastAsia" w:ascii="宋体" w:hAnsi="宋体"/>
          <w:szCs w:val="21"/>
        </w:rPr>
      </w:pPr>
      <w:r>
        <w:rPr>
          <w:rFonts w:hint="eastAsia" w:ascii="宋体" w:hAnsi="宋体"/>
          <w:szCs w:val="21"/>
        </w:rPr>
        <w:t>抽样基数满足抽样数量即可。</w:t>
      </w:r>
    </w:p>
    <w:p w14:paraId="7A87C44D">
      <w:pPr>
        <w:snapToGrid w:val="0"/>
        <w:spacing w:line="440" w:lineRule="exact"/>
        <w:ind w:firstLine="420" w:firstLineChars="200"/>
        <w:rPr>
          <w:szCs w:val="21"/>
        </w:rPr>
      </w:pPr>
      <w:r>
        <w:rPr>
          <w:szCs w:val="21"/>
        </w:rPr>
        <w:t>检验样品数量按表1</w:t>
      </w:r>
      <w:r>
        <w:rPr>
          <w:rFonts w:hint="eastAsia"/>
          <w:szCs w:val="21"/>
        </w:rPr>
        <w:t>，</w:t>
      </w:r>
      <w:r>
        <w:rPr>
          <w:szCs w:val="21"/>
        </w:rPr>
        <w:t>同时抽取同等</w:t>
      </w:r>
      <w:r>
        <w:rPr>
          <w:rFonts w:hint="eastAsia"/>
          <w:szCs w:val="21"/>
          <w:lang w:val="en-US" w:eastAsia="zh-CN"/>
        </w:rPr>
        <w:t>规格</w:t>
      </w:r>
      <w:r>
        <w:rPr>
          <w:szCs w:val="21"/>
        </w:rPr>
        <w:t>的备用样品。</w:t>
      </w:r>
    </w:p>
    <w:p w14:paraId="0CC44340">
      <w:pPr>
        <w:jc w:val="center"/>
        <w:rPr>
          <w:rFonts w:hint="eastAsia"/>
          <w:szCs w:val="21"/>
        </w:rPr>
      </w:pPr>
    </w:p>
    <w:p w14:paraId="5297FF79">
      <w:pPr>
        <w:jc w:val="center"/>
        <w:rPr>
          <w:rFonts w:hint="eastAsia"/>
          <w:szCs w:val="21"/>
        </w:rPr>
      </w:pPr>
      <w:r>
        <w:rPr>
          <w:rFonts w:hint="eastAsia"/>
          <w:szCs w:val="21"/>
        </w:rPr>
        <w:t>表1</w:t>
      </w:r>
      <w:r>
        <w:rPr>
          <w:rFonts w:hint="eastAsia"/>
          <w:szCs w:val="21"/>
          <w:lang w:val="en-US" w:eastAsia="zh-CN"/>
        </w:rPr>
        <w:t>建筑保温材料</w:t>
      </w:r>
      <w:r>
        <w:rPr>
          <w:rFonts w:hint="eastAsia"/>
          <w:szCs w:val="21"/>
        </w:rPr>
        <w:t>生产领域抽查抽样尺寸及数量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58"/>
        <w:gridCol w:w="2130"/>
        <w:gridCol w:w="2130"/>
      </w:tblGrid>
      <w:tr w14:paraId="5126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00EB378E">
            <w:pPr>
              <w:snapToGrid w:val="0"/>
              <w:spacing w:line="240" w:lineRule="auto"/>
              <w:jc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序号</w:t>
            </w:r>
          </w:p>
        </w:tc>
        <w:tc>
          <w:tcPr>
            <w:tcW w:w="3158" w:type="dxa"/>
            <w:shd w:val="clear" w:color="auto" w:fill="auto"/>
            <w:vAlign w:val="center"/>
          </w:tcPr>
          <w:p w14:paraId="55675E96">
            <w:pPr>
              <w:snapToGrid w:val="0"/>
              <w:spacing w:line="240" w:lineRule="auto"/>
              <w:jc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样品</w:t>
            </w:r>
          </w:p>
        </w:tc>
        <w:tc>
          <w:tcPr>
            <w:tcW w:w="2130" w:type="dxa"/>
            <w:shd w:val="clear" w:color="auto" w:fill="auto"/>
            <w:vAlign w:val="center"/>
          </w:tcPr>
          <w:p w14:paraId="34A4ED4D">
            <w:pPr>
              <w:snapToGrid w:val="0"/>
              <w:spacing w:line="240" w:lineRule="auto"/>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检样数量</w:t>
            </w:r>
            <w:r>
              <w:rPr>
                <w:rFonts w:hint="eastAsia" w:cs="Times New Roman"/>
                <w:sz w:val="21"/>
                <w:szCs w:val="21"/>
                <w:vertAlign w:val="baseline"/>
                <w:lang w:val="en-US" w:eastAsia="zh-CN"/>
              </w:rPr>
              <w:t>/批</w:t>
            </w:r>
          </w:p>
        </w:tc>
        <w:tc>
          <w:tcPr>
            <w:tcW w:w="2130" w:type="dxa"/>
            <w:shd w:val="clear" w:color="auto" w:fill="auto"/>
            <w:vAlign w:val="center"/>
          </w:tcPr>
          <w:p w14:paraId="0E4F3BA0">
            <w:pPr>
              <w:snapToGrid w:val="0"/>
              <w:spacing w:line="240" w:lineRule="auto"/>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备样数量</w:t>
            </w:r>
            <w:r>
              <w:rPr>
                <w:rFonts w:hint="eastAsia" w:cs="Times New Roman"/>
                <w:sz w:val="21"/>
                <w:szCs w:val="21"/>
                <w:vertAlign w:val="baseline"/>
                <w:lang w:val="en-US" w:eastAsia="zh-CN"/>
              </w:rPr>
              <w:t>/批</w:t>
            </w:r>
          </w:p>
        </w:tc>
      </w:tr>
      <w:tr w14:paraId="3C24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77C5AD34">
            <w:pPr>
              <w:jc w:val="center"/>
              <w:rPr>
                <w:rFonts w:hint="default" w:eastAsia="宋体"/>
                <w:szCs w:val="21"/>
                <w:vertAlign w:val="baseline"/>
                <w:lang w:val="en-US" w:eastAsia="zh-CN"/>
              </w:rPr>
            </w:pPr>
            <w:r>
              <w:rPr>
                <w:rFonts w:hint="eastAsia"/>
                <w:szCs w:val="21"/>
                <w:vertAlign w:val="baseline"/>
                <w:lang w:val="en-US" w:eastAsia="zh-CN"/>
              </w:rPr>
              <w:t>1</w:t>
            </w:r>
          </w:p>
        </w:tc>
        <w:tc>
          <w:tcPr>
            <w:tcW w:w="3158" w:type="dxa"/>
            <w:shd w:val="clear" w:color="auto" w:fill="auto"/>
            <w:vAlign w:val="center"/>
          </w:tcPr>
          <w:p w14:paraId="5144D648">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岩棉板</w:t>
            </w:r>
          </w:p>
        </w:tc>
        <w:tc>
          <w:tcPr>
            <w:tcW w:w="2130" w:type="dxa"/>
            <w:vAlign w:val="center"/>
          </w:tcPr>
          <w:p w14:paraId="692CBC94">
            <w:pPr>
              <w:jc w:val="center"/>
              <w:rPr>
                <w:rFonts w:hint="default" w:eastAsia="宋体"/>
                <w:szCs w:val="21"/>
                <w:vertAlign w:val="baseline"/>
                <w:lang w:val="en-US" w:eastAsia="zh-CN"/>
              </w:rPr>
            </w:pPr>
            <w:r>
              <w:rPr>
                <w:rFonts w:hint="eastAsia"/>
                <w:szCs w:val="21"/>
                <w:vertAlign w:val="baseline"/>
                <w:lang w:val="en-US" w:eastAsia="zh-CN"/>
              </w:rPr>
              <w:t>5平方</w:t>
            </w:r>
          </w:p>
        </w:tc>
        <w:tc>
          <w:tcPr>
            <w:tcW w:w="2130" w:type="dxa"/>
            <w:vAlign w:val="center"/>
          </w:tcPr>
          <w:p w14:paraId="2497E676">
            <w:pPr>
              <w:jc w:val="center"/>
              <w:rPr>
                <w:rFonts w:hint="default" w:eastAsia="宋体"/>
                <w:szCs w:val="21"/>
                <w:vertAlign w:val="baseline"/>
                <w:lang w:val="en-US" w:eastAsia="zh-CN"/>
              </w:rPr>
            </w:pPr>
            <w:r>
              <w:rPr>
                <w:rFonts w:hint="eastAsia"/>
                <w:szCs w:val="21"/>
                <w:vertAlign w:val="baseline"/>
                <w:lang w:val="en-US" w:eastAsia="zh-CN"/>
              </w:rPr>
              <w:t>5平方</w:t>
            </w:r>
          </w:p>
        </w:tc>
      </w:tr>
      <w:tr w14:paraId="170B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3906379C">
            <w:pPr>
              <w:jc w:val="center"/>
              <w:rPr>
                <w:rFonts w:hint="default" w:eastAsia="宋体"/>
                <w:szCs w:val="21"/>
                <w:vertAlign w:val="baseline"/>
                <w:lang w:val="en-US" w:eastAsia="zh-CN"/>
              </w:rPr>
            </w:pPr>
            <w:r>
              <w:rPr>
                <w:rFonts w:hint="eastAsia"/>
                <w:szCs w:val="21"/>
                <w:vertAlign w:val="baseline"/>
                <w:lang w:val="en-US" w:eastAsia="zh-CN"/>
              </w:rPr>
              <w:t>2</w:t>
            </w:r>
          </w:p>
        </w:tc>
        <w:tc>
          <w:tcPr>
            <w:tcW w:w="3158" w:type="dxa"/>
            <w:shd w:val="clear" w:color="auto" w:fill="auto"/>
            <w:vAlign w:val="center"/>
          </w:tcPr>
          <w:p w14:paraId="2AA0C929">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玻璃棉</w:t>
            </w:r>
          </w:p>
        </w:tc>
        <w:tc>
          <w:tcPr>
            <w:tcW w:w="2130" w:type="dxa"/>
            <w:vAlign w:val="center"/>
          </w:tcPr>
          <w:p w14:paraId="761874D4">
            <w:pPr>
              <w:jc w:val="center"/>
              <w:rPr>
                <w:rFonts w:hint="default"/>
                <w:szCs w:val="21"/>
                <w:vertAlign w:val="baseline"/>
                <w:lang w:val="en-US" w:eastAsia="zh-CN"/>
              </w:rPr>
            </w:pPr>
            <w:r>
              <w:rPr>
                <w:rFonts w:hint="eastAsia"/>
                <w:szCs w:val="21"/>
                <w:vertAlign w:val="baseline"/>
                <w:lang w:val="en-US" w:eastAsia="zh-CN"/>
              </w:rPr>
              <w:t>板：5平方</w:t>
            </w:r>
          </w:p>
          <w:p w14:paraId="5322B87B">
            <w:pPr>
              <w:jc w:val="center"/>
              <w:rPr>
                <w:rFonts w:hint="default"/>
                <w:szCs w:val="21"/>
                <w:vertAlign w:val="baseline"/>
                <w:lang w:val="en-US" w:eastAsia="zh-CN"/>
              </w:rPr>
            </w:pPr>
            <w:r>
              <w:rPr>
                <w:rFonts w:hint="eastAsia"/>
                <w:szCs w:val="21"/>
                <w:vertAlign w:val="baseline"/>
                <w:lang w:val="en-US" w:eastAsia="zh-CN"/>
              </w:rPr>
              <w:t>毡/毯：1卷</w:t>
            </w:r>
          </w:p>
        </w:tc>
        <w:tc>
          <w:tcPr>
            <w:tcW w:w="2130" w:type="dxa"/>
            <w:vAlign w:val="center"/>
          </w:tcPr>
          <w:p w14:paraId="7E38975A">
            <w:pPr>
              <w:jc w:val="center"/>
              <w:rPr>
                <w:rFonts w:hint="default"/>
                <w:szCs w:val="21"/>
                <w:vertAlign w:val="baseline"/>
                <w:lang w:val="en-US" w:eastAsia="zh-CN"/>
              </w:rPr>
            </w:pPr>
            <w:r>
              <w:rPr>
                <w:rFonts w:hint="eastAsia"/>
                <w:szCs w:val="21"/>
                <w:vertAlign w:val="baseline"/>
                <w:lang w:val="en-US" w:eastAsia="zh-CN"/>
              </w:rPr>
              <w:t>板：5平方</w:t>
            </w:r>
          </w:p>
          <w:p w14:paraId="16E112B8">
            <w:pPr>
              <w:jc w:val="center"/>
              <w:rPr>
                <w:rFonts w:hint="eastAsia"/>
                <w:szCs w:val="21"/>
                <w:vertAlign w:val="baseline"/>
              </w:rPr>
            </w:pPr>
            <w:r>
              <w:rPr>
                <w:rFonts w:hint="eastAsia"/>
                <w:szCs w:val="21"/>
                <w:vertAlign w:val="baseline"/>
                <w:lang w:val="en-US" w:eastAsia="zh-CN"/>
              </w:rPr>
              <w:t>毡/毯：1卷</w:t>
            </w:r>
          </w:p>
        </w:tc>
      </w:tr>
      <w:tr w14:paraId="6BBB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3B0BD62B">
            <w:pPr>
              <w:jc w:val="center"/>
              <w:rPr>
                <w:rFonts w:hint="default" w:eastAsia="宋体"/>
                <w:szCs w:val="21"/>
                <w:vertAlign w:val="baseline"/>
                <w:lang w:val="en-US" w:eastAsia="zh-CN"/>
              </w:rPr>
            </w:pPr>
            <w:r>
              <w:rPr>
                <w:rFonts w:hint="eastAsia"/>
                <w:szCs w:val="21"/>
                <w:vertAlign w:val="baseline"/>
                <w:lang w:val="en-US" w:eastAsia="zh-CN"/>
              </w:rPr>
              <w:t>3</w:t>
            </w:r>
          </w:p>
        </w:tc>
        <w:tc>
          <w:tcPr>
            <w:tcW w:w="3158" w:type="dxa"/>
            <w:shd w:val="clear" w:color="auto" w:fill="auto"/>
            <w:vAlign w:val="center"/>
          </w:tcPr>
          <w:p w14:paraId="55104BF4">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EPS</w:t>
            </w:r>
          </w:p>
        </w:tc>
        <w:tc>
          <w:tcPr>
            <w:tcW w:w="2130" w:type="dxa"/>
            <w:vAlign w:val="center"/>
          </w:tcPr>
          <w:p w14:paraId="06E0724A">
            <w:pPr>
              <w:jc w:val="center"/>
              <w:rPr>
                <w:rFonts w:hint="default" w:eastAsia="宋体"/>
                <w:szCs w:val="21"/>
                <w:vertAlign w:val="baseline"/>
                <w:lang w:val="en-US" w:eastAsia="zh-CN"/>
              </w:rPr>
            </w:pPr>
            <w:r>
              <w:rPr>
                <w:rFonts w:hint="eastAsia"/>
                <w:szCs w:val="21"/>
                <w:vertAlign w:val="baseline"/>
                <w:lang w:val="en-US" w:eastAsia="zh-CN"/>
              </w:rPr>
              <w:t>12平方</w:t>
            </w:r>
          </w:p>
        </w:tc>
        <w:tc>
          <w:tcPr>
            <w:tcW w:w="2130" w:type="dxa"/>
            <w:vAlign w:val="center"/>
          </w:tcPr>
          <w:p w14:paraId="254194B1">
            <w:pPr>
              <w:jc w:val="center"/>
              <w:rPr>
                <w:rFonts w:hint="default" w:eastAsia="宋体"/>
                <w:szCs w:val="21"/>
                <w:vertAlign w:val="baseline"/>
                <w:lang w:val="en-US" w:eastAsia="zh-CN"/>
              </w:rPr>
            </w:pPr>
            <w:r>
              <w:rPr>
                <w:rFonts w:hint="eastAsia"/>
                <w:szCs w:val="21"/>
                <w:vertAlign w:val="baseline"/>
                <w:lang w:val="en-US" w:eastAsia="zh-CN"/>
              </w:rPr>
              <w:t>12平方</w:t>
            </w:r>
          </w:p>
        </w:tc>
      </w:tr>
      <w:tr w14:paraId="1546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70AD629">
            <w:pPr>
              <w:jc w:val="center"/>
              <w:rPr>
                <w:rFonts w:hint="default" w:eastAsia="宋体"/>
                <w:szCs w:val="21"/>
                <w:vertAlign w:val="baseline"/>
                <w:lang w:val="en-US" w:eastAsia="zh-CN"/>
              </w:rPr>
            </w:pPr>
            <w:r>
              <w:rPr>
                <w:rFonts w:hint="eastAsia"/>
                <w:szCs w:val="21"/>
                <w:vertAlign w:val="baseline"/>
                <w:lang w:val="en-US" w:eastAsia="zh-CN"/>
              </w:rPr>
              <w:t>4</w:t>
            </w:r>
          </w:p>
        </w:tc>
        <w:tc>
          <w:tcPr>
            <w:tcW w:w="3158" w:type="dxa"/>
            <w:shd w:val="clear" w:color="auto" w:fill="auto"/>
            <w:vAlign w:val="center"/>
          </w:tcPr>
          <w:p w14:paraId="36B1EC0D">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XPS</w:t>
            </w:r>
          </w:p>
        </w:tc>
        <w:tc>
          <w:tcPr>
            <w:tcW w:w="2130" w:type="dxa"/>
            <w:shd w:val="clear" w:color="auto" w:fill="auto"/>
            <w:vAlign w:val="center"/>
          </w:tcPr>
          <w:p w14:paraId="7EFC571F">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12平方</w:t>
            </w:r>
          </w:p>
        </w:tc>
        <w:tc>
          <w:tcPr>
            <w:tcW w:w="2130" w:type="dxa"/>
            <w:shd w:val="clear" w:color="auto" w:fill="auto"/>
            <w:vAlign w:val="center"/>
          </w:tcPr>
          <w:p w14:paraId="6AF631D2">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12平方</w:t>
            </w:r>
          </w:p>
        </w:tc>
      </w:tr>
      <w:tr w14:paraId="049C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7E279396">
            <w:pPr>
              <w:jc w:val="center"/>
              <w:rPr>
                <w:rFonts w:hint="default" w:eastAsia="宋体"/>
                <w:szCs w:val="21"/>
                <w:vertAlign w:val="baseline"/>
                <w:lang w:val="en-US" w:eastAsia="zh-CN"/>
              </w:rPr>
            </w:pPr>
            <w:r>
              <w:rPr>
                <w:rFonts w:hint="eastAsia"/>
                <w:szCs w:val="21"/>
                <w:vertAlign w:val="baseline"/>
                <w:lang w:val="en-US" w:eastAsia="zh-CN"/>
              </w:rPr>
              <w:t>5</w:t>
            </w:r>
          </w:p>
        </w:tc>
        <w:tc>
          <w:tcPr>
            <w:tcW w:w="3158" w:type="dxa"/>
            <w:shd w:val="clear" w:color="auto" w:fill="auto"/>
            <w:vAlign w:val="center"/>
          </w:tcPr>
          <w:p w14:paraId="0B11E007">
            <w:pPr>
              <w:jc w:val="center"/>
              <w:rPr>
                <w:rFonts w:hint="eastAsia"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橡塑保温材料</w:t>
            </w:r>
          </w:p>
        </w:tc>
        <w:tc>
          <w:tcPr>
            <w:tcW w:w="2130" w:type="dxa"/>
            <w:vAlign w:val="center"/>
          </w:tcPr>
          <w:p w14:paraId="2E701FA3">
            <w:pPr>
              <w:jc w:val="center"/>
              <w:rPr>
                <w:rFonts w:hint="eastAsia"/>
                <w:szCs w:val="21"/>
                <w:vertAlign w:val="baseline"/>
                <w:lang w:val="en-US" w:eastAsia="zh-CN"/>
              </w:rPr>
            </w:pPr>
            <w:r>
              <w:rPr>
                <w:rFonts w:hint="eastAsia"/>
                <w:szCs w:val="21"/>
                <w:vertAlign w:val="baseline"/>
                <w:lang w:val="en-US" w:eastAsia="zh-CN"/>
              </w:rPr>
              <w:t>板：5平方</w:t>
            </w:r>
          </w:p>
          <w:p w14:paraId="659AB662">
            <w:pPr>
              <w:jc w:val="center"/>
              <w:rPr>
                <w:rFonts w:hint="default"/>
                <w:szCs w:val="21"/>
                <w:vertAlign w:val="baseline"/>
                <w:lang w:val="en-US" w:eastAsia="zh-CN"/>
              </w:rPr>
            </w:pPr>
            <w:r>
              <w:rPr>
                <w:rFonts w:hint="eastAsia"/>
                <w:szCs w:val="21"/>
                <w:vertAlign w:val="baseline"/>
                <w:lang w:val="en-US" w:eastAsia="zh-CN"/>
              </w:rPr>
              <w:t>管：3米</w:t>
            </w:r>
          </w:p>
        </w:tc>
        <w:tc>
          <w:tcPr>
            <w:tcW w:w="2130" w:type="dxa"/>
            <w:vAlign w:val="center"/>
          </w:tcPr>
          <w:p w14:paraId="651CC472">
            <w:pPr>
              <w:jc w:val="center"/>
              <w:rPr>
                <w:rFonts w:hint="eastAsia"/>
                <w:szCs w:val="21"/>
                <w:vertAlign w:val="baseline"/>
                <w:lang w:val="en-US" w:eastAsia="zh-CN"/>
              </w:rPr>
            </w:pPr>
            <w:r>
              <w:rPr>
                <w:rFonts w:hint="eastAsia"/>
                <w:szCs w:val="21"/>
                <w:vertAlign w:val="baseline"/>
                <w:lang w:val="en-US" w:eastAsia="zh-CN"/>
              </w:rPr>
              <w:t>板：5平方</w:t>
            </w:r>
          </w:p>
          <w:p w14:paraId="0E1F2C03">
            <w:pPr>
              <w:jc w:val="center"/>
              <w:rPr>
                <w:rFonts w:hint="eastAsia"/>
                <w:szCs w:val="21"/>
                <w:vertAlign w:val="baseline"/>
              </w:rPr>
            </w:pPr>
            <w:r>
              <w:rPr>
                <w:rFonts w:hint="eastAsia"/>
                <w:szCs w:val="21"/>
                <w:vertAlign w:val="baseline"/>
                <w:lang w:val="en-US" w:eastAsia="zh-CN"/>
              </w:rPr>
              <w:t>管：3米</w:t>
            </w:r>
          </w:p>
        </w:tc>
      </w:tr>
      <w:tr w14:paraId="5BBD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442940D">
            <w:pPr>
              <w:jc w:val="center"/>
              <w:rPr>
                <w:rFonts w:hint="default" w:eastAsia="宋体"/>
                <w:szCs w:val="21"/>
                <w:vertAlign w:val="baseline"/>
                <w:lang w:val="en-US" w:eastAsia="zh-CN"/>
              </w:rPr>
            </w:pPr>
            <w:r>
              <w:rPr>
                <w:rFonts w:hint="eastAsia"/>
                <w:szCs w:val="21"/>
                <w:vertAlign w:val="baseline"/>
                <w:lang w:val="en-US" w:eastAsia="zh-CN"/>
              </w:rPr>
              <w:t>6</w:t>
            </w:r>
          </w:p>
        </w:tc>
        <w:tc>
          <w:tcPr>
            <w:tcW w:w="3158" w:type="dxa"/>
            <w:shd w:val="clear" w:color="auto" w:fill="auto"/>
            <w:vAlign w:val="center"/>
          </w:tcPr>
          <w:p w14:paraId="19CB2EE4">
            <w:pPr>
              <w:jc w:val="center"/>
              <w:rPr>
                <w:rFonts w:hint="default" w:ascii="Times New Roman" w:hAnsi="Times New Roman" w:eastAsia="宋体" w:cs="Times New Roman"/>
                <w:kern w:val="2"/>
                <w:sz w:val="21"/>
                <w:szCs w:val="21"/>
                <w:vertAlign w:val="baseline"/>
                <w:lang w:val="en-US" w:eastAsia="zh-CN" w:bidi="ar-SA"/>
              </w:rPr>
            </w:pPr>
            <w:r>
              <w:rPr>
                <w:rFonts w:hint="eastAsia"/>
                <w:szCs w:val="21"/>
                <w:vertAlign w:val="baseline"/>
                <w:lang w:val="en-US" w:eastAsia="zh-CN"/>
              </w:rPr>
              <w:t>真空绝热板</w:t>
            </w:r>
          </w:p>
        </w:tc>
        <w:tc>
          <w:tcPr>
            <w:tcW w:w="2130" w:type="dxa"/>
            <w:vAlign w:val="center"/>
          </w:tcPr>
          <w:p w14:paraId="749F9B5F">
            <w:pPr>
              <w:jc w:val="center"/>
              <w:rPr>
                <w:rFonts w:hint="default"/>
                <w:szCs w:val="21"/>
                <w:vertAlign w:val="baseline"/>
                <w:lang w:val="en-US" w:eastAsia="zh-CN"/>
              </w:rPr>
            </w:pPr>
            <w:r>
              <w:rPr>
                <w:rFonts w:hint="eastAsia"/>
                <w:szCs w:val="21"/>
                <w:vertAlign w:val="baseline"/>
                <w:lang w:val="en-US" w:eastAsia="zh-CN"/>
              </w:rPr>
              <w:t>出厂尺寸-10平方</w:t>
            </w:r>
          </w:p>
          <w:p w14:paraId="66A6C581">
            <w:pPr>
              <w:jc w:val="center"/>
              <w:rPr>
                <w:rFonts w:hint="default"/>
                <w:szCs w:val="21"/>
                <w:vertAlign w:val="baseline"/>
                <w:lang w:val="en-US" w:eastAsia="zh-CN"/>
              </w:rPr>
            </w:pPr>
            <w:r>
              <w:rPr>
                <w:rFonts w:hint="eastAsia"/>
                <w:szCs w:val="21"/>
                <w:vertAlign w:val="baseline"/>
                <w:lang w:val="en-US" w:eastAsia="zh-CN"/>
              </w:rPr>
              <w:t>300*300mm-4块</w:t>
            </w:r>
          </w:p>
          <w:p w14:paraId="3584934F">
            <w:pPr>
              <w:jc w:val="center"/>
              <w:rPr>
                <w:rFonts w:hint="default"/>
                <w:szCs w:val="21"/>
                <w:vertAlign w:val="baseline"/>
                <w:lang w:val="en-US" w:eastAsia="zh-CN"/>
              </w:rPr>
            </w:pPr>
            <w:r>
              <w:rPr>
                <w:rFonts w:hint="eastAsia"/>
                <w:szCs w:val="21"/>
                <w:vertAlign w:val="baseline"/>
                <w:lang w:val="en-US" w:eastAsia="zh-CN"/>
              </w:rPr>
              <w:t>100*100mm-18块</w:t>
            </w:r>
          </w:p>
          <w:p w14:paraId="4A20DBA6">
            <w:pPr>
              <w:jc w:val="center"/>
              <w:rPr>
                <w:rFonts w:hint="default"/>
                <w:szCs w:val="21"/>
                <w:vertAlign w:val="baseline"/>
                <w:lang w:val="en-US" w:eastAsia="zh-CN"/>
              </w:rPr>
            </w:pPr>
            <w:r>
              <w:rPr>
                <w:rFonts w:hint="eastAsia"/>
                <w:szCs w:val="21"/>
                <w:vertAlign w:val="baseline"/>
                <w:lang w:val="en-US" w:eastAsia="zh-CN"/>
              </w:rPr>
              <w:t>300*400mm-5块</w:t>
            </w:r>
          </w:p>
        </w:tc>
        <w:tc>
          <w:tcPr>
            <w:tcW w:w="2130" w:type="dxa"/>
            <w:vAlign w:val="center"/>
          </w:tcPr>
          <w:p w14:paraId="61428E39">
            <w:pPr>
              <w:jc w:val="center"/>
              <w:rPr>
                <w:rFonts w:hint="default"/>
                <w:szCs w:val="21"/>
                <w:vertAlign w:val="baseline"/>
                <w:lang w:val="en-US" w:eastAsia="zh-CN"/>
              </w:rPr>
            </w:pPr>
            <w:r>
              <w:rPr>
                <w:rFonts w:hint="eastAsia"/>
                <w:szCs w:val="21"/>
                <w:vertAlign w:val="baseline"/>
                <w:lang w:val="en-US" w:eastAsia="zh-CN"/>
              </w:rPr>
              <w:t>出厂尺寸-10平方</w:t>
            </w:r>
          </w:p>
          <w:p w14:paraId="49B7D924">
            <w:pPr>
              <w:jc w:val="center"/>
              <w:rPr>
                <w:rFonts w:hint="default"/>
                <w:szCs w:val="21"/>
                <w:vertAlign w:val="baseline"/>
                <w:lang w:val="en-US" w:eastAsia="zh-CN"/>
              </w:rPr>
            </w:pPr>
            <w:r>
              <w:rPr>
                <w:rFonts w:hint="eastAsia"/>
                <w:szCs w:val="21"/>
                <w:vertAlign w:val="baseline"/>
                <w:lang w:val="en-US" w:eastAsia="zh-CN"/>
              </w:rPr>
              <w:t>300*300mm-4块</w:t>
            </w:r>
          </w:p>
          <w:p w14:paraId="333E6CBD">
            <w:pPr>
              <w:jc w:val="center"/>
              <w:rPr>
                <w:rFonts w:hint="default"/>
                <w:szCs w:val="21"/>
                <w:vertAlign w:val="baseline"/>
                <w:lang w:val="en-US" w:eastAsia="zh-CN"/>
              </w:rPr>
            </w:pPr>
            <w:r>
              <w:rPr>
                <w:rFonts w:hint="eastAsia"/>
                <w:szCs w:val="21"/>
                <w:vertAlign w:val="baseline"/>
                <w:lang w:val="en-US" w:eastAsia="zh-CN"/>
              </w:rPr>
              <w:t>100*100mm-18块</w:t>
            </w:r>
          </w:p>
          <w:p w14:paraId="5FA39C1E">
            <w:pPr>
              <w:jc w:val="center"/>
              <w:rPr>
                <w:rFonts w:hint="eastAsia"/>
                <w:szCs w:val="21"/>
                <w:vertAlign w:val="baseline"/>
              </w:rPr>
            </w:pPr>
            <w:r>
              <w:rPr>
                <w:rFonts w:hint="eastAsia"/>
                <w:szCs w:val="21"/>
                <w:vertAlign w:val="baseline"/>
                <w:lang w:val="en-US" w:eastAsia="zh-CN"/>
              </w:rPr>
              <w:t>300*400mm-5块</w:t>
            </w:r>
          </w:p>
        </w:tc>
      </w:tr>
    </w:tbl>
    <w:p w14:paraId="7FC23BE9">
      <w:pPr>
        <w:jc w:val="center"/>
        <w:rPr>
          <w:rFonts w:hint="eastAsia"/>
          <w:szCs w:val="21"/>
        </w:rPr>
      </w:pPr>
    </w:p>
    <w:p w14:paraId="2DB12C47">
      <w:pPr>
        <w:snapToGrid w:val="0"/>
        <w:spacing w:line="440" w:lineRule="exact"/>
        <w:rPr>
          <w:rFonts w:eastAsia="黑体"/>
          <w:sz w:val="24"/>
          <w:szCs w:val="24"/>
        </w:rPr>
      </w:pPr>
      <w:r>
        <w:rPr>
          <w:rFonts w:hint="eastAsia" w:ascii="黑体" w:hAnsi="宋体" w:eastAsia="黑体"/>
          <w:color w:val="000000"/>
          <w:sz w:val="24"/>
          <w:szCs w:val="24"/>
        </w:rPr>
        <w:t>2</w:t>
      </w:r>
      <w:r>
        <w:rPr>
          <w:rFonts w:eastAsia="黑体"/>
          <w:sz w:val="24"/>
          <w:szCs w:val="24"/>
        </w:rPr>
        <w:t>检验项目及检测方法</w:t>
      </w:r>
    </w:p>
    <w:p w14:paraId="6A336842">
      <w:pPr>
        <w:jc w:val="center"/>
        <w:rPr>
          <w:rFonts w:hint="eastAsia"/>
          <w:szCs w:val="21"/>
          <w:lang w:val="en-US" w:eastAsia="zh-CN"/>
        </w:rPr>
      </w:pPr>
      <w:r>
        <w:rPr>
          <w:rFonts w:hint="eastAsia"/>
          <w:szCs w:val="21"/>
        </w:rPr>
        <w:t>表</w:t>
      </w:r>
      <w:r>
        <w:rPr>
          <w:rFonts w:hint="eastAsia"/>
          <w:szCs w:val="21"/>
          <w:lang w:val="en-US" w:eastAsia="zh-CN"/>
        </w:rPr>
        <w:t>2建筑保温材料检验项目及检测方法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764"/>
        <w:gridCol w:w="2839"/>
        <w:gridCol w:w="2818"/>
      </w:tblGrid>
      <w:tr w14:paraId="5ED0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2D62556B">
            <w:pPr>
              <w:snapToGrid w:val="0"/>
              <w:spacing w:line="240" w:lineRule="auto"/>
              <w:jc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序号</w:t>
            </w:r>
          </w:p>
        </w:tc>
        <w:tc>
          <w:tcPr>
            <w:tcW w:w="4603" w:type="dxa"/>
            <w:gridSpan w:val="2"/>
            <w:shd w:val="clear" w:color="auto" w:fill="auto"/>
            <w:vAlign w:val="center"/>
          </w:tcPr>
          <w:p w14:paraId="79D3186C">
            <w:pPr>
              <w:snapToGrid w:val="0"/>
              <w:spacing w:line="240" w:lineRule="auto"/>
              <w:jc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检验项目</w:t>
            </w:r>
          </w:p>
        </w:tc>
        <w:tc>
          <w:tcPr>
            <w:tcW w:w="2818" w:type="dxa"/>
            <w:shd w:val="clear" w:color="auto" w:fill="auto"/>
            <w:vAlign w:val="center"/>
          </w:tcPr>
          <w:p w14:paraId="11CCB43C">
            <w:pPr>
              <w:snapToGrid w:val="0"/>
              <w:spacing w:line="240" w:lineRule="auto"/>
              <w:jc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检验方法</w:t>
            </w:r>
          </w:p>
        </w:tc>
      </w:tr>
      <w:tr w14:paraId="357A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2D18EFCD">
            <w:pPr>
              <w:jc w:val="center"/>
              <w:rPr>
                <w:rFonts w:hint="default"/>
                <w:szCs w:val="21"/>
                <w:vertAlign w:val="baseline"/>
                <w:lang w:val="en-US" w:eastAsia="zh-CN"/>
              </w:rPr>
            </w:pPr>
            <w:r>
              <w:rPr>
                <w:rFonts w:hint="eastAsia"/>
                <w:szCs w:val="21"/>
                <w:vertAlign w:val="baseline"/>
                <w:lang w:val="en-US" w:eastAsia="zh-CN"/>
              </w:rPr>
              <w:t>1</w:t>
            </w:r>
          </w:p>
        </w:tc>
        <w:tc>
          <w:tcPr>
            <w:tcW w:w="1764" w:type="dxa"/>
            <w:vMerge w:val="restart"/>
            <w:vAlign w:val="center"/>
          </w:tcPr>
          <w:p w14:paraId="47995A07">
            <w:pPr>
              <w:jc w:val="center"/>
              <w:rPr>
                <w:rFonts w:hint="eastAsia"/>
                <w:szCs w:val="21"/>
                <w:vertAlign w:val="baseline"/>
                <w:lang w:val="en-US" w:eastAsia="zh-CN"/>
              </w:rPr>
            </w:pPr>
            <w:r>
              <w:rPr>
                <w:rFonts w:hint="eastAsia"/>
                <w:szCs w:val="21"/>
                <w:vertAlign w:val="baseline"/>
                <w:lang w:val="en-US" w:eastAsia="zh-CN"/>
              </w:rPr>
              <w:t>岩棉板</w:t>
            </w:r>
          </w:p>
          <w:p w14:paraId="2E97FB56">
            <w:pPr>
              <w:jc w:val="center"/>
              <w:rPr>
                <w:rFonts w:hint="default"/>
                <w:szCs w:val="21"/>
                <w:vertAlign w:val="baseline"/>
                <w:lang w:val="en-US" w:eastAsia="zh-CN"/>
              </w:rPr>
            </w:pPr>
            <w:r>
              <w:rPr>
                <w:rFonts w:hint="eastAsia"/>
                <w:szCs w:val="21"/>
                <w:vertAlign w:val="baseline"/>
                <w:lang w:val="en-US" w:eastAsia="zh-CN"/>
              </w:rPr>
              <w:t>GB/T 25975-2018</w:t>
            </w:r>
          </w:p>
        </w:tc>
        <w:tc>
          <w:tcPr>
            <w:tcW w:w="2839" w:type="dxa"/>
            <w:vAlign w:val="center"/>
          </w:tcPr>
          <w:p w14:paraId="5BB33DD1">
            <w:pPr>
              <w:jc w:val="center"/>
              <w:rPr>
                <w:rFonts w:hint="default"/>
                <w:szCs w:val="21"/>
                <w:vertAlign w:val="baseline"/>
                <w:lang w:val="en-US" w:eastAsia="zh-CN"/>
              </w:rPr>
            </w:pPr>
            <w:r>
              <w:rPr>
                <w:rFonts w:hint="eastAsia"/>
                <w:szCs w:val="21"/>
                <w:vertAlign w:val="baseline"/>
                <w:lang w:val="en-US" w:eastAsia="zh-CN"/>
              </w:rPr>
              <w:t>尺寸允许偏差</w:t>
            </w:r>
          </w:p>
        </w:tc>
        <w:tc>
          <w:tcPr>
            <w:tcW w:w="2818" w:type="dxa"/>
            <w:vAlign w:val="center"/>
          </w:tcPr>
          <w:p w14:paraId="69CE4694">
            <w:pPr>
              <w:jc w:val="center"/>
              <w:rPr>
                <w:rFonts w:hint="eastAsia"/>
                <w:szCs w:val="21"/>
                <w:vertAlign w:val="baseline"/>
                <w:lang w:val="en-US" w:eastAsia="zh-CN"/>
              </w:rPr>
            </w:pPr>
            <w:r>
              <w:rPr>
                <w:rFonts w:hint="eastAsia"/>
                <w:szCs w:val="21"/>
                <w:vertAlign w:val="baseline"/>
                <w:lang w:val="en-US" w:eastAsia="zh-CN"/>
              </w:rPr>
              <w:t>GB/T 5480-2017</w:t>
            </w:r>
          </w:p>
        </w:tc>
      </w:tr>
      <w:tr w14:paraId="67EC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74EE4BA6">
            <w:pPr>
              <w:jc w:val="center"/>
              <w:rPr>
                <w:rFonts w:hint="eastAsia"/>
                <w:szCs w:val="21"/>
                <w:vertAlign w:val="baseline"/>
                <w:lang w:val="en-US" w:eastAsia="zh-CN"/>
              </w:rPr>
            </w:pPr>
          </w:p>
        </w:tc>
        <w:tc>
          <w:tcPr>
            <w:tcW w:w="1764" w:type="dxa"/>
            <w:vMerge w:val="continue"/>
            <w:vAlign w:val="center"/>
          </w:tcPr>
          <w:p w14:paraId="767ECAFA">
            <w:pPr>
              <w:jc w:val="center"/>
              <w:rPr>
                <w:rFonts w:hint="eastAsia"/>
                <w:szCs w:val="21"/>
                <w:vertAlign w:val="baseline"/>
                <w:lang w:val="en-US" w:eastAsia="zh-CN"/>
              </w:rPr>
            </w:pPr>
          </w:p>
        </w:tc>
        <w:tc>
          <w:tcPr>
            <w:tcW w:w="2839" w:type="dxa"/>
            <w:vAlign w:val="center"/>
          </w:tcPr>
          <w:p w14:paraId="21E6F18D">
            <w:pPr>
              <w:jc w:val="center"/>
              <w:rPr>
                <w:rFonts w:hint="default"/>
                <w:szCs w:val="21"/>
                <w:vertAlign w:val="baseline"/>
                <w:lang w:val="en-US" w:eastAsia="zh-CN"/>
              </w:rPr>
            </w:pPr>
            <w:r>
              <w:rPr>
                <w:rFonts w:hint="eastAsia"/>
                <w:szCs w:val="21"/>
                <w:vertAlign w:val="baseline"/>
                <w:lang w:val="en-US" w:eastAsia="zh-CN"/>
              </w:rPr>
              <w:t>垂直于板面方向的抗拉强度</w:t>
            </w:r>
          </w:p>
        </w:tc>
        <w:tc>
          <w:tcPr>
            <w:tcW w:w="2818" w:type="dxa"/>
            <w:vAlign w:val="center"/>
          </w:tcPr>
          <w:p w14:paraId="1D1B95D4">
            <w:pPr>
              <w:jc w:val="center"/>
              <w:rPr>
                <w:rFonts w:hint="default"/>
                <w:szCs w:val="21"/>
                <w:vertAlign w:val="baseline"/>
                <w:lang w:val="en-US" w:eastAsia="zh-CN"/>
              </w:rPr>
            </w:pPr>
            <w:r>
              <w:rPr>
                <w:rFonts w:hint="eastAsia"/>
                <w:szCs w:val="21"/>
                <w:vertAlign w:val="baseline"/>
                <w:lang w:val="en-US" w:eastAsia="zh-CN"/>
              </w:rPr>
              <w:t>GB/T 30804-2014</w:t>
            </w:r>
          </w:p>
        </w:tc>
      </w:tr>
      <w:tr w14:paraId="375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537A83D">
            <w:pPr>
              <w:jc w:val="center"/>
              <w:rPr>
                <w:rFonts w:hint="eastAsia"/>
                <w:szCs w:val="21"/>
                <w:vertAlign w:val="baseline"/>
                <w:lang w:val="en-US" w:eastAsia="zh-CN"/>
              </w:rPr>
            </w:pPr>
          </w:p>
        </w:tc>
        <w:tc>
          <w:tcPr>
            <w:tcW w:w="1764" w:type="dxa"/>
            <w:vMerge w:val="continue"/>
            <w:vAlign w:val="center"/>
          </w:tcPr>
          <w:p w14:paraId="0EC510A9">
            <w:pPr>
              <w:jc w:val="center"/>
              <w:rPr>
                <w:rFonts w:hint="eastAsia"/>
                <w:szCs w:val="21"/>
                <w:vertAlign w:val="baseline"/>
                <w:lang w:val="en-US" w:eastAsia="zh-CN"/>
              </w:rPr>
            </w:pPr>
          </w:p>
        </w:tc>
        <w:tc>
          <w:tcPr>
            <w:tcW w:w="2839" w:type="dxa"/>
            <w:vAlign w:val="center"/>
          </w:tcPr>
          <w:p w14:paraId="7A0BCD4D">
            <w:pPr>
              <w:jc w:val="center"/>
              <w:rPr>
                <w:rFonts w:hint="default"/>
                <w:szCs w:val="21"/>
                <w:vertAlign w:val="baseline"/>
                <w:lang w:val="en-US" w:eastAsia="zh-CN"/>
              </w:rPr>
            </w:pPr>
            <w:r>
              <w:rPr>
                <w:rFonts w:hint="eastAsia"/>
                <w:szCs w:val="21"/>
                <w:vertAlign w:val="baseline"/>
                <w:lang w:val="en-US" w:eastAsia="zh-CN"/>
              </w:rPr>
              <w:t>横向剪切强度</w:t>
            </w:r>
          </w:p>
        </w:tc>
        <w:tc>
          <w:tcPr>
            <w:tcW w:w="2818" w:type="dxa"/>
            <w:vAlign w:val="center"/>
          </w:tcPr>
          <w:p w14:paraId="6D542763">
            <w:pPr>
              <w:jc w:val="center"/>
              <w:rPr>
                <w:rFonts w:hint="eastAsia"/>
                <w:szCs w:val="21"/>
                <w:vertAlign w:val="baseline"/>
                <w:lang w:val="en-US" w:eastAsia="zh-CN"/>
              </w:rPr>
            </w:pPr>
            <w:r>
              <w:rPr>
                <w:rFonts w:hint="eastAsia"/>
                <w:szCs w:val="21"/>
                <w:vertAlign w:val="baseline"/>
                <w:lang w:val="en-US" w:eastAsia="zh-CN"/>
              </w:rPr>
              <w:t>GB/T 32382-2015</w:t>
            </w:r>
          </w:p>
        </w:tc>
      </w:tr>
      <w:tr w14:paraId="43FC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275181E2">
            <w:pPr>
              <w:jc w:val="center"/>
              <w:rPr>
                <w:rFonts w:hint="eastAsia"/>
                <w:szCs w:val="21"/>
                <w:vertAlign w:val="baseline"/>
                <w:lang w:val="en-US" w:eastAsia="zh-CN"/>
              </w:rPr>
            </w:pPr>
          </w:p>
        </w:tc>
        <w:tc>
          <w:tcPr>
            <w:tcW w:w="1764" w:type="dxa"/>
            <w:vMerge w:val="continue"/>
            <w:vAlign w:val="center"/>
          </w:tcPr>
          <w:p w14:paraId="2E3D6D1D">
            <w:pPr>
              <w:jc w:val="center"/>
              <w:rPr>
                <w:rFonts w:hint="eastAsia"/>
                <w:szCs w:val="21"/>
                <w:vertAlign w:val="baseline"/>
                <w:lang w:val="en-US" w:eastAsia="zh-CN"/>
              </w:rPr>
            </w:pPr>
          </w:p>
        </w:tc>
        <w:tc>
          <w:tcPr>
            <w:tcW w:w="2839" w:type="dxa"/>
            <w:vAlign w:val="center"/>
          </w:tcPr>
          <w:p w14:paraId="49C8C355">
            <w:pPr>
              <w:jc w:val="center"/>
              <w:rPr>
                <w:rFonts w:hint="default"/>
                <w:szCs w:val="21"/>
                <w:vertAlign w:val="baseline"/>
                <w:lang w:val="en-US" w:eastAsia="zh-CN"/>
              </w:rPr>
            </w:pPr>
            <w:r>
              <w:rPr>
                <w:rFonts w:hint="eastAsia"/>
                <w:szCs w:val="21"/>
                <w:vertAlign w:val="baseline"/>
                <w:lang w:val="en-US" w:eastAsia="zh-CN"/>
              </w:rPr>
              <w:t>横向剪切模量</w:t>
            </w:r>
          </w:p>
        </w:tc>
        <w:tc>
          <w:tcPr>
            <w:tcW w:w="2818" w:type="dxa"/>
            <w:vAlign w:val="center"/>
          </w:tcPr>
          <w:p w14:paraId="6EEA51D1">
            <w:pPr>
              <w:jc w:val="center"/>
              <w:rPr>
                <w:rFonts w:hint="eastAsia"/>
                <w:szCs w:val="21"/>
                <w:vertAlign w:val="baseline"/>
                <w:lang w:val="en-US" w:eastAsia="zh-CN"/>
              </w:rPr>
            </w:pPr>
            <w:r>
              <w:rPr>
                <w:rFonts w:hint="eastAsia"/>
                <w:szCs w:val="21"/>
                <w:vertAlign w:val="baseline"/>
                <w:lang w:val="en-US" w:eastAsia="zh-CN"/>
              </w:rPr>
              <w:t>GB/T 32382-2015</w:t>
            </w:r>
          </w:p>
        </w:tc>
      </w:tr>
      <w:tr w14:paraId="03AB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3CB1EDB4">
            <w:pPr>
              <w:jc w:val="center"/>
              <w:rPr>
                <w:rFonts w:hint="eastAsia"/>
                <w:szCs w:val="21"/>
                <w:vertAlign w:val="baseline"/>
                <w:lang w:val="en-US" w:eastAsia="zh-CN"/>
              </w:rPr>
            </w:pPr>
          </w:p>
        </w:tc>
        <w:tc>
          <w:tcPr>
            <w:tcW w:w="1764" w:type="dxa"/>
            <w:vMerge w:val="continue"/>
            <w:vAlign w:val="center"/>
          </w:tcPr>
          <w:p w14:paraId="2F0E18FD">
            <w:pPr>
              <w:jc w:val="center"/>
              <w:rPr>
                <w:rFonts w:hint="eastAsia"/>
                <w:szCs w:val="21"/>
                <w:vertAlign w:val="baseline"/>
                <w:lang w:val="en-US" w:eastAsia="zh-CN"/>
              </w:rPr>
            </w:pPr>
          </w:p>
        </w:tc>
        <w:tc>
          <w:tcPr>
            <w:tcW w:w="2839" w:type="dxa"/>
            <w:vAlign w:val="center"/>
          </w:tcPr>
          <w:p w14:paraId="5C2D745A">
            <w:pPr>
              <w:jc w:val="center"/>
              <w:rPr>
                <w:rFonts w:hint="default"/>
                <w:szCs w:val="21"/>
                <w:vertAlign w:val="baseline"/>
                <w:lang w:val="en-US" w:eastAsia="zh-CN"/>
              </w:rPr>
            </w:pPr>
            <w:r>
              <w:rPr>
                <w:rFonts w:hint="eastAsia"/>
                <w:szCs w:val="21"/>
                <w:vertAlign w:val="baseline"/>
                <w:lang w:val="en-US" w:eastAsia="zh-CN"/>
              </w:rPr>
              <w:t>导热系数</w:t>
            </w:r>
          </w:p>
        </w:tc>
        <w:tc>
          <w:tcPr>
            <w:tcW w:w="2818" w:type="dxa"/>
            <w:vAlign w:val="center"/>
          </w:tcPr>
          <w:p w14:paraId="4A54209B">
            <w:pPr>
              <w:jc w:val="center"/>
              <w:rPr>
                <w:rFonts w:hint="eastAsia"/>
                <w:szCs w:val="21"/>
                <w:vertAlign w:val="baseline"/>
                <w:lang w:val="en-US" w:eastAsia="zh-CN"/>
              </w:rPr>
            </w:pPr>
            <w:r>
              <w:rPr>
                <w:rFonts w:hint="eastAsia"/>
                <w:szCs w:val="21"/>
                <w:vertAlign w:val="baseline"/>
                <w:lang w:val="en-US" w:eastAsia="zh-CN"/>
              </w:rPr>
              <w:t>GB/T 10295-2008</w:t>
            </w:r>
          </w:p>
          <w:p w14:paraId="2103ABC6">
            <w:pPr>
              <w:jc w:val="center"/>
              <w:rPr>
                <w:rFonts w:hint="eastAsia"/>
                <w:szCs w:val="21"/>
                <w:vertAlign w:val="baseline"/>
                <w:lang w:val="en-US" w:eastAsia="zh-CN"/>
              </w:rPr>
            </w:pPr>
            <w:r>
              <w:rPr>
                <w:rFonts w:hint="eastAsia"/>
                <w:szCs w:val="21"/>
                <w:vertAlign w:val="baseline"/>
                <w:lang w:val="en-US" w:eastAsia="zh-CN"/>
              </w:rPr>
              <w:t>GB/T 10294-2008</w:t>
            </w:r>
          </w:p>
        </w:tc>
      </w:tr>
      <w:tr w14:paraId="12FE94EB">
        <w:tblPrEx>
          <w:tblCellMar>
            <w:top w:w="0" w:type="dxa"/>
            <w:left w:w="108" w:type="dxa"/>
            <w:bottom w:w="0" w:type="dxa"/>
            <w:right w:w="108" w:type="dxa"/>
          </w:tblCellMar>
        </w:tblPrEx>
        <w:trPr>
          <w:jc w:val="center"/>
        </w:trPr>
        <w:tc>
          <w:tcPr>
            <w:tcW w:w="1101" w:type="dxa"/>
            <w:vMerge w:val="continue"/>
            <w:vAlign w:val="center"/>
          </w:tcPr>
          <w:p w14:paraId="227A23D8">
            <w:pPr>
              <w:jc w:val="center"/>
              <w:rPr>
                <w:rFonts w:hint="eastAsia"/>
                <w:szCs w:val="21"/>
                <w:vertAlign w:val="baseline"/>
                <w:lang w:val="en-US" w:eastAsia="zh-CN"/>
              </w:rPr>
            </w:pPr>
          </w:p>
        </w:tc>
        <w:tc>
          <w:tcPr>
            <w:tcW w:w="1764" w:type="dxa"/>
            <w:vMerge w:val="continue"/>
            <w:vAlign w:val="center"/>
          </w:tcPr>
          <w:p w14:paraId="5C225543">
            <w:pPr>
              <w:jc w:val="center"/>
              <w:rPr>
                <w:rFonts w:hint="eastAsia"/>
                <w:szCs w:val="21"/>
                <w:vertAlign w:val="baseline"/>
                <w:lang w:val="en-US" w:eastAsia="zh-CN"/>
              </w:rPr>
            </w:pPr>
          </w:p>
        </w:tc>
        <w:tc>
          <w:tcPr>
            <w:tcW w:w="2839" w:type="dxa"/>
            <w:vAlign w:val="center"/>
          </w:tcPr>
          <w:p w14:paraId="5A2EBDFA">
            <w:pPr>
              <w:jc w:val="center"/>
              <w:rPr>
                <w:rFonts w:hint="default"/>
                <w:szCs w:val="21"/>
                <w:vertAlign w:val="baseline"/>
                <w:lang w:val="en-US" w:eastAsia="zh-CN"/>
              </w:rPr>
            </w:pPr>
            <w:r>
              <w:rPr>
                <w:rFonts w:hint="eastAsia"/>
                <w:szCs w:val="21"/>
                <w:vertAlign w:val="baseline"/>
                <w:lang w:val="en-US" w:eastAsia="zh-CN"/>
              </w:rPr>
              <w:t>吸水量(24h)</w:t>
            </w:r>
          </w:p>
        </w:tc>
        <w:tc>
          <w:tcPr>
            <w:tcW w:w="2818" w:type="dxa"/>
            <w:vAlign w:val="center"/>
          </w:tcPr>
          <w:p w14:paraId="05A25643">
            <w:pPr>
              <w:jc w:val="center"/>
              <w:rPr>
                <w:rFonts w:hint="default"/>
                <w:szCs w:val="21"/>
                <w:vertAlign w:val="baseline"/>
                <w:lang w:val="en-US" w:eastAsia="zh-CN"/>
              </w:rPr>
            </w:pPr>
            <w:r>
              <w:rPr>
                <w:rFonts w:hint="eastAsia"/>
                <w:szCs w:val="21"/>
                <w:vertAlign w:val="baseline"/>
                <w:lang w:val="en-US" w:eastAsia="zh-CN"/>
              </w:rPr>
              <w:t>GB/T 30805-2024</w:t>
            </w:r>
          </w:p>
        </w:tc>
      </w:tr>
      <w:tr w14:paraId="6788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33879CBC">
            <w:pPr>
              <w:jc w:val="center"/>
              <w:rPr>
                <w:rFonts w:hint="eastAsia"/>
                <w:szCs w:val="21"/>
                <w:vertAlign w:val="baseline"/>
                <w:lang w:val="en-US" w:eastAsia="zh-CN"/>
              </w:rPr>
            </w:pPr>
          </w:p>
        </w:tc>
        <w:tc>
          <w:tcPr>
            <w:tcW w:w="1764" w:type="dxa"/>
            <w:vMerge w:val="continue"/>
            <w:vAlign w:val="center"/>
          </w:tcPr>
          <w:p w14:paraId="6CF4413F">
            <w:pPr>
              <w:jc w:val="center"/>
              <w:rPr>
                <w:rFonts w:hint="eastAsia"/>
                <w:szCs w:val="21"/>
                <w:vertAlign w:val="baseline"/>
                <w:lang w:val="en-US" w:eastAsia="zh-CN"/>
              </w:rPr>
            </w:pPr>
          </w:p>
        </w:tc>
        <w:tc>
          <w:tcPr>
            <w:tcW w:w="2839" w:type="dxa"/>
            <w:vAlign w:val="center"/>
          </w:tcPr>
          <w:p w14:paraId="3EC376A4">
            <w:pPr>
              <w:jc w:val="center"/>
              <w:rPr>
                <w:rFonts w:hint="default"/>
                <w:szCs w:val="21"/>
                <w:vertAlign w:val="baseline"/>
                <w:lang w:val="en-US" w:eastAsia="zh-CN"/>
              </w:rPr>
            </w:pPr>
            <w:r>
              <w:rPr>
                <w:rFonts w:hint="eastAsia"/>
                <w:szCs w:val="21"/>
                <w:vertAlign w:val="baseline"/>
                <w:lang w:val="en-US" w:eastAsia="zh-CN"/>
              </w:rPr>
              <w:t>吸水量(28d)</w:t>
            </w:r>
          </w:p>
        </w:tc>
        <w:tc>
          <w:tcPr>
            <w:tcW w:w="2818" w:type="dxa"/>
            <w:vAlign w:val="center"/>
          </w:tcPr>
          <w:p w14:paraId="1604FD75">
            <w:pPr>
              <w:jc w:val="center"/>
              <w:rPr>
                <w:rFonts w:hint="default"/>
                <w:szCs w:val="21"/>
                <w:vertAlign w:val="baseline"/>
                <w:lang w:val="en-US" w:eastAsia="zh-CN"/>
              </w:rPr>
            </w:pPr>
            <w:r>
              <w:rPr>
                <w:rFonts w:hint="eastAsia"/>
                <w:szCs w:val="21"/>
                <w:vertAlign w:val="baseline"/>
                <w:lang w:val="en-US" w:eastAsia="zh-CN"/>
              </w:rPr>
              <w:t>GB/T 30807-2014</w:t>
            </w:r>
          </w:p>
        </w:tc>
      </w:tr>
      <w:tr w14:paraId="5FA89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5C731E4">
            <w:pPr>
              <w:jc w:val="center"/>
              <w:rPr>
                <w:rFonts w:hint="eastAsia"/>
                <w:szCs w:val="21"/>
                <w:vertAlign w:val="baseline"/>
                <w:lang w:val="en-US" w:eastAsia="zh-CN"/>
              </w:rPr>
            </w:pPr>
          </w:p>
        </w:tc>
        <w:tc>
          <w:tcPr>
            <w:tcW w:w="1764" w:type="dxa"/>
            <w:vMerge w:val="continue"/>
            <w:vAlign w:val="center"/>
          </w:tcPr>
          <w:p w14:paraId="6B44B8B5">
            <w:pPr>
              <w:jc w:val="center"/>
              <w:rPr>
                <w:rFonts w:hint="eastAsia"/>
                <w:szCs w:val="21"/>
                <w:vertAlign w:val="baseline"/>
                <w:lang w:val="en-US" w:eastAsia="zh-CN"/>
              </w:rPr>
            </w:pPr>
          </w:p>
        </w:tc>
        <w:tc>
          <w:tcPr>
            <w:tcW w:w="2839" w:type="dxa"/>
            <w:vAlign w:val="center"/>
          </w:tcPr>
          <w:p w14:paraId="3633969D">
            <w:pPr>
              <w:jc w:val="center"/>
              <w:rPr>
                <w:rFonts w:hint="default"/>
                <w:szCs w:val="21"/>
                <w:vertAlign w:val="baseline"/>
                <w:lang w:val="en-US" w:eastAsia="zh-CN"/>
              </w:rPr>
            </w:pPr>
            <w:r>
              <w:rPr>
                <w:rFonts w:hint="eastAsia"/>
                <w:szCs w:val="21"/>
                <w:vertAlign w:val="baseline"/>
                <w:lang w:val="en-US" w:eastAsia="zh-CN"/>
              </w:rPr>
              <w:t>质量吸湿率</w:t>
            </w:r>
          </w:p>
        </w:tc>
        <w:tc>
          <w:tcPr>
            <w:tcW w:w="2818" w:type="dxa"/>
            <w:vAlign w:val="center"/>
          </w:tcPr>
          <w:p w14:paraId="4B9035FA">
            <w:pPr>
              <w:jc w:val="center"/>
              <w:rPr>
                <w:rFonts w:hint="eastAsia"/>
                <w:szCs w:val="21"/>
                <w:vertAlign w:val="baseline"/>
                <w:lang w:val="en-US" w:eastAsia="zh-CN"/>
              </w:rPr>
            </w:pPr>
            <w:r>
              <w:rPr>
                <w:rFonts w:hint="eastAsia"/>
                <w:szCs w:val="21"/>
                <w:vertAlign w:val="baseline"/>
                <w:lang w:val="en-US" w:eastAsia="zh-CN"/>
              </w:rPr>
              <w:t>GB/T 5480-2017</w:t>
            </w:r>
          </w:p>
        </w:tc>
      </w:tr>
      <w:tr w14:paraId="42B3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49C25A98">
            <w:pPr>
              <w:jc w:val="center"/>
              <w:rPr>
                <w:rFonts w:hint="eastAsia"/>
                <w:szCs w:val="21"/>
                <w:vertAlign w:val="baseline"/>
                <w:lang w:val="en-US" w:eastAsia="zh-CN"/>
              </w:rPr>
            </w:pPr>
          </w:p>
        </w:tc>
        <w:tc>
          <w:tcPr>
            <w:tcW w:w="1764" w:type="dxa"/>
            <w:vMerge w:val="continue"/>
            <w:vAlign w:val="center"/>
          </w:tcPr>
          <w:p w14:paraId="3DE0E44D">
            <w:pPr>
              <w:jc w:val="center"/>
              <w:rPr>
                <w:rFonts w:hint="eastAsia"/>
                <w:szCs w:val="21"/>
                <w:vertAlign w:val="baseline"/>
                <w:lang w:val="en-US" w:eastAsia="zh-CN"/>
              </w:rPr>
            </w:pPr>
          </w:p>
        </w:tc>
        <w:tc>
          <w:tcPr>
            <w:tcW w:w="2839" w:type="dxa"/>
            <w:vAlign w:val="center"/>
          </w:tcPr>
          <w:p w14:paraId="535D212E">
            <w:pPr>
              <w:jc w:val="center"/>
              <w:rPr>
                <w:rFonts w:hint="default"/>
                <w:szCs w:val="21"/>
                <w:vertAlign w:val="baseline"/>
                <w:lang w:val="en-US" w:eastAsia="zh-CN"/>
              </w:rPr>
            </w:pPr>
            <w:r>
              <w:rPr>
                <w:rFonts w:hint="eastAsia"/>
                <w:szCs w:val="21"/>
                <w:vertAlign w:val="baseline"/>
                <w:lang w:val="en-US" w:eastAsia="zh-CN"/>
              </w:rPr>
              <w:t>燃烧性能A1级</w:t>
            </w:r>
          </w:p>
        </w:tc>
        <w:tc>
          <w:tcPr>
            <w:tcW w:w="2818" w:type="dxa"/>
            <w:vAlign w:val="center"/>
          </w:tcPr>
          <w:p w14:paraId="1CED3896">
            <w:pPr>
              <w:jc w:val="center"/>
              <w:rPr>
                <w:rFonts w:hint="default"/>
                <w:szCs w:val="21"/>
                <w:vertAlign w:val="baseline"/>
                <w:lang w:val="en-US" w:eastAsia="zh-CN"/>
              </w:rPr>
            </w:pPr>
            <w:r>
              <w:rPr>
                <w:rFonts w:hint="eastAsia"/>
                <w:szCs w:val="21"/>
                <w:vertAlign w:val="baseline"/>
                <w:lang w:val="en-US" w:eastAsia="zh-CN"/>
              </w:rPr>
              <w:t>GB 8624-2012</w:t>
            </w:r>
          </w:p>
        </w:tc>
      </w:tr>
      <w:tr w14:paraId="01AE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34E2C261">
            <w:pPr>
              <w:jc w:val="center"/>
              <w:rPr>
                <w:rFonts w:hint="default"/>
                <w:szCs w:val="21"/>
                <w:vertAlign w:val="baseline"/>
                <w:lang w:val="en-US" w:eastAsia="zh-CN"/>
              </w:rPr>
            </w:pPr>
            <w:r>
              <w:rPr>
                <w:rFonts w:hint="eastAsia"/>
                <w:szCs w:val="21"/>
                <w:vertAlign w:val="baseline"/>
                <w:lang w:val="en-US" w:eastAsia="zh-CN"/>
              </w:rPr>
              <w:t>2</w:t>
            </w:r>
          </w:p>
        </w:tc>
        <w:tc>
          <w:tcPr>
            <w:tcW w:w="1764" w:type="dxa"/>
            <w:vMerge w:val="restart"/>
            <w:vAlign w:val="center"/>
          </w:tcPr>
          <w:p w14:paraId="24BCE0A6">
            <w:pPr>
              <w:jc w:val="center"/>
              <w:rPr>
                <w:rFonts w:hint="eastAsia"/>
                <w:szCs w:val="21"/>
                <w:vertAlign w:val="baseline"/>
                <w:lang w:val="en-US" w:eastAsia="zh-CN"/>
              </w:rPr>
            </w:pPr>
            <w:r>
              <w:rPr>
                <w:rFonts w:hint="eastAsia"/>
                <w:szCs w:val="21"/>
                <w:vertAlign w:val="baseline"/>
                <w:lang w:val="en-US" w:eastAsia="zh-CN"/>
              </w:rPr>
              <w:t>玻璃棉</w:t>
            </w:r>
          </w:p>
          <w:p w14:paraId="60C1076D">
            <w:pPr>
              <w:jc w:val="center"/>
              <w:rPr>
                <w:rFonts w:hint="default"/>
                <w:szCs w:val="21"/>
                <w:vertAlign w:val="baseline"/>
                <w:lang w:val="en-US" w:eastAsia="zh-CN"/>
              </w:rPr>
            </w:pPr>
            <w:r>
              <w:rPr>
                <w:rFonts w:hint="eastAsia"/>
                <w:szCs w:val="21"/>
                <w:vertAlign w:val="baseline"/>
                <w:lang w:val="en-US" w:eastAsia="zh-CN"/>
              </w:rPr>
              <w:t>GB/T 13350-2017</w:t>
            </w:r>
          </w:p>
        </w:tc>
        <w:tc>
          <w:tcPr>
            <w:tcW w:w="2839" w:type="dxa"/>
            <w:vAlign w:val="center"/>
          </w:tcPr>
          <w:p w14:paraId="1C3901B8">
            <w:pPr>
              <w:jc w:val="center"/>
              <w:rPr>
                <w:rFonts w:hint="default"/>
                <w:szCs w:val="21"/>
                <w:vertAlign w:val="baseline"/>
                <w:lang w:val="en-US" w:eastAsia="zh-CN"/>
              </w:rPr>
            </w:pPr>
            <w:r>
              <w:rPr>
                <w:rFonts w:hint="eastAsia"/>
                <w:szCs w:val="21"/>
                <w:vertAlign w:val="baseline"/>
                <w:lang w:val="en-US" w:eastAsia="zh-CN"/>
              </w:rPr>
              <w:t>导热系数</w:t>
            </w:r>
          </w:p>
        </w:tc>
        <w:tc>
          <w:tcPr>
            <w:tcW w:w="2818" w:type="dxa"/>
            <w:vAlign w:val="center"/>
          </w:tcPr>
          <w:p w14:paraId="1A6DC2E9">
            <w:pPr>
              <w:jc w:val="center"/>
              <w:rPr>
                <w:rFonts w:hint="eastAsia"/>
                <w:szCs w:val="21"/>
                <w:vertAlign w:val="baseline"/>
                <w:lang w:val="en-US" w:eastAsia="zh-CN"/>
              </w:rPr>
            </w:pPr>
            <w:r>
              <w:rPr>
                <w:rFonts w:hint="eastAsia"/>
                <w:szCs w:val="21"/>
                <w:vertAlign w:val="baseline"/>
                <w:lang w:val="en-US" w:eastAsia="zh-CN"/>
              </w:rPr>
              <w:t>GB/T 10295-2008</w:t>
            </w:r>
          </w:p>
          <w:p w14:paraId="5D4072AB">
            <w:pPr>
              <w:jc w:val="center"/>
              <w:rPr>
                <w:rFonts w:hint="eastAsia"/>
                <w:szCs w:val="21"/>
                <w:vertAlign w:val="baseline"/>
                <w:lang w:val="en-US" w:eastAsia="zh-CN"/>
              </w:rPr>
            </w:pPr>
            <w:r>
              <w:rPr>
                <w:rFonts w:hint="eastAsia"/>
                <w:szCs w:val="21"/>
                <w:vertAlign w:val="baseline"/>
                <w:lang w:val="en-US" w:eastAsia="zh-CN"/>
              </w:rPr>
              <w:t>GB/T 10294-2008</w:t>
            </w:r>
          </w:p>
        </w:tc>
      </w:tr>
      <w:tr w14:paraId="6311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18B05119">
            <w:pPr>
              <w:jc w:val="center"/>
              <w:rPr>
                <w:rFonts w:hint="eastAsia"/>
                <w:szCs w:val="21"/>
                <w:vertAlign w:val="baseline"/>
                <w:lang w:val="en-US" w:eastAsia="zh-CN"/>
              </w:rPr>
            </w:pPr>
          </w:p>
        </w:tc>
        <w:tc>
          <w:tcPr>
            <w:tcW w:w="1764" w:type="dxa"/>
            <w:vMerge w:val="continue"/>
            <w:vAlign w:val="center"/>
          </w:tcPr>
          <w:p w14:paraId="25B02BB3">
            <w:pPr>
              <w:jc w:val="center"/>
              <w:rPr>
                <w:rFonts w:hint="eastAsia"/>
                <w:szCs w:val="21"/>
                <w:vertAlign w:val="baseline"/>
                <w:lang w:val="en-US" w:eastAsia="zh-CN"/>
              </w:rPr>
            </w:pPr>
          </w:p>
        </w:tc>
        <w:tc>
          <w:tcPr>
            <w:tcW w:w="2839" w:type="dxa"/>
            <w:vAlign w:val="center"/>
          </w:tcPr>
          <w:p w14:paraId="47F93E27">
            <w:pPr>
              <w:jc w:val="center"/>
              <w:rPr>
                <w:rFonts w:hint="default"/>
                <w:szCs w:val="21"/>
                <w:vertAlign w:val="baseline"/>
                <w:lang w:val="en-US" w:eastAsia="zh-CN"/>
              </w:rPr>
            </w:pPr>
            <w:r>
              <w:rPr>
                <w:rFonts w:hint="eastAsia"/>
                <w:szCs w:val="21"/>
                <w:vertAlign w:val="baseline"/>
                <w:lang w:val="en-US" w:eastAsia="zh-CN"/>
              </w:rPr>
              <w:t>燃烧性能A1级</w:t>
            </w:r>
          </w:p>
        </w:tc>
        <w:tc>
          <w:tcPr>
            <w:tcW w:w="2818" w:type="dxa"/>
            <w:vAlign w:val="center"/>
          </w:tcPr>
          <w:p w14:paraId="2B0B343D">
            <w:pPr>
              <w:jc w:val="center"/>
              <w:rPr>
                <w:rFonts w:hint="default"/>
                <w:szCs w:val="21"/>
                <w:vertAlign w:val="baseline"/>
                <w:lang w:val="en-US" w:eastAsia="zh-CN"/>
              </w:rPr>
            </w:pPr>
            <w:r>
              <w:rPr>
                <w:rFonts w:hint="eastAsia"/>
                <w:szCs w:val="21"/>
                <w:vertAlign w:val="baseline"/>
                <w:lang w:val="en-US" w:eastAsia="zh-CN"/>
              </w:rPr>
              <w:t>GB 8624-2012</w:t>
            </w:r>
          </w:p>
        </w:tc>
      </w:tr>
      <w:tr w14:paraId="2A4D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Merge w:val="continue"/>
            <w:vAlign w:val="center"/>
          </w:tcPr>
          <w:p w14:paraId="6906AFFC">
            <w:pPr>
              <w:jc w:val="center"/>
              <w:rPr>
                <w:rFonts w:hint="eastAsia"/>
                <w:szCs w:val="21"/>
                <w:vertAlign w:val="baseline"/>
                <w:lang w:val="en-US" w:eastAsia="zh-CN"/>
              </w:rPr>
            </w:pPr>
          </w:p>
        </w:tc>
        <w:tc>
          <w:tcPr>
            <w:tcW w:w="1764" w:type="dxa"/>
            <w:vMerge w:val="continue"/>
            <w:vAlign w:val="center"/>
          </w:tcPr>
          <w:p w14:paraId="1D434C11">
            <w:pPr>
              <w:jc w:val="center"/>
              <w:rPr>
                <w:rFonts w:hint="eastAsia"/>
                <w:szCs w:val="21"/>
                <w:vertAlign w:val="baseline"/>
                <w:lang w:val="en-US" w:eastAsia="zh-CN"/>
              </w:rPr>
            </w:pPr>
          </w:p>
        </w:tc>
        <w:tc>
          <w:tcPr>
            <w:tcW w:w="2839" w:type="dxa"/>
            <w:vAlign w:val="center"/>
          </w:tcPr>
          <w:p w14:paraId="2E533B58">
            <w:pPr>
              <w:jc w:val="center"/>
              <w:rPr>
                <w:rFonts w:hint="default"/>
                <w:szCs w:val="21"/>
                <w:vertAlign w:val="baseline"/>
                <w:lang w:val="en-US" w:eastAsia="zh-CN"/>
              </w:rPr>
            </w:pPr>
            <w:r>
              <w:rPr>
                <w:rFonts w:hint="eastAsia"/>
                <w:szCs w:val="21"/>
                <w:vertAlign w:val="baseline"/>
                <w:lang w:val="en-US" w:eastAsia="zh-CN"/>
              </w:rPr>
              <w:t>密度允许偏差</w:t>
            </w:r>
          </w:p>
        </w:tc>
        <w:tc>
          <w:tcPr>
            <w:tcW w:w="2818" w:type="dxa"/>
            <w:vAlign w:val="center"/>
          </w:tcPr>
          <w:p w14:paraId="38B8A520">
            <w:pPr>
              <w:jc w:val="center"/>
              <w:rPr>
                <w:rFonts w:hint="default"/>
                <w:szCs w:val="21"/>
                <w:vertAlign w:val="baseline"/>
                <w:lang w:val="en-US" w:eastAsia="zh-CN"/>
              </w:rPr>
            </w:pPr>
            <w:r>
              <w:rPr>
                <w:rFonts w:hint="eastAsia"/>
                <w:szCs w:val="21"/>
                <w:vertAlign w:val="baseline"/>
                <w:lang w:val="en-US" w:eastAsia="zh-CN"/>
              </w:rPr>
              <w:t>GB/T 5480-2017</w:t>
            </w:r>
          </w:p>
        </w:tc>
      </w:tr>
      <w:tr w14:paraId="2985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2E9CE5C">
            <w:pPr>
              <w:jc w:val="center"/>
              <w:rPr>
                <w:rFonts w:hint="eastAsia"/>
                <w:szCs w:val="21"/>
                <w:vertAlign w:val="baseline"/>
                <w:lang w:val="en-US" w:eastAsia="zh-CN"/>
              </w:rPr>
            </w:pPr>
          </w:p>
        </w:tc>
        <w:tc>
          <w:tcPr>
            <w:tcW w:w="1764" w:type="dxa"/>
            <w:vMerge w:val="continue"/>
            <w:vAlign w:val="center"/>
          </w:tcPr>
          <w:p w14:paraId="2FF15DFC">
            <w:pPr>
              <w:jc w:val="center"/>
              <w:rPr>
                <w:rFonts w:hint="eastAsia"/>
                <w:szCs w:val="21"/>
                <w:vertAlign w:val="baseline"/>
                <w:lang w:val="en-US" w:eastAsia="zh-CN"/>
              </w:rPr>
            </w:pPr>
          </w:p>
        </w:tc>
        <w:tc>
          <w:tcPr>
            <w:tcW w:w="2839" w:type="dxa"/>
            <w:vAlign w:val="center"/>
          </w:tcPr>
          <w:p w14:paraId="3FD6F74C">
            <w:pPr>
              <w:jc w:val="center"/>
              <w:rPr>
                <w:rFonts w:hint="default"/>
                <w:szCs w:val="21"/>
                <w:vertAlign w:val="baseline"/>
                <w:lang w:val="en-US" w:eastAsia="zh-CN"/>
              </w:rPr>
            </w:pPr>
            <w:r>
              <w:rPr>
                <w:rFonts w:hint="eastAsia"/>
                <w:szCs w:val="21"/>
                <w:vertAlign w:val="baseline"/>
                <w:lang w:val="en-US" w:eastAsia="zh-CN"/>
              </w:rPr>
              <w:t>体积吸水率</w:t>
            </w:r>
          </w:p>
        </w:tc>
        <w:tc>
          <w:tcPr>
            <w:tcW w:w="2818" w:type="dxa"/>
            <w:vAlign w:val="center"/>
          </w:tcPr>
          <w:p w14:paraId="2AA15EBF">
            <w:pPr>
              <w:jc w:val="center"/>
              <w:rPr>
                <w:rFonts w:hint="eastAsia"/>
                <w:szCs w:val="21"/>
                <w:vertAlign w:val="baseline"/>
                <w:lang w:val="en-US" w:eastAsia="zh-CN"/>
              </w:rPr>
            </w:pPr>
            <w:r>
              <w:rPr>
                <w:rFonts w:hint="eastAsia"/>
                <w:szCs w:val="21"/>
                <w:vertAlign w:val="baseline"/>
                <w:lang w:val="en-US" w:eastAsia="zh-CN"/>
              </w:rPr>
              <w:t>GB/T 5480-2017</w:t>
            </w:r>
          </w:p>
        </w:tc>
      </w:tr>
      <w:tr w14:paraId="0AC5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7F45C82">
            <w:pPr>
              <w:jc w:val="center"/>
              <w:rPr>
                <w:rFonts w:hint="eastAsia"/>
                <w:szCs w:val="21"/>
                <w:vertAlign w:val="baseline"/>
                <w:lang w:val="en-US" w:eastAsia="zh-CN"/>
              </w:rPr>
            </w:pPr>
          </w:p>
        </w:tc>
        <w:tc>
          <w:tcPr>
            <w:tcW w:w="1764" w:type="dxa"/>
            <w:vMerge w:val="continue"/>
            <w:vAlign w:val="center"/>
          </w:tcPr>
          <w:p w14:paraId="0FC8DEF3">
            <w:pPr>
              <w:jc w:val="center"/>
              <w:rPr>
                <w:rFonts w:hint="eastAsia"/>
                <w:szCs w:val="21"/>
                <w:vertAlign w:val="baseline"/>
                <w:lang w:val="en-US" w:eastAsia="zh-CN"/>
              </w:rPr>
            </w:pPr>
          </w:p>
        </w:tc>
        <w:tc>
          <w:tcPr>
            <w:tcW w:w="2839" w:type="dxa"/>
            <w:vAlign w:val="center"/>
          </w:tcPr>
          <w:p w14:paraId="78EF3143">
            <w:pPr>
              <w:jc w:val="center"/>
              <w:rPr>
                <w:rFonts w:hint="default"/>
                <w:szCs w:val="21"/>
                <w:vertAlign w:val="baseline"/>
                <w:lang w:val="en-US" w:eastAsia="zh-CN"/>
              </w:rPr>
            </w:pPr>
            <w:r>
              <w:rPr>
                <w:rFonts w:hint="eastAsia"/>
                <w:szCs w:val="21"/>
                <w:vertAlign w:val="baseline"/>
                <w:lang w:val="en-US" w:eastAsia="zh-CN"/>
              </w:rPr>
              <w:t>质量吸湿率</w:t>
            </w:r>
          </w:p>
        </w:tc>
        <w:tc>
          <w:tcPr>
            <w:tcW w:w="2818" w:type="dxa"/>
            <w:vAlign w:val="center"/>
          </w:tcPr>
          <w:p w14:paraId="1612FCCD">
            <w:pPr>
              <w:jc w:val="center"/>
              <w:rPr>
                <w:rFonts w:hint="eastAsia"/>
                <w:szCs w:val="21"/>
                <w:vertAlign w:val="baseline"/>
                <w:lang w:val="en-US" w:eastAsia="zh-CN"/>
              </w:rPr>
            </w:pPr>
            <w:r>
              <w:rPr>
                <w:rFonts w:hint="eastAsia"/>
                <w:szCs w:val="21"/>
                <w:vertAlign w:val="baseline"/>
                <w:lang w:val="en-US" w:eastAsia="zh-CN"/>
              </w:rPr>
              <w:t>GB/T 5480-2017</w:t>
            </w:r>
          </w:p>
        </w:tc>
      </w:tr>
      <w:tr w14:paraId="66E3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242B34CA">
            <w:pPr>
              <w:jc w:val="center"/>
              <w:rPr>
                <w:rFonts w:hint="eastAsia"/>
                <w:szCs w:val="21"/>
                <w:vertAlign w:val="baseline"/>
                <w:lang w:val="en-US" w:eastAsia="zh-CN"/>
              </w:rPr>
            </w:pPr>
          </w:p>
        </w:tc>
        <w:tc>
          <w:tcPr>
            <w:tcW w:w="1764" w:type="dxa"/>
            <w:vMerge w:val="continue"/>
            <w:vAlign w:val="center"/>
          </w:tcPr>
          <w:p w14:paraId="474F20EC">
            <w:pPr>
              <w:jc w:val="center"/>
              <w:rPr>
                <w:rFonts w:hint="eastAsia"/>
                <w:szCs w:val="21"/>
                <w:vertAlign w:val="baseline"/>
                <w:lang w:val="en-US" w:eastAsia="zh-CN"/>
              </w:rPr>
            </w:pPr>
          </w:p>
        </w:tc>
        <w:tc>
          <w:tcPr>
            <w:tcW w:w="2839" w:type="dxa"/>
            <w:vAlign w:val="center"/>
          </w:tcPr>
          <w:p w14:paraId="5F827B44">
            <w:pPr>
              <w:jc w:val="center"/>
              <w:rPr>
                <w:rFonts w:hint="default"/>
                <w:szCs w:val="21"/>
                <w:vertAlign w:val="baseline"/>
                <w:lang w:val="en-US" w:eastAsia="zh-CN"/>
              </w:rPr>
            </w:pPr>
            <w:r>
              <w:rPr>
                <w:rFonts w:hint="eastAsia"/>
                <w:szCs w:val="21"/>
                <w:vertAlign w:val="baseline"/>
                <w:lang w:val="en-US" w:eastAsia="zh-CN"/>
              </w:rPr>
              <w:t>憎水率</w:t>
            </w:r>
          </w:p>
        </w:tc>
        <w:tc>
          <w:tcPr>
            <w:tcW w:w="2818" w:type="dxa"/>
            <w:vAlign w:val="center"/>
          </w:tcPr>
          <w:p w14:paraId="677B21A2">
            <w:pPr>
              <w:jc w:val="center"/>
              <w:rPr>
                <w:rFonts w:hint="default"/>
                <w:szCs w:val="21"/>
                <w:vertAlign w:val="baseline"/>
                <w:lang w:val="en-US" w:eastAsia="zh-CN"/>
              </w:rPr>
            </w:pPr>
            <w:r>
              <w:rPr>
                <w:rFonts w:hint="eastAsia"/>
                <w:szCs w:val="21"/>
                <w:vertAlign w:val="baseline"/>
                <w:lang w:val="en-US" w:eastAsia="zh-CN"/>
              </w:rPr>
              <w:t>GB/T 10299-2011</w:t>
            </w:r>
          </w:p>
        </w:tc>
      </w:tr>
      <w:tr w14:paraId="319C8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1BA88B20">
            <w:pPr>
              <w:jc w:val="center"/>
              <w:rPr>
                <w:rFonts w:hint="eastAsia"/>
                <w:szCs w:val="21"/>
                <w:vertAlign w:val="baseline"/>
                <w:lang w:val="en-US" w:eastAsia="zh-CN"/>
              </w:rPr>
            </w:pPr>
          </w:p>
        </w:tc>
        <w:tc>
          <w:tcPr>
            <w:tcW w:w="1764" w:type="dxa"/>
            <w:vMerge w:val="continue"/>
            <w:vAlign w:val="center"/>
          </w:tcPr>
          <w:p w14:paraId="1FD9D4C9">
            <w:pPr>
              <w:jc w:val="center"/>
              <w:rPr>
                <w:rFonts w:hint="eastAsia"/>
                <w:szCs w:val="21"/>
                <w:vertAlign w:val="baseline"/>
                <w:lang w:val="en-US" w:eastAsia="zh-CN"/>
              </w:rPr>
            </w:pPr>
          </w:p>
        </w:tc>
        <w:tc>
          <w:tcPr>
            <w:tcW w:w="2839" w:type="dxa"/>
            <w:vAlign w:val="center"/>
          </w:tcPr>
          <w:p w14:paraId="5A48B4C6">
            <w:pPr>
              <w:jc w:val="center"/>
              <w:rPr>
                <w:rFonts w:hint="default"/>
                <w:szCs w:val="21"/>
                <w:vertAlign w:val="baseline"/>
                <w:lang w:val="en-US" w:eastAsia="zh-CN"/>
              </w:rPr>
            </w:pPr>
            <w:r>
              <w:rPr>
                <w:rFonts w:hint="eastAsia"/>
                <w:szCs w:val="21"/>
                <w:vertAlign w:val="baseline"/>
                <w:lang w:val="en-US" w:eastAsia="zh-CN"/>
              </w:rPr>
              <w:t>含水率</w:t>
            </w:r>
          </w:p>
        </w:tc>
        <w:tc>
          <w:tcPr>
            <w:tcW w:w="2818" w:type="dxa"/>
            <w:vAlign w:val="center"/>
          </w:tcPr>
          <w:p w14:paraId="32E24E97">
            <w:pPr>
              <w:jc w:val="center"/>
              <w:rPr>
                <w:rFonts w:hint="default"/>
                <w:szCs w:val="21"/>
                <w:vertAlign w:val="baseline"/>
                <w:lang w:val="en-US" w:eastAsia="zh-CN"/>
              </w:rPr>
            </w:pPr>
            <w:r>
              <w:rPr>
                <w:rFonts w:hint="eastAsia"/>
                <w:szCs w:val="21"/>
                <w:vertAlign w:val="baseline"/>
                <w:lang w:val="en-US" w:eastAsia="zh-CN"/>
              </w:rPr>
              <w:t>GB/T 20313-2006</w:t>
            </w:r>
          </w:p>
        </w:tc>
      </w:tr>
      <w:tr w14:paraId="24CB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267A4994">
            <w:pPr>
              <w:jc w:val="center"/>
              <w:rPr>
                <w:rFonts w:hint="default"/>
                <w:szCs w:val="21"/>
                <w:vertAlign w:val="baseline"/>
                <w:lang w:val="en-US" w:eastAsia="zh-CN"/>
              </w:rPr>
            </w:pPr>
            <w:r>
              <w:rPr>
                <w:rFonts w:hint="eastAsia"/>
                <w:szCs w:val="21"/>
                <w:vertAlign w:val="baseline"/>
                <w:lang w:val="en-US" w:eastAsia="zh-CN"/>
              </w:rPr>
              <w:t>3</w:t>
            </w:r>
          </w:p>
        </w:tc>
        <w:tc>
          <w:tcPr>
            <w:tcW w:w="1764" w:type="dxa"/>
            <w:vMerge w:val="restart"/>
            <w:vAlign w:val="center"/>
          </w:tcPr>
          <w:p w14:paraId="266E4CF3">
            <w:pPr>
              <w:jc w:val="center"/>
              <w:rPr>
                <w:rFonts w:hint="eastAsia"/>
                <w:szCs w:val="21"/>
                <w:vertAlign w:val="baseline"/>
                <w:lang w:val="en-US" w:eastAsia="zh-CN"/>
              </w:rPr>
            </w:pPr>
            <w:r>
              <w:rPr>
                <w:rFonts w:hint="eastAsia"/>
                <w:szCs w:val="21"/>
                <w:vertAlign w:val="baseline"/>
                <w:lang w:val="en-US" w:eastAsia="zh-CN"/>
              </w:rPr>
              <w:t>EPS板</w:t>
            </w:r>
          </w:p>
          <w:p w14:paraId="7A3DFCAB">
            <w:pPr>
              <w:jc w:val="center"/>
              <w:rPr>
                <w:rFonts w:hint="default"/>
                <w:szCs w:val="21"/>
                <w:vertAlign w:val="baseline"/>
                <w:lang w:val="en-US" w:eastAsia="zh-CN"/>
              </w:rPr>
            </w:pPr>
            <w:r>
              <w:rPr>
                <w:rFonts w:hint="eastAsia"/>
                <w:szCs w:val="21"/>
                <w:vertAlign w:val="baseline"/>
                <w:lang w:val="en-US" w:eastAsia="zh-CN"/>
              </w:rPr>
              <w:t>GB/T 10801.1-2021</w:t>
            </w:r>
          </w:p>
        </w:tc>
        <w:tc>
          <w:tcPr>
            <w:tcW w:w="2839" w:type="dxa"/>
            <w:vAlign w:val="center"/>
          </w:tcPr>
          <w:p w14:paraId="3292BE31">
            <w:pPr>
              <w:jc w:val="center"/>
              <w:rPr>
                <w:rFonts w:hint="default"/>
                <w:szCs w:val="21"/>
                <w:vertAlign w:val="baseline"/>
                <w:lang w:val="en-US" w:eastAsia="zh-CN"/>
              </w:rPr>
            </w:pPr>
            <w:r>
              <w:rPr>
                <w:rFonts w:hint="eastAsia"/>
                <w:szCs w:val="21"/>
                <w:vertAlign w:val="baseline"/>
                <w:lang w:val="en-US" w:eastAsia="zh-CN"/>
              </w:rPr>
              <w:t>燃烧性能(B1级或B2级)</w:t>
            </w:r>
          </w:p>
        </w:tc>
        <w:tc>
          <w:tcPr>
            <w:tcW w:w="2818" w:type="dxa"/>
            <w:vAlign w:val="center"/>
          </w:tcPr>
          <w:p w14:paraId="34350EA2">
            <w:pPr>
              <w:jc w:val="center"/>
              <w:rPr>
                <w:rFonts w:hint="default"/>
                <w:szCs w:val="21"/>
                <w:vertAlign w:val="baseline"/>
                <w:lang w:val="en-US" w:eastAsia="zh-CN"/>
              </w:rPr>
            </w:pPr>
            <w:r>
              <w:rPr>
                <w:rFonts w:hint="eastAsia"/>
                <w:szCs w:val="21"/>
                <w:vertAlign w:val="baseline"/>
                <w:lang w:val="en-US" w:eastAsia="zh-CN"/>
              </w:rPr>
              <w:t>GB 8624-2012</w:t>
            </w:r>
          </w:p>
        </w:tc>
      </w:tr>
      <w:tr w14:paraId="6C04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1DD892B">
            <w:pPr>
              <w:jc w:val="center"/>
              <w:rPr>
                <w:rFonts w:hint="eastAsia"/>
                <w:szCs w:val="21"/>
                <w:vertAlign w:val="baseline"/>
                <w:lang w:val="en-US" w:eastAsia="zh-CN"/>
              </w:rPr>
            </w:pPr>
          </w:p>
        </w:tc>
        <w:tc>
          <w:tcPr>
            <w:tcW w:w="1764" w:type="dxa"/>
            <w:vMerge w:val="continue"/>
            <w:vAlign w:val="center"/>
          </w:tcPr>
          <w:p w14:paraId="4A803E8E">
            <w:pPr>
              <w:jc w:val="center"/>
              <w:rPr>
                <w:rFonts w:hint="eastAsia"/>
                <w:szCs w:val="21"/>
                <w:vertAlign w:val="baseline"/>
                <w:lang w:val="en-US" w:eastAsia="zh-CN"/>
              </w:rPr>
            </w:pPr>
          </w:p>
        </w:tc>
        <w:tc>
          <w:tcPr>
            <w:tcW w:w="2839" w:type="dxa"/>
            <w:vAlign w:val="center"/>
          </w:tcPr>
          <w:p w14:paraId="71C9C8FD">
            <w:pPr>
              <w:jc w:val="center"/>
              <w:rPr>
                <w:rFonts w:hint="default"/>
                <w:szCs w:val="21"/>
                <w:vertAlign w:val="baseline"/>
                <w:lang w:val="en-US" w:eastAsia="zh-CN"/>
              </w:rPr>
            </w:pPr>
            <w:r>
              <w:rPr>
                <w:rFonts w:hint="eastAsia"/>
                <w:szCs w:val="21"/>
                <w:vertAlign w:val="baseline"/>
                <w:lang w:val="en-US" w:eastAsia="zh-CN"/>
              </w:rPr>
              <w:t>压缩强度</w:t>
            </w:r>
          </w:p>
        </w:tc>
        <w:tc>
          <w:tcPr>
            <w:tcW w:w="2818" w:type="dxa"/>
            <w:vAlign w:val="center"/>
          </w:tcPr>
          <w:p w14:paraId="2BABB366">
            <w:pPr>
              <w:jc w:val="center"/>
              <w:rPr>
                <w:rFonts w:hint="default"/>
                <w:szCs w:val="21"/>
                <w:vertAlign w:val="baseline"/>
                <w:lang w:val="en-US" w:eastAsia="zh-CN"/>
              </w:rPr>
            </w:pPr>
            <w:r>
              <w:rPr>
                <w:rFonts w:hint="eastAsia"/>
                <w:szCs w:val="21"/>
                <w:vertAlign w:val="baseline"/>
                <w:lang w:val="en-US" w:eastAsia="zh-CN"/>
              </w:rPr>
              <w:t>GB/T 8813-2020</w:t>
            </w:r>
          </w:p>
        </w:tc>
      </w:tr>
      <w:tr w14:paraId="0614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07201D41">
            <w:pPr>
              <w:jc w:val="center"/>
              <w:rPr>
                <w:rFonts w:hint="eastAsia"/>
                <w:szCs w:val="21"/>
                <w:vertAlign w:val="baseline"/>
                <w:lang w:val="en-US" w:eastAsia="zh-CN"/>
              </w:rPr>
            </w:pPr>
          </w:p>
        </w:tc>
        <w:tc>
          <w:tcPr>
            <w:tcW w:w="1764" w:type="dxa"/>
            <w:vMerge w:val="continue"/>
            <w:vAlign w:val="center"/>
          </w:tcPr>
          <w:p w14:paraId="21AC2E86">
            <w:pPr>
              <w:jc w:val="center"/>
              <w:rPr>
                <w:rFonts w:hint="eastAsia"/>
                <w:szCs w:val="21"/>
                <w:vertAlign w:val="baseline"/>
                <w:lang w:val="en-US" w:eastAsia="zh-CN"/>
              </w:rPr>
            </w:pPr>
          </w:p>
        </w:tc>
        <w:tc>
          <w:tcPr>
            <w:tcW w:w="2839" w:type="dxa"/>
            <w:vAlign w:val="center"/>
          </w:tcPr>
          <w:p w14:paraId="1D30897D">
            <w:pPr>
              <w:jc w:val="center"/>
              <w:rPr>
                <w:rFonts w:hint="default"/>
                <w:szCs w:val="21"/>
                <w:vertAlign w:val="baseline"/>
                <w:lang w:val="en-US" w:eastAsia="zh-CN"/>
              </w:rPr>
            </w:pPr>
            <w:r>
              <w:rPr>
                <w:rFonts w:hint="eastAsia"/>
                <w:szCs w:val="21"/>
                <w:vertAlign w:val="baseline"/>
                <w:lang w:val="en-US" w:eastAsia="zh-CN"/>
              </w:rPr>
              <w:t>导热系数</w:t>
            </w:r>
          </w:p>
        </w:tc>
        <w:tc>
          <w:tcPr>
            <w:tcW w:w="2818" w:type="dxa"/>
            <w:vAlign w:val="center"/>
          </w:tcPr>
          <w:p w14:paraId="4B101E5C">
            <w:pPr>
              <w:jc w:val="center"/>
              <w:rPr>
                <w:rFonts w:hint="eastAsia"/>
                <w:szCs w:val="21"/>
                <w:vertAlign w:val="baseline"/>
                <w:lang w:val="en-US" w:eastAsia="zh-CN"/>
              </w:rPr>
            </w:pPr>
            <w:r>
              <w:rPr>
                <w:rFonts w:hint="eastAsia"/>
                <w:szCs w:val="21"/>
                <w:vertAlign w:val="baseline"/>
                <w:lang w:val="en-US" w:eastAsia="zh-CN"/>
              </w:rPr>
              <w:t>GB/T 10295-2008</w:t>
            </w:r>
          </w:p>
          <w:p w14:paraId="29947421">
            <w:pPr>
              <w:jc w:val="center"/>
              <w:rPr>
                <w:rFonts w:hint="default"/>
                <w:szCs w:val="21"/>
                <w:vertAlign w:val="baseline"/>
                <w:lang w:val="en-US" w:eastAsia="zh-CN"/>
              </w:rPr>
            </w:pPr>
            <w:r>
              <w:rPr>
                <w:rFonts w:hint="eastAsia"/>
                <w:szCs w:val="21"/>
                <w:vertAlign w:val="baseline"/>
                <w:lang w:val="en-US" w:eastAsia="zh-CN"/>
              </w:rPr>
              <w:t>GB/T 10294-2008</w:t>
            </w:r>
          </w:p>
        </w:tc>
      </w:tr>
      <w:tr w14:paraId="1B7A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47AD6FC3">
            <w:pPr>
              <w:jc w:val="center"/>
              <w:rPr>
                <w:rFonts w:hint="eastAsia"/>
                <w:szCs w:val="21"/>
                <w:vertAlign w:val="baseline"/>
                <w:lang w:val="en-US" w:eastAsia="zh-CN"/>
              </w:rPr>
            </w:pPr>
          </w:p>
        </w:tc>
        <w:tc>
          <w:tcPr>
            <w:tcW w:w="1764" w:type="dxa"/>
            <w:vMerge w:val="continue"/>
            <w:vAlign w:val="center"/>
          </w:tcPr>
          <w:p w14:paraId="16821D67">
            <w:pPr>
              <w:jc w:val="center"/>
              <w:rPr>
                <w:rFonts w:hint="eastAsia"/>
                <w:szCs w:val="21"/>
                <w:vertAlign w:val="baseline"/>
                <w:lang w:val="en-US" w:eastAsia="zh-CN"/>
              </w:rPr>
            </w:pPr>
          </w:p>
        </w:tc>
        <w:tc>
          <w:tcPr>
            <w:tcW w:w="2839" w:type="dxa"/>
            <w:vAlign w:val="center"/>
          </w:tcPr>
          <w:p w14:paraId="5CE5EEC8">
            <w:pPr>
              <w:jc w:val="center"/>
              <w:rPr>
                <w:rFonts w:hint="default"/>
                <w:szCs w:val="21"/>
                <w:vertAlign w:val="baseline"/>
                <w:lang w:val="en-US" w:eastAsia="zh-CN"/>
              </w:rPr>
            </w:pPr>
            <w:r>
              <w:rPr>
                <w:rFonts w:hint="eastAsia"/>
                <w:szCs w:val="21"/>
                <w:vertAlign w:val="baseline"/>
                <w:lang w:val="en-US" w:eastAsia="zh-CN"/>
              </w:rPr>
              <w:t>尺寸稳定性</w:t>
            </w:r>
          </w:p>
        </w:tc>
        <w:tc>
          <w:tcPr>
            <w:tcW w:w="2818" w:type="dxa"/>
            <w:vAlign w:val="center"/>
          </w:tcPr>
          <w:p w14:paraId="0C04E4A2">
            <w:pPr>
              <w:jc w:val="center"/>
              <w:rPr>
                <w:rFonts w:hint="default"/>
                <w:szCs w:val="21"/>
                <w:vertAlign w:val="baseline"/>
                <w:lang w:val="en-US" w:eastAsia="zh-CN"/>
              </w:rPr>
            </w:pPr>
            <w:r>
              <w:rPr>
                <w:rFonts w:hint="eastAsia"/>
                <w:szCs w:val="21"/>
                <w:vertAlign w:val="baseline"/>
                <w:lang w:val="en-US" w:eastAsia="zh-CN"/>
              </w:rPr>
              <w:t>GB/T 8811-2007</w:t>
            </w:r>
          </w:p>
        </w:tc>
      </w:tr>
      <w:tr w14:paraId="07E9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01" w:type="dxa"/>
            <w:vMerge w:val="continue"/>
            <w:vAlign w:val="center"/>
          </w:tcPr>
          <w:p w14:paraId="7B2438A3">
            <w:pPr>
              <w:jc w:val="center"/>
              <w:rPr>
                <w:rFonts w:hint="eastAsia"/>
                <w:szCs w:val="21"/>
                <w:vertAlign w:val="baseline"/>
                <w:lang w:val="en-US" w:eastAsia="zh-CN"/>
              </w:rPr>
            </w:pPr>
          </w:p>
        </w:tc>
        <w:tc>
          <w:tcPr>
            <w:tcW w:w="1764" w:type="dxa"/>
            <w:vMerge w:val="continue"/>
            <w:vAlign w:val="center"/>
          </w:tcPr>
          <w:p w14:paraId="0A826885">
            <w:pPr>
              <w:jc w:val="center"/>
              <w:rPr>
                <w:rFonts w:hint="eastAsia"/>
                <w:szCs w:val="21"/>
                <w:vertAlign w:val="baseline"/>
                <w:lang w:val="en-US" w:eastAsia="zh-CN"/>
              </w:rPr>
            </w:pPr>
          </w:p>
        </w:tc>
        <w:tc>
          <w:tcPr>
            <w:tcW w:w="2839" w:type="dxa"/>
            <w:vAlign w:val="center"/>
          </w:tcPr>
          <w:p w14:paraId="6A2A6F64">
            <w:pPr>
              <w:jc w:val="center"/>
              <w:rPr>
                <w:rFonts w:hint="default"/>
                <w:szCs w:val="21"/>
                <w:vertAlign w:val="baseline"/>
                <w:lang w:val="en-US" w:eastAsia="zh-CN"/>
              </w:rPr>
            </w:pPr>
            <w:r>
              <w:rPr>
                <w:rFonts w:hint="eastAsia"/>
                <w:szCs w:val="21"/>
                <w:vertAlign w:val="baseline"/>
                <w:lang w:val="en-US" w:eastAsia="zh-CN"/>
              </w:rPr>
              <w:t>吸水率</w:t>
            </w:r>
            <w:bookmarkStart w:id="0" w:name="_GoBack"/>
            <w:bookmarkEnd w:id="0"/>
          </w:p>
        </w:tc>
        <w:tc>
          <w:tcPr>
            <w:tcW w:w="2818" w:type="dxa"/>
            <w:vAlign w:val="center"/>
          </w:tcPr>
          <w:p w14:paraId="0E8336B9">
            <w:pPr>
              <w:jc w:val="center"/>
              <w:rPr>
                <w:rFonts w:hint="default"/>
                <w:szCs w:val="21"/>
                <w:vertAlign w:val="baseline"/>
                <w:lang w:val="en-US" w:eastAsia="zh-CN"/>
              </w:rPr>
            </w:pPr>
            <w:r>
              <w:rPr>
                <w:rFonts w:hint="eastAsia"/>
                <w:szCs w:val="21"/>
                <w:vertAlign w:val="baseline"/>
                <w:lang w:val="en-US" w:eastAsia="zh-CN"/>
              </w:rPr>
              <w:t>GB/T 8810-2005</w:t>
            </w:r>
          </w:p>
        </w:tc>
      </w:tr>
      <w:tr w14:paraId="69F0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29C4A87E">
            <w:pPr>
              <w:jc w:val="center"/>
              <w:rPr>
                <w:rFonts w:hint="default"/>
                <w:szCs w:val="21"/>
                <w:vertAlign w:val="baseline"/>
                <w:lang w:val="en-US" w:eastAsia="zh-CN"/>
              </w:rPr>
            </w:pPr>
            <w:r>
              <w:rPr>
                <w:rFonts w:hint="eastAsia"/>
                <w:szCs w:val="21"/>
                <w:vertAlign w:val="baseline"/>
                <w:lang w:val="en-US" w:eastAsia="zh-CN"/>
              </w:rPr>
              <w:t>4</w:t>
            </w:r>
          </w:p>
        </w:tc>
        <w:tc>
          <w:tcPr>
            <w:tcW w:w="1764" w:type="dxa"/>
            <w:vMerge w:val="restart"/>
            <w:vAlign w:val="center"/>
          </w:tcPr>
          <w:p w14:paraId="2EB814BC">
            <w:pPr>
              <w:jc w:val="center"/>
              <w:rPr>
                <w:rFonts w:hint="eastAsia"/>
                <w:szCs w:val="21"/>
                <w:vertAlign w:val="baseline"/>
                <w:lang w:val="en-US" w:eastAsia="zh-CN"/>
              </w:rPr>
            </w:pPr>
            <w:r>
              <w:rPr>
                <w:rFonts w:hint="eastAsia"/>
                <w:szCs w:val="21"/>
                <w:vertAlign w:val="baseline"/>
                <w:lang w:val="en-US" w:eastAsia="zh-CN"/>
              </w:rPr>
              <w:t>XPS板</w:t>
            </w:r>
          </w:p>
          <w:p w14:paraId="6E927852">
            <w:pPr>
              <w:jc w:val="center"/>
              <w:rPr>
                <w:rFonts w:hint="default"/>
                <w:szCs w:val="21"/>
                <w:vertAlign w:val="baseline"/>
                <w:lang w:val="en-US" w:eastAsia="zh-CN"/>
              </w:rPr>
            </w:pPr>
            <w:r>
              <w:rPr>
                <w:rFonts w:hint="eastAsia"/>
                <w:szCs w:val="21"/>
                <w:vertAlign w:val="baseline"/>
                <w:lang w:val="en-US" w:eastAsia="zh-CN"/>
              </w:rPr>
              <w:t>GB/T 10801.2-2018</w:t>
            </w:r>
          </w:p>
        </w:tc>
        <w:tc>
          <w:tcPr>
            <w:tcW w:w="2839" w:type="dxa"/>
            <w:vAlign w:val="center"/>
          </w:tcPr>
          <w:p w14:paraId="2208FC7D">
            <w:pPr>
              <w:jc w:val="center"/>
              <w:rPr>
                <w:rFonts w:hint="default"/>
                <w:szCs w:val="21"/>
                <w:vertAlign w:val="baseline"/>
                <w:lang w:val="en-US" w:eastAsia="zh-CN"/>
              </w:rPr>
            </w:pPr>
            <w:r>
              <w:rPr>
                <w:rFonts w:hint="eastAsia"/>
                <w:szCs w:val="21"/>
                <w:vertAlign w:val="baseline"/>
                <w:lang w:val="en-US" w:eastAsia="zh-CN"/>
              </w:rPr>
              <w:t>燃烧性能(B1级或B2级)</w:t>
            </w:r>
          </w:p>
        </w:tc>
        <w:tc>
          <w:tcPr>
            <w:tcW w:w="2818" w:type="dxa"/>
            <w:vAlign w:val="center"/>
          </w:tcPr>
          <w:p w14:paraId="381BDE91">
            <w:pPr>
              <w:jc w:val="center"/>
              <w:rPr>
                <w:rFonts w:hint="eastAsia"/>
                <w:szCs w:val="21"/>
                <w:vertAlign w:val="baseline"/>
                <w:lang w:val="en-US" w:eastAsia="zh-CN"/>
              </w:rPr>
            </w:pPr>
            <w:r>
              <w:rPr>
                <w:rFonts w:hint="eastAsia"/>
                <w:szCs w:val="21"/>
                <w:vertAlign w:val="baseline"/>
                <w:lang w:val="en-US" w:eastAsia="zh-CN"/>
              </w:rPr>
              <w:t>GB 8624-2012</w:t>
            </w:r>
          </w:p>
        </w:tc>
      </w:tr>
      <w:tr w14:paraId="725E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70236DF5">
            <w:pPr>
              <w:jc w:val="center"/>
              <w:rPr>
                <w:rFonts w:hint="eastAsia"/>
                <w:szCs w:val="21"/>
                <w:vertAlign w:val="baseline"/>
                <w:lang w:val="en-US" w:eastAsia="zh-CN"/>
              </w:rPr>
            </w:pPr>
          </w:p>
        </w:tc>
        <w:tc>
          <w:tcPr>
            <w:tcW w:w="1764" w:type="dxa"/>
            <w:vMerge w:val="continue"/>
            <w:vAlign w:val="center"/>
          </w:tcPr>
          <w:p w14:paraId="3142CDE0">
            <w:pPr>
              <w:jc w:val="center"/>
              <w:rPr>
                <w:rFonts w:hint="eastAsia"/>
                <w:szCs w:val="21"/>
                <w:vertAlign w:val="baseline"/>
                <w:lang w:val="en-US" w:eastAsia="zh-CN"/>
              </w:rPr>
            </w:pPr>
          </w:p>
        </w:tc>
        <w:tc>
          <w:tcPr>
            <w:tcW w:w="2839" w:type="dxa"/>
            <w:vAlign w:val="center"/>
          </w:tcPr>
          <w:p w14:paraId="7BD0299D">
            <w:pPr>
              <w:jc w:val="center"/>
              <w:rPr>
                <w:rFonts w:hint="default"/>
                <w:szCs w:val="21"/>
                <w:vertAlign w:val="baseline"/>
                <w:lang w:val="en-US" w:eastAsia="zh-CN"/>
              </w:rPr>
            </w:pPr>
            <w:r>
              <w:rPr>
                <w:rFonts w:hint="eastAsia"/>
                <w:szCs w:val="21"/>
                <w:vertAlign w:val="baseline"/>
                <w:lang w:val="en-US" w:eastAsia="zh-CN"/>
              </w:rPr>
              <w:t>压缩性能</w:t>
            </w:r>
          </w:p>
        </w:tc>
        <w:tc>
          <w:tcPr>
            <w:tcW w:w="2818" w:type="dxa"/>
            <w:vAlign w:val="center"/>
          </w:tcPr>
          <w:p w14:paraId="0B54FD4F">
            <w:pPr>
              <w:jc w:val="center"/>
              <w:rPr>
                <w:rFonts w:hint="eastAsia"/>
                <w:szCs w:val="21"/>
                <w:vertAlign w:val="baseline"/>
                <w:lang w:val="en-US" w:eastAsia="zh-CN"/>
              </w:rPr>
            </w:pPr>
            <w:r>
              <w:rPr>
                <w:rFonts w:hint="eastAsia"/>
                <w:szCs w:val="21"/>
                <w:vertAlign w:val="baseline"/>
                <w:lang w:val="en-US" w:eastAsia="zh-CN"/>
              </w:rPr>
              <w:t>GB/T 8813-2020</w:t>
            </w:r>
          </w:p>
        </w:tc>
      </w:tr>
      <w:tr w14:paraId="21BE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18DC2F0">
            <w:pPr>
              <w:jc w:val="center"/>
              <w:rPr>
                <w:rFonts w:hint="eastAsia"/>
                <w:szCs w:val="21"/>
                <w:vertAlign w:val="baseline"/>
                <w:lang w:val="en-US" w:eastAsia="zh-CN"/>
              </w:rPr>
            </w:pPr>
          </w:p>
        </w:tc>
        <w:tc>
          <w:tcPr>
            <w:tcW w:w="1764" w:type="dxa"/>
            <w:vMerge w:val="continue"/>
            <w:vAlign w:val="center"/>
          </w:tcPr>
          <w:p w14:paraId="4692ACE8">
            <w:pPr>
              <w:jc w:val="center"/>
              <w:rPr>
                <w:rFonts w:hint="eastAsia"/>
                <w:szCs w:val="21"/>
                <w:vertAlign w:val="baseline"/>
                <w:lang w:val="en-US" w:eastAsia="zh-CN"/>
              </w:rPr>
            </w:pPr>
          </w:p>
        </w:tc>
        <w:tc>
          <w:tcPr>
            <w:tcW w:w="2839" w:type="dxa"/>
            <w:vAlign w:val="center"/>
          </w:tcPr>
          <w:p w14:paraId="641FCC9E">
            <w:pPr>
              <w:jc w:val="center"/>
              <w:rPr>
                <w:rFonts w:hint="default"/>
                <w:szCs w:val="21"/>
                <w:vertAlign w:val="baseline"/>
                <w:lang w:val="en-US" w:eastAsia="zh-CN"/>
              </w:rPr>
            </w:pPr>
            <w:r>
              <w:rPr>
                <w:rFonts w:hint="eastAsia"/>
                <w:szCs w:val="21"/>
                <w:vertAlign w:val="baseline"/>
                <w:lang w:val="en-US" w:eastAsia="zh-CN"/>
              </w:rPr>
              <w:t>绝热性能</w:t>
            </w:r>
          </w:p>
        </w:tc>
        <w:tc>
          <w:tcPr>
            <w:tcW w:w="2818" w:type="dxa"/>
            <w:vAlign w:val="center"/>
          </w:tcPr>
          <w:p w14:paraId="19052488">
            <w:pPr>
              <w:jc w:val="center"/>
              <w:rPr>
                <w:rFonts w:hint="eastAsia"/>
                <w:szCs w:val="21"/>
                <w:vertAlign w:val="baseline"/>
                <w:lang w:val="en-US" w:eastAsia="zh-CN"/>
              </w:rPr>
            </w:pPr>
            <w:r>
              <w:rPr>
                <w:rFonts w:hint="eastAsia"/>
                <w:szCs w:val="21"/>
                <w:vertAlign w:val="baseline"/>
                <w:lang w:val="en-US" w:eastAsia="zh-CN"/>
              </w:rPr>
              <w:t>GB/T 10295-2008</w:t>
            </w:r>
          </w:p>
          <w:p w14:paraId="6F4D8AA3">
            <w:pPr>
              <w:jc w:val="center"/>
              <w:rPr>
                <w:rFonts w:hint="eastAsia"/>
                <w:szCs w:val="21"/>
                <w:vertAlign w:val="baseline"/>
                <w:lang w:val="en-US" w:eastAsia="zh-CN"/>
              </w:rPr>
            </w:pPr>
            <w:r>
              <w:rPr>
                <w:rFonts w:hint="eastAsia"/>
                <w:szCs w:val="21"/>
                <w:vertAlign w:val="baseline"/>
                <w:lang w:val="en-US" w:eastAsia="zh-CN"/>
              </w:rPr>
              <w:t>GB/T 10294-2008</w:t>
            </w:r>
          </w:p>
        </w:tc>
      </w:tr>
      <w:tr w14:paraId="5936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79DE5775">
            <w:pPr>
              <w:jc w:val="center"/>
              <w:rPr>
                <w:rFonts w:hint="eastAsia"/>
                <w:szCs w:val="21"/>
                <w:vertAlign w:val="baseline"/>
                <w:lang w:val="en-US" w:eastAsia="zh-CN"/>
              </w:rPr>
            </w:pPr>
          </w:p>
        </w:tc>
        <w:tc>
          <w:tcPr>
            <w:tcW w:w="1764" w:type="dxa"/>
            <w:vMerge w:val="continue"/>
            <w:vAlign w:val="center"/>
          </w:tcPr>
          <w:p w14:paraId="5EA3B523">
            <w:pPr>
              <w:jc w:val="center"/>
              <w:rPr>
                <w:rFonts w:hint="eastAsia"/>
                <w:szCs w:val="21"/>
                <w:vertAlign w:val="baseline"/>
                <w:lang w:val="en-US" w:eastAsia="zh-CN"/>
              </w:rPr>
            </w:pPr>
          </w:p>
        </w:tc>
        <w:tc>
          <w:tcPr>
            <w:tcW w:w="2839" w:type="dxa"/>
            <w:vAlign w:val="center"/>
          </w:tcPr>
          <w:p w14:paraId="50F3F19F">
            <w:pPr>
              <w:jc w:val="center"/>
              <w:rPr>
                <w:rFonts w:hint="default"/>
                <w:szCs w:val="21"/>
                <w:vertAlign w:val="baseline"/>
                <w:lang w:val="en-US" w:eastAsia="zh-CN"/>
              </w:rPr>
            </w:pPr>
            <w:r>
              <w:rPr>
                <w:rFonts w:hint="eastAsia"/>
                <w:szCs w:val="21"/>
                <w:vertAlign w:val="baseline"/>
                <w:lang w:val="en-US" w:eastAsia="zh-CN"/>
              </w:rPr>
              <w:t>吸水率</w:t>
            </w:r>
          </w:p>
        </w:tc>
        <w:tc>
          <w:tcPr>
            <w:tcW w:w="2818" w:type="dxa"/>
            <w:vAlign w:val="center"/>
          </w:tcPr>
          <w:p w14:paraId="22C265CC">
            <w:pPr>
              <w:jc w:val="center"/>
              <w:rPr>
                <w:rFonts w:hint="eastAsia"/>
                <w:szCs w:val="21"/>
                <w:vertAlign w:val="baseline"/>
                <w:lang w:val="en-US" w:eastAsia="zh-CN"/>
              </w:rPr>
            </w:pPr>
            <w:r>
              <w:rPr>
                <w:rFonts w:hint="eastAsia"/>
                <w:szCs w:val="21"/>
                <w:vertAlign w:val="baseline"/>
                <w:lang w:val="en-US" w:eastAsia="zh-CN"/>
              </w:rPr>
              <w:t>GB/T 8810-2005</w:t>
            </w:r>
          </w:p>
        </w:tc>
      </w:tr>
      <w:tr w14:paraId="6600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63B2E60">
            <w:pPr>
              <w:jc w:val="center"/>
              <w:rPr>
                <w:rFonts w:hint="eastAsia"/>
                <w:szCs w:val="21"/>
                <w:vertAlign w:val="baseline"/>
                <w:lang w:val="en-US" w:eastAsia="zh-CN"/>
              </w:rPr>
            </w:pPr>
          </w:p>
        </w:tc>
        <w:tc>
          <w:tcPr>
            <w:tcW w:w="1764" w:type="dxa"/>
            <w:vMerge w:val="continue"/>
            <w:vAlign w:val="center"/>
          </w:tcPr>
          <w:p w14:paraId="579F3E3A">
            <w:pPr>
              <w:jc w:val="center"/>
              <w:rPr>
                <w:rFonts w:hint="eastAsia"/>
                <w:szCs w:val="21"/>
                <w:vertAlign w:val="baseline"/>
                <w:lang w:val="en-US" w:eastAsia="zh-CN"/>
              </w:rPr>
            </w:pPr>
          </w:p>
        </w:tc>
        <w:tc>
          <w:tcPr>
            <w:tcW w:w="2839" w:type="dxa"/>
            <w:vAlign w:val="center"/>
          </w:tcPr>
          <w:p w14:paraId="1BC18698">
            <w:pPr>
              <w:jc w:val="center"/>
              <w:rPr>
                <w:rFonts w:hint="default"/>
                <w:szCs w:val="21"/>
                <w:vertAlign w:val="baseline"/>
                <w:lang w:val="en-US" w:eastAsia="zh-CN"/>
              </w:rPr>
            </w:pPr>
            <w:r>
              <w:rPr>
                <w:rFonts w:hint="eastAsia"/>
                <w:szCs w:val="21"/>
                <w:vertAlign w:val="baseline"/>
                <w:lang w:val="en-US" w:eastAsia="zh-CN"/>
              </w:rPr>
              <w:t>水蒸气透过系数</w:t>
            </w:r>
          </w:p>
        </w:tc>
        <w:tc>
          <w:tcPr>
            <w:tcW w:w="2818" w:type="dxa"/>
            <w:vAlign w:val="center"/>
          </w:tcPr>
          <w:p w14:paraId="1FBC56E9">
            <w:pPr>
              <w:jc w:val="center"/>
              <w:rPr>
                <w:rFonts w:hint="default"/>
                <w:szCs w:val="21"/>
                <w:vertAlign w:val="baseline"/>
                <w:lang w:val="en-US" w:eastAsia="zh-CN"/>
              </w:rPr>
            </w:pPr>
            <w:r>
              <w:rPr>
                <w:rFonts w:hint="eastAsia"/>
                <w:szCs w:val="21"/>
                <w:vertAlign w:val="baseline"/>
                <w:lang w:val="en-US" w:eastAsia="zh-CN"/>
              </w:rPr>
              <w:t>QB/T 2411-1998</w:t>
            </w:r>
          </w:p>
        </w:tc>
      </w:tr>
      <w:tr w14:paraId="4906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49CB384E">
            <w:pPr>
              <w:jc w:val="center"/>
              <w:rPr>
                <w:rFonts w:hint="eastAsia"/>
                <w:szCs w:val="21"/>
                <w:vertAlign w:val="baseline"/>
                <w:lang w:val="en-US" w:eastAsia="zh-CN"/>
              </w:rPr>
            </w:pPr>
          </w:p>
        </w:tc>
        <w:tc>
          <w:tcPr>
            <w:tcW w:w="1764" w:type="dxa"/>
            <w:vMerge w:val="continue"/>
            <w:vAlign w:val="center"/>
          </w:tcPr>
          <w:p w14:paraId="3A165F9D">
            <w:pPr>
              <w:jc w:val="center"/>
              <w:rPr>
                <w:rFonts w:hint="eastAsia"/>
                <w:szCs w:val="21"/>
                <w:vertAlign w:val="baseline"/>
                <w:lang w:val="en-US" w:eastAsia="zh-CN"/>
              </w:rPr>
            </w:pPr>
          </w:p>
        </w:tc>
        <w:tc>
          <w:tcPr>
            <w:tcW w:w="2839" w:type="dxa"/>
            <w:vAlign w:val="center"/>
          </w:tcPr>
          <w:p w14:paraId="7C6405C8">
            <w:pPr>
              <w:jc w:val="center"/>
              <w:rPr>
                <w:rFonts w:hint="default"/>
                <w:szCs w:val="21"/>
                <w:vertAlign w:val="baseline"/>
                <w:lang w:val="en-US" w:eastAsia="zh-CN"/>
              </w:rPr>
            </w:pPr>
            <w:r>
              <w:rPr>
                <w:rFonts w:hint="eastAsia"/>
                <w:szCs w:val="21"/>
                <w:vertAlign w:val="baseline"/>
                <w:lang w:val="en-US" w:eastAsia="zh-CN"/>
              </w:rPr>
              <w:t>尺寸稳定性</w:t>
            </w:r>
          </w:p>
        </w:tc>
        <w:tc>
          <w:tcPr>
            <w:tcW w:w="2818" w:type="dxa"/>
            <w:vAlign w:val="center"/>
          </w:tcPr>
          <w:p w14:paraId="75D7F3A9">
            <w:pPr>
              <w:jc w:val="center"/>
              <w:rPr>
                <w:rFonts w:hint="eastAsia"/>
                <w:szCs w:val="21"/>
                <w:vertAlign w:val="baseline"/>
                <w:lang w:val="en-US" w:eastAsia="zh-CN"/>
              </w:rPr>
            </w:pPr>
            <w:r>
              <w:rPr>
                <w:rFonts w:hint="eastAsia"/>
                <w:szCs w:val="21"/>
                <w:vertAlign w:val="baseline"/>
                <w:lang w:val="en-US" w:eastAsia="zh-CN"/>
              </w:rPr>
              <w:t>GB/T 8811-2007</w:t>
            </w:r>
          </w:p>
        </w:tc>
      </w:tr>
      <w:tr w14:paraId="2256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69EA10A5">
            <w:pPr>
              <w:jc w:val="center"/>
              <w:rPr>
                <w:rFonts w:hint="default"/>
                <w:szCs w:val="21"/>
                <w:vertAlign w:val="baseline"/>
                <w:lang w:val="en-US" w:eastAsia="zh-CN"/>
              </w:rPr>
            </w:pPr>
            <w:r>
              <w:rPr>
                <w:rFonts w:hint="eastAsia"/>
                <w:szCs w:val="21"/>
                <w:vertAlign w:val="baseline"/>
                <w:lang w:val="en-US" w:eastAsia="zh-CN"/>
              </w:rPr>
              <w:t>5</w:t>
            </w:r>
          </w:p>
        </w:tc>
        <w:tc>
          <w:tcPr>
            <w:tcW w:w="1764" w:type="dxa"/>
            <w:vMerge w:val="restart"/>
            <w:vAlign w:val="center"/>
          </w:tcPr>
          <w:p w14:paraId="022DF421">
            <w:pPr>
              <w:jc w:val="center"/>
              <w:rPr>
                <w:rFonts w:hint="eastAsia"/>
                <w:szCs w:val="21"/>
                <w:vertAlign w:val="baseline"/>
                <w:lang w:val="en-US" w:eastAsia="zh-CN"/>
              </w:rPr>
            </w:pPr>
            <w:r>
              <w:rPr>
                <w:rFonts w:hint="eastAsia"/>
                <w:szCs w:val="21"/>
                <w:vertAlign w:val="baseline"/>
                <w:lang w:val="en-US" w:eastAsia="zh-CN"/>
              </w:rPr>
              <w:t>橡塑保温材料</w:t>
            </w:r>
          </w:p>
          <w:p w14:paraId="45BC4CFC">
            <w:pPr>
              <w:jc w:val="center"/>
              <w:rPr>
                <w:rFonts w:hint="default"/>
                <w:szCs w:val="21"/>
                <w:vertAlign w:val="baseline"/>
                <w:lang w:val="en-US" w:eastAsia="zh-CN"/>
              </w:rPr>
            </w:pPr>
            <w:r>
              <w:rPr>
                <w:rFonts w:hint="eastAsia"/>
                <w:szCs w:val="21"/>
                <w:vertAlign w:val="baseline"/>
                <w:lang w:val="en-US" w:eastAsia="zh-CN"/>
              </w:rPr>
              <w:t>GB/T 17794-2021</w:t>
            </w:r>
          </w:p>
        </w:tc>
        <w:tc>
          <w:tcPr>
            <w:tcW w:w="2839" w:type="dxa"/>
            <w:vAlign w:val="center"/>
          </w:tcPr>
          <w:p w14:paraId="3A2768FC">
            <w:pPr>
              <w:jc w:val="center"/>
              <w:rPr>
                <w:rFonts w:hint="default"/>
                <w:szCs w:val="21"/>
                <w:vertAlign w:val="baseline"/>
                <w:lang w:val="en-US" w:eastAsia="zh-CN"/>
              </w:rPr>
            </w:pPr>
            <w:r>
              <w:rPr>
                <w:rFonts w:hint="eastAsia"/>
                <w:szCs w:val="21"/>
                <w:vertAlign w:val="baseline"/>
                <w:lang w:val="en-US" w:eastAsia="zh-CN"/>
              </w:rPr>
              <w:t>尺寸偏差</w:t>
            </w:r>
          </w:p>
        </w:tc>
        <w:tc>
          <w:tcPr>
            <w:tcW w:w="2818" w:type="dxa"/>
            <w:vAlign w:val="center"/>
          </w:tcPr>
          <w:p w14:paraId="61DB55E1">
            <w:pPr>
              <w:jc w:val="center"/>
              <w:rPr>
                <w:rFonts w:hint="eastAsia"/>
                <w:szCs w:val="21"/>
                <w:vertAlign w:val="baseline"/>
                <w:lang w:val="en-US" w:eastAsia="zh-CN"/>
              </w:rPr>
            </w:pPr>
            <w:r>
              <w:rPr>
                <w:rFonts w:hint="eastAsia"/>
                <w:szCs w:val="21"/>
                <w:vertAlign w:val="baseline"/>
                <w:lang w:val="en-US" w:eastAsia="zh-CN"/>
              </w:rPr>
              <w:t>GB/T 6342-1996</w:t>
            </w:r>
          </w:p>
          <w:p w14:paraId="5C338D99">
            <w:pPr>
              <w:jc w:val="center"/>
              <w:rPr>
                <w:rFonts w:hint="default"/>
                <w:szCs w:val="21"/>
                <w:vertAlign w:val="baseline"/>
                <w:lang w:val="en-US" w:eastAsia="zh-CN"/>
              </w:rPr>
            </w:pPr>
            <w:r>
              <w:rPr>
                <w:rFonts w:hint="eastAsia"/>
                <w:szCs w:val="21"/>
                <w:vertAlign w:val="baseline"/>
                <w:lang w:val="en-US" w:eastAsia="zh-CN"/>
              </w:rPr>
              <w:t>GB/T 17794-2021</w:t>
            </w:r>
          </w:p>
        </w:tc>
      </w:tr>
      <w:tr w14:paraId="21DB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1CCCC446">
            <w:pPr>
              <w:jc w:val="center"/>
              <w:rPr>
                <w:rFonts w:hint="eastAsia"/>
                <w:szCs w:val="21"/>
                <w:vertAlign w:val="baseline"/>
                <w:lang w:val="en-US" w:eastAsia="zh-CN"/>
              </w:rPr>
            </w:pPr>
          </w:p>
        </w:tc>
        <w:tc>
          <w:tcPr>
            <w:tcW w:w="1764" w:type="dxa"/>
            <w:vMerge w:val="continue"/>
            <w:vAlign w:val="center"/>
          </w:tcPr>
          <w:p w14:paraId="33286116">
            <w:pPr>
              <w:jc w:val="center"/>
              <w:rPr>
                <w:rFonts w:hint="eastAsia"/>
                <w:szCs w:val="21"/>
                <w:vertAlign w:val="baseline"/>
                <w:lang w:val="en-US" w:eastAsia="zh-CN"/>
              </w:rPr>
            </w:pPr>
          </w:p>
        </w:tc>
        <w:tc>
          <w:tcPr>
            <w:tcW w:w="2839" w:type="dxa"/>
            <w:vAlign w:val="center"/>
          </w:tcPr>
          <w:p w14:paraId="308DEDF2">
            <w:pPr>
              <w:jc w:val="center"/>
              <w:rPr>
                <w:rFonts w:hint="default"/>
                <w:szCs w:val="21"/>
                <w:vertAlign w:val="baseline"/>
                <w:lang w:val="en-US" w:eastAsia="zh-CN"/>
              </w:rPr>
            </w:pPr>
            <w:r>
              <w:rPr>
                <w:rFonts w:hint="eastAsia"/>
                <w:szCs w:val="21"/>
                <w:vertAlign w:val="baseline"/>
                <w:lang w:val="en-US" w:eastAsia="zh-CN"/>
              </w:rPr>
              <w:t>氧指数</w:t>
            </w:r>
          </w:p>
        </w:tc>
        <w:tc>
          <w:tcPr>
            <w:tcW w:w="2818" w:type="dxa"/>
            <w:vAlign w:val="center"/>
          </w:tcPr>
          <w:p w14:paraId="256F770B">
            <w:pPr>
              <w:jc w:val="center"/>
              <w:rPr>
                <w:rFonts w:hint="default"/>
                <w:szCs w:val="21"/>
                <w:vertAlign w:val="baseline"/>
                <w:lang w:val="en-US" w:eastAsia="zh-CN"/>
              </w:rPr>
            </w:pPr>
            <w:r>
              <w:rPr>
                <w:rFonts w:hint="eastAsia"/>
                <w:szCs w:val="21"/>
                <w:vertAlign w:val="baseline"/>
                <w:lang w:val="en-US" w:eastAsia="zh-CN"/>
              </w:rPr>
              <w:t>GB/T 2406.2-2009</w:t>
            </w:r>
          </w:p>
        </w:tc>
      </w:tr>
      <w:tr w14:paraId="5A68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06014AD3">
            <w:pPr>
              <w:jc w:val="center"/>
              <w:rPr>
                <w:rFonts w:hint="eastAsia"/>
                <w:szCs w:val="21"/>
                <w:vertAlign w:val="baseline"/>
                <w:lang w:val="en-US" w:eastAsia="zh-CN"/>
              </w:rPr>
            </w:pPr>
          </w:p>
        </w:tc>
        <w:tc>
          <w:tcPr>
            <w:tcW w:w="1764" w:type="dxa"/>
            <w:vMerge w:val="continue"/>
            <w:vAlign w:val="center"/>
          </w:tcPr>
          <w:p w14:paraId="075C1125">
            <w:pPr>
              <w:jc w:val="center"/>
              <w:rPr>
                <w:rFonts w:hint="eastAsia"/>
                <w:szCs w:val="21"/>
                <w:vertAlign w:val="baseline"/>
                <w:lang w:val="en-US" w:eastAsia="zh-CN"/>
              </w:rPr>
            </w:pPr>
          </w:p>
        </w:tc>
        <w:tc>
          <w:tcPr>
            <w:tcW w:w="2839" w:type="dxa"/>
            <w:vAlign w:val="center"/>
          </w:tcPr>
          <w:p w14:paraId="0B47D41F">
            <w:pPr>
              <w:jc w:val="center"/>
              <w:rPr>
                <w:rFonts w:hint="default"/>
                <w:szCs w:val="21"/>
                <w:vertAlign w:val="baseline"/>
                <w:lang w:val="en-US" w:eastAsia="zh-CN"/>
              </w:rPr>
            </w:pPr>
            <w:r>
              <w:rPr>
                <w:rFonts w:hint="eastAsia"/>
                <w:szCs w:val="21"/>
                <w:vertAlign w:val="baseline"/>
                <w:lang w:val="en-US" w:eastAsia="zh-CN"/>
              </w:rPr>
              <w:t>导热系数</w:t>
            </w:r>
          </w:p>
        </w:tc>
        <w:tc>
          <w:tcPr>
            <w:tcW w:w="2818" w:type="dxa"/>
            <w:vAlign w:val="center"/>
          </w:tcPr>
          <w:p w14:paraId="2B399279">
            <w:pPr>
              <w:jc w:val="center"/>
              <w:rPr>
                <w:rFonts w:hint="eastAsia"/>
                <w:szCs w:val="21"/>
                <w:vertAlign w:val="baseline"/>
                <w:lang w:val="en-US" w:eastAsia="zh-CN"/>
              </w:rPr>
            </w:pPr>
            <w:r>
              <w:rPr>
                <w:rFonts w:hint="eastAsia"/>
                <w:szCs w:val="21"/>
                <w:vertAlign w:val="baseline"/>
                <w:lang w:val="en-US" w:eastAsia="zh-CN"/>
              </w:rPr>
              <w:t>GB/T 10295-2008</w:t>
            </w:r>
          </w:p>
          <w:p w14:paraId="6390AB6E">
            <w:pPr>
              <w:jc w:val="center"/>
              <w:rPr>
                <w:rFonts w:hint="eastAsia"/>
                <w:szCs w:val="21"/>
                <w:vertAlign w:val="baseline"/>
                <w:lang w:val="en-US" w:eastAsia="zh-CN"/>
              </w:rPr>
            </w:pPr>
            <w:r>
              <w:rPr>
                <w:rFonts w:hint="eastAsia"/>
                <w:szCs w:val="21"/>
                <w:vertAlign w:val="baseline"/>
                <w:lang w:val="en-US" w:eastAsia="zh-CN"/>
              </w:rPr>
              <w:t>GB/T 10294-2008</w:t>
            </w:r>
          </w:p>
        </w:tc>
      </w:tr>
      <w:tr w14:paraId="5F3B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48C51DD3">
            <w:pPr>
              <w:jc w:val="center"/>
              <w:rPr>
                <w:rFonts w:hint="eastAsia"/>
                <w:szCs w:val="21"/>
                <w:vertAlign w:val="baseline"/>
                <w:lang w:val="en-US" w:eastAsia="zh-CN"/>
              </w:rPr>
            </w:pPr>
          </w:p>
        </w:tc>
        <w:tc>
          <w:tcPr>
            <w:tcW w:w="1764" w:type="dxa"/>
            <w:vMerge w:val="continue"/>
            <w:vAlign w:val="center"/>
          </w:tcPr>
          <w:p w14:paraId="4A21985C">
            <w:pPr>
              <w:jc w:val="center"/>
              <w:rPr>
                <w:rFonts w:hint="eastAsia"/>
                <w:szCs w:val="21"/>
                <w:vertAlign w:val="baseline"/>
                <w:lang w:val="en-US" w:eastAsia="zh-CN"/>
              </w:rPr>
            </w:pPr>
          </w:p>
        </w:tc>
        <w:tc>
          <w:tcPr>
            <w:tcW w:w="2839" w:type="dxa"/>
            <w:vAlign w:val="center"/>
          </w:tcPr>
          <w:p w14:paraId="019D69EE">
            <w:pPr>
              <w:jc w:val="center"/>
              <w:rPr>
                <w:rFonts w:hint="default"/>
                <w:szCs w:val="21"/>
                <w:vertAlign w:val="baseline"/>
                <w:lang w:val="en-US" w:eastAsia="zh-CN"/>
              </w:rPr>
            </w:pPr>
            <w:r>
              <w:rPr>
                <w:rFonts w:hint="eastAsia"/>
                <w:szCs w:val="21"/>
                <w:vertAlign w:val="baseline"/>
                <w:lang w:val="en-US" w:eastAsia="zh-CN"/>
              </w:rPr>
              <w:t>表观密度</w:t>
            </w:r>
          </w:p>
        </w:tc>
        <w:tc>
          <w:tcPr>
            <w:tcW w:w="2818" w:type="dxa"/>
            <w:vAlign w:val="center"/>
          </w:tcPr>
          <w:p w14:paraId="111E442C">
            <w:pPr>
              <w:jc w:val="center"/>
              <w:rPr>
                <w:rFonts w:hint="default"/>
                <w:szCs w:val="21"/>
                <w:vertAlign w:val="baseline"/>
                <w:lang w:val="en-US" w:eastAsia="zh-CN"/>
              </w:rPr>
            </w:pPr>
            <w:r>
              <w:rPr>
                <w:rFonts w:hint="eastAsia"/>
                <w:szCs w:val="21"/>
                <w:vertAlign w:val="baseline"/>
                <w:lang w:val="en-US" w:eastAsia="zh-CN"/>
              </w:rPr>
              <w:t>GB/T 6343-2009</w:t>
            </w:r>
          </w:p>
          <w:p w14:paraId="6145739C">
            <w:pPr>
              <w:jc w:val="center"/>
              <w:rPr>
                <w:rFonts w:hint="eastAsia"/>
                <w:szCs w:val="21"/>
                <w:vertAlign w:val="baseline"/>
                <w:lang w:val="en-US" w:eastAsia="zh-CN"/>
              </w:rPr>
            </w:pPr>
            <w:r>
              <w:rPr>
                <w:rFonts w:hint="eastAsia"/>
                <w:szCs w:val="21"/>
                <w:vertAlign w:val="baseline"/>
                <w:lang w:val="en-US" w:eastAsia="zh-CN"/>
              </w:rPr>
              <w:t>GB/T 17794-2021</w:t>
            </w:r>
          </w:p>
        </w:tc>
      </w:tr>
      <w:tr w14:paraId="6335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2395631">
            <w:pPr>
              <w:jc w:val="center"/>
              <w:rPr>
                <w:rFonts w:hint="eastAsia"/>
                <w:szCs w:val="21"/>
                <w:vertAlign w:val="baseline"/>
                <w:lang w:val="en-US" w:eastAsia="zh-CN"/>
              </w:rPr>
            </w:pPr>
          </w:p>
        </w:tc>
        <w:tc>
          <w:tcPr>
            <w:tcW w:w="1764" w:type="dxa"/>
            <w:vMerge w:val="continue"/>
            <w:vAlign w:val="center"/>
          </w:tcPr>
          <w:p w14:paraId="496F3219">
            <w:pPr>
              <w:jc w:val="center"/>
              <w:rPr>
                <w:rFonts w:hint="eastAsia"/>
                <w:szCs w:val="21"/>
                <w:vertAlign w:val="baseline"/>
                <w:lang w:val="en-US" w:eastAsia="zh-CN"/>
              </w:rPr>
            </w:pPr>
          </w:p>
        </w:tc>
        <w:tc>
          <w:tcPr>
            <w:tcW w:w="2839" w:type="dxa"/>
            <w:vAlign w:val="center"/>
          </w:tcPr>
          <w:p w14:paraId="5460A8E2">
            <w:pPr>
              <w:jc w:val="center"/>
              <w:rPr>
                <w:rFonts w:hint="default"/>
                <w:szCs w:val="21"/>
                <w:vertAlign w:val="baseline"/>
                <w:lang w:val="en-US" w:eastAsia="zh-CN"/>
              </w:rPr>
            </w:pPr>
            <w:r>
              <w:rPr>
                <w:rFonts w:hint="eastAsia"/>
                <w:szCs w:val="21"/>
                <w:vertAlign w:val="baseline"/>
                <w:lang w:val="en-US" w:eastAsia="zh-CN"/>
              </w:rPr>
              <w:t>真空体积吸水率</w:t>
            </w:r>
          </w:p>
        </w:tc>
        <w:tc>
          <w:tcPr>
            <w:tcW w:w="2818" w:type="dxa"/>
            <w:vAlign w:val="center"/>
          </w:tcPr>
          <w:p w14:paraId="372B1A45">
            <w:pPr>
              <w:jc w:val="center"/>
              <w:rPr>
                <w:rFonts w:hint="eastAsia"/>
                <w:szCs w:val="21"/>
                <w:vertAlign w:val="baseline"/>
                <w:lang w:val="en-US" w:eastAsia="zh-CN"/>
              </w:rPr>
            </w:pPr>
            <w:r>
              <w:rPr>
                <w:rFonts w:hint="eastAsia"/>
                <w:szCs w:val="21"/>
                <w:vertAlign w:val="baseline"/>
                <w:lang w:val="en-US" w:eastAsia="zh-CN"/>
              </w:rPr>
              <w:t>GB/T 17794-2021</w:t>
            </w:r>
          </w:p>
        </w:tc>
      </w:tr>
      <w:tr w14:paraId="5C1E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14:paraId="67E642D8">
            <w:pPr>
              <w:jc w:val="center"/>
              <w:rPr>
                <w:rFonts w:hint="default"/>
                <w:szCs w:val="21"/>
                <w:vertAlign w:val="baseline"/>
                <w:lang w:val="en-US" w:eastAsia="zh-CN"/>
              </w:rPr>
            </w:pPr>
            <w:r>
              <w:rPr>
                <w:rFonts w:hint="eastAsia"/>
                <w:szCs w:val="21"/>
                <w:vertAlign w:val="baseline"/>
                <w:lang w:val="en-US" w:eastAsia="zh-CN"/>
              </w:rPr>
              <w:t>6</w:t>
            </w:r>
          </w:p>
        </w:tc>
        <w:tc>
          <w:tcPr>
            <w:tcW w:w="1764" w:type="dxa"/>
            <w:vMerge w:val="restart"/>
            <w:vAlign w:val="center"/>
          </w:tcPr>
          <w:p w14:paraId="1CAB8A8F">
            <w:pPr>
              <w:jc w:val="center"/>
              <w:rPr>
                <w:rFonts w:hint="eastAsia"/>
                <w:szCs w:val="21"/>
                <w:vertAlign w:val="baseline"/>
                <w:lang w:val="en-US" w:eastAsia="zh-CN"/>
              </w:rPr>
            </w:pPr>
            <w:r>
              <w:rPr>
                <w:rFonts w:hint="eastAsia"/>
                <w:szCs w:val="21"/>
                <w:vertAlign w:val="baseline"/>
                <w:lang w:val="en-US" w:eastAsia="zh-CN"/>
              </w:rPr>
              <w:t>真空绝热板</w:t>
            </w:r>
          </w:p>
          <w:p w14:paraId="177A73EE">
            <w:pPr>
              <w:jc w:val="center"/>
              <w:rPr>
                <w:rFonts w:hint="default"/>
                <w:szCs w:val="21"/>
                <w:vertAlign w:val="baseline"/>
                <w:lang w:val="en-US" w:eastAsia="zh-CN"/>
              </w:rPr>
            </w:pPr>
            <w:r>
              <w:rPr>
                <w:rFonts w:hint="eastAsia"/>
                <w:szCs w:val="21"/>
                <w:vertAlign w:val="baseline"/>
                <w:lang w:val="en-US" w:eastAsia="zh-CN"/>
              </w:rPr>
              <w:t>JG/T 438-2014</w:t>
            </w:r>
          </w:p>
        </w:tc>
        <w:tc>
          <w:tcPr>
            <w:tcW w:w="2839" w:type="dxa"/>
            <w:vAlign w:val="center"/>
          </w:tcPr>
          <w:p w14:paraId="5EA7A3AC">
            <w:pPr>
              <w:jc w:val="center"/>
              <w:rPr>
                <w:rFonts w:hint="default"/>
                <w:szCs w:val="21"/>
                <w:vertAlign w:val="baseline"/>
                <w:lang w:val="en-US" w:eastAsia="zh-CN"/>
              </w:rPr>
            </w:pPr>
            <w:r>
              <w:rPr>
                <w:rFonts w:hint="eastAsia"/>
                <w:szCs w:val="21"/>
                <w:vertAlign w:val="baseline"/>
                <w:lang w:val="en-US" w:eastAsia="zh-CN"/>
              </w:rPr>
              <w:t>尺寸稳定性</w:t>
            </w:r>
          </w:p>
        </w:tc>
        <w:tc>
          <w:tcPr>
            <w:tcW w:w="2818" w:type="dxa"/>
            <w:vAlign w:val="center"/>
          </w:tcPr>
          <w:p w14:paraId="395910B0">
            <w:pPr>
              <w:jc w:val="center"/>
              <w:rPr>
                <w:rFonts w:hint="default"/>
                <w:szCs w:val="21"/>
                <w:vertAlign w:val="baseline"/>
                <w:lang w:val="en-US" w:eastAsia="zh-CN"/>
              </w:rPr>
            </w:pPr>
            <w:r>
              <w:rPr>
                <w:rFonts w:hint="eastAsia"/>
                <w:szCs w:val="21"/>
                <w:vertAlign w:val="baseline"/>
                <w:lang w:val="en-US" w:eastAsia="zh-CN"/>
              </w:rPr>
              <w:t>GB/T 8811-2007</w:t>
            </w:r>
          </w:p>
        </w:tc>
      </w:tr>
      <w:tr w14:paraId="299C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225CA3BF">
            <w:pPr>
              <w:jc w:val="center"/>
              <w:rPr>
                <w:rFonts w:hint="eastAsia"/>
                <w:szCs w:val="21"/>
                <w:vertAlign w:val="baseline"/>
                <w:lang w:val="en-US" w:eastAsia="zh-CN"/>
              </w:rPr>
            </w:pPr>
          </w:p>
        </w:tc>
        <w:tc>
          <w:tcPr>
            <w:tcW w:w="1764" w:type="dxa"/>
            <w:vMerge w:val="continue"/>
            <w:vAlign w:val="center"/>
          </w:tcPr>
          <w:p w14:paraId="6B46F12B">
            <w:pPr>
              <w:jc w:val="center"/>
              <w:rPr>
                <w:rFonts w:hint="eastAsia"/>
                <w:szCs w:val="21"/>
                <w:vertAlign w:val="baseline"/>
                <w:lang w:val="en-US" w:eastAsia="zh-CN"/>
              </w:rPr>
            </w:pPr>
          </w:p>
        </w:tc>
        <w:tc>
          <w:tcPr>
            <w:tcW w:w="2839" w:type="dxa"/>
            <w:vAlign w:val="center"/>
          </w:tcPr>
          <w:p w14:paraId="4E76AAFD">
            <w:pPr>
              <w:jc w:val="center"/>
              <w:rPr>
                <w:rFonts w:hint="default"/>
                <w:szCs w:val="21"/>
                <w:vertAlign w:val="baseline"/>
                <w:lang w:val="en-US" w:eastAsia="zh-CN"/>
              </w:rPr>
            </w:pPr>
            <w:r>
              <w:rPr>
                <w:rFonts w:hint="eastAsia"/>
                <w:szCs w:val="21"/>
                <w:vertAlign w:val="baseline"/>
                <w:lang w:val="en-US" w:eastAsia="zh-CN"/>
              </w:rPr>
              <w:t>抗拉强度</w:t>
            </w:r>
          </w:p>
        </w:tc>
        <w:tc>
          <w:tcPr>
            <w:tcW w:w="2818" w:type="dxa"/>
            <w:vAlign w:val="center"/>
          </w:tcPr>
          <w:p w14:paraId="180B794D">
            <w:pPr>
              <w:jc w:val="center"/>
              <w:rPr>
                <w:rFonts w:hint="eastAsia"/>
                <w:szCs w:val="21"/>
                <w:vertAlign w:val="baseline"/>
                <w:lang w:val="en-US" w:eastAsia="zh-CN"/>
              </w:rPr>
            </w:pPr>
            <w:r>
              <w:rPr>
                <w:rFonts w:hint="eastAsia"/>
                <w:szCs w:val="21"/>
                <w:vertAlign w:val="baseline"/>
                <w:lang w:val="en-US" w:eastAsia="zh-CN"/>
              </w:rPr>
              <w:t>JG/T 438-2014</w:t>
            </w:r>
          </w:p>
        </w:tc>
      </w:tr>
      <w:tr w14:paraId="45E2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32D7905D">
            <w:pPr>
              <w:jc w:val="center"/>
              <w:rPr>
                <w:rFonts w:hint="eastAsia"/>
                <w:szCs w:val="21"/>
                <w:vertAlign w:val="baseline"/>
                <w:lang w:val="en-US" w:eastAsia="zh-CN"/>
              </w:rPr>
            </w:pPr>
          </w:p>
        </w:tc>
        <w:tc>
          <w:tcPr>
            <w:tcW w:w="1764" w:type="dxa"/>
            <w:vMerge w:val="continue"/>
            <w:vAlign w:val="center"/>
          </w:tcPr>
          <w:p w14:paraId="6AE3BD3F">
            <w:pPr>
              <w:jc w:val="center"/>
              <w:rPr>
                <w:rFonts w:hint="eastAsia"/>
                <w:szCs w:val="21"/>
                <w:vertAlign w:val="baseline"/>
                <w:lang w:val="en-US" w:eastAsia="zh-CN"/>
              </w:rPr>
            </w:pPr>
          </w:p>
        </w:tc>
        <w:tc>
          <w:tcPr>
            <w:tcW w:w="2839" w:type="dxa"/>
            <w:vAlign w:val="center"/>
          </w:tcPr>
          <w:p w14:paraId="34B80750">
            <w:pPr>
              <w:jc w:val="center"/>
              <w:rPr>
                <w:rFonts w:hint="default"/>
                <w:szCs w:val="21"/>
                <w:vertAlign w:val="baseline"/>
                <w:lang w:val="en-US" w:eastAsia="zh-CN"/>
              </w:rPr>
            </w:pPr>
            <w:r>
              <w:rPr>
                <w:rFonts w:hint="eastAsia"/>
                <w:szCs w:val="21"/>
                <w:vertAlign w:val="baseline"/>
                <w:lang w:val="en-US" w:eastAsia="zh-CN"/>
              </w:rPr>
              <w:t>导热系数</w:t>
            </w:r>
          </w:p>
        </w:tc>
        <w:tc>
          <w:tcPr>
            <w:tcW w:w="2818" w:type="dxa"/>
            <w:vAlign w:val="center"/>
          </w:tcPr>
          <w:p w14:paraId="56C4866F">
            <w:pPr>
              <w:jc w:val="center"/>
              <w:rPr>
                <w:rFonts w:hint="eastAsia"/>
                <w:szCs w:val="21"/>
                <w:vertAlign w:val="baseline"/>
                <w:lang w:val="en-US" w:eastAsia="zh-CN"/>
              </w:rPr>
            </w:pPr>
            <w:r>
              <w:rPr>
                <w:rFonts w:hint="eastAsia"/>
                <w:szCs w:val="21"/>
                <w:vertAlign w:val="baseline"/>
                <w:lang w:val="en-US" w:eastAsia="zh-CN"/>
              </w:rPr>
              <w:t>GB/T 10295-2008</w:t>
            </w:r>
          </w:p>
          <w:p w14:paraId="37FEACF4">
            <w:pPr>
              <w:jc w:val="center"/>
              <w:rPr>
                <w:rFonts w:hint="eastAsia"/>
                <w:szCs w:val="21"/>
                <w:vertAlign w:val="baseline"/>
                <w:lang w:val="en-US" w:eastAsia="zh-CN"/>
              </w:rPr>
            </w:pPr>
            <w:r>
              <w:rPr>
                <w:rFonts w:hint="eastAsia"/>
                <w:szCs w:val="21"/>
                <w:vertAlign w:val="baseline"/>
                <w:lang w:val="en-US" w:eastAsia="zh-CN"/>
              </w:rPr>
              <w:t>GB/T 10294-2008</w:t>
            </w:r>
          </w:p>
        </w:tc>
      </w:tr>
      <w:tr w14:paraId="5841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51E63FE4">
            <w:pPr>
              <w:jc w:val="center"/>
              <w:rPr>
                <w:rFonts w:hint="eastAsia"/>
                <w:szCs w:val="21"/>
                <w:vertAlign w:val="baseline"/>
                <w:lang w:val="en-US" w:eastAsia="zh-CN"/>
              </w:rPr>
            </w:pPr>
          </w:p>
        </w:tc>
        <w:tc>
          <w:tcPr>
            <w:tcW w:w="1764" w:type="dxa"/>
            <w:vMerge w:val="continue"/>
            <w:vAlign w:val="center"/>
          </w:tcPr>
          <w:p w14:paraId="6BEE6FC8">
            <w:pPr>
              <w:jc w:val="center"/>
              <w:rPr>
                <w:rFonts w:hint="eastAsia"/>
                <w:szCs w:val="21"/>
                <w:vertAlign w:val="baseline"/>
                <w:lang w:val="en-US" w:eastAsia="zh-CN"/>
              </w:rPr>
            </w:pPr>
          </w:p>
        </w:tc>
        <w:tc>
          <w:tcPr>
            <w:tcW w:w="2839" w:type="dxa"/>
            <w:vAlign w:val="center"/>
          </w:tcPr>
          <w:p w14:paraId="39823E82">
            <w:pPr>
              <w:jc w:val="center"/>
              <w:rPr>
                <w:rFonts w:hint="default"/>
                <w:szCs w:val="21"/>
                <w:vertAlign w:val="baseline"/>
                <w:lang w:val="en-US" w:eastAsia="zh-CN"/>
              </w:rPr>
            </w:pPr>
            <w:r>
              <w:rPr>
                <w:rFonts w:hint="eastAsia"/>
                <w:szCs w:val="21"/>
                <w:vertAlign w:val="baseline"/>
                <w:lang w:val="en-US" w:eastAsia="zh-CN"/>
              </w:rPr>
              <w:t>压缩强度</w:t>
            </w:r>
          </w:p>
        </w:tc>
        <w:tc>
          <w:tcPr>
            <w:tcW w:w="2818" w:type="dxa"/>
            <w:vAlign w:val="center"/>
          </w:tcPr>
          <w:p w14:paraId="1611D4B1">
            <w:pPr>
              <w:jc w:val="center"/>
              <w:rPr>
                <w:rFonts w:hint="default"/>
                <w:szCs w:val="21"/>
                <w:vertAlign w:val="baseline"/>
                <w:lang w:val="en-US" w:eastAsia="zh-CN"/>
              </w:rPr>
            </w:pPr>
            <w:r>
              <w:rPr>
                <w:rFonts w:hint="eastAsia"/>
                <w:szCs w:val="21"/>
                <w:vertAlign w:val="baseline"/>
                <w:lang w:val="en-US" w:eastAsia="zh-CN"/>
              </w:rPr>
              <w:t>GB/T 8813-2020</w:t>
            </w:r>
          </w:p>
        </w:tc>
      </w:tr>
      <w:tr w14:paraId="3892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0FF660AE">
            <w:pPr>
              <w:jc w:val="center"/>
              <w:rPr>
                <w:rFonts w:hint="eastAsia"/>
                <w:szCs w:val="21"/>
                <w:vertAlign w:val="baseline"/>
                <w:lang w:val="en-US" w:eastAsia="zh-CN"/>
              </w:rPr>
            </w:pPr>
          </w:p>
        </w:tc>
        <w:tc>
          <w:tcPr>
            <w:tcW w:w="1764" w:type="dxa"/>
            <w:vMerge w:val="continue"/>
            <w:vAlign w:val="center"/>
          </w:tcPr>
          <w:p w14:paraId="0E68025A">
            <w:pPr>
              <w:jc w:val="center"/>
              <w:rPr>
                <w:rFonts w:hint="eastAsia"/>
                <w:szCs w:val="21"/>
                <w:vertAlign w:val="baseline"/>
                <w:lang w:val="en-US" w:eastAsia="zh-CN"/>
              </w:rPr>
            </w:pPr>
          </w:p>
        </w:tc>
        <w:tc>
          <w:tcPr>
            <w:tcW w:w="2839" w:type="dxa"/>
            <w:vAlign w:val="center"/>
          </w:tcPr>
          <w:p w14:paraId="3DDA0B7B">
            <w:pPr>
              <w:jc w:val="center"/>
              <w:rPr>
                <w:rFonts w:hint="default"/>
                <w:szCs w:val="21"/>
                <w:vertAlign w:val="baseline"/>
                <w:lang w:val="en-US" w:eastAsia="zh-CN"/>
              </w:rPr>
            </w:pPr>
            <w:r>
              <w:rPr>
                <w:rFonts w:hint="eastAsia"/>
                <w:szCs w:val="21"/>
                <w:vertAlign w:val="baseline"/>
                <w:lang w:val="en-US" w:eastAsia="zh-CN"/>
              </w:rPr>
              <w:t>外观</w:t>
            </w:r>
          </w:p>
        </w:tc>
        <w:tc>
          <w:tcPr>
            <w:tcW w:w="2818" w:type="dxa"/>
            <w:vAlign w:val="center"/>
          </w:tcPr>
          <w:p w14:paraId="5D9F562C">
            <w:pPr>
              <w:jc w:val="center"/>
              <w:rPr>
                <w:rFonts w:hint="eastAsia"/>
                <w:szCs w:val="21"/>
                <w:vertAlign w:val="baseline"/>
                <w:lang w:val="en-US" w:eastAsia="zh-CN"/>
              </w:rPr>
            </w:pPr>
            <w:r>
              <w:rPr>
                <w:rFonts w:hint="eastAsia"/>
                <w:szCs w:val="21"/>
                <w:vertAlign w:val="baseline"/>
                <w:lang w:val="en-US" w:eastAsia="zh-CN"/>
              </w:rPr>
              <w:t>JG/T 438-2014</w:t>
            </w:r>
          </w:p>
        </w:tc>
      </w:tr>
      <w:tr w14:paraId="4ADF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18A31629">
            <w:pPr>
              <w:jc w:val="center"/>
              <w:rPr>
                <w:rFonts w:hint="eastAsia"/>
                <w:szCs w:val="21"/>
                <w:vertAlign w:val="baseline"/>
                <w:lang w:val="en-US" w:eastAsia="zh-CN"/>
              </w:rPr>
            </w:pPr>
          </w:p>
        </w:tc>
        <w:tc>
          <w:tcPr>
            <w:tcW w:w="1764" w:type="dxa"/>
            <w:vMerge w:val="continue"/>
            <w:vAlign w:val="center"/>
          </w:tcPr>
          <w:p w14:paraId="3E5F3540">
            <w:pPr>
              <w:jc w:val="center"/>
              <w:rPr>
                <w:rFonts w:hint="eastAsia"/>
                <w:szCs w:val="21"/>
                <w:vertAlign w:val="baseline"/>
                <w:lang w:val="en-US" w:eastAsia="zh-CN"/>
              </w:rPr>
            </w:pPr>
          </w:p>
        </w:tc>
        <w:tc>
          <w:tcPr>
            <w:tcW w:w="2839" w:type="dxa"/>
            <w:vAlign w:val="center"/>
          </w:tcPr>
          <w:p w14:paraId="06769785">
            <w:pPr>
              <w:jc w:val="center"/>
              <w:rPr>
                <w:rFonts w:hint="default"/>
                <w:szCs w:val="21"/>
                <w:vertAlign w:val="baseline"/>
                <w:lang w:val="en-US" w:eastAsia="zh-CN"/>
              </w:rPr>
            </w:pPr>
            <w:r>
              <w:rPr>
                <w:rFonts w:hint="eastAsia"/>
                <w:szCs w:val="21"/>
                <w:vertAlign w:val="baseline"/>
                <w:lang w:val="en-US" w:eastAsia="zh-CN"/>
              </w:rPr>
              <w:t>尺寸偏差</w:t>
            </w:r>
          </w:p>
        </w:tc>
        <w:tc>
          <w:tcPr>
            <w:tcW w:w="2818" w:type="dxa"/>
            <w:vAlign w:val="center"/>
          </w:tcPr>
          <w:p w14:paraId="22B772A7">
            <w:pPr>
              <w:jc w:val="center"/>
              <w:rPr>
                <w:rFonts w:hint="eastAsia"/>
                <w:szCs w:val="21"/>
                <w:vertAlign w:val="baseline"/>
                <w:lang w:val="en-US" w:eastAsia="zh-CN"/>
              </w:rPr>
            </w:pPr>
            <w:r>
              <w:rPr>
                <w:rFonts w:hint="eastAsia"/>
                <w:szCs w:val="21"/>
                <w:vertAlign w:val="baseline"/>
                <w:lang w:val="en-US" w:eastAsia="zh-CN"/>
              </w:rPr>
              <w:t>JG/T 438-2014</w:t>
            </w:r>
          </w:p>
        </w:tc>
      </w:tr>
      <w:tr w14:paraId="3818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6E6A0319">
            <w:pPr>
              <w:jc w:val="center"/>
              <w:rPr>
                <w:rFonts w:hint="eastAsia"/>
                <w:szCs w:val="21"/>
                <w:vertAlign w:val="baseline"/>
                <w:lang w:val="en-US" w:eastAsia="zh-CN"/>
              </w:rPr>
            </w:pPr>
          </w:p>
        </w:tc>
        <w:tc>
          <w:tcPr>
            <w:tcW w:w="1764" w:type="dxa"/>
            <w:vMerge w:val="continue"/>
            <w:vAlign w:val="center"/>
          </w:tcPr>
          <w:p w14:paraId="5351F5F7">
            <w:pPr>
              <w:jc w:val="center"/>
              <w:rPr>
                <w:rFonts w:hint="eastAsia"/>
                <w:szCs w:val="21"/>
                <w:vertAlign w:val="baseline"/>
                <w:lang w:val="en-US" w:eastAsia="zh-CN"/>
              </w:rPr>
            </w:pPr>
          </w:p>
        </w:tc>
        <w:tc>
          <w:tcPr>
            <w:tcW w:w="2839" w:type="dxa"/>
            <w:vAlign w:val="center"/>
          </w:tcPr>
          <w:p w14:paraId="0D5BADB3">
            <w:pPr>
              <w:jc w:val="center"/>
              <w:rPr>
                <w:rFonts w:hint="default"/>
                <w:szCs w:val="21"/>
                <w:vertAlign w:val="baseline"/>
                <w:lang w:val="en-US" w:eastAsia="zh-CN"/>
              </w:rPr>
            </w:pPr>
            <w:r>
              <w:rPr>
                <w:rFonts w:hint="eastAsia"/>
                <w:szCs w:val="21"/>
                <w:vertAlign w:val="baseline"/>
                <w:lang w:val="en-US" w:eastAsia="zh-CN"/>
              </w:rPr>
              <w:t>吸水量</w:t>
            </w:r>
          </w:p>
        </w:tc>
        <w:tc>
          <w:tcPr>
            <w:tcW w:w="2818" w:type="dxa"/>
            <w:vAlign w:val="center"/>
          </w:tcPr>
          <w:p w14:paraId="1E0582D4">
            <w:pPr>
              <w:jc w:val="center"/>
              <w:rPr>
                <w:rFonts w:hint="default"/>
                <w:szCs w:val="21"/>
                <w:vertAlign w:val="baseline"/>
                <w:lang w:val="en-US" w:eastAsia="zh-CN"/>
              </w:rPr>
            </w:pPr>
            <w:r>
              <w:rPr>
                <w:rFonts w:hint="eastAsia"/>
                <w:szCs w:val="21"/>
                <w:vertAlign w:val="baseline"/>
                <w:lang w:val="en-US" w:eastAsia="zh-CN"/>
              </w:rPr>
              <w:t>GB/T 5486-2008</w:t>
            </w:r>
          </w:p>
        </w:tc>
      </w:tr>
      <w:tr w14:paraId="685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14:paraId="238B1F32">
            <w:pPr>
              <w:jc w:val="center"/>
              <w:rPr>
                <w:rFonts w:hint="eastAsia"/>
                <w:szCs w:val="21"/>
                <w:vertAlign w:val="baseline"/>
                <w:lang w:val="en-US" w:eastAsia="zh-CN"/>
              </w:rPr>
            </w:pPr>
          </w:p>
        </w:tc>
        <w:tc>
          <w:tcPr>
            <w:tcW w:w="1764" w:type="dxa"/>
            <w:vMerge w:val="continue"/>
            <w:vAlign w:val="center"/>
          </w:tcPr>
          <w:p w14:paraId="379D9D1D">
            <w:pPr>
              <w:jc w:val="center"/>
              <w:rPr>
                <w:rFonts w:hint="eastAsia"/>
                <w:szCs w:val="21"/>
                <w:vertAlign w:val="baseline"/>
                <w:lang w:val="en-US" w:eastAsia="zh-CN"/>
              </w:rPr>
            </w:pPr>
          </w:p>
        </w:tc>
        <w:tc>
          <w:tcPr>
            <w:tcW w:w="2839" w:type="dxa"/>
            <w:vAlign w:val="center"/>
          </w:tcPr>
          <w:p w14:paraId="2A77CB37">
            <w:pPr>
              <w:jc w:val="center"/>
              <w:rPr>
                <w:rFonts w:hint="default"/>
                <w:szCs w:val="21"/>
                <w:vertAlign w:val="baseline"/>
                <w:lang w:val="en-US" w:eastAsia="zh-CN"/>
              </w:rPr>
            </w:pPr>
            <w:r>
              <w:rPr>
                <w:rFonts w:hint="eastAsia"/>
                <w:szCs w:val="21"/>
                <w:vertAlign w:val="baseline"/>
                <w:lang w:val="en-US" w:eastAsia="zh-CN"/>
              </w:rPr>
              <w:t>燃烧性能A2级</w:t>
            </w:r>
          </w:p>
        </w:tc>
        <w:tc>
          <w:tcPr>
            <w:tcW w:w="2818" w:type="dxa"/>
            <w:vAlign w:val="center"/>
          </w:tcPr>
          <w:p w14:paraId="6AE48427">
            <w:pPr>
              <w:jc w:val="center"/>
              <w:rPr>
                <w:rFonts w:hint="default"/>
                <w:szCs w:val="21"/>
                <w:vertAlign w:val="baseline"/>
                <w:lang w:val="en-US" w:eastAsia="zh-CN"/>
              </w:rPr>
            </w:pPr>
            <w:r>
              <w:rPr>
                <w:rFonts w:hint="eastAsia"/>
                <w:szCs w:val="21"/>
                <w:vertAlign w:val="baseline"/>
                <w:lang w:val="en-US" w:eastAsia="zh-CN"/>
              </w:rPr>
              <w:t>GB 8624-2012</w:t>
            </w:r>
          </w:p>
        </w:tc>
      </w:tr>
    </w:tbl>
    <w:p w14:paraId="21241F53">
      <w:pPr>
        <w:jc w:val="center"/>
        <w:rPr>
          <w:rFonts w:hint="eastAsia"/>
          <w:szCs w:val="21"/>
          <w:lang w:val="en-US" w:eastAsia="zh-CN"/>
        </w:rPr>
      </w:pPr>
    </w:p>
    <w:p w14:paraId="21FB2B81">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5293A03A">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327EFBF5">
      <w:pPr>
        <w:snapToGrid w:val="0"/>
        <w:spacing w:line="440" w:lineRule="exact"/>
        <w:ind w:firstLine="359" w:firstLineChars="171"/>
        <w:rPr>
          <w:rFonts w:hint="eastAsia" w:ascii="宋体" w:hAnsi="宋体"/>
          <w:color w:val="000000"/>
          <w:szCs w:val="21"/>
        </w:rPr>
      </w:pPr>
    </w:p>
    <w:p w14:paraId="7A195480">
      <w:pPr>
        <w:spacing w:line="360" w:lineRule="auto"/>
        <w:rPr>
          <w:rFonts w:hint="eastAsia" w:ascii="黑体" w:hAnsi="黑体" w:eastAsia="黑体"/>
          <w:color w:val="000000"/>
          <w:sz w:val="24"/>
          <w:szCs w:val="24"/>
        </w:rPr>
      </w:pPr>
      <w:r>
        <w:rPr>
          <w:rFonts w:hint="eastAsia" w:ascii="黑体" w:hAnsi="黑体" w:eastAsia="黑体"/>
          <w:color w:val="000000"/>
          <w:sz w:val="24"/>
          <w:szCs w:val="24"/>
        </w:rPr>
        <w:t>3 判定规则</w:t>
      </w:r>
    </w:p>
    <w:p w14:paraId="4A714604">
      <w:pPr>
        <w:snapToGrid w:val="0"/>
        <w:spacing w:line="440" w:lineRule="exact"/>
        <w:rPr>
          <w:rFonts w:ascii="宋体" w:hAnsi="宋体"/>
          <w:color w:val="000000"/>
          <w:szCs w:val="21"/>
        </w:rPr>
      </w:pPr>
      <w:r>
        <w:rPr>
          <w:rFonts w:hint="eastAsia" w:ascii="宋体" w:hAnsi="宋体"/>
          <w:color w:val="000000"/>
          <w:szCs w:val="21"/>
        </w:rPr>
        <w:t>3.1依据标准</w:t>
      </w:r>
    </w:p>
    <w:p w14:paraId="476380B2">
      <w:pPr>
        <w:snapToGrid w:val="0"/>
        <w:spacing w:line="440" w:lineRule="exact"/>
        <w:ind w:firstLine="420" w:firstLineChars="200"/>
        <w:rPr>
          <w:rFonts w:hint="eastAsia" w:ascii="宋体" w:hAnsi="宋体"/>
          <w:color w:val="000000"/>
          <w:szCs w:val="21"/>
        </w:rPr>
      </w:pPr>
      <w:r>
        <w:rPr>
          <w:rFonts w:hint="eastAsia"/>
          <w:szCs w:val="21"/>
          <w:vertAlign w:val="baseline"/>
          <w:lang w:val="en-US" w:eastAsia="zh-CN"/>
        </w:rPr>
        <w:t>GB/T 13350-2017《绝热用玻璃棉及其制品》</w:t>
      </w:r>
    </w:p>
    <w:p w14:paraId="0604539F">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rPr>
        <w:t xml:space="preserve">GB/T </w:t>
      </w:r>
      <w:r>
        <w:rPr>
          <w:rFonts w:hint="eastAsia" w:ascii="宋体" w:hAnsi="宋体"/>
          <w:color w:val="000000"/>
          <w:szCs w:val="21"/>
          <w:lang w:val="en-US" w:eastAsia="zh-CN"/>
        </w:rPr>
        <w:t>25975-2018《建筑外墙外保温用岩棉制品》</w:t>
      </w:r>
    </w:p>
    <w:p w14:paraId="1025A7CA">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10801.1-2021《绝热用模塑聚苯乙烯泡沫塑料(EPS)》</w:t>
      </w:r>
    </w:p>
    <w:p w14:paraId="2651B990">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10801.2-2018 《绝热用挤塑聚苯乙烯泡沫塑料(XPS)》</w:t>
      </w:r>
    </w:p>
    <w:p w14:paraId="4245F3D9">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GB/T 17794-2021《柔性泡沫橡塑绝热制品》</w:t>
      </w:r>
    </w:p>
    <w:p w14:paraId="78946603">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JG/T 438-2014《建筑用真空绝热板》</w:t>
      </w:r>
    </w:p>
    <w:p w14:paraId="06591EC2">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 8624-2012《建筑材料及制品燃烧性能分级》</w:t>
      </w:r>
    </w:p>
    <w:p w14:paraId="6F19FA2B">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191DBBD4">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9F09D25">
      <w:pPr>
        <w:snapToGrid w:val="0"/>
        <w:spacing w:line="440" w:lineRule="exact"/>
        <w:rPr>
          <w:rFonts w:ascii="宋体" w:hAnsi="宋体"/>
          <w:color w:val="000000"/>
          <w:szCs w:val="21"/>
        </w:rPr>
      </w:pPr>
      <w:r>
        <w:rPr>
          <w:rFonts w:hint="eastAsia" w:ascii="宋体" w:hAnsi="宋体"/>
          <w:color w:val="000000"/>
          <w:szCs w:val="21"/>
        </w:rPr>
        <w:t>3.2判定原则</w:t>
      </w:r>
    </w:p>
    <w:p w14:paraId="39081F0E">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8C904D">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6A7A644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5F85E855">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052F593F">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061E967">
      <w:pPr>
        <w:snapToGrid w:val="0"/>
        <w:spacing w:line="440" w:lineRule="exact"/>
        <w:ind w:firstLine="417" w:firstLineChars="199"/>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6FAF81D5">
      <w:pPr>
        <w:jc w:val="center"/>
        <w:rPr>
          <w:rFonts w:hint="eastAsia"/>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9329B5"/>
    <w:rsid w:val="1A602CE4"/>
    <w:rsid w:val="38D428CC"/>
    <w:rsid w:val="4EF46DA7"/>
    <w:rsid w:val="519329B5"/>
    <w:rsid w:val="7AF108A1"/>
    <w:rsid w:val="7CEF3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character" w:styleId="8">
    <w:name w:val="annotation reference"/>
    <w:unhideWhenUsed/>
    <w:qFormat/>
    <w:uiPriority w:val="99"/>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1286</Words>
  <Characters>2092</Characters>
  <Lines>0</Lines>
  <Paragraphs>0</Paragraphs>
  <TotalTime>60</TotalTime>
  <ScaleCrop>false</ScaleCrop>
  <LinksUpToDate>false</LinksUpToDate>
  <CharactersWithSpaces>2156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2025-07-07T11:53:00Z</dcterms:created>
  <dc:creator>26401</dc:creator>
  <cp:lastModifiedBy>谭飚霸</cp:lastModifiedBy>
  <dcterms:modified xsi:type="dcterms:W3CDTF">2025-07-16T09:07:45Z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81C4F8E06F124A858C7B1E5EA0ECCE6A_11</vt:lpwstr>
  </property>
  <property fmtid="{D5CDD505-2E9C-101B-9397-08002B2CF9AE}" pid="4" name="KSOTemplateDocerSaveRecord">
    <vt:lpwstr>eyJoZGlkIjoiZDM4NTllOTMxY2I4ZTA2ODEyYTMxZGI1MzQ3YmRmY2QiLCJ1c2VySWQiOiIyMjc5NTY1MDYifQ==</vt:lpwstr>
  </property>
</Properties>
</file>