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3D567">
      <w:pPr>
        <w:snapToGrid w:val="0"/>
        <w:spacing w:line="500" w:lineRule="exact"/>
        <w:jc w:val="center"/>
        <w:rPr>
          <w:rFonts w:hint="eastAsia" w:ascii="仿宋" w:hAnsi="仿宋" w:eastAsia="仿宋" w:cs="仿宋"/>
          <w:b/>
          <w:bCs/>
          <w:color w:val="000000"/>
          <w:sz w:val="40"/>
          <w:szCs w:val="40"/>
        </w:rPr>
      </w:pPr>
      <w:r>
        <w:rPr>
          <w:rFonts w:hint="eastAsia" w:ascii="仿宋" w:hAnsi="仿宋" w:eastAsia="仿宋" w:cs="仿宋"/>
          <w:b/>
          <w:bCs/>
          <w:color w:val="000000"/>
          <w:sz w:val="40"/>
          <w:szCs w:val="40"/>
          <w:lang w:eastAsia="zh-CN"/>
        </w:rPr>
        <w:t>九江市塑料一次性餐饮具</w:t>
      </w:r>
      <w:r>
        <w:rPr>
          <w:rFonts w:hint="eastAsia" w:ascii="仿宋" w:hAnsi="仿宋" w:eastAsia="仿宋" w:cs="仿宋"/>
          <w:b/>
          <w:bCs/>
          <w:color w:val="000000"/>
          <w:sz w:val="40"/>
          <w:szCs w:val="40"/>
        </w:rPr>
        <w:t>产品质量监督</w:t>
      </w:r>
      <w:r>
        <w:rPr>
          <w:rFonts w:hint="eastAsia" w:ascii="仿宋" w:hAnsi="仿宋" w:eastAsia="仿宋" w:cs="仿宋"/>
          <w:b/>
          <w:bCs/>
          <w:color w:val="000000"/>
          <w:sz w:val="40"/>
          <w:szCs w:val="40"/>
        </w:rPr>
        <w:t>抽查</w:t>
      </w:r>
      <w:r>
        <w:rPr>
          <w:rFonts w:hint="eastAsia" w:ascii="仿宋" w:hAnsi="仿宋" w:eastAsia="仿宋" w:cs="仿宋"/>
          <w:b/>
          <w:bCs/>
          <w:color w:val="000000"/>
          <w:sz w:val="40"/>
          <w:szCs w:val="40"/>
        </w:rPr>
        <w:t>实施细则</w:t>
      </w:r>
      <w:r>
        <w:rPr>
          <w:rFonts w:hint="eastAsia" w:ascii="仿宋" w:hAnsi="仿宋" w:eastAsia="仿宋" w:cs="仿宋"/>
          <w:b/>
          <w:bCs/>
          <w:color w:val="000000"/>
          <w:sz w:val="40"/>
          <w:szCs w:val="40"/>
        </w:rPr>
        <w:t>（</w:t>
      </w:r>
      <w:r>
        <w:rPr>
          <w:rFonts w:hint="eastAsia" w:ascii="仿宋" w:hAnsi="仿宋" w:eastAsia="仿宋" w:cs="仿宋"/>
          <w:b/>
          <w:bCs/>
          <w:color w:val="000000"/>
          <w:sz w:val="40"/>
          <w:szCs w:val="40"/>
        </w:rPr>
        <w:t>202</w:t>
      </w:r>
      <w:r>
        <w:rPr>
          <w:rFonts w:hint="eastAsia" w:ascii="仿宋" w:hAnsi="仿宋" w:eastAsia="仿宋" w:cs="仿宋"/>
          <w:b/>
          <w:bCs/>
          <w:color w:val="000000"/>
          <w:sz w:val="40"/>
          <w:szCs w:val="40"/>
          <w:lang w:val="en-US" w:eastAsia="zh-CN"/>
        </w:rPr>
        <w:t>5</w:t>
      </w:r>
      <w:r>
        <w:rPr>
          <w:rFonts w:hint="eastAsia" w:ascii="仿宋" w:hAnsi="仿宋" w:eastAsia="仿宋" w:cs="仿宋"/>
          <w:b/>
          <w:bCs/>
          <w:color w:val="000000"/>
          <w:sz w:val="40"/>
          <w:szCs w:val="40"/>
        </w:rPr>
        <w:t>年</w:t>
      </w:r>
      <w:r>
        <w:rPr>
          <w:rFonts w:hint="eastAsia" w:ascii="仿宋" w:hAnsi="仿宋" w:eastAsia="仿宋" w:cs="仿宋"/>
          <w:b/>
          <w:bCs/>
          <w:color w:val="000000"/>
          <w:sz w:val="40"/>
          <w:szCs w:val="40"/>
        </w:rPr>
        <w:t>版）</w:t>
      </w:r>
      <w:bookmarkStart w:id="0" w:name="_GoBack"/>
      <w:bookmarkEnd w:id="0"/>
    </w:p>
    <w:p w14:paraId="1F79C4B8">
      <w:pPr>
        <w:snapToGrid w:val="0"/>
        <w:spacing w:line="500" w:lineRule="exact"/>
        <w:rPr>
          <w:rFonts w:ascii="宋体" w:hAnsi="宋体" w:cs="宋体"/>
          <w:b/>
          <w:sz w:val="24"/>
          <w:szCs w:val="24"/>
        </w:rPr>
      </w:pPr>
      <w:r>
        <w:rPr>
          <w:rFonts w:ascii="宋体" w:hAnsi="宋体" w:cs="宋体"/>
          <w:b/>
          <w:sz w:val="24"/>
          <w:szCs w:val="24"/>
        </w:rPr>
        <w:t>1</w:t>
      </w:r>
      <w:r>
        <w:rPr>
          <w:rFonts w:hint="eastAsia" w:ascii="宋体" w:hAnsi="宋体" w:cs="宋体"/>
          <w:b/>
          <w:sz w:val="24"/>
          <w:szCs w:val="24"/>
        </w:rPr>
        <w:t>、</w:t>
      </w:r>
      <w:r>
        <w:rPr>
          <w:rFonts w:ascii="宋体" w:hAnsi="宋体" w:cs="宋体"/>
          <w:b/>
          <w:sz w:val="24"/>
          <w:szCs w:val="24"/>
        </w:rPr>
        <w:t>抽样方法</w:t>
      </w:r>
    </w:p>
    <w:p w14:paraId="17440153">
      <w:pPr>
        <w:snapToGrid w:val="0"/>
        <w:spacing w:line="500" w:lineRule="exact"/>
        <w:ind w:firstLine="480" w:firstLineChars="200"/>
        <w:rPr>
          <w:rFonts w:ascii="宋体" w:hAnsi="宋体" w:cs="宋体"/>
          <w:color w:val="000000"/>
          <w:sz w:val="24"/>
          <w:szCs w:val="24"/>
        </w:rPr>
      </w:pPr>
      <w:r>
        <w:rPr>
          <w:rFonts w:ascii="宋体" w:hAnsi="宋体" w:cs="宋体"/>
          <w:color w:val="000000"/>
          <w:sz w:val="24"/>
          <w:szCs w:val="24"/>
        </w:rPr>
        <w:t>以随机抽样的方式在被抽样生产者、销售者的待销产品中抽取。</w:t>
      </w:r>
    </w:p>
    <w:p w14:paraId="2355DFC0">
      <w:pPr>
        <w:snapToGrid w:val="0"/>
        <w:spacing w:line="500" w:lineRule="exact"/>
        <w:ind w:firstLine="480" w:firstLineChars="200"/>
        <w:rPr>
          <w:rFonts w:ascii="宋体" w:hAnsi="宋体" w:cs="宋体"/>
          <w:color w:val="000000"/>
          <w:sz w:val="24"/>
          <w:szCs w:val="24"/>
        </w:rPr>
      </w:pPr>
      <w:r>
        <w:rPr>
          <w:rFonts w:ascii="宋体" w:hAnsi="宋体" w:cs="宋体"/>
          <w:color w:val="000000"/>
          <w:sz w:val="24"/>
          <w:szCs w:val="24"/>
        </w:rPr>
        <w:t>随机数一般可使用随机数表、随机数骰子或扑克牌等方法产生。</w:t>
      </w:r>
    </w:p>
    <w:p w14:paraId="6AA38265">
      <w:pPr>
        <w:snapToGrid w:val="0"/>
        <w:spacing w:line="500" w:lineRule="exact"/>
        <w:ind w:firstLine="480" w:firstLineChars="200"/>
        <w:jc w:val="left"/>
        <w:rPr>
          <w:rFonts w:hint="eastAsia" w:ascii="宋体" w:hAnsi="宋体" w:cs="宋体"/>
          <w:color w:val="000000"/>
          <w:sz w:val="24"/>
          <w:szCs w:val="24"/>
          <w:lang w:eastAsia="zh-CN"/>
        </w:rPr>
      </w:pPr>
      <w:r>
        <w:rPr>
          <w:rFonts w:hint="eastAsia" w:ascii="宋体" w:hAnsi="宋体" w:cs="宋体"/>
          <w:color w:val="000000"/>
          <w:sz w:val="24"/>
          <w:szCs w:val="24"/>
        </w:rPr>
        <w:t>抽样基数及数量：以同一批号、同一规格的产品为抽样基数，抽样基数满足抽样数量即可。</w:t>
      </w:r>
      <w:r>
        <w:rPr>
          <w:rFonts w:ascii="宋体" w:hAnsi="宋体" w:cs="宋体"/>
          <w:color w:val="000000"/>
          <w:sz w:val="24"/>
          <w:szCs w:val="24"/>
        </w:rPr>
        <w:t>每批次产品抽取样品数量</w:t>
      </w:r>
      <w:r>
        <w:rPr>
          <w:rFonts w:hint="eastAsia" w:ascii="宋体" w:hAnsi="宋体" w:cs="宋体"/>
          <w:color w:val="000000"/>
          <w:sz w:val="24"/>
          <w:szCs w:val="24"/>
          <w:lang w:eastAsia="zh-CN"/>
        </w:rPr>
        <w:t>：</w:t>
      </w:r>
    </w:p>
    <w:p w14:paraId="6BA44050">
      <w:pPr>
        <w:adjustRightInd w:val="0"/>
        <w:spacing w:line="300" w:lineRule="auto"/>
        <w:ind w:firstLine="480" w:firstLineChars="200"/>
        <w:rPr>
          <w:rFonts w:hint="eastAsia"/>
          <w:szCs w:val="21"/>
        </w:rPr>
      </w:pPr>
      <w:r>
        <w:rPr>
          <w:sz w:val="24"/>
        </w:rPr>
        <w:t>随机抽取样本80个</w:t>
      </w:r>
      <w:r>
        <w:rPr>
          <w:rFonts w:hint="eastAsia"/>
          <w:sz w:val="24"/>
        </w:rPr>
        <w:t>（</w:t>
      </w:r>
      <w:r>
        <w:rPr>
          <w:sz w:val="24"/>
        </w:rPr>
        <w:t>只</w:t>
      </w:r>
      <w:r>
        <w:rPr>
          <w:rFonts w:hint="eastAsia"/>
          <w:sz w:val="24"/>
        </w:rPr>
        <w:t>）</w:t>
      </w:r>
      <w:r>
        <w:rPr>
          <w:sz w:val="24"/>
        </w:rPr>
        <w:t>。其中40个</w:t>
      </w:r>
      <w:r>
        <w:rPr>
          <w:rFonts w:hint="eastAsia"/>
          <w:sz w:val="24"/>
        </w:rPr>
        <w:t>（</w:t>
      </w:r>
      <w:r>
        <w:rPr>
          <w:sz w:val="24"/>
        </w:rPr>
        <w:t>只</w:t>
      </w:r>
      <w:r>
        <w:rPr>
          <w:rFonts w:hint="eastAsia"/>
          <w:sz w:val="24"/>
        </w:rPr>
        <w:t>）</w:t>
      </w:r>
      <w:r>
        <w:rPr>
          <w:sz w:val="24"/>
        </w:rPr>
        <w:t>作为检验样品，40个</w:t>
      </w:r>
      <w:r>
        <w:rPr>
          <w:rFonts w:hint="eastAsia"/>
          <w:sz w:val="24"/>
        </w:rPr>
        <w:t>（</w:t>
      </w:r>
      <w:r>
        <w:rPr>
          <w:sz w:val="24"/>
        </w:rPr>
        <w:t>只</w:t>
      </w:r>
      <w:r>
        <w:rPr>
          <w:rFonts w:hint="eastAsia"/>
          <w:sz w:val="24"/>
        </w:rPr>
        <w:t>）</w:t>
      </w:r>
      <w:r>
        <w:rPr>
          <w:sz w:val="24"/>
        </w:rPr>
        <w:t>作为备用样品。</w:t>
      </w:r>
    </w:p>
    <w:p w14:paraId="6655B3B3">
      <w:pPr>
        <w:adjustRightInd w:val="0"/>
        <w:spacing w:line="300" w:lineRule="auto"/>
        <w:ind w:firstLine="420" w:firstLineChars="200"/>
        <w:rPr>
          <w:rFonts w:hint="eastAsia" w:ascii="宋体" w:hAnsi="宋体" w:cs="宋体"/>
          <w:color w:val="000000"/>
          <w:sz w:val="24"/>
          <w:szCs w:val="24"/>
          <w:lang w:eastAsia="zh-CN"/>
        </w:rPr>
      </w:pPr>
      <w:r>
        <w:rPr>
          <w:rFonts w:hint="eastAsia" w:ascii="Times New Roman" w:hAnsi="Times New Roman" w:cs="Times New Roman"/>
          <w:sz w:val="21"/>
          <w:szCs w:val="21"/>
        </w:rPr>
        <w:t>注：</w:t>
      </w:r>
      <w:r>
        <w:rPr>
          <w:rFonts w:ascii="Times New Roman" w:hAnsi="Times New Roman" w:cs="Times New Roman"/>
          <w:sz w:val="21"/>
          <w:szCs w:val="21"/>
        </w:rPr>
        <w:t>产品抽样数量可根据样品的实际大小，在满足检验的条件下做适当调整</w:t>
      </w:r>
      <w:r>
        <w:rPr>
          <w:rFonts w:hint="eastAsia" w:ascii="Times New Roman" w:hAnsi="Times New Roman" w:cs="Times New Roman"/>
          <w:sz w:val="21"/>
          <w:szCs w:val="21"/>
        </w:rPr>
        <w:t>。</w:t>
      </w:r>
    </w:p>
    <w:p w14:paraId="3CA91816">
      <w:pPr>
        <w:pStyle w:val="10"/>
        <w:numPr>
          <w:ilvl w:val="0"/>
          <w:numId w:val="1"/>
        </w:numPr>
        <w:snapToGrid w:val="0"/>
        <w:spacing w:line="440" w:lineRule="exact"/>
        <w:ind w:firstLineChars="0"/>
        <w:rPr>
          <w:rFonts w:ascii="Times New Roman" w:hAnsi="Times New Roman"/>
          <w:b/>
          <w:color w:val="000000"/>
          <w:sz w:val="24"/>
          <w:szCs w:val="24"/>
        </w:rPr>
      </w:pPr>
      <w:r>
        <w:rPr>
          <w:rFonts w:ascii="Times New Roman" w:hAnsi="Times New Roman"/>
          <w:b/>
          <w:color w:val="000000"/>
          <w:sz w:val="24"/>
          <w:szCs w:val="24"/>
        </w:rPr>
        <w:t>检验依据</w:t>
      </w:r>
    </w:p>
    <w:p w14:paraId="6405A317">
      <w:pPr>
        <w:snapToGrid w:val="0"/>
        <w:spacing w:line="500" w:lineRule="exact"/>
        <w:jc w:val="left"/>
        <w:rPr>
          <w:rFonts w:ascii="宋体" w:hAnsi="宋体" w:cs="宋体"/>
          <w:color w:val="000000"/>
          <w:sz w:val="24"/>
          <w:szCs w:val="24"/>
        </w:rPr>
      </w:pPr>
      <w:r>
        <w:rPr>
          <w:rFonts w:hint="eastAsia" w:ascii="宋体" w:hAnsi="宋体" w:cs="宋体"/>
          <w:color w:val="000000"/>
          <w:sz w:val="24"/>
          <w:szCs w:val="24"/>
        </w:rPr>
        <w:t xml:space="preserve">2.1 </w:t>
      </w:r>
      <w:r>
        <w:rPr>
          <w:rFonts w:ascii="宋体" w:hAnsi="宋体" w:cs="宋体"/>
          <w:color w:val="000000"/>
          <w:sz w:val="24"/>
          <w:szCs w:val="24"/>
        </w:rPr>
        <w:t>塑料一次性餐饮具</w:t>
      </w:r>
    </w:p>
    <w:p w14:paraId="70E69C9C">
      <w:pPr>
        <w:snapToGrid w:val="0"/>
        <w:spacing w:line="500" w:lineRule="exact"/>
        <w:ind w:firstLine="480" w:firstLineChars="200"/>
        <w:jc w:val="center"/>
        <w:rPr>
          <w:rFonts w:ascii="宋体" w:hAnsi="宋体" w:cs="宋体"/>
          <w:color w:val="000000"/>
          <w:sz w:val="24"/>
          <w:szCs w:val="24"/>
        </w:rPr>
      </w:pPr>
      <w:r>
        <w:rPr>
          <w:rFonts w:ascii="宋体" w:hAnsi="宋体" w:cs="宋体"/>
          <w:color w:val="000000"/>
          <w:sz w:val="24"/>
          <w:szCs w:val="24"/>
        </w:rPr>
        <w:t>表</w:t>
      </w:r>
      <w:r>
        <w:rPr>
          <w:rFonts w:hint="eastAsia" w:ascii="宋体" w:hAnsi="宋体" w:cs="宋体"/>
          <w:color w:val="000000"/>
          <w:sz w:val="24"/>
          <w:szCs w:val="24"/>
          <w:lang w:val="en-US" w:eastAsia="zh-CN"/>
        </w:rPr>
        <w:t>1</w:t>
      </w:r>
      <w:r>
        <w:rPr>
          <w:rFonts w:ascii="宋体" w:hAnsi="宋体" w:cs="宋体"/>
          <w:color w:val="000000"/>
          <w:sz w:val="24"/>
          <w:szCs w:val="24"/>
        </w:rPr>
        <w:t xml:space="preserve"> </w:t>
      </w:r>
      <w:r>
        <w:rPr>
          <w:rFonts w:hint="eastAsia" w:ascii="宋体" w:hAnsi="宋体" w:cs="宋体"/>
          <w:color w:val="000000"/>
          <w:sz w:val="24"/>
          <w:szCs w:val="24"/>
        </w:rPr>
        <w:t xml:space="preserve"> </w:t>
      </w:r>
      <w:r>
        <w:rPr>
          <w:rFonts w:ascii="宋体" w:hAnsi="宋体" w:cs="宋体"/>
          <w:color w:val="000000"/>
          <w:sz w:val="24"/>
          <w:szCs w:val="24"/>
        </w:rPr>
        <w:t>塑料一次性餐饮具产品检验项目、依据、方法</w:t>
      </w:r>
    </w:p>
    <w:tbl>
      <w:tblPr>
        <w:tblStyle w:val="4"/>
        <w:tblW w:w="44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512"/>
        <w:gridCol w:w="2053"/>
        <w:gridCol w:w="2176"/>
      </w:tblGrid>
      <w:tr w14:paraId="53E6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blHeader/>
          <w:jc w:val="center"/>
        </w:trPr>
        <w:tc>
          <w:tcPr>
            <w:tcW w:w="564" w:type="pct"/>
            <w:vAlign w:val="center"/>
          </w:tcPr>
          <w:p w14:paraId="063B6C85">
            <w:pPr>
              <w:jc w:val="center"/>
              <w:rPr>
                <w:sz w:val="21"/>
                <w:szCs w:val="21"/>
              </w:rPr>
            </w:pPr>
            <w:r>
              <w:rPr>
                <w:sz w:val="21"/>
                <w:szCs w:val="21"/>
              </w:rPr>
              <w:t>序号</w:t>
            </w:r>
          </w:p>
        </w:tc>
        <w:tc>
          <w:tcPr>
            <w:tcW w:w="1653" w:type="pct"/>
            <w:vAlign w:val="center"/>
          </w:tcPr>
          <w:p w14:paraId="36683FEC">
            <w:pPr>
              <w:jc w:val="center"/>
              <w:rPr>
                <w:sz w:val="21"/>
                <w:szCs w:val="21"/>
              </w:rPr>
            </w:pPr>
            <w:r>
              <w:rPr>
                <w:sz w:val="21"/>
                <w:szCs w:val="21"/>
              </w:rPr>
              <w:t>检验项目</w:t>
            </w:r>
          </w:p>
        </w:tc>
        <w:tc>
          <w:tcPr>
            <w:tcW w:w="1351" w:type="pct"/>
            <w:vAlign w:val="center"/>
          </w:tcPr>
          <w:p w14:paraId="14B56EA0">
            <w:pPr>
              <w:jc w:val="center"/>
              <w:rPr>
                <w:sz w:val="21"/>
                <w:szCs w:val="21"/>
              </w:rPr>
            </w:pPr>
            <w:r>
              <w:rPr>
                <w:sz w:val="21"/>
                <w:szCs w:val="21"/>
              </w:rPr>
              <w:t>检验依据</w:t>
            </w:r>
          </w:p>
        </w:tc>
        <w:tc>
          <w:tcPr>
            <w:tcW w:w="1430" w:type="pct"/>
            <w:vAlign w:val="center"/>
          </w:tcPr>
          <w:p w14:paraId="04B588FA">
            <w:pPr>
              <w:jc w:val="center"/>
              <w:rPr>
                <w:sz w:val="21"/>
                <w:szCs w:val="21"/>
              </w:rPr>
            </w:pPr>
            <w:r>
              <w:rPr>
                <w:sz w:val="21"/>
                <w:szCs w:val="21"/>
              </w:rPr>
              <w:t>检验方法</w:t>
            </w:r>
          </w:p>
        </w:tc>
      </w:tr>
      <w:tr w14:paraId="5FF67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pct"/>
            <w:vAlign w:val="center"/>
          </w:tcPr>
          <w:p w14:paraId="752BD43F">
            <w:pPr>
              <w:spacing w:line="300" w:lineRule="auto"/>
              <w:jc w:val="center"/>
              <w:rPr>
                <w:bCs/>
                <w:sz w:val="21"/>
                <w:szCs w:val="21"/>
              </w:rPr>
            </w:pPr>
            <w:r>
              <w:rPr>
                <w:bCs/>
                <w:sz w:val="21"/>
                <w:szCs w:val="21"/>
              </w:rPr>
              <w:t>1</w:t>
            </w:r>
          </w:p>
        </w:tc>
        <w:tc>
          <w:tcPr>
            <w:tcW w:w="1653" w:type="pct"/>
            <w:vAlign w:val="center"/>
          </w:tcPr>
          <w:p w14:paraId="4520F6EC">
            <w:pPr>
              <w:spacing w:line="300" w:lineRule="auto"/>
              <w:jc w:val="center"/>
              <w:rPr>
                <w:bCs/>
                <w:sz w:val="21"/>
                <w:szCs w:val="21"/>
              </w:rPr>
            </w:pPr>
            <w:r>
              <w:rPr>
                <w:bCs/>
                <w:sz w:val="21"/>
                <w:szCs w:val="21"/>
              </w:rPr>
              <w:t>感官要求</w:t>
            </w:r>
          </w:p>
        </w:tc>
        <w:tc>
          <w:tcPr>
            <w:tcW w:w="1351" w:type="pct"/>
            <w:vAlign w:val="center"/>
          </w:tcPr>
          <w:p w14:paraId="0B37B9D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Cs/>
                <w:sz w:val="21"/>
                <w:szCs w:val="21"/>
                <w:lang w:val="en-US" w:eastAsia="zh-CN"/>
              </w:rPr>
            </w:pPr>
            <w:r>
              <w:rPr>
                <w:bCs/>
                <w:sz w:val="21"/>
                <w:szCs w:val="21"/>
              </w:rPr>
              <w:t>GB 4806.7-20</w:t>
            </w:r>
            <w:r>
              <w:rPr>
                <w:rFonts w:hint="eastAsia"/>
                <w:bCs/>
                <w:sz w:val="21"/>
                <w:szCs w:val="21"/>
                <w:lang w:val="en-US" w:eastAsia="zh-CN"/>
              </w:rPr>
              <w:t>23</w:t>
            </w:r>
          </w:p>
        </w:tc>
        <w:tc>
          <w:tcPr>
            <w:tcW w:w="1430" w:type="pct"/>
            <w:vAlign w:val="center"/>
          </w:tcPr>
          <w:p w14:paraId="1878E1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Cs/>
                <w:sz w:val="21"/>
                <w:szCs w:val="21"/>
              </w:rPr>
            </w:pPr>
            <w:r>
              <w:rPr>
                <w:bCs/>
                <w:sz w:val="21"/>
                <w:szCs w:val="21"/>
              </w:rPr>
              <w:t>GB 4806.7-20</w:t>
            </w:r>
            <w:r>
              <w:rPr>
                <w:rFonts w:hint="eastAsia"/>
                <w:bCs/>
                <w:sz w:val="21"/>
                <w:szCs w:val="21"/>
                <w:lang w:val="en-US" w:eastAsia="zh-CN"/>
              </w:rPr>
              <w:t>23</w:t>
            </w:r>
          </w:p>
        </w:tc>
      </w:tr>
      <w:tr w14:paraId="0F17A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pct"/>
            <w:vAlign w:val="center"/>
          </w:tcPr>
          <w:p w14:paraId="4D3A6A7F">
            <w:pPr>
              <w:spacing w:line="300" w:lineRule="auto"/>
              <w:jc w:val="center"/>
              <w:rPr>
                <w:bCs/>
                <w:sz w:val="21"/>
                <w:szCs w:val="21"/>
              </w:rPr>
            </w:pPr>
            <w:r>
              <w:rPr>
                <w:bCs/>
                <w:sz w:val="21"/>
                <w:szCs w:val="21"/>
              </w:rPr>
              <w:t>2</w:t>
            </w:r>
          </w:p>
        </w:tc>
        <w:tc>
          <w:tcPr>
            <w:tcW w:w="1653" w:type="pct"/>
            <w:vAlign w:val="center"/>
          </w:tcPr>
          <w:p w14:paraId="07724EDB">
            <w:pPr>
              <w:spacing w:line="300" w:lineRule="auto"/>
              <w:jc w:val="center"/>
              <w:rPr>
                <w:bCs/>
                <w:sz w:val="21"/>
                <w:szCs w:val="21"/>
              </w:rPr>
            </w:pPr>
            <w:r>
              <w:rPr>
                <w:bCs/>
                <w:sz w:val="21"/>
                <w:szCs w:val="21"/>
              </w:rPr>
              <w:t>总迁移量</w:t>
            </w:r>
          </w:p>
        </w:tc>
        <w:tc>
          <w:tcPr>
            <w:tcW w:w="1351" w:type="pct"/>
            <w:vAlign w:val="center"/>
          </w:tcPr>
          <w:p w14:paraId="41F2BD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Cs/>
                <w:sz w:val="21"/>
                <w:szCs w:val="21"/>
              </w:rPr>
            </w:pPr>
            <w:r>
              <w:rPr>
                <w:bCs/>
                <w:sz w:val="21"/>
                <w:szCs w:val="21"/>
              </w:rPr>
              <w:t>GB 4806.7-20</w:t>
            </w:r>
            <w:r>
              <w:rPr>
                <w:rFonts w:hint="eastAsia"/>
                <w:bCs/>
                <w:sz w:val="21"/>
                <w:szCs w:val="21"/>
                <w:lang w:val="en-US" w:eastAsia="zh-CN"/>
              </w:rPr>
              <w:t>23</w:t>
            </w:r>
          </w:p>
        </w:tc>
        <w:tc>
          <w:tcPr>
            <w:tcW w:w="1430" w:type="pct"/>
            <w:vAlign w:val="center"/>
          </w:tcPr>
          <w:p w14:paraId="5D7F0E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Cs/>
                <w:sz w:val="21"/>
                <w:szCs w:val="21"/>
              </w:rPr>
            </w:pPr>
            <w:r>
              <w:rPr>
                <w:bCs/>
                <w:sz w:val="21"/>
                <w:szCs w:val="21"/>
              </w:rPr>
              <w:t>GB 31604.8-2021</w:t>
            </w:r>
          </w:p>
        </w:tc>
      </w:tr>
      <w:tr w14:paraId="13B5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pct"/>
            <w:vAlign w:val="center"/>
          </w:tcPr>
          <w:p w14:paraId="7379113F">
            <w:pPr>
              <w:spacing w:line="300" w:lineRule="auto"/>
              <w:jc w:val="center"/>
              <w:rPr>
                <w:bCs/>
                <w:sz w:val="21"/>
                <w:szCs w:val="21"/>
              </w:rPr>
            </w:pPr>
            <w:r>
              <w:rPr>
                <w:bCs/>
                <w:sz w:val="21"/>
                <w:szCs w:val="21"/>
              </w:rPr>
              <w:t>3</w:t>
            </w:r>
          </w:p>
        </w:tc>
        <w:tc>
          <w:tcPr>
            <w:tcW w:w="1653" w:type="pct"/>
            <w:vAlign w:val="center"/>
          </w:tcPr>
          <w:p w14:paraId="65F61CA5">
            <w:pPr>
              <w:spacing w:line="300" w:lineRule="auto"/>
              <w:jc w:val="center"/>
              <w:rPr>
                <w:bCs/>
                <w:sz w:val="21"/>
                <w:szCs w:val="21"/>
              </w:rPr>
            </w:pPr>
            <w:r>
              <w:rPr>
                <w:bCs/>
                <w:sz w:val="21"/>
                <w:szCs w:val="21"/>
              </w:rPr>
              <w:t>高锰酸钾消耗量</w:t>
            </w:r>
          </w:p>
        </w:tc>
        <w:tc>
          <w:tcPr>
            <w:tcW w:w="1351" w:type="pct"/>
            <w:vAlign w:val="center"/>
          </w:tcPr>
          <w:p w14:paraId="7922CF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Cs/>
                <w:sz w:val="21"/>
                <w:szCs w:val="21"/>
              </w:rPr>
            </w:pPr>
            <w:r>
              <w:rPr>
                <w:bCs/>
                <w:sz w:val="21"/>
                <w:szCs w:val="21"/>
              </w:rPr>
              <w:t>GB 4806.7-20</w:t>
            </w:r>
            <w:r>
              <w:rPr>
                <w:rFonts w:hint="eastAsia"/>
                <w:bCs/>
                <w:sz w:val="21"/>
                <w:szCs w:val="21"/>
                <w:lang w:val="en-US" w:eastAsia="zh-CN"/>
              </w:rPr>
              <w:t>23</w:t>
            </w:r>
          </w:p>
        </w:tc>
        <w:tc>
          <w:tcPr>
            <w:tcW w:w="1430" w:type="pct"/>
            <w:vAlign w:val="center"/>
          </w:tcPr>
          <w:p w14:paraId="3347F5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Cs/>
                <w:sz w:val="21"/>
                <w:szCs w:val="21"/>
              </w:rPr>
            </w:pPr>
            <w:r>
              <w:rPr>
                <w:bCs/>
                <w:sz w:val="21"/>
                <w:szCs w:val="21"/>
              </w:rPr>
              <w:t>GB 31604.2-2016</w:t>
            </w:r>
          </w:p>
        </w:tc>
      </w:tr>
      <w:tr w14:paraId="0FF02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pct"/>
            <w:vAlign w:val="center"/>
          </w:tcPr>
          <w:p w14:paraId="3C725DC7">
            <w:pPr>
              <w:spacing w:line="300" w:lineRule="auto"/>
              <w:jc w:val="center"/>
              <w:rPr>
                <w:bCs/>
                <w:sz w:val="21"/>
                <w:szCs w:val="21"/>
              </w:rPr>
            </w:pPr>
            <w:r>
              <w:rPr>
                <w:bCs/>
                <w:sz w:val="21"/>
                <w:szCs w:val="21"/>
              </w:rPr>
              <w:t>4</w:t>
            </w:r>
          </w:p>
        </w:tc>
        <w:tc>
          <w:tcPr>
            <w:tcW w:w="1653" w:type="pct"/>
            <w:vAlign w:val="center"/>
          </w:tcPr>
          <w:p w14:paraId="7EC3E38A">
            <w:pPr>
              <w:spacing w:line="300" w:lineRule="auto"/>
              <w:jc w:val="center"/>
              <w:rPr>
                <w:bCs/>
                <w:sz w:val="21"/>
                <w:szCs w:val="21"/>
              </w:rPr>
            </w:pPr>
            <w:r>
              <w:rPr>
                <w:bCs/>
                <w:sz w:val="21"/>
                <w:szCs w:val="21"/>
              </w:rPr>
              <w:t>重金属（以Pb计）</w:t>
            </w:r>
          </w:p>
        </w:tc>
        <w:tc>
          <w:tcPr>
            <w:tcW w:w="1351" w:type="pct"/>
            <w:vAlign w:val="center"/>
          </w:tcPr>
          <w:p w14:paraId="065EB2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Cs/>
                <w:sz w:val="21"/>
                <w:szCs w:val="21"/>
              </w:rPr>
            </w:pPr>
            <w:r>
              <w:rPr>
                <w:bCs/>
                <w:sz w:val="21"/>
                <w:szCs w:val="21"/>
              </w:rPr>
              <w:t>GB 4806.7-20</w:t>
            </w:r>
            <w:r>
              <w:rPr>
                <w:rFonts w:hint="eastAsia"/>
                <w:bCs/>
                <w:sz w:val="21"/>
                <w:szCs w:val="21"/>
                <w:lang w:val="en-US" w:eastAsia="zh-CN"/>
              </w:rPr>
              <w:t>23</w:t>
            </w:r>
          </w:p>
        </w:tc>
        <w:tc>
          <w:tcPr>
            <w:tcW w:w="1430" w:type="pct"/>
            <w:vAlign w:val="center"/>
          </w:tcPr>
          <w:p w14:paraId="6FCDE0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Cs/>
                <w:sz w:val="21"/>
                <w:szCs w:val="21"/>
              </w:rPr>
            </w:pPr>
            <w:r>
              <w:rPr>
                <w:bCs/>
                <w:sz w:val="21"/>
                <w:szCs w:val="21"/>
              </w:rPr>
              <w:t>GB 31604.9-2016</w:t>
            </w:r>
          </w:p>
        </w:tc>
      </w:tr>
      <w:tr w14:paraId="16A25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pct"/>
            <w:vAlign w:val="center"/>
          </w:tcPr>
          <w:p w14:paraId="07B75D55">
            <w:pPr>
              <w:spacing w:line="300" w:lineRule="auto"/>
              <w:jc w:val="center"/>
              <w:rPr>
                <w:rFonts w:hint="default" w:ascii="Times New Roman" w:hAnsi="Times New Roman" w:eastAsia="宋体" w:cs="Times New Roman"/>
                <w:bCs/>
                <w:kern w:val="2"/>
                <w:sz w:val="21"/>
                <w:szCs w:val="21"/>
                <w:lang w:val="en-US" w:eastAsia="zh-CN" w:bidi="ar-SA"/>
              </w:rPr>
            </w:pPr>
            <w:r>
              <w:rPr>
                <w:rFonts w:hint="eastAsia" w:cs="Times New Roman"/>
                <w:bCs/>
                <w:kern w:val="2"/>
                <w:sz w:val="21"/>
                <w:szCs w:val="21"/>
                <w:lang w:val="en-US" w:eastAsia="zh-CN" w:bidi="ar-SA"/>
              </w:rPr>
              <w:t>5</w:t>
            </w:r>
          </w:p>
        </w:tc>
        <w:tc>
          <w:tcPr>
            <w:tcW w:w="1653" w:type="pct"/>
            <w:vAlign w:val="center"/>
          </w:tcPr>
          <w:p w14:paraId="096675A4">
            <w:pPr>
              <w:spacing w:line="300" w:lineRule="auto"/>
              <w:jc w:val="center"/>
              <w:rPr>
                <w:bCs/>
                <w:sz w:val="21"/>
                <w:szCs w:val="21"/>
              </w:rPr>
            </w:pPr>
            <w:r>
              <w:rPr>
                <w:bCs/>
                <w:sz w:val="21"/>
                <w:szCs w:val="21"/>
              </w:rPr>
              <w:t>负重性能</w:t>
            </w:r>
          </w:p>
        </w:tc>
        <w:tc>
          <w:tcPr>
            <w:tcW w:w="1351" w:type="pct"/>
            <w:vAlign w:val="center"/>
          </w:tcPr>
          <w:p w14:paraId="1BA3A5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Cs/>
                <w:sz w:val="21"/>
                <w:szCs w:val="21"/>
              </w:rPr>
            </w:pPr>
            <w:r>
              <w:rPr>
                <w:bCs/>
                <w:sz w:val="21"/>
                <w:szCs w:val="21"/>
              </w:rPr>
              <w:t>GB/T 18006.1-2009</w:t>
            </w:r>
          </w:p>
          <w:p w14:paraId="0393B1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Cs/>
                <w:sz w:val="21"/>
                <w:szCs w:val="21"/>
              </w:rPr>
            </w:pPr>
            <w:r>
              <w:rPr>
                <w:rFonts w:hint="eastAsia"/>
                <w:bCs/>
                <w:sz w:val="21"/>
                <w:szCs w:val="21"/>
                <w:lang w:val="en-US" w:eastAsia="zh-CN"/>
              </w:rPr>
              <w:t>或</w:t>
            </w:r>
            <w:r>
              <w:rPr>
                <w:bCs/>
                <w:sz w:val="21"/>
                <w:szCs w:val="21"/>
              </w:rPr>
              <w:t>产品明示标准</w:t>
            </w:r>
          </w:p>
        </w:tc>
        <w:tc>
          <w:tcPr>
            <w:tcW w:w="1430" w:type="pct"/>
            <w:vAlign w:val="center"/>
          </w:tcPr>
          <w:p w14:paraId="11EAC5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Cs/>
                <w:sz w:val="21"/>
                <w:szCs w:val="21"/>
              </w:rPr>
            </w:pPr>
            <w:r>
              <w:rPr>
                <w:bCs/>
                <w:sz w:val="21"/>
                <w:szCs w:val="21"/>
              </w:rPr>
              <w:t>GB/T 18006.1-2009</w:t>
            </w:r>
          </w:p>
        </w:tc>
      </w:tr>
      <w:tr w14:paraId="7F15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00" w:type="pct"/>
            <w:gridSpan w:val="4"/>
            <w:vAlign w:val="center"/>
          </w:tcPr>
          <w:p w14:paraId="739A97F3">
            <w:pPr>
              <w:spacing w:line="240" w:lineRule="exact"/>
              <w:jc w:val="left"/>
              <w:rPr>
                <w:rFonts w:hint="default" w:ascii="Times New Roman" w:hAnsi="Times New Roman" w:cs="Times New Roman"/>
                <w:color w:val="000000"/>
                <w:sz w:val="18"/>
                <w:szCs w:val="18"/>
                <w:highlight w:val="none"/>
              </w:rPr>
            </w:pPr>
            <w:r>
              <w:rPr>
                <w:rFonts w:hint="default" w:ascii="Times New Roman" w:hAnsi="Times New Roman" w:cs="Times New Roman"/>
                <w:bCs/>
                <w:sz w:val="18"/>
                <w:szCs w:val="18"/>
              </w:rPr>
              <w:t>注：</w:t>
            </w:r>
            <w:r>
              <w:rPr>
                <w:rFonts w:hint="default" w:ascii="Times New Roman" w:hAnsi="Times New Roman" w:cs="Times New Roman"/>
                <w:bCs/>
                <w:sz w:val="18"/>
                <w:szCs w:val="18"/>
                <w:lang w:val="en-US" w:eastAsia="zh-CN"/>
              </w:rPr>
              <w:t>1.</w:t>
            </w:r>
            <w:r>
              <w:rPr>
                <w:rFonts w:hint="default" w:ascii="Times New Roman" w:hAnsi="Times New Roman" w:cs="Times New Roman"/>
                <w:color w:val="000000"/>
                <w:sz w:val="18"/>
                <w:szCs w:val="18"/>
                <w:highlight w:val="none"/>
              </w:rPr>
              <w:t>高锰酸钾消耗量不适用于执行标准为GB 4806.7</w:t>
            </w:r>
            <w:r>
              <w:rPr>
                <w:rFonts w:hint="eastAsia" w:cs="Times New Roman"/>
                <w:color w:val="000000"/>
                <w:sz w:val="18"/>
                <w:szCs w:val="18"/>
                <w:highlight w:val="none"/>
                <w:lang w:val="en-US" w:eastAsia="zh-CN"/>
              </w:rPr>
              <w:t>-</w:t>
            </w:r>
            <w:r>
              <w:rPr>
                <w:rFonts w:hint="default" w:ascii="Times New Roman" w:hAnsi="Times New Roman" w:cs="Times New Roman"/>
                <w:color w:val="000000"/>
                <w:sz w:val="18"/>
                <w:szCs w:val="18"/>
                <w:highlight w:val="none"/>
              </w:rPr>
              <w:t>2023中的淀粉含量≥40%的淀粉基塑料材料及制品。</w:t>
            </w:r>
          </w:p>
          <w:p w14:paraId="417602A2">
            <w:pPr>
              <w:numPr>
                <w:ilvl w:val="0"/>
                <w:numId w:val="0"/>
              </w:numPr>
              <w:spacing w:line="240" w:lineRule="exact"/>
              <w:ind w:firstLine="360" w:firstLineChars="200"/>
              <w:jc w:val="left"/>
              <w:rPr>
                <w:bCs/>
                <w:sz w:val="18"/>
                <w:szCs w:val="18"/>
              </w:rPr>
            </w:pPr>
            <w:r>
              <w:rPr>
                <w:rFonts w:hint="eastAsia" w:ascii="Times New Roman" w:hAnsi="Times New Roman" w:cs="Times New Roman"/>
                <w:color w:val="000000"/>
                <w:sz w:val="18"/>
                <w:szCs w:val="18"/>
                <w:highlight w:val="none"/>
                <w:lang w:val="en-US" w:eastAsia="zh-CN"/>
              </w:rPr>
              <w:t>2</w:t>
            </w:r>
            <w:r>
              <w:rPr>
                <w:rFonts w:hint="default" w:ascii="Times New Roman" w:hAnsi="Times New Roman" w:cs="Times New Roman"/>
                <w:bCs/>
                <w:sz w:val="18"/>
                <w:szCs w:val="18"/>
                <w:lang w:val="en-US"/>
              </w:rPr>
              <w:t>.</w:t>
            </w:r>
            <w:r>
              <w:rPr>
                <w:rFonts w:hint="default" w:ascii="Times New Roman" w:hAnsi="Times New Roman" w:cs="Times New Roman"/>
                <w:bCs/>
                <w:sz w:val="18"/>
                <w:szCs w:val="18"/>
              </w:rPr>
              <w:t>因为流通领域无法让生产企业确定产品的预期使用情况，故流通领域上抽取的塑料一次性餐饮具产品迁移条件均按照10%乙醇，70℃，2h浸泡实验。</w:t>
            </w:r>
          </w:p>
        </w:tc>
      </w:tr>
    </w:tbl>
    <w:p w14:paraId="2E39757C">
      <w:pPr>
        <w:adjustRightInd w:val="0"/>
        <w:snapToGrid w:val="0"/>
        <w:spacing w:line="440" w:lineRule="exact"/>
        <w:ind w:firstLine="417" w:firstLineChars="199"/>
        <w:rPr>
          <w:rFonts w:ascii="Times New Roman" w:hAnsi="Times New Roman"/>
          <w:sz w:val="24"/>
          <w:szCs w:val="24"/>
        </w:rPr>
      </w:pPr>
      <w:r>
        <w:rPr>
          <w:rFonts w:hint="eastAsia"/>
          <w:color w:val="auto"/>
          <w:sz w:val="21"/>
          <w:szCs w:val="21"/>
          <w:highlight w:val="none"/>
        </w:rPr>
        <w:t>物理指标项目根据产品标准及检测方法是否符合</w:t>
      </w:r>
      <w:r>
        <w:rPr>
          <w:rFonts w:hint="eastAsia"/>
          <w:color w:val="auto"/>
          <w:sz w:val="21"/>
          <w:szCs w:val="21"/>
          <w:highlight w:val="none"/>
          <w:lang w:eastAsia="zh-CN"/>
        </w:rPr>
        <w:t>细则</w:t>
      </w:r>
      <w:r>
        <w:rPr>
          <w:rFonts w:hint="eastAsia"/>
          <w:color w:val="auto"/>
          <w:sz w:val="21"/>
          <w:szCs w:val="21"/>
          <w:highlight w:val="none"/>
        </w:rPr>
        <w:t>要求，确定此项目是否需要检</w:t>
      </w:r>
      <w:r>
        <w:rPr>
          <w:rFonts w:hint="eastAsia"/>
          <w:color w:val="auto"/>
          <w:sz w:val="21"/>
          <w:szCs w:val="21"/>
          <w:highlight w:val="none"/>
          <w:lang w:eastAsia="zh-CN"/>
        </w:rPr>
        <w:t>测</w:t>
      </w:r>
      <w:r>
        <w:rPr>
          <w:rFonts w:hint="eastAsia"/>
          <w:color w:val="auto"/>
          <w:sz w:val="21"/>
          <w:szCs w:val="21"/>
          <w:highlight w:val="none"/>
        </w:rPr>
        <w:t>。</w:t>
      </w:r>
    </w:p>
    <w:p w14:paraId="68F2565A">
      <w:pPr>
        <w:snapToGrid w:val="0"/>
        <w:spacing w:line="500" w:lineRule="exact"/>
        <w:ind w:firstLine="480" w:firstLineChars="200"/>
        <w:rPr>
          <w:rFonts w:ascii="宋体" w:hAnsi="宋体" w:cs="宋体"/>
          <w:color w:val="000000"/>
          <w:sz w:val="24"/>
          <w:szCs w:val="24"/>
        </w:rPr>
      </w:pPr>
      <w:r>
        <w:rPr>
          <w:rFonts w:ascii="宋体" w:hAnsi="宋体" w:cs="宋体"/>
          <w:color w:val="000000"/>
          <w:sz w:val="24"/>
          <w:szCs w:val="24"/>
        </w:rPr>
        <w:t>执行企业标准、团体标准、地方标准的产品，检验项目参照上述内容执行。</w:t>
      </w:r>
    </w:p>
    <w:p w14:paraId="2C418BCF">
      <w:pPr>
        <w:snapToGrid w:val="0"/>
        <w:spacing w:line="500" w:lineRule="exact"/>
        <w:ind w:firstLine="480" w:firstLineChars="200"/>
        <w:rPr>
          <w:rFonts w:ascii="宋体" w:hAnsi="宋体" w:cs="宋体"/>
          <w:color w:val="000000"/>
          <w:sz w:val="24"/>
          <w:szCs w:val="24"/>
        </w:rPr>
      </w:pPr>
      <w:r>
        <w:rPr>
          <w:rFonts w:ascii="宋体" w:hAnsi="宋体" w:cs="宋体"/>
          <w:color w:val="000000"/>
          <w:sz w:val="24"/>
          <w:szCs w:val="24"/>
        </w:rPr>
        <w:t>凡是注日期的文件，其随后所有的修改单（不包括勘误的内容）或修订版不适用于本细则。凡是不注日期的文件，其最新版本适用于本细则。</w:t>
      </w:r>
    </w:p>
    <w:p w14:paraId="52ED9C47">
      <w:pPr>
        <w:spacing w:line="360" w:lineRule="auto"/>
        <w:rPr>
          <w:rFonts w:ascii="Times New Roman" w:hAnsi="Times New Roman"/>
          <w:b/>
          <w:color w:val="000000"/>
          <w:sz w:val="24"/>
          <w:szCs w:val="24"/>
        </w:rPr>
      </w:pPr>
      <w:r>
        <w:rPr>
          <w:rFonts w:ascii="Times New Roman" w:hAnsi="Times New Roman"/>
          <w:b/>
          <w:color w:val="000000"/>
          <w:sz w:val="24"/>
          <w:szCs w:val="24"/>
        </w:rPr>
        <w:t>3 判定规则</w:t>
      </w:r>
    </w:p>
    <w:p w14:paraId="400443FC">
      <w:pPr>
        <w:snapToGrid w:val="0"/>
        <w:spacing w:line="440" w:lineRule="exact"/>
        <w:rPr>
          <w:rFonts w:ascii="Times New Roman" w:hAnsi="Times New Roman"/>
          <w:color w:val="000000"/>
          <w:sz w:val="24"/>
          <w:szCs w:val="24"/>
        </w:rPr>
      </w:pPr>
      <w:r>
        <w:rPr>
          <w:rFonts w:ascii="Times New Roman" w:hAnsi="Times New Roman"/>
          <w:b/>
          <w:color w:val="000000"/>
          <w:sz w:val="24"/>
          <w:szCs w:val="24"/>
        </w:rPr>
        <w:t>3.1依据标准</w:t>
      </w:r>
    </w:p>
    <w:p w14:paraId="6FA71237">
      <w:pPr>
        <w:spacing w:line="360" w:lineRule="auto"/>
        <w:ind w:firstLine="480" w:firstLineChars="200"/>
        <w:jc w:val="left"/>
        <w:rPr>
          <w:rFonts w:ascii="Times New Roman" w:hAnsi="Times New Roman" w:cs="Times New Roman"/>
          <w:sz w:val="24"/>
        </w:rPr>
      </w:pPr>
      <w:r>
        <w:rPr>
          <w:rFonts w:ascii="Times New Roman" w:hAnsi="Times New Roman" w:cs="Times New Roman"/>
          <w:sz w:val="24"/>
        </w:rPr>
        <w:t>GB 4806.7-20</w:t>
      </w:r>
      <w:r>
        <w:rPr>
          <w:rFonts w:hint="eastAsia" w:ascii="Times New Roman" w:hAnsi="Times New Roman" w:cs="Times New Roman"/>
          <w:sz w:val="24"/>
        </w:rPr>
        <w:t>23</w:t>
      </w:r>
      <w:r>
        <w:rPr>
          <w:rFonts w:ascii="Times New Roman" w:hAnsi="Times New Roman" w:cs="Times New Roman"/>
          <w:sz w:val="24"/>
        </w:rPr>
        <w:t xml:space="preserve">  食品安全国家标准 食品接触用塑料材料及制品</w:t>
      </w:r>
    </w:p>
    <w:p w14:paraId="6E61D3F0">
      <w:pPr>
        <w:adjustRightInd w:val="0"/>
        <w:spacing w:line="360" w:lineRule="auto"/>
        <w:ind w:firstLine="420" w:firstLineChars="200"/>
        <w:jc w:val="left"/>
        <w:rPr>
          <w:rFonts w:ascii="Times New Roman" w:hAnsi="Times New Roman"/>
          <w:kern w:val="0"/>
          <w:sz w:val="24"/>
        </w:rPr>
      </w:pPr>
      <w:r>
        <w:fldChar w:fldCharType="begin"/>
      </w:r>
      <w:r>
        <w:instrText xml:space="preserve"> HYPERLINK "http://www.bzsb.info/javascript:void(0);" </w:instrText>
      </w:r>
      <w:r>
        <w:fldChar w:fldCharType="separate"/>
      </w:r>
      <w:r>
        <w:rPr>
          <w:rFonts w:ascii="Times New Roman" w:hAnsi="Times New Roman"/>
          <w:sz w:val="24"/>
        </w:rPr>
        <w:t>GB/T 18006.1-2009</w:t>
      </w:r>
      <w:r>
        <w:rPr>
          <w:rFonts w:ascii="Times New Roman" w:hAnsi="Times New Roman"/>
          <w:sz w:val="24"/>
        </w:rPr>
        <w:fldChar w:fldCharType="end"/>
      </w:r>
      <w:r>
        <w:rPr>
          <w:rFonts w:ascii="Times New Roman" w:hAnsi="Times New Roman"/>
          <w:sz w:val="24"/>
        </w:rPr>
        <w:t xml:space="preserve"> 塑料一次性餐饮具通用技术要求</w:t>
      </w:r>
    </w:p>
    <w:p w14:paraId="41FE5BD3">
      <w:pPr>
        <w:adjustRightInd w:val="0"/>
        <w:spacing w:line="360" w:lineRule="auto"/>
        <w:ind w:firstLine="480" w:firstLineChars="200"/>
        <w:rPr>
          <w:rFonts w:ascii="Times New Roman" w:hAnsi="Times New Roman"/>
          <w:sz w:val="24"/>
        </w:rPr>
      </w:pPr>
      <w:r>
        <w:rPr>
          <w:rFonts w:ascii="Times New Roman" w:hAnsi="Times New Roman"/>
          <w:sz w:val="24"/>
        </w:rPr>
        <w:t>现行有效的企业标准、团体标准、地方标准及产品明示质量要求。</w:t>
      </w:r>
    </w:p>
    <w:p w14:paraId="33435174">
      <w:pPr>
        <w:snapToGrid w:val="0"/>
        <w:spacing w:line="440" w:lineRule="exact"/>
        <w:rPr>
          <w:rFonts w:ascii="Times New Roman" w:hAnsi="Times New Roman"/>
          <w:b/>
          <w:color w:val="000000"/>
          <w:sz w:val="24"/>
          <w:szCs w:val="24"/>
        </w:rPr>
      </w:pPr>
      <w:r>
        <w:rPr>
          <w:rFonts w:ascii="Times New Roman" w:hAnsi="Times New Roman"/>
          <w:b/>
          <w:color w:val="000000"/>
          <w:sz w:val="24"/>
          <w:szCs w:val="24"/>
        </w:rPr>
        <w:t>3.2判定原则</w:t>
      </w:r>
    </w:p>
    <w:p w14:paraId="6EB8CA45">
      <w:pPr>
        <w:snapToGrid w:val="0"/>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经检验，检验项目全部合格，判定为被抽查产品所检项目未发现不合格；检验项目中任一项或一项以上不合格，判定为被抽查产品不合格。</w:t>
      </w:r>
    </w:p>
    <w:p w14:paraId="4670428F">
      <w:pPr>
        <w:snapToGrid w:val="0"/>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若被检产品明示的质量要求高于本细则中检验项目依据的标准要求时，应按被检产品明示的质量要求判定。</w:t>
      </w:r>
    </w:p>
    <w:p w14:paraId="5969A8FF">
      <w:pPr>
        <w:snapToGrid w:val="0"/>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若被检产品明示的质量要求低于本细则中检验项目依据的强制性标准要求时，应按照强制性标准要求判定。</w:t>
      </w:r>
    </w:p>
    <w:p w14:paraId="146400A7">
      <w:pPr>
        <w:snapToGrid w:val="0"/>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若被检产品明示的质量要求低于或包含本细则中检验项目依据的推荐性标准要求时，应以被检产品明示的质量要求判定。</w:t>
      </w:r>
    </w:p>
    <w:p w14:paraId="2643B7AB">
      <w:pPr>
        <w:snapToGrid w:val="0"/>
        <w:spacing w:line="440" w:lineRule="exact"/>
        <w:ind w:firstLine="480" w:firstLineChars="200"/>
        <w:rPr>
          <w:rFonts w:ascii="宋体" w:hAnsi="宋体" w:cs="宋体"/>
          <w:color w:val="000000"/>
          <w:sz w:val="24"/>
          <w:szCs w:val="24"/>
        </w:rPr>
      </w:pPr>
      <w:r>
        <w:rPr>
          <w:rFonts w:hint="eastAsia" w:ascii="宋体" w:hAnsi="宋体" w:cs="宋体"/>
          <w:color w:val="000000"/>
          <w:sz w:val="24"/>
          <w:szCs w:val="24"/>
        </w:rPr>
        <w:t>若被检产品明示的质量要求缺少本细则中检验项目依据的强制性标准要求时，应按照强制性标准要求判定。</w:t>
      </w:r>
    </w:p>
    <w:p w14:paraId="79AE620C">
      <w:pPr>
        <w:snapToGrid w:val="0"/>
        <w:spacing w:line="440" w:lineRule="exact"/>
        <w:ind w:firstLine="480" w:firstLineChars="200"/>
        <w:rPr>
          <w:rFonts w:ascii="Times New Roman" w:hAnsi="Times New Roman"/>
          <w:color w:val="000000"/>
          <w:sz w:val="24"/>
          <w:szCs w:val="24"/>
        </w:rPr>
      </w:pPr>
      <w:r>
        <w:rPr>
          <w:rFonts w:hint="eastAsia" w:ascii="宋体" w:hAnsi="宋体" w:cs="宋体"/>
          <w:color w:val="000000"/>
          <w:sz w:val="24"/>
          <w:szCs w:val="24"/>
        </w:rPr>
        <w:t>若被检产品明示的质量要求缺少本细则中检验项目依据的推荐性标准要求时，该项目不参与判定。</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10274">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859485283"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5EBFBAA6">
                          <w:pPr>
                            <w:pStyle w:val="2"/>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LW7l30AAAAAIBAAAPAAAAAAAAAAEAIAAA&#10;ACIAAABkcnMvZG93bnJldi54bWxQSwECFAAUAAAACACHTuJAxO4QRxQCAAANBAAADgAAAAAAAAAB&#10;ACAAAAAfAQAAZHJzL2Uyb0RvYy54bWxQSwUGAAAAAAYABgBZAQAApQUAAAAA&#10;">
              <v:fill on="f" focussize="0,0"/>
              <v:stroke on="f"/>
              <v:imagedata o:title=""/>
              <o:lock v:ext="edit" aspectratio="f"/>
              <v:textbox inset="0mm,0mm,0mm,0mm" style="mso-fit-shape-to-text:t;">
                <w:txbxContent>
                  <w:p w14:paraId="5EBFBAA6">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DE0D37"/>
    <w:multiLevelType w:val="multilevel"/>
    <w:tmpl w:val="07DE0D37"/>
    <w:lvl w:ilvl="0" w:tentative="0">
      <w:start w:val="2"/>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wODViY2ViZWQ4YmRiMTI4MzMxMjFkNGVlMDY5NzQifQ=="/>
  </w:docVars>
  <w:rsids>
    <w:rsidRoot w:val="006F1AF3"/>
    <w:rsid w:val="00010091"/>
    <w:rsid w:val="000A78B4"/>
    <w:rsid w:val="000D374E"/>
    <w:rsid w:val="00145170"/>
    <w:rsid w:val="0016489C"/>
    <w:rsid w:val="001672FB"/>
    <w:rsid w:val="001E0F69"/>
    <w:rsid w:val="002272B5"/>
    <w:rsid w:val="00253385"/>
    <w:rsid w:val="002B5788"/>
    <w:rsid w:val="002F428A"/>
    <w:rsid w:val="00306E13"/>
    <w:rsid w:val="00361EAD"/>
    <w:rsid w:val="00391A10"/>
    <w:rsid w:val="004926BF"/>
    <w:rsid w:val="004B140F"/>
    <w:rsid w:val="004C7C84"/>
    <w:rsid w:val="0052139E"/>
    <w:rsid w:val="00530445"/>
    <w:rsid w:val="005705EB"/>
    <w:rsid w:val="005974E7"/>
    <w:rsid w:val="005A36E3"/>
    <w:rsid w:val="00627835"/>
    <w:rsid w:val="00630F87"/>
    <w:rsid w:val="00693487"/>
    <w:rsid w:val="006E797F"/>
    <w:rsid w:val="006F1AF3"/>
    <w:rsid w:val="00781947"/>
    <w:rsid w:val="007C6B21"/>
    <w:rsid w:val="00814FA1"/>
    <w:rsid w:val="0085030A"/>
    <w:rsid w:val="00896F7D"/>
    <w:rsid w:val="008F02C9"/>
    <w:rsid w:val="00914368"/>
    <w:rsid w:val="00916334"/>
    <w:rsid w:val="00962670"/>
    <w:rsid w:val="009940B7"/>
    <w:rsid w:val="009C6DEF"/>
    <w:rsid w:val="00A13565"/>
    <w:rsid w:val="00A5252A"/>
    <w:rsid w:val="00B87FF3"/>
    <w:rsid w:val="00BF29A6"/>
    <w:rsid w:val="00C35E97"/>
    <w:rsid w:val="00C42DFA"/>
    <w:rsid w:val="00C83602"/>
    <w:rsid w:val="00CD6BCE"/>
    <w:rsid w:val="00DE7DAB"/>
    <w:rsid w:val="00E2059F"/>
    <w:rsid w:val="00E41CA9"/>
    <w:rsid w:val="00E443F0"/>
    <w:rsid w:val="00E627A7"/>
    <w:rsid w:val="00F043A6"/>
    <w:rsid w:val="00F2767B"/>
    <w:rsid w:val="00F46C10"/>
    <w:rsid w:val="00F8030E"/>
    <w:rsid w:val="00FF57B7"/>
    <w:rsid w:val="02736C18"/>
    <w:rsid w:val="037526E0"/>
    <w:rsid w:val="049E2AAA"/>
    <w:rsid w:val="08810D30"/>
    <w:rsid w:val="08A30004"/>
    <w:rsid w:val="09E11136"/>
    <w:rsid w:val="0ADF7ECF"/>
    <w:rsid w:val="0D2F71D1"/>
    <w:rsid w:val="122C7864"/>
    <w:rsid w:val="12475601"/>
    <w:rsid w:val="17F029C5"/>
    <w:rsid w:val="21350FE0"/>
    <w:rsid w:val="21861385"/>
    <w:rsid w:val="22B83352"/>
    <w:rsid w:val="26094E55"/>
    <w:rsid w:val="26451DF0"/>
    <w:rsid w:val="27622CBE"/>
    <w:rsid w:val="29C03070"/>
    <w:rsid w:val="2AF41556"/>
    <w:rsid w:val="2F6E13C6"/>
    <w:rsid w:val="33BB388C"/>
    <w:rsid w:val="34E03F10"/>
    <w:rsid w:val="3D1411FD"/>
    <w:rsid w:val="40D06DCD"/>
    <w:rsid w:val="410D3255"/>
    <w:rsid w:val="448E5922"/>
    <w:rsid w:val="465355D4"/>
    <w:rsid w:val="4D6C2208"/>
    <w:rsid w:val="4F874FD6"/>
    <w:rsid w:val="4FA461B8"/>
    <w:rsid w:val="4FCC728D"/>
    <w:rsid w:val="55683324"/>
    <w:rsid w:val="56D24E01"/>
    <w:rsid w:val="5DD4783C"/>
    <w:rsid w:val="5FBF4A38"/>
    <w:rsid w:val="62192DFA"/>
    <w:rsid w:val="63BB3749"/>
    <w:rsid w:val="64460A80"/>
    <w:rsid w:val="671B4E94"/>
    <w:rsid w:val="68626001"/>
    <w:rsid w:val="6B1872C5"/>
    <w:rsid w:val="6BD000B6"/>
    <w:rsid w:val="707D5F22"/>
    <w:rsid w:val="708E7F10"/>
    <w:rsid w:val="73786198"/>
    <w:rsid w:val="79C51957"/>
    <w:rsid w:val="7A3A5984"/>
    <w:rsid w:val="7D55454B"/>
    <w:rsid w:val="FC5E4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qFormat/>
    <w:uiPriority w:val="0"/>
    <w:rPr>
      <w:rFonts w:ascii="Calibri" w:hAnsi="Calibri"/>
      <w:kern w:val="2"/>
      <w:sz w:val="18"/>
      <w:szCs w:val="18"/>
    </w:rPr>
  </w:style>
  <w:style w:type="character" w:customStyle="1" w:styleId="7">
    <w:name w:val="页眉 字符"/>
    <w:basedOn w:val="5"/>
    <w:link w:val="3"/>
    <w:qFormat/>
    <w:uiPriority w:val="0"/>
    <w:rPr>
      <w:rFonts w:ascii="Calibri" w:hAnsi="Calibri"/>
      <w:kern w:val="2"/>
      <w:sz w:val="18"/>
      <w:szCs w:val="18"/>
    </w:rPr>
  </w:style>
  <w:style w:type="paragraph" w:customStyle="1" w:styleId="8">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9">
    <w:name w:val="Char Char1 Char Char"/>
    <w:basedOn w:val="1"/>
    <w:qFormat/>
    <w:uiPriority w:val="0"/>
    <w:pPr>
      <w:widowControl/>
      <w:spacing w:after="160" w:line="240" w:lineRule="exact"/>
      <w:jc w:val="left"/>
    </w:pPr>
    <w:rPr>
      <w:rFonts w:ascii="Verdana" w:hAnsi="Verdana"/>
      <w:kern w:val="0"/>
      <w:sz w:val="18"/>
      <w:szCs w:val="20"/>
      <w:lang w:eastAsia="en-US"/>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Company>
  <Pages>2</Pages>
  <Words>939</Words>
  <Characters>1117</Characters>
  <Lines>25</Lines>
  <Paragraphs>7</Paragraphs>
  <TotalTime>0</TotalTime>
  <ScaleCrop>false</ScaleCrop>
  <LinksUpToDate>false</LinksUpToDate>
  <CharactersWithSpaces>1138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2024-06-25T09:24:00Z</dcterms:created>
  <dc:creator>PC1729</dc:creator>
  <cp:lastModifiedBy>weiy1ng</cp:lastModifiedBy>
  <dcterms:modified xsi:type="dcterms:W3CDTF">2025-07-28T07:06:37Z</dcterms:modified>
  <dc:title>江西省市场监督管理局2020年生物质固体成型燃料产品</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5940D0BFCACD4589A0ED2708DACD7F4D_13</vt:lpwstr>
  </property>
  <property fmtid="{D5CDD505-2E9C-101B-9397-08002B2CF9AE}" pid="4" name="KSOTemplateDocerSaveRecord">
    <vt:lpwstr>eyJoZGlkIjoiZDRjNTI1MjFiZDYzM2Q0YjIwNzE0NTkzNGNlZGZjMTkiLCJ1c2VySWQiOiIyNDQ1OTgwODEifQ==</vt:lpwstr>
  </property>
</Properties>
</file>