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普通照明用自镇流LED灯</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3台</w:t>
      </w:r>
      <w:r>
        <w:rPr>
          <w:color w:val="000000"/>
          <w:szCs w:val="21"/>
        </w:rPr>
        <w:t>，其中</w:t>
      </w:r>
      <w:r>
        <w:rPr>
          <w:rFonts w:hint="eastAsia"/>
          <w:color w:val="auto"/>
          <w:szCs w:val="21"/>
          <w:lang w:val="en-US" w:eastAsia="zh-CN"/>
        </w:rPr>
        <w:t>2台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互换性</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24906-2010</w:t>
            </w:r>
          </w:p>
        </w:tc>
      </w:tr>
      <w:tr w14:paraId="378AB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BCC49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FEC3DD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意外接触带电部件的防护</w:t>
            </w:r>
          </w:p>
        </w:tc>
        <w:tc>
          <w:tcPr>
            <w:tcW w:w="3473" w:type="dxa"/>
            <w:vAlign w:val="center"/>
          </w:tcPr>
          <w:p w14:paraId="6E8F0318">
            <w:pPr>
              <w:snapToGrid w:val="0"/>
              <w:spacing w:line="440" w:lineRule="exact"/>
              <w:jc w:val="center"/>
              <w:rPr>
                <w:rFonts w:hint="default" w:eastAsia="宋体"/>
                <w:color w:val="000000"/>
                <w:szCs w:val="21"/>
                <w:vertAlign w:val="baseline"/>
                <w:lang w:val="en-US" w:eastAsia="zh-CN"/>
              </w:rPr>
            </w:pPr>
            <w:r>
              <w:rPr>
                <w:rFonts w:hint="eastAsia"/>
              </w:rPr>
              <w:t>GB 24906-2010</w:t>
            </w:r>
          </w:p>
        </w:tc>
      </w:tr>
      <w:tr w14:paraId="07B6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79BFFC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9E37F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潮湿处理后的绝缘电阻和介电强度</w:t>
            </w:r>
          </w:p>
        </w:tc>
        <w:tc>
          <w:tcPr>
            <w:tcW w:w="3473" w:type="dxa"/>
            <w:vAlign w:val="center"/>
          </w:tcPr>
          <w:p w14:paraId="4387F655">
            <w:pPr>
              <w:snapToGrid w:val="0"/>
              <w:spacing w:line="440" w:lineRule="exact"/>
              <w:jc w:val="center"/>
              <w:rPr>
                <w:rFonts w:hint="default" w:eastAsia="宋体"/>
                <w:color w:val="000000"/>
                <w:szCs w:val="21"/>
                <w:vertAlign w:val="baseline"/>
                <w:lang w:val="en-US" w:eastAsia="zh-CN"/>
              </w:rPr>
            </w:pPr>
            <w:r>
              <w:rPr>
                <w:rFonts w:hint="eastAsia"/>
              </w:rPr>
              <w:t>GB 24906-2010</w:t>
            </w:r>
          </w:p>
        </w:tc>
      </w:tr>
      <w:tr w14:paraId="5BFE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9EBB93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F01AAA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机械强度</w:t>
            </w:r>
          </w:p>
        </w:tc>
        <w:tc>
          <w:tcPr>
            <w:tcW w:w="3473" w:type="dxa"/>
            <w:vAlign w:val="center"/>
          </w:tcPr>
          <w:p w14:paraId="299CB842">
            <w:pPr>
              <w:snapToGrid w:val="0"/>
              <w:spacing w:line="440" w:lineRule="exact"/>
              <w:jc w:val="center"/>
              <w:rPr>
                <w:rFonts w:hint="default" w:eastAsia="宋体"/>
                <w:color w:val="000000"/>
                <w:szCs w:val="21"/>
                <w:vertAlign w:val="baseline"/>
                <w:lang w:val="en-US" w:eastAsia="zh-CN"/>
              </w:rPr>
            </w:pPr>
            <w:r>
              <w:rPr>
                <w:rFonts w:hint="eastAsia"/>
              </w:rPr>
              <w:t>GB 24906-2010</w:t>
            </w:r>
          </w:p>
        </w:tc>
      </w:tr>
      <w:tr w14:paraId="70A58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CC716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1576F0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灯头温升</w:t>
            </w:r>
          </w:p>
        </w:tc>
        <w:tc>
          <w:tcPr>
            <w:tcW w:w="3473" w:type="dxa"/>
            <w:vAlign w:val="center"/>
          </w:tcPr>
          <w:p w14:paraId="2575EDF4">
            <w:pPr>
              <w:snapToGrid w:val="0"/>
              <w:spacing w:line="440" w:lineRule="exact"/>
              <w:jc w:val="center"/>
              <w:rPr>
                <w:rFonts w:hint="default" w:eastAsia="宋体"/>
                <w:color w:val="000000"/>
                <w:szCs w:val="21"/>
                <w:vertAlign w:val="baseline"/>
                <w:lang w:val="en-US" w:eastAsia="zh-CN"/>
              </w:rPr>
            </w:pPr>
            <w:r>
              <w:rPr>
                <w:rFonts w:hint="eastAsia"/>
              </w:rPr>
              <w:t>GB 24906-2010</w:t>
            </w:r>
          </w:p>
        </w:tc>
      </w:tr>
      <w:tr w14:paraId="379D4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A0E60F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497AF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耐热性</w:t>
            </w:r>
          </w:p>
        </w:tc>
        <w:tc>
          <w:tcPr>
            <w:tcW w:w="3473" w:type="dxa"/>
            <w:vAlign w:val="center"/>
          </w:tcPr>
          <w:p w14:paraId="29855B47">
            <w:pPr>
              <w:snapToGrid w:val="0"/>
              <w:spacing w:line="440" w:lineRule="exact"/>
              <w:jc w:val="center"/>
              <w:rPr>
                <w:rFonts w:hint="default" w:eastAsia="宋体"/>
                <w:color w:val="000000"/>
                <w:szCs w:val="21"/>
                <w:vertAlign w:val="baseline"/>
                <w:lang w:val="en-US" w:eastAsia="zh-CN"/>
              </w:rPr>
            </w:pPr>
            <w:r>
              <w:rPr>
                <w:rFonts w:hint="eastAsia"/>
              </w:rPr>
              <w:t>GB 24906-2010</w:t>
            </w:r>
          </w:p>
        </w:tc>
      </w:tr>
      <w:tr w14:paraId="3A12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0C078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464FED8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防火与防燃</w:t>
            </w:r>
          </w:p>
        </w:tc>
        <w:tc>
          <w:tcPr>
            <w:tcW w:w="3473" w:type="dxa"/>
            <w:vAlign w:val="center"/>
          </w:tcPr>
          <w:p w14:paraId="56F54008">
            <w:pPr>
              <w:snapToGrid w:val="0"/>
              <w:spacing w:line="440" w:lineRule="exact"/>
              <w:jc w:val="center"/>
              <w:rPr>
                <w:rFonts w:hint="default" w:eastAsia="宋体"/>
                <w:color w:val="000000"/>
                <w:szCs w:val="21"/>
                <w:vertAlign w:val="baseline"/>
                <w:lang w:val="en-US" w:eastAsia="zh-CN"/>
              </w:rPr>
            </w:pPr>
            <w:r>
              <w:rPr>
                <w:rFonts w:hint="eastAsia"/>
              </w:rPr>
              <w:t>GB 24906-2010</w:t>
            </w:r>
          </w:p>
        </w:tc>
      </w:tr>
      <w:tr w14:paraId="196B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9A6BA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5EDE1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谐波电流</w:t>
            </w:r>
          </w:p>
        </w:tc>
        <w:tc>
          <w:tcPr>
            <w:tcW w:w="3473" w:type="dxa"/>
            <w:vAlign w:val="center"/>
          </w:tcPr>
          <w:p w14:paraId="5D357F2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17625.1-2022</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17625.1-2022电磁兼容限值 第1部分：谐波电流发射限值（设备每相输入电流≤16A）</w:t>
      </w:r>
    </w:p>
    <w:p w14:paraId="4799F333">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24906-2010 普通照明用自镇流LED灯 安全要求</w:t>
      </w:r>
      <w:bookmarkStart w:id="0" w:name="_GoBack"/>
      <w:bookmarkEnd w:id="0"/>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7F048B9E">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3A2572B2-5BF8-4796-BB5C-8FB2D435FB82}"/>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E6379EBF-2D07-4034-9CC9-C7420FE76162}"/>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1F2E33F8"/>
    <w:rsid w:val="21EE1107"/>
    <w:rsid w:val="25DF3AF4"/>
    <w:rsid w:val="27701672"/>
    <w:rsid w:val="2ACD3FAF"/>
    <w:rsid w:val="369B4675"/>
    <w:rsid w:val="3AA82343"/>
    <w:rsid w:val="3BBD205C"/>
    <w:rsid w:val="3C9E39FD"/>
    <w:rsid w:val="44937F9B"/>
    <w:rsid w:val="4721404E"/>
    <w:rsid w:val="522E2F34"/>
    <w:rsid w:val="5551190C"/>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644</Words>
  <Characters>687</Characters>
  <Lines>0</Lines>
  <Paragraphs>0</Paragraphs>
  <TotalTime>0</TotalTime>
  <ScaleCrop>false</ScaleCrop>
  <LinksUpToDate>false</LinksUpToDate>
  <CharactersWithSpaces>695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2025-07-08T01:25:39Z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