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D55B45C">
      <w:pPr>
        <w:pStyle w:val="4"/>
        <w:widowControl/>
        <w:spacing w:before="0" w:beforeAutospacing="0" w:after="0" w:afterAutospacing="0" w:line="690" w:lineRule="atLeast"/>
        <w:jc w:val="center"/>
        <w:rPr>
          <w:rFonts w:hint="eastAsia" w:ascii="黑体" w:hAnsi="黑体" w:eastAsia="黑体"/>
          <w:b/>
          <w:bCs/>
          <w:color w:val="000000"/>
          <w:sz w:val="44"/>
          <w:szCs w:val="44"/>
        </w:rPr>
      </w:pPr>
      <w:r>
        <w:rPr>
          <w:rFonts w:hint="eastAsia" w:ascii="黑体" w:hAnsi="黑体" w:eastAsia="黑体" w:cs="黑体"/>
          <w:b/>
          <w:sz w:val="44"/>
          <w:szCs w:val="44"/>
          <w:shd w:val="clear" w:color="auto" w:fill="FFFFFF"/>
        </w:rPr>
        <w:t>庐山市农业农村局2022年部门预算</w:t>
      </w:r>
    </w:p>
    <w:p w14:paraId="6738F089">
      <w:pPr>
        <w:pStyle w:val="14"/>
        <w:spacing w:line="600" w:lineRule="atLeast"/>
        <w:jc w:val="center"/>
        <w:rPr>
          <w:rFonts w:ascii="黑体" w:hAnsi="黑体" w:eastAsia="黑体"/>
          <w:color w:val="000000"/>
          <w:sz w:val="32"/>
          <w:szCs w:val="32"/>
        </w:rPr>
      </w:pPr>
    </w:p>
    <w:p w14:paraId="02347CAF">
      <w:pPr>
        <w:pStyle w:val="14"/>
        <w:spacing w:line="600" w:lineRule="atLeast"/>
        <w:jc w:val="center"/>
        <w:rPr>
          <w:rFonts w:ascii="黑体" w:hAnsi="黑体" w:eastAsia="黑体"/>
          <w:color w:val="000000"/>
          <w:sz w:val="32"/>
          <w:szCs w:val="32"/>
        </w:rPr>
      </w:pPr>
      <w:r>
        <w:rPr>
          <w:rFonts w:hint="eastAsia" w:ascii="黑体" w:hAnsi="黑体" w:eastAsia="黑体"/>
          <w:color w:val="000000"/>
          <w:sz w:val="32"/>
          <w:szCs w:val="32"/>
        </w:rPr>
        <w:t>目    录</w:t>
      </w:r>
    </w:p>
    <w:p w14:paraId="0913EE39">
      <w:pPr>
        <w:pStyle w:val="14"/>
        <w:rPr>
          <w:rFonts w:ascii="宋体" w:hAnsi="宋体"/>
          <w:color w:val="000000"/>
        </w:rPr>
      </w:pPr>
    </w:p>
    <w:p w14:paraId="0D974319">
      <w:pPr>
        <w:pStyle w:val="14"/>
        <w:tabs>
          <w:tab w:val="right" w:pos="8306"/>
        </w:tabs>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第一部分  庐山市农业农村局概况</w:t>
      </w:r>
      <w:r>
        <w:rPr>
          <w:rFonts w:ascii="仿宋_GB2312" w:eastAsia="仿宋_GB2312"/>
          <w:b/>
          <w:bCs/>
          <w:color w:val="000000"/>
          <w:sz w:val="32"/>
          <w:szCs w:val="32"/>
        </w:rPr>
        <w:tab/>
      </w:r>
    </w:p>
    <w:p w14:paraId="268B66F9">
      <w:pPr>
        <w:pStyle w:val="14"/>
        <w:spacing w:line="600" w:lineRule="atLeast"/>
        <w:ind w:firstLine="1120" w:firstLineChars="350"/>
        <w:jc w:val="left"/>
        <w:rPr>
          <w:rFonts w:ascii="Adobe 仿宋 Std R" w:hAnsi="Adobe 仿宋 Std R" w:eastAsia="Adobe 仿宋 Std R" w:cs="黑体"/>
          <w:kern w:val="2"/>
          <w:sz w:val="32"/>
          <w:szCs w:val="30"/>
        </w:rPr>
      </w:pPr>
      <w:r>
        <w:rPr>
          <w:rFonts w:hint="eastAsia" w:ascii="Adobe 仿宋 Std R" w:hAnsi="Adobe 仿宋 Std R" w:eastAsia="Adobe 仿宋 Std R" w:cs="黑体"/>
          <w:kern w:val="2"/>
          <w:sz w:val="32"/>
          <w:szCs w:val="30"/>
        </w:rPr>
        <w:t xml:space="preserve"> </w:t>
      </w:r>
      <w:r>
        <w:rPr>
          <w:rFonts w:ascii="Adobe 仿宋 Std R" w:hAnsi="Adobe 仿宋 Std R" w:eastAsia="Adobe 仿宋 Std R" w:cs="黑体"/>
          <w:kern w:val="2"/>
          <w:sz w:val="32"/>
          <w:szCs w:val="30"/>
        </w:rPr>
        <w:t>一、部门主要职责</w:t>
      </w:r>
    </w:p>
    <w:p w14:paraId="38C08BA2">
      <w:pPr>
        <w:pStyle w:val="14"/>
        <w:spacing w:line="600" w:lineRule="atLeast"/>
        <w:ind w:firstLine="1280" w:firstLineChars="40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二、</w:t>
      </w:r>
      <w:r>
        <w:rPr>
          <w:rFonts w:hint="eastAsia" w:ascii="Adobe 仿宋 Std R" w:hAnsi="Adobe 仿宋 Std R" w:eastAsia="Adobe 仿宋 Std R" w:cs="黑体"/>
          <w:kern w:val="2"/>
          <w:sz w:val="32"/>
          <w:szCs w:val="30"/>
        </w:rPr>
        <w:t>机构设置及人员情况</w:t>
      </w:r>
    </w:p>
    <w:p w14:paraId="352CD14E">
      <w:pPr>
        <w:pStyle w:val="14"/>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第二部分  庐山市农业农村局2022年部门预算表</w:t>
      </w:r>
    </w:p>
    <w:p w14:paraId="5DEF2B4D">
      <w:pPr>
        <w:pStyle w:val="14"/>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一、《收支预算总表》</w:t>
      </w:r>
    </w:p>
    <w:p w14:paraId="6760987B">
      <w:pPr>
        <w:pStyle w:val="14"/>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二、《部门收入总表》</w:t>
      </w:r>
    </w:p>
    <w:p w14:paraId="2C38F51E">
      <w:pPr>
        <w:pStyle w:val="14"/>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三、《部门支出总表》</w:t>
      </w:r>
    </w:p>
    <w:p w14:paraId="689A3F54">
      <w:pPr>
        <w:pStyle w:val="14"/>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四、《财政拨款收支总表》</w:t>
      </w:r>
    </w:p>
    <w:p w14:paraId="0A18B64D">
      <w:pPr>
        <w:pStyle w:val="14"/>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五、《一般公共预算支出表》</w:t>
      </w:r>
    </w:p>
    <w:p w14:paraId="73CE8383">
      <w:pPr>
        <w:pStyle w:val="14"/>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六、《一般公共预算基本支出表》</w:t>
      </w:r>
    </w:p>
    <w:p w14:paraId="5803ABB5">
      <w:pPr>
        <w:pStyle w:val="14"/>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七、《一般公共预算“三公”经费支出表》</w:t>
      </w:r>
    </w:p>
    <w:p w14:paraId="17082005">
      <w:pPr>
        <w:pStyle w:val="14"/>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八、《政府性基金预算支出表》</w:t>
      </w:r>
    </w:p>
    <w:p w14:paraId="640194F2">
      <w:pPr>
        <w:pStyle w:val="14"/>
        <w:tabs>
          <w:tab w:val="left" w:pos="6546"/>
        </w:tabs>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九、《</w:t>
      </w:r>
      <w:r>
        <w:rPr>
          <w:rFonts w:hint="eastAsia" w:ascii="Adobe 仿宋 Std R" w:hAnsi="Adobe 仿宋 Std R" w:eastAsia="Adobe 仿宋 Std R" w:cs="黑体"/>
          <w:kern w:val="2"/>
          <w:sz w:val="32"/>
          <w:szCs w:val="30"/>
        </w:rPr>
        <w:t>国有资本经营</w:t>
      </w:r>
      <w:r>
        <w:rPr>
          <w:rFonts w:ascii="Adobe 仿宋 Std R" w:hAnsi="Adobe 仿宋 Std R" w:eastAsia="Adobe 仿宋 Std R" w:cs="黑体"/>
          <w:kern w:val="2"/>
          <w:sz w:val="32"/>
          <w:szCs w:val="30"/>
        </w:rPr>
        <w:t>预算支出表》</w:t>
      </w:r>
      <w:r>
        <w:rPr>
          <w:rFonts w:hint="eastAsia" w:ascii="Adobe 仿宋 Std R" w:hAnsi="Adobe 仿宋 Std R" w:eastAsia="Adobe 仿宋 Std R" w:cs="黑体"/>
          <w:kern w:val="2"/>
          <w:sz w:val="32"/>
          <w:szCs w:val="30"/>
        </w:rPr>
        <w:tab/>
      </w:r>
    </w:p>
    <w:p w14:paraId="7476C983">
      <w:pPr>
        <w:pStyle w:val="14"/>
        <w:tabs>
          <w:tab w:val="left" w:pos="6546"/>
        </w:tabs>
        <w:spacing w:line="600" w:lineRule="atLeast"/>
        <w:ind w:firstLine="1280"/>
        <w:jc w:val="left"/>
        <w:rPr>
          <w:rFonts w:ascii="Adobe 仿宋 Std R" w:hAnsi="Adobe 仿宋 Std R" w:eastAsia="Adobe 仿宋 Std R" w:cs="黑体"/>
          <w:kern w:val="2"/>
          <w:sz w:val="32"/>
          <w:szCs w:val="30"/>
        </w:rPr>
      </w:pPr>
      <w:r>
        <w:rPr>
          <w:rFonts w:hint="eastAsia" w:ascii="Adobe 仿宋 Std R" w:hAnsi="Adobe 仿宋 Std R" w:eastAsia="Adobe 仿宋 Std R" w:cs="黑体"/>
          <w:kern w:val="2"/>
          <w:sz w:val="32"/>
          <w:szCs w:val="30"/>
        </w:rPr>
        <w:t>十、</w:t>
      </w:r>
      <w:r>
        <w:rPr>
          <w:rFonts w:ascii="Adobe 仿宋 Std R" w:hAnsi="Adobe 仿宋 Std R" w:eastAsia="Adobe 仿宋 Std R" w:cs="黑体"/>
          <w:kern w:val="2"/>
          <w:sz w:val="32"/>
          <w:szCs w:val="30"/>
        </w:rPr>
        <w:t>《</w:t>
      </w:r>
      <w:r>
        <w:rPr>
          <w:rFonts w:hint="eastAsia" w:ascii="Adobe 仿宋 Std R" w:hAnsi="Adobe 仿宋 Std R" w:eastAsia="Adobe 仿宋 Std R" w:cs="黑体"/>
          <w:kern w:val="2"/>
          <w:sz w:val="32"/>
          <w:szCs w:val="30"/>
        </w:rPr>
        <w:t>部门整体支出绩效目标表</w:t>
      </w:r>
      <w:r>
        <w:rPr>
          <w:rFonts w:ascii="Adobe 仿宋 Std R" w:hAnsi="Adobe 仿宋 Std R" w:eastAsia="Adobe 仿宋 Std R" w:cs="黑体"/>
          <w:kern w:val="2"/>
          <w:sz w:val="32"/>
          <w:szCs w:val="30"/>
        </w:rPr>
        <w:t>》</w:t>
      </w:r>
    </w:p>
    <w:p w14:paraId="5730576F">
      <w:pPr>
        <w:pStyle w:val="14"/>
        <w:tabs>
          <w:tab w:val="left" w:pos="6546"/>
        </w:tabs>
        <w:spacing w:line="600" w:lineRule="atLeast"/>
        <w:ind w:firstLine="1280"/>
        <w:jc w:val="left"/>
        <w:rPr>
          <w:rFonts w:ascii="Adobe 仿宋 Std R" w:hAnsi="Adobe 仿宋 Std R" w:eastAsia="Adobe 仿宋 Std R" w:cs="黑体"/>
          <w:kern w:val="2"/>
          <w:sz w:val="32"/>
          <w:szCs w:val="30"/>
        </w:rPr>
      </w:pPr>
      <w:r>
        <w:rPr>
          <w:rFonts w:hint="eastAsia" w:ascii="Adobe 仿宋 Std R" w:hAnsi="Adobe 仿宋 Std R" w:eastAsia="Adobe 仿宋 Std R" w:cs="黑体"/>
          <w:kern w:val="2"/>
          <w:sz w:val="32"/>
          <w:szCs w:val="30"/>
        </w:rPr>
        <w:t>十一、</w:t>
      </w:r>
      <w:r>
        <w:rPr>
          <w:rFonts w:ascii="Adobe 仿宋 Std R" w:hAnsi="Adobe 仿宋 Std R" w:eastAsia="Adobe 仿宋 Std R" w:cs="黑体"/>
          <w:kern w:val="2"/>
          <w:sz w:val="32"/>
          <w:szCs w:val="30"/>
        </w:rPr>
        <w:t>《</w:t>
      </w:r>
      <w:r>
        <w:rPr>
          <w:rFonts w:hint="eastAsia" w:ascii="Adobe 仿宋 Std R" w:hAnsi="Adobe 仿宋 Std R" w:eastAsia="Adobe 仿宋 Std R" w:cs="黑体"/>
          <w:kern w:val="2"/>
          <w:sz w:val="32"/>
          <w:szCs w:val="30"/>
        </w:rPr>
        <w:t>重点项目绩效目标表</w:t>
      </w:r>
      <w:r>
        <w:rPr>
          <w:rFonts w:ascii="Adobe 仿宋 Std R" w:hAnsi="Adobe 仿宋 Std R" w:eastAsia="Adobe 仿宋 Std R" w:cs="黑体"/>
          <w:kern w:val="2"/>
          <w:sz w:val="32"/>
          <w:szCs w:val="30"/>
        </w:rPr>
        <w:t>》</w:t>
      </w:r>
    </w:p>
    <w:p w14:paraId="57E6A9FF">
      <w:pPr>
        <w:pStyle w:val="14"/>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第三部分 庐山市农业农村局2022年部门预算情况说明</w:t>
      </w:r>
    </w:p>
    <w:p w14:paraId="64AC619D">
      <w:pPr>
        <w:pStyle w:val="14"/>
        <w:spacing w:line="600" w:lineRule="atLeast"/>
        <w:ind w:firstLine="128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一、202</w:t>
      </w:r>
      <w:r>
        <w:rPr>
          <w:rFonts w:hint="eastAsia" w:ascii="Adobe 仿宋 Std R" w:hAnsi="Adobe 仿宋 Std R" w:eastAsia="Adobe 仿宋 Std R" w:cs="黑体"/>
          <w:kern w:val="2"/>
          <w:sz w:val="32"/>
          <w:szCs w:val="30"/>
        </w:rPr>
        <w:t>2</w:t>
      </w:r>
      <w:r>
        <w:rPr>
          <w:rFonts w:ascii="Adobe 仿宋 Std R" w:hAnsi="Adobe 仿宋 Std R" w:eastAsia="Adobe 仿宋 Std R" w:cs="黑体"/>
          <w:kern w:val="2"/>
          <w:sz w:val="32"/>
          <w:szCs w:val="30"/>
        </w:rPr>
        <w:t>年部门预算收支情况说明</w:t>
      </w:r>
    </w:p>
    <w:p w14:paraId="7F40CE8D">
      <w:pPr>
        <w:pStyle w:val="14"/>
        <w:spacing w:line="600" w:lineRule="atLeast"/>
        <w:ind w:firstLine="1120" w:firstLineChars="350"/>
        <w:jc w:val="left"/>
        <w:rPr>
          <w:rFonts w:ascii="Adobe 仿宋 Std R" w:hAnsi="Adobe 仿宋 Std R" w:eastAsia="Adobe 仿宋 Std R" w:cs="黑体"/>
          <w:kern w:val="2"/>
          <w:sz w:val="32"/>
          <w:szCs w:val="30"/>
        </w:rPr>
      </w:pPr>
      <w:r>
        <w:rPr>
          <w:rFonts w:ascii="Adobe 仿宋 Std R" w:hAnsi="Adobe 仿宋 Std R" w:eastAsia="Adobe 仿宋 Std R" w:cs="黑体"/>
          <w:kern w:val="2"/>
          <w:sz w:val="32"/>
          <w:szCs w:val="30"/>
        </w:rPr>
        <w:t xml:space="preserve"> 二、202</w:t>
      </w:r>
      <w:r>
        <w:rPr>
          <w:rFonts w:hint="eastAsia" w:ascii="Adobe 仿宋 Std R" w:hAnsi="Adobe 仿宋 Std R" w:eastAsia="Adobe 仿宋 Std R" w:cs="黑体"/>
          <w:kern w:val="2"/>
          <w:sz w:val="32"/>
          <w:szCs w:val="30"/>
        </w:rPr>
        <w:t>2</w:t>
      </w:r>
      <w:r>
        <w:rPr>
          <w:rFonts w:ascii="Adobe 仿宋 Std R" w:hAnsi="Adobe 仿宋 Std R" w:eastAsia="Adobe 仿宋 Std R" w:cs="黑体"/>
          <w:kern w:val="2"/>
          <w:sz w:val="32"/>
          <w:szCs w:val="30"/>
        </w:rPr>
        <w:t>年“三公”经费预算情况说明</w:t>
      </w:r>
    </w:p>
    <w:p w14:paraId="2223EE26">
      <w:pPr>
        <w:pStyle w:val="14"/>
        <w:tabs>
          <w:tab w:val="left" w:pos="6546"/>
        </w:tabs>
        <w:spacing w:line="600" w:lineRule="atLeast"/>
        <w:ind w:firstLine="1280"/>
        <w:jc w:val="left"/>
        <w:rPr>
          <w:rFonts w:ascii="Adobe 仿宋 Std R" w:hAnsi="Adobe 仿宋 Std R" w:eastAsia="Adobe 仿宋 Std R" w:cs="黑体"/>
          <w:kern w:val="2"/>
          <w:sz w:val="32"/>
          <w:szCs w:val="30"/>
        </w:rPr>
      </w:pPr>
    </w:p>
    <w:p w14:paraId="2507B594">
      <w:pPr>
        <w:pStyle w:val="14"/>
        <w:spacing w:line="600" w:lineRule="atLeast"/>
        <w:ind w:firstLine="640"/>
        <w:jc w:val="left"/>
        <w:rPr>
          <w:rFonts w:ascii="仿宋_GB2312" w:eastAsia="仿宋_GB2312"/>
          <w:b/>
          <w:bCs/>
          <w:color w:val="000000"/>
          <w:sz w:val="32"/>
          <w:szCs w:val="32"/>
        </w:rPr>
      </w:pPr>
      <w:r>
        <w:rPr>
          <w:rFonts w:hint="eastAsia" w:ascii="仿宋_GB2312" w:eastAsia="仿宋_GB2312"/>
          <w:b/>
          <w:bCs/>
          <w:color w:val="000000"/>
          <w:sz w:val="32"/>
          <w:szCs w:val="32"/>
        </w:rPr>
        <w:t>第四部分  名词解释</w:t>
      </w:r>
    </w:p>
    <w:p w14:paraId="40F9E16E">
      <w:pPr>
        <w:widowControl/>
        <w:spacing w:line="580" w:lineRule="exact"/>
        <w:jc w:val="center"/>
        <w:rPr>
          <w:rFonts w:ascii="仿宋_GB2312" w:eastAsia="仿宋_GB2312"/>
          <w:b/>
          <w:sz w:val="32"/>
          <w:szCs w:val="30"/>
        </w:rPr>
      </w:pPr>
    </w:p>
    <w:p w14:paraId="0E3818C0">
      <w:pPr>
        <w:widowControl/>
        <w:spacing w:line="580" w:lineRule="exact"/>
        <w:jc w:val="center"/>
        <w:rPr>
          <w:rFonts w:ascii="仿宋_GB2312" w:eastAsia="仿宋_GB2312"/>
          <w:b/>
          <w:sz w:val="32"/>
          <w:szCs w:val="30"/>
        </w:rPr>
      </w:pPr>
    </w:p>
    <w:p w14:paraId="282B7464">
      <w:pPr>
        <w:widowControl/>
        <w:spacing w:line="580" w:lineRule="exact"/>
        <w:jc w:val="center"/>
        <w:rPr>
          <w:rFonts w:ascii="仿宋_GB2312" w:eastAsia="仿宋_GB2312"/>
          <w:b/>
          <w:sz w:val="32"/>
          <w:szCs w:val="30"/>
        </w:rPr>
      </w:pPr>
      <w:r>
        <w:rPr>
          <w:rFonts w:hint="eastAsia" w:ascii="仿宋_GB2312" w:eastAsia="仿宋_GB2312"/>
          <w:b/>
          <w:sz w:val="32"/>
          <w:szCs w:val="30"/>
        </w:rPr>
        <w:t>第一部分  庐山市农业农村局概况</w:t>
      </w:r>
    </w:p>
    <w:p w14:paraId="72D8E67F">
      <w:pPr>
        <w:widowControl/>
        <w:spacing w:line="580" w:lineRule="exact"/>
        <w:jc w:val="left"/>
        <w:rPr>
          <w:rFonts w:ascii="宋体" w:hAnsi="宋体"/>
          <w:b/>
          <w:sz w:val="36"/>
          <w:szCs w:val="36"/>
        </w:rPr>
      </w:pPr>
    </w:p>
    <w:p w14:paraId="325917B4">
      <w:pPr>
        <w:widowControl/>
        <w:spacing w:line="580" w:lineRule="exact"/>
        <w:jc w:val="left"/>
        <w:rPr>
          <w:rFonts w:ascii="宋体" w:hAnsi="宋体"/>
          <w:b/>
          <w:sz w:val="36"/>
          <w:szCs w:val="36"/>
        </w:rPr>
      </w:pPr>
      <w:r>
        <w:rPr>
          <w:rFonts w:hint="eastAsia" w:ascii="宋体" w:hAnsi="宋体"/>
          <w:b/>
          <w:sz w:val="36"/>
          <w:szCs w:val="36"/>
        </w:rPr>
        <w:t>一、部门主要职责</w:t>
      </w:r>
    </w:p>
    <w:p w14:paraId="59AFC999">
      <w:pPr>
        <w:pStyle w:val="4"/>
        <w:widowControl/>
        <w:spacing w:before="0" w:beforeAutospacing="0" w:after="0" w:afterAutospacing="0" w:line="480" w:lineRule="atLeast"/>
        <w:ind w:firstLine="640" w:firstLineChars="200"/>
        <w:rPr>
          <w:rFonts w:hint="eastAsia" w:ascii="仿宋" w:hAnsi="仿宋" w:eastAsia="仿宋" w:cs="仿宋"/>
          <w:color w:val="434343"/>
          <w:sz w:val="32"/>
          <w:szCs w:val="32"/>
        </w:rPr>
      </w:pPr>
      <w:r>
        <w:rPr>
          <w:rFonts w:hint="eastAsia" w:ascii="仿宋" w:hAnsi="仿宋" w:eastAsia="仿宋" w:cs="仿宋"/>
          <w:color w:val="434343"/>
          <w:sz w:val="32"/>
          <w:szCs w:val="32"/>
          <w:shd w:val="clear" w:color="auto" w:fill="FFFFFF"/>
        </w:rPr>
        <w:t>（一）统筹研究和组织实施全市</w:t>
      </w:r>
      <w:r>
        <w:rPr>
          <w:rFonts w:hint="eastAsia" w:ascii="仿宋" w:hAnsi="仿宋" w:eastAsia="仿宋" w:cs="仿宋"/>
          <w:color w:val="333333"/>
          <w:sz w:val="32"/>
          <w:szCs w:val="32"/>
          <w:shd w:val="clear" w:color="auto" w:fill="FFFFFF"/>
        </w:rPr>
        <w:t>“三农”和粮食流通工作的发展战略、中长期规划、重大政策。组织起草农业农村和粮食流通有关地方性法规和市政府规章草案，参与涉农涉粮的财税、价格、收储、金融保险、进出口等政策制定。统筹协调和监督指导农业综合行政执法。</w:t>
      </w:r>
      <w:r>
        <w:rPr>
          <w:rFonts w:hint="eastAsia" w:ascii="仿宋" w:hAnsi="仿宋" w:eastAsia="仿宋" w:cs="仿宋"/>
          <w:color w:val="333333"/>
          <w:sz w:val="32"/>
          <w:szCs w:val="32"/>
          <w:shd w:val="clear" w:color="auto" w:fill="FFFFFF"/>
        </w:rPr>
        <w:br w:type="textWrapping"/>
      </w:r>
      <w:r>
        <w:rPr>
          <w:rFonts w:hint="eastAsia" w:ascii="仿宋" w:hAnsi="仿宋" w:eastAsia="仿宋" w:cs="仿宋"/>
          <w:color w:val="333333"/>
          <w:sz w:val="32"/>
          <w:szCs w:val="32"/>
          <w:shd w:val="clear" w:color="auto" w:fill="FFFFFF"/>
        </w:rPr>
        <w:t>    </w:t>
      </w:r>
      <w:r>
        <w:rPr>
          <w:rFonts w:hint="eastAsia" w:ascii="仿宋" w:hAnsi="仿宋" w:eastAsia="仿宋" w:cs="仿宋"/>
          <w:color w:val="434343"/>
          <w:sz w:val="32"/>
          <w:szCs w:val="32"/>
          <w:shd w:val="clear" w:color="auto" w:fill="FFFFFF"/>
        </w:rPr>
        <w:t>（二）统筹推动发展农村社会事业、农村公共服务、农村文化、农村基础设施和乡村治理。牵头组织改善农村人居环境，指导农村精神文明和优秀农耕文化建设。指导农业、粮食安全生产工作。指导农业、粮食安全生产工作。</w:t>
      </w:r>
      <w:r>
        <w:rPr>
          <w:rFonts w:hint="eastAsia" w:ascii="仿宋" w:hAnsi="仿宋" w:eastAsia="仿宋" w:cs="仿宋"/>
          <w:color w:val="333333"/>
          <w:sz w:val="32"/>
          <w:szCs w:val="32"/>
          <w:shd w:val="clear" w:color="auto" w:fill="FFFFFF"/>
        </w:rPr>
        <w:br w:type="textWrapping"/>
      </w:r>
      <w:r>
        <w:rPr>
          <w:rFonts w:hint="eastAsia" w:ascii="仿宋" w:hAnsi="仿宋" w:eastAsia="仿宋" w:cs="仿宋"/>
          <w:color w:val="333333"/>
          <w:sz w:val="32"/>
          <w:szCs w:val="32"/>
          <w:shd w:val="clear" w:color="auto" w:fill="FFFFFF"/>
        </w:rPr>
        <w:t>    </w:t>
      </w:r>
      <w:r>
        <w:rPr>
          <w:rFonts w:hint="eastAsia" w:ascii="仿宋" w:hAnsi="仿宋" w:eastAsia="仿宋" w:cs="仿宋"/>
          <w:color w:val="434343"/>
          <w:sz w:val="32"/>
          <w:szCs w:val="32"/>
          <w:shd w:val="clear" w:color="auto" w:fill="FFFFFF"/>
        </w:rPr>
        <w:t>（三）拟订深化全市深化农村经济体制改革和巩固完善农村基本经营制度的地方性管理规范性文件。负责农民承包地、农村宅基地改革和管理有关工作。指导农村土地承包，耕地使用权流转和承包创收仲裁工作。负责农村集体产权制度改革，指导农村集体经济组织发展和集体资产管理工作。监督减轻农民负担和村民筹资筹劳管理工作。指导农民合作经济</w:t>
      </w:r>
      <w:r>
        <w:rPr>
          <w:rFonts w:hint="eastAsia" w:ascii="仿宋" w:hAnsi="仿宋" w:eastAsia="仿宋" w:cs="仿宋"/>
          <w:color w:val="434343"/>
          <w:spacing w:val="-15"/>
          <w:sz w:val="32"/>
          <w:szCs w:val="32"/>
          <w:shd w:val="clear" w:color="auto" w:fill="FFFFFF"/>
        </w:rPr>
        <w:t>组织农业社会化服务体系、新型农业经营主体建设与发展。</w:t>
      </w:r>
      <w:r>
        <w:rPr>
          <w:rFonts w:hint="eastAsia" w:ascii="仿宋" w:hAnsi="仿宋" w:eastAsia="仿宋" w:cs="仿宋"/>
          <w:color w:val="333333"/>
          <w:spacing w:val="-15"/>
          <w:sz w:val="32"/>
          <w:szCs w:val="32"/>
          <w:shd w:val="clear" w:color="auto" w:fill="FFFFFF"/>
        </w:rPr>
        <w:br w:type="textWrapping"/>
      </w:r>
      <w:r>
        <w:rPr>
          <w:rFonts w:hint="eastAsia" w:ascii="仿宋" w:hAnsi="仿宋" w:eastAsia="仿宋" w:cs="仿宋"/>
          <w:color w:val="333333"/>
          <w:sz w:val="32"/>
          <w:szCs w:val="32"/>
          <w:shd w:val="clear" w:color="auto" w:fill="FFFFFF"/>
        </w:rPr>
        <w:t>    </w:t>
      </w:r>
      <w:r>
        <w:rPr>
          <w:rFonts w:hint="eastAsia" w:ascii="仿宋" w:hAnsi="仿宋" w:eastAsia="仿宋" w:cs="仿宋"/>
          <w:color w:val="434343"/>
          <w:sz w:val="32"/>
          <w:szCs w:val="32"/>
          <w:shd w:val="clear" w:color="auto" w:fill="FFFFFF"/>
        </w:rPr>
        <w:t>（四）指导全市乡村特色产业、农产品加工业、现代农业和乡镇企业发展工作，促进农村一二三产业融合发展。提出促进大宗农产品流通的建议、培育保护农业品牌。组织农业产业化龙头企业监测和评定工作，指导产业扶贫工作。发布农业农村粮食经济信息，监测分析农业农村粮食经济运行。承担农业统计和农业农村信息化有关工作。</w:t>
      </w:r>
    </w:p>
    <w:p w14:paraId="13E1A5D2">
      <w:pPr>
        <w:pStyle w:val="4"/>
        <w:widowControl/>
        <w:spacing w:before="0" w:beforeAutospacing="0" w:after="0" w:afterAutospacing="0" w:line="480" w:lineRule="atLeast"/>
        <w:ind w:firstLine="640" w:firstLineChars="200"/>
        <w:rPr>
          <w:rFonts w:hint="eastAsia" w:ascii="仿宋" w:hAnsi="仿宋" w:eastAsia="仿宋" w:cs="仿宋"/>
          <w:color w:val="434343"/>
          <w:sz w:val="32"/>
          <w:szCs w:val="32"/>
        </w:rPr>
      </w:pPr>
      <w:r>
        <w:rPr>
          <w:rFonts w:hint="eastAsia" w:ascii="仿宋" w:hAnsi="仿宋" w:eastAsia="仿宋" w:cs="仿宋"/>
          <w:color w:val="434343"/>
          <w:sz w:val="32"/>
          <w:szCs w:val="32"/>
          <w:shd w:val="clear" w:color="auto" w:fill="FFFFFF"/>
        </w:rPr>
        <w:t>（五）负责全市种植业、畜牧业、渔业、农垦、农业机械化等农业各产业的监督管理。指导粮食等农产品生产。组织协调</w:t>
      </w:r>
      <w:r>
        <w:rPr>
          <w:rFonts w:hint="eastAsia" w:ascii="仿宋" w:hAnsi="仿宋" w:eastAsia="仿宋" w:cs="仿宋"/>
          <w:color w:val="333333"/>
          <w:sz w:val="32"/>
          <w:szCs w:val="32"/>
          <w:shd w:val="clear" w:color="auto" w:fill="FFFFFF"/>
        </w:rPr>
        <w:t>“菜篮子”工作，引导产业结构调整和产品品质的改善。组织构建现代农业产业体系、生产体系、经营体系，指导农业和粮食标准化生产。</w:t>
      </w:r>
    </w:p>
    <w:p w14:paraId="01D74CD3">
      <w:pPr>
        <w:pStyle w:val="4"/>
        <w:widowControl/>
        <w:spacing w:before="0" w:beforeAutospacing="0" w:after="0" w:afterAutospacing="0" w:line="480" w:lineRule="atLeast"/>
        <w:ind w:firstLine="640" w:firstLineChars="200"/>
        <w:rPr>
          <w:rFonts w:hint="eastAsia" w:ascii="仿宋" w:hAnsi="仿宋" w:eastAsia="仿宋" w:cs="仿宋"/>
          <w:color w:val="434343"/>
          <w:sz w:val="32"/>
          <w:szCs w:val="32"/>
        </w:rPr>
      </w:pPr>
      <w:r>
        <w:rPr>
          <w:rFonts w:hint="eastAsia" w:ascii="仿宋" w:hAnsi="仿宋" w:eastAsia="仿宋" w:cs="仿宋"/>
          <w:color w:val="434343"/>
          <w:sz w:val="32"/>
          <w:szCs w:val="32"/>
          <w:shd w:val="clear" w:color="auto" w:fill="FFFFFF"/>
        </w:rPr>
        <w:t>（六）负责全市粮食等农产品质量安全监督管理。组织开展农产品质量安全监测、追溯、风险评估。参与制定农产品质量安全地方标准（申报）并会同有关部门组织实施。组织农产品质量安全的重大事故调查处理和突发事件的应对工作。指导农业行业安全生产工作、农业检验检测体系建设、粮食质量监督检验体系建设。</w:t>
      </w:r>
    </w:p>
    <w:p w14:paraId="453E1A32">
      <w:pPr>
        <w:pStyle w:val="4"/>
        <w:widowControl/>
        <w:spacing w:before="0" w:beforeAutospacing="0" w:after="0" w:afterAutospacing="0" w:line="480" w:lineRule="atLeast"/>
        <w:ind w:firstLine="640" w:firstLineChars="200"/>
        <w:rPr>
          <w:rFonts w:hint="eastAsia" w:ascii="仿宋" w:hAnsi="仿宋" w:eastAsia="仿宋" w:cs="仿宋"/>
          <w:color w:val="434343"/>
          <w:sz w:val="32"/>
          <w:szCs w:val="32"/>
        </w:rPr>
      </w:pPr>
      <w:r>
        <w:rPr>
          <w:rFonts w:hint="eastAsia" w:ascii="仿宋" w:hAnsi="仿宋" w:eastAsia="仿宋" w:cs="仿宋"/>
          <w:color w:val="434343"/>
          <w:sz w:val="32"/>
          <w:szCs w:val="32"/>
          <w:shd w:val="clear" w:color="auto" w:fill="FFFFFF"/>
        </w:rPr>
        <w:t>（七）组织全市农业资源区划工作。指导农用地、渔业水域以及农业生物物种资源的保护和管理。负责水生野生动植物保护、耕地及永久基本农田质量保护工作，指导农产品产地环境管理和农业清洁生产。指导设施农业、生态循环农业、节水农业发展以及农村可再生能源综合开发利用、农业生物质产业发展。协助创建长江经济带绿色发展示范区的相关工作。</w:t>
      </w:r>
    </w:p>
    <w:p w14:paraId="14313427">
      <w:pPr>
        <w:pStyle w:val="4"/>
        <w:widowControl/>
        <w:spacing w:before="0" w:beforeAutospacing="0" w:after="0" w:afterAutospacing="0" w:line="480" w:lineRule="atLeast"/>
        <w:ind w:firstLine="640" w:firstLineChars="200"/>
        <w:rPr>
          <w:rFonts w:hint="eastAsia" w:ascii="仿宋" w:hAnsi="仿宋" w:eastAsia="仿宋" w:cs="仿宋"/>
          <w:color w:val="434343"/>
          <w:sz w:val="32"/>
          <w:szCs w:val="32"/>
        </w:rPr>
      </w:pPr>
      <w:r>
        <w:rPr>
          <w:rFonts w:hint="eastAsia" w:ascii="仿宋" w:hAnsi="仿宋" w:eastAsia="仿宋" w:cs="仿宋"/>
          <w:color w:val="434343"/>
          <w:sz w:val="32"/>
          <w:szCs w:val="32"/>
          <w:shd w:val="clear" w:color="auto" w:fill="FFFFFF"/>
        </w:rPr>
        <w:t>（八）负责全市有关农业生产资料和农业投入品的监督管理。组织农业生产资料市场体系建设，执行有关农业生产资料标准并监督实施。组织兽医医政、兽药药政药检工作，负责执业兽医和畜禽屠宰行业管理。</w:t>
      </w:r>
    </w:p>
    <w:p w14:paraId="31CE2424">
      <w:pPr>
        <w:pStyle w:val="4"/>
        <w:widowControl/>
        <w:spacing w:before="0" w:beforeAutospacing="0" w:after="0" w:afterAutospacing="0" w:line="480" w:lineRule="atLeast"/>
        <w:ind w:firstLine="640" w:firstLineChars="200"/>
        <w:rPr>
          <w:rFonts w:hint="eastAsia" w:ascii="仿宋" w:hAnsi="仿宋" w:eastAsia="仿宋" w:cs="仿宋"/>
          <w:color w:val="434343"/>
          <w:sz w:val="32"/>
          <w:szCs w:val="32"/>
        </w:rPr>
      </w:pPr>
      <w:r>
        <w:rPr>
          <w:rFonts w:hint="eastAsia" w:ascii="仿宋" w:hAnsi="仿宋" w:eastAsia="仿宋" w:cs="仿宋"/>
          <w:color w:val="434343"/>
          <w:sz w:val="32"/>
          <w:szCs w:val="32"/>
          <w:shd w:val="clear" w:color="auto" w:fill="FFFFFF"/>
        </w:rPr>
        <w:t>（九）负责全市农业和粮食储备防灾减灾、农作物重大病虫害防治工作，监测、报告、发布农业灾情，组织农业救灾物资储备和调拨，提出生产救灾资金安排建议，指导紧急救灾和灾后生产恢复。指导全市动植物防疫检疫体系建设，组织、监督市内动植物防疫检疫工作，发布疫情并组织扑灭。</w:t>
      </w:r>
    </w:p>
    <w:p w14:paraId="4D1EE0C6">
      <w:pPr>
        <w:pStyle w:val="4"/>
        <w:widowControl/>
        <w:spacing w:before="0" w:beforeAutospacing="0" w:after="0" w:afterAutospacing="0" w:line="480" w:lineRule="atLeast"/>
        <w:ind w:firstLine="630"/>
        <w:rPr>
          <w:rFonts w:hint="eastAsia" w:ascii="仿宋" w:hAnsi="仿宋" w:eastAsia="仿宋" w:cs="仿宋"/>
          <w:color w:val="434343"/>
          <w:sz w:val="32"/>
          <w:szCs w:val="32"/>
        </w:rPr>
      </w:pPr>
      <w:r>
        <w:rPr>
          <w:rFonts w:hint="eastAsia" w:ascii="仿宋" w:hAnsi="仿宋" w:eastAsia="仿宋" w:cs="仿宋"/>
          <w:color w:val="434343"/>
          <w:sz w:val="32"/>
          <w:szCs w:val="32"/>
          <w:shd w:val="clear" w:color="auto" w:fill="FFFFFF"/>
        </w:rPr>
        <w:t>（十）负责农业投资管理。提出农业投融资体制机制改革建议。编制我市农业投资项目建设规划，提出农业投资规模和方向、扶持农业农村发展和粮食流通储备的财政项目的建议，按市政府规定权限审批农业投资项目，负责农业投资项目资金安排和监督管理。根据全市粮食储备总体规划，统一负责储备基础设施建设和管理。拟订全市粮食流通设施、储备基础设施建设规划并组织实施，管理有关粮食流通设施、储备基础设施市级投资项目。</w:t>
      </w:r>
    </w:p>
    <w:p w14:paraId="1066DC58">
      <w:pPr>
        <w:pStyle w:val="4"/>
        <w:widowControl/>
        <w:spacing w:before="0" w:beforeAutospacing="0" w:after="0" w:afterAutospacing="0" w:line="480" w:lineRule="atLeast"/>
        <w:ind w:firstLine="630"/>
        <w:rPr>
          <w:rFonts w:hint="eastAsia" w:ascii="仿宋" w:hAnsi="仿宋" w:eastAsia="仿宋" w:cs="仿宋"/>
          <w:color w:val="434343"/>
          <w:sz w:val="32"/>
          <w:szCs w:val="32"/>
        </w:rPr>
      </w:pPr>
      <w:r>
        <w:rPr>
          <w:rFonts w:hint="eastAsia" w:ascii="仿宋" w:hAnsi="仿宋" w:eastAsia="仿宋" w:cs="仿宋"/>
          <w:color w:val="434343"/>
          <w:sz w:val="32"/>
          <w:szCs w:val="32"/>
          <w:shd w:val="clear" w:color="auto" w:fill="FFFFFF"/>
        </w:rPr>
        <w:t>（十一）推动全市农业科技体制改革和农业科技创新体系建设。指导农业产业技术体系和农技推广体系建设，组织开展农业领域的高新技术和应用技术研究、科技成果转化和技术推广。负责我市农业转基因生物安全监督管理和农业植物新品种保护。</w:t>
      </w:r>
    </w:p>
    <w:p w14:paraId="116B3204">
      <w:pPr>
        <w:pStyle w:val="4"/>
        <w:widowControl/>
        <w:spacing w:before="0" w:beforeAutospacing="0" w:after="0" w:afterAutospacing="0" w:line="480" w:lineRule="atLeast"/>
        <w:ind w:firstLine="630"/>
        <w:rPr>
          <w:rFonts w:hint="eastAsia" w:ascii="仿宋" w:hAnsi="仿宋" w:eastAsia="仿宋" w:cs="仿宋"/>
          <w:color w:val="434343"/>
          <w:sz w:val="32"/>
          <w:szCs w:val="32"/>
        </w:rPr>
      </w:pPr>
      <w:r>
        <w:rPr>
          <w:rFonts w:hint="eastAsia" w:ascii="仿宋" w:hAnsi="仿宋" w:eastAsia="仿宋" w:cs="仿宋"/>
          <w:color w:val="434343"/>
          <w:sz w:val="32"/>
          <w:szCs w:val="32"/>
          <w:shd w:val="clear" w:color="auto" w:fill="FFFFFF"/>
        </w:rPr>
        <w:t>（十二）负责农业领域生态环境保护和节能减排工作。牵头负责农业污染源头减量和废弃物资源化利用。牵头统筹协调推进农村人居环境整治，指导全市农产品产地环境管理，牵头管理全市外来物种。</w:t>
      </w:r>
    </w:p>
    <w:p w14:paraId="3F8029DF">
      <w:pPr>
        <w:pStyle w:val="4"/>
        <w:widowControl/>
        <w:spacing w:before="0" w:beforeAutospacing="0" w:after="0" w:afterAutospacing="0" w:line="480" w:lineRule="atLeast"/>
        <w:ind w:firstLine="630"/>
        <w:rPr>
          <w:rFonts w:hint="eastAsia" w:ascii="仿宋" w:hAnsi="仿宋" w:eastAsia="仿宋" w:cs="仿宋"/>
          <w:color w:val="434343"/>
          <w:sz w:val="32"/>
          <w:szCs w:val="32"/>
        </w:rPr>
      </w:pPr>
      <w:r>
        <w:rPr>
          <w:rFonts w:hint="eastAsia" w:ascii="仿宋" w:hAnsi="仿宋" w:eastAsia="仿宋" w:cs="仿宋"/>
          <w:color w:val="434343"/>
          <w:sz w:val="32"/>
          <w:szCs w:val="32"/>
          <w:shd w:val="clear" w:color="auto" w:fill="FFFFFF"/>
        </w:rPr>
        <w:t>（十三）研究提出全市粮食流通体制改革方案并组织实施，提出全市粮食储备发展规划及粮食购销政策。管理全市粮食储备，负责市级储备粮行政管理，负责对管理的政府储备、企业储备以及储备政策落实情况进行监督检查。承担全市粮食流通的宏观调控具体工作，监测粮食供求变化并预警预测。负责政策性粮食供应及军粮供应与管理。承担粮食安全省长责任制考核办公室日常工作。负责全市粮食流通行业管理，制定行业发展规划、政策，拟订粮食流通和储备有关地方标准、粮食地方质量标准，制定有关技术规范并监督执行。组织实施粮食收购市场准入，负责全市粮食行政管理部门实施粮食收购政策许可的行政管理和指导。负责对市本级国有粮食企业的行政管理。</w:t>
      </w:r>
    </w:p>
    <w:p w14:paraId="62978082">
      <w:pPr>
        <w:pStyle w:val="4"/>
        <w:widowControl/>
        <w:spacing w:before="0" w:beforeAutospacing="0" w:after="0" w:afterAutospacing="0" w:line="480" w:lineRule="atLeast"/>
        <w:ind w:firstLine="630"/>
        <w:rPr>
          <w:rFonts w:hint="eastAsia" w:ascii="仿宋" w:hAnsi="仿宋" w:eastAsia="仿宋" w:cs="仿宋"/>
          <w:color w:val="434343"/>
          <w:sz w:val="32"/>
          <w:szCs w:val="32"/>
        </w:rPr>
      </w:pPr>
      <w:r>
        <w:rPr>
          <w:rFonts w:hint="eastAsia" w:ascii="仿宋" w:hAnsi="仿宋" w:eastAsia="仿宋" w:cs="仿宋"/>
          <w:color w:val="434343"/>
          <w:sz w:val="32"/>
          <w:szCs w:val="32"/>
          <w:shd w:val="clear" w:color="auto" w:fill="FFFFFF"/>
        </w:rPr>
        <w:t>（十四）统筹推进全市农业农村粮食人才工作。拟订全市农业农村粮食人才队伍建设规划并组织实施，指导农业教育和农业职业技能开发，指导新型职业农民培育、农业和粮食科技人才培养和农村实用人才培训工作。</w:t>
      </w:r>
    </w:p>
    <w:p w14:paraId="74EE9EF6">
      <w:pPr>
        <w:pStyle w:val="4"/>
        <w:widowControl/>
        <w:spacing w:before="0" w:beforeAutospacing="0" w:after="0" w:afterAutospacing="0" w:line="480" w:lineRule="atLeast"/>
        <w:ind w:firstLine="630"/>
        <w:rPr>
          <w:rFonts w:hint="eastAsia" w:ascii="仿宋" w:hAnsi="仿宋" w:eastAsia="仿宋" w:cs="仿宋"/>
          <w:color w:val="434343"/>
          <w:sz w:val="32"/>
          <w:szCs w:val="32"/>
        </w:rPr>
      </w:pPr>
      <w:r>
        <w:rPr>
          <w:rFonts w:hint="eastAsia" w:ascii="仿宋" w:hAnsi="仿宋" w:eastAsia="仿宋" w:cs="仿宋"/>
          <w:color w:val="434343"/>
          <w:sz w:val="32"/>
          <w:szCs w:val="32"/>
          <w:shd w:val="clear" w:color="auto" w:fill="FFFFFF"/>
        </w:rPr>
        <w:t>（十五）监督指导全市农业行业和粮食流通行业安全生产工作。负责农业机械、渔业渔政、农药使用和市级粮食承储单位等安全监督管理工作。</w:t>
      </w:r>
    </w:p>
    <w:p w14:paraId="5A74C13D">
      <w:pPr>
        <w:pStyle w:val="4"/>
        <w:widowControl/>
        <w:spacing w:before="0" w:beforeAutospacing="0" w:after="0" w:afterAutospacing="0" w:line="480" w:lineRule="atLeast"/>
        <w:ind w:firstLine="630"/>
        <w:rPr>
          <w:rFonts w:hint="eastAsia" w:ascii="仿宋" w:hAnsi="仿宋" w:eastAsia="仿宋" w:cs="仿宋"/>
          <w:color w:val="434343"/>
          <w:sz w:val="32"/>
          <w:szCs w:val="32"/>
        </w:rPr>
      </w:pPr>
      <w:r>
        <w:rPr>
          <w:rFonts w:hint="eastAsia" w:ascii="仿宋" w:hAnsi="仿宋" w:eastAsia="仿宋" w:cs="仿宋"/>
          <w:color w:val="434343"/>
          <w:sz w:val="32"/>
          <w:szCs w:val="32"/>
          <w:shd w:val="clear" w:color="auto" w:fill="FFFFFF"/>
        </w:rPr>
        <w:t>（十六）牵头开展农业和粮食对外合作工作。指导全市系统开放型农业及农业招商引资工作。承办政府间农业和粮食涉外事务，组织开展农业和粮食贸易促进和有关国际国内交流合作。组织开发农产品国内市场。</w:t>
      </w:r>
    </w:p>
    <w:p w14:paraId="45EA2A0D">
      <w:pPr>
        <w:pStyle w:val="4"/>
        <w:widowControl/>
        <w:spacing w:before="0" w:beforeAutospacing="0" w:after="0" w:afterAutospacing="0" w:line="480" w:lineRule="atLeast"/>
        <w:ind w:firstLine="630"/>
        <w:rPr>
          <w:rFonts w:hint="eastAsia" w:ascii="仿宋" w:hAnsi="仿宋" w:eastAsia="仿宋" w:cs="仿宋"/>
          <w:color w:val="434343"/>
          <w:sz w:val="32"/>
          <w:szCs w:val="32"/>
        </w:rPr>
      </w:pPr>
      <w:r>
        <w:rPr>
          <w:rFonts w:hint="eastAsia" w:ascii="仿宋" w:hAnsi="仿宋" w:eastAsia="仿宋" w:cs="仿宋"/>
          <w:color w:val="434343"/>
          <w:sz w:val="32"/>
          <w:szCs w:val="32"/>
          <w:shd w:val="clear" w:color="auto" w:fill="FFFFFF"/>
        </w:rPr>
        <w:t>（十七）完成市委、市政府交办的其他任务。</w:t>
      </w:r>
    </w:p>
    <w:p w14:paraId="08CEFC6C">
      <w:pPr>
        <w:rPr>
          <w:b/>
          <w:sz w:val="36"/>
          <w:szCs w:val="36"/>
        </w:rPr>
      </w:pPr>
      <w:r>
        <w:rPr>
          <w:rFonts w:hint="eastAsia"/>
          <w:b/>
          <w:sz w:val="36"/>
          <w:szCs w:val="36"/>
        </w:rPr>
        <w:t>二、机构设置及人员情况</w:t>
      </w:r>
    </w:p>
    <w:p w14:paraId="163ADF42">
      <w:pPr>
        <w:ind w:firstLine="640" w:firstLineChars="200"/>
        <w:rPr>
          <w:rFonts w:hint="eastAsia" w:ascii="仿宋" w:hAnsi="仿宋" w:eastAsia="仿宋"/>
          <w:sz w:val="32"/>
          <w:szCs w:val="32"/>
        </w:rPr>
      </w:pPr>
      <w:r>
        <w:rPr>
          <w:rFonts w:ascii="仿宋" w:hAnsi="仿宋" w:eastAsia="仿宋"/>
          <w:sz w:val="32"/>
          <w:szCs w:val="32"/>
        </w:rPr>
        <w:t>2022</w:t>
      </w:r>
      <w:r>
        <w:rPr>
          <w:rFonts w:hint="eastAsia" w:ascii="仿宋" w:hAnsi="仿宋" w:eastAsia="仿宋"/>
          <w:sz w:val="32"/>
          <w:szCs w:val="32"/>
        </w:rPr>
        <w:t>年庐山市农业农村局共有预算单位</w:t>
      </w:r>
      <w:r>
        <w:rPr>
          <w:rFonts w:hint="eastAsia" w:ascii="仿宋" w:hAnsi="仿宋" w:eastAsia="仿宋" w:cs="Times New Roman"/>
          <w:kern w:val="0"/>
          <w:sz w:val="32"/>
          <w:szCs w:val="32"/>
        </w:rPr>
        <w:t>1</w:t>
      </w:r>
      <w:r>
        <w:rPr>
          <w:rFonts w:ascii="仿宋" w:hAnsi="仿宋" w:eastAsia="仿宋"/>
          <w:sz w:val="32"/>
          <w:szCs w:val="32"/>
        </w:rPr>
        <w:t>个</w:t>
      </w:r>
      <w:r>
        <w:rPr>
          <w:rFonts w:hint="eastAsia" w:ascii="仿宋" w:hAnsi="仿宋" w:eastAsia="仿宋"/>
          <w:sz w:val="32"/>
          <w:szCs w:val="32"/>
        </w:rPr>
        <w:t>。</w:t>
      </w:r>
    </w:p>
    <w:p w14:paraId="3D0B68A4">
      <w:pPr>
        <w:ind w:firstLine="640" w:firstLineChars="200"/>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${page400644146.ds532982397_REP_JX_BAS_AGENCY_INFO_ZYFRS_S_BZRSXJ}</w:instrText>
      </w:r>
      <w:r>
        <w:rPr>
          <w:rFonts w:ascii="仿宋" w:hAnsi="仿宋" w:eastAsia="仿宋"/>
          <w:sz w:val="32"/>
          <w:szCs w:val="32"/>
        </w:rPr>
        <w:fldChar w:fldCharType="separate"/>
      </w:r>
      <w:r>
        <w:rPr>
          <w:rFonts w:ascii="仿宋" w:hAnsi="仿宋" w:eastAsia="仿宋"/>
          <w:sz w:val="32"/>
          <w:szCs w:val="32"/>
        </w:rPr>
        <w:t>编制人数小计</w:t>
      </w:r>
      <w:r>
        <w:rPr>
          <w:rFonts w:hint="eastAsia" w:ascii="仿宋" w:hAnsi="仿宋" w:eastAsia="仿宋" w:cs="Times New Roman"/>
          <w:kern w:val="0"/>
          <w:sz w:val="32"/>
          <w:szCs w:val="32"/>
        </w:rPr>
        <w:t>141</w:t>
      </w:r>
      <w:r>
        <w:rPr>
          <w:rFonts w:ascii="仿宋" w:hAnsi="仿宋" w:eastAsia="仿宋"/>
          <w:sz w:val="32"/>
          <w:szCs w:val="32"/>
        </w:rPr>
        <w:t>人,</w:t>
      </w:r>
      <w:r>
        <w:fldChar w:fldCharType="end"/>
      </w:r>
      <w:r>
        <w:rPr>
          <w:rFonts w:ascii="仿宋" w:hAnsi="仿宋" w:eastAsia="仿宋"/>
          <w:sz w:val="32"/>
          <w:szCs w:val="32"/>
        </w:rPr>
        <w:t>其中：</w:t>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${page400644146.ds532982397_REP_JX_BAS_AGENCY_INFO_ZYFRS_S_BZRSMX}</w:instrText>
      </w:r>
      <w:r>
        <w:rPr>
          <w:rFonts w:ascii="仿宋" w:hAnsi="仿宋" w:eastAsia="仿宋"/>
          <w:sz w:val="32"/>
          <w:szCs w:val="32"/>
        </w:rPr>
        <w:fldChar w:fldCharType="separate"/>
      </w:r>
      <w:r>
        <w:rPr>
          <w:rFonts w:ascii="仿宋" w:hAnsi="仿宋" w:eastAsia="仿宋"/>
          <w:sz w:val="32"/>
          <w:szCs w:val="32"/>
        </w:rPr>
        <w:t>行政编制人数</w:t>
      </w:r>
      <w:r>
        <w:rPr>
          <w:rFonts w:hint="eastAsia" w:ascii="仿宋" w:hAnsi="仿宋" w:eastAsia="仿宋" w:cs="Times New Roman"/>
          <w:kern w:val="0"/>
          <w:sz w:val="32"/>
          <w:szCs w:val="32"/>
        </w:rPr>
        <w:t>16</w:t>
      </w:r>
      <w:r>
        <w:rPr>
          <w:rFonts w:ascii="仿宋" w:hAnsi="仿宋" w:eastAsia="仿宋"/>
          <w:sz w:val="32"/>
          <w:szCs w:val="32"/>
        </w:rPr>
        <w:t>人,全部补助事业编制人数</w:t>
      </w:r>
      <w:r>
        <w:rPr>
          <w:rFonts w:hint="eastAsia" w:ascii="仿宋" w:hAnsi="仿宋" w:eastAsia="仿宋" w:cs="Times New Roman"/>
          <w:kern w:val="0"/>
          <w:sz w:val="32"/>
          <w:szCs w:val="32"/>
        </w:rPr>
        <w:t>121</w:t>
      </w:r>
      <w:r>
        <w:rPr>
          <w:rFonts w:ascii="仿宋" w:hAnsi="仿宋" w:eastAsia="仿宋"/>
          <w:sz w:val="32"/>
          <w:szCs w:val="32"/>
        </w:rPr>
        <w:t>人,自收自支编制人数</w:t>
      </w:r>
      <w:r>
        <w:rPr>
          <w:rFonts w:hint="eastAsia" w:ascii="仿宋" w:hAnsi="仿宋" w:eastAsia="仿宋"/>
          <w:sz w:val="32"/>
          <w:szCs w:val="32"/>
        </w:rPr>
        <w:t>4</w:t>
      </w:r>
      <w:r>
        <w:rPr>
          <w:rFonts w:ascii="仿宋" w:hAnsi="仿宋" w:eastAsia="仿宋"/>
          <w:sz w:val="32"/>
          <w:szCs w:val="32"/>
        </w:rPr>
        <w:t>人。</w:t>
      </w:r>
      <w:r>
        <w:fldChar w:fldCharType="end"/>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${page400644146.ds532982397_REP_JX_BAS_AGENCY_INFO_ZYFRS_S_SYRSXJ}</w:instrText>
      </w:r>
      <w:r>
        <w:rPr>
          <w:rFonts w:ascii="仿宋" w:hAnsi="仿宋" w:eastAsia="仿宋"/>
          <w:sz w:val="32"/>
          <w:szCs w:val="32"/>
        </w:rPr>
        <w:fldChar w:fldCharType="separate"/>
      </w:r>
      <w:r>
        <w:rPr>
          <w:rFonts w:ascii="仿宋" w:hAnsi="仿宋" w:eastAsia="仿宋"/>
          <w:sz w:val="32"/>
          <w:szCs w:val="32"/>
        </w:rPr>
        <w:t>实有人数小计</w:t>
      </w:r>
      <w:r>
        <w:rPr>
          <w:rFonts w:hint="eastAsia" w:ascii="仿宋" w:hAnsi="仿宋" w:eastAsia="仿宋" w:cs="Times New Roman"/>
          <w:kern w:val="0"/>
          <w:sz w:val="32"/>
          <w:szCs w:val="32"/>
        </w:rPr>
        <w:t>84</w:t>
      </w:r>
      <w:r>
        <w:rPr>
          <w:rFonts w:ascii="仿宋" w:hAnsi="仿宋" w:eastAsia="仿宋"/>
          <w:sz w:val="32"/>
          <w:szCs w:val="32"/>
        </w:rPr>
        <w:t>人,</w:t>
      </w:r>
      <w:r>
        <w:fldChar w:fldCharType="end"/>
      </w:r>
      <w:r>
        <w:rPr>
          <w:rFonts w:ascii="仿宋" w:hAnsi="仿宋" w:eastAsia="仿宋"/>
          <w:sz w:val="32"/>
          <w:szCs w:val="32"/>
        </w:rPr>
        <w:t>其中：</w:t>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${page400644146.ds532982397_REP_JX_BAS_AGENCY_INFO_ZYFRS_S_ZZRSXJ}</w:instrText>
      </w:r>
      <w:r>
        <w:rPr>
          <w:rFonts w:ascii="仿宋" w:hAnsi="仿宋" w:eastAsia="仿宋"/>
          <w:sz w:val="32"/>
          <w:szCs w:val="32"/>
        </w:rPr>
        <w:fldChar w:fldCharType="separate"/>
      </w:r>
      <w:r>
        <w:rPr>
          <w:rFonts w:ascii="仿宋" w:hAnsi="仿宋" w:eastAsia="仿宋"/>
          <w:sz w:val="32"/>
          <w:szCs w:val="32"/>
        </w:rPr>
        <w:t>在职人数小计</w:t>
      </w:r>
      <w:r>
        <w:rPr>
          <w:rFonts w:hint="eastAsia" w:ascii="仿宋" w:hAnsi="仿宋" w:eastAsia="仿宋" w:cs="Times New Roman"/>
          <w:kern w:val="0"/>
          <w:sz w:val="32"/>
          <w:szCs w:val="32"/>
        </w:rPr>
        <w:t>84</w:t>
      </w:r>
      <w:r>
        <w:rPr>
          <w:rFonts w:ascii="仿宋" w:hAnsi="仿宋" w:eastAsia="仿宋"/>
          <w:sz w:val="32"/>
          <w:szCs w:val="32"/>
        </w:rPr>
        <w:t>人,</w:t>
      </w:r>
      <w:r>
        <w:fldChar w:fldCharType="end"/>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${page400644146.ds532982397_REP_JX_BAS_AGENCY_INFO_ZYFRS_S_ZZRSMX}</w:instrText>
      </w:r>
      <w:r>
        <w:rPr>
          <w:rFonts w:ascii="仿宋" w:hAnsi="仿宋" w:eastAsia="仿宋"/>
          <w:sz w:val="32"/>
          <w:szCs w:val="32"/>
        </w:rPr>
        <w:fldChar w:fldCharType="separate"/>
      </w:r>
      <w:r>
        <w:rPr>
          <w:rFonts w:ascii="仿宋" w:hAnsi="仿宋" w:eastAsia="仿宋"/>
          <w:sz w:val="32"/>
          <w:szCs w:val="32"/>
        </w:rPr>
        <w:t>行政在职人数</w:t>
      </w:r>
      <w:r>
        <w:rPr>
          <w:rFonts w:hint="eastAsia" w:ascii="仿宋" w:hAnsi="仿宋" w:eastAsia="仿宋" w:cs="Times New Roman"/>
          <w:kern w:val="0"/>
          <w:sz w:val="32"/>
          <w:szCs w:val="32"/>
        </w:rPr>
        <w:t>24</w:t>
      </w:r>
      <w:r>
        <w:rPr>
          <w:rFonts w:ascii="仿宋" w:hAnsi="仿宋" w:eastAsia="仿宋"/>
          <w:sz w:val="32"/>
          <w:szCs w:val="32"/>
        </w:rPr>
        <w:t>人,参照公务员管理的事业单位在职人数</w:t>
      </w:r>
      <w:r>
        <w:rPr>
          <w:rFonts w:hint="eastAsia" w:ascii="仿宋" w:hAnsi="仿宋" w:eastAsia="仿宋" w:cs="Times New Roman"/>
          <w:kern w:val="0"/>
          <w:sz w:val="32"/>
          <w:szCs w:val="32"/>
        </w:rPr>
        <w:t>19</w:t>
      </w:r>
      <w:r>
        <w:rPr>
          <w:rFonts w:ascii="仿宋" w:hAnsi="仿宋" w:eastAsia="仿宋"/>
          <w:sz w:val="32"/>
          <w:szCs w:val="32"/>
        </w:rPr>
        <w:t>人,全部补助事业在职人数</w:t>
      </w:r>
      <w:r>
        <w:rPr>
          <w:rFonts w:hint="eastAsia" w:ascii="仿宋" w:hAnsi="仿宋" w:eastAsia="仿宋" w:cs="Times New Roman"/>
          <w:kern w:val="0"/>
          <w:sz w:val="32"/>
          <w:szCs w:val="32"/>
        </w:rPr>
        <w:t>41</w:t>
      </w:r>
      <w:r>
        <w:rPr>
          <w:rFonts w:ascii="仿宋" w:hAnsi="仿宋" w:eastAsia="仿宋"/>
          <w:sz w:val="32"/>
          <w:szCs w:val="32"/>
        </w:rPr>
        <w:t>人。</w:t>
      </w:r>
      <w:r>
        <w:fldChar w:fldCharType="end"/>
      </w:r>
      <w:r>
        <w:rPr>
          <w:rFonts w:ascii="仿宋" w:hAnsi="仿宋" w:eastAsia="仿宋"/>
          <w:sz w:val="32"/>
          <w:szCs w:val="32"/>
        </w:rPr>
        <w:fldChar w:fldCharType="begin"/>
      </w:r>
      <w:r>
        <w:rPr>
          <w:rFonts w:ascii="仿宋" w:hAnsi="仿宋" w:eastAsia="仿宋"/>
          <w:sz w:val="32"/>
          <w:szCs w:val="32"/>
        </w:rPr>
        <w:instrText xml:space="preserve">MERGEFIELD ${page400644146.ds532982397_REP_JX_BAS_AGENCY_INFO_ZYFRS_S_QTRSMX}</w:instrText>
      </w:r>
      <w:r>
        <w:rPr>
          <w:rFonts w:ascii="仿宋" w:hAnsi="仿宋" w:eastAsia="仿宋"/>
          <w:sz w:val="32"/>
          <w:szCs w:val="32"/>
        </w:rPr>
        <w:fldChar w:fldCharType="separate"/>
      </w:r>
      <w:r>
        <w:rPr>
          <w:rFonts w:ascii="仿宋" w:hAnsi="仿宋" w:eastAsia="仿宋"/>
          <w:sz w:val="32"/>
          <w:szCs w:val="32"/>
        </w:rPr>
        <w:t>离休人数小计</w:t>
      </w:r>
      <w:r>
        <w:rPr>
          <w:rFonts w:hint="eastAsia" w:ascii="仿宋" w:hAnsi="仿宋" w:eastAsia="仿宋" w:cs="Times New Roman"/>
          <w:kern w:val="0"/>
          <w:sz w:val="32"/>
          <w:szCs w:val="32"/>
        </w:rPr>
        <w:t>1</w:t>
      </w:r>
      <w:r>
        <w:rPr>
          <w:rFonts w:ascii="仿宋" w:hAnsi="仿宋" w:eastAsia="仿宋"/>
          <w:sz w:val="32"/>
          <w:szCs w:val="32"/>
        </w:rPr>
        <w:t>人,退休人数小计</w:t>
      </w:r>
      <w:r>
        <w:rPr>
          <w:rFonts w:hint="eastAsia" w:ascii="仿宋" w:hAnsi="仿宋" w:eastAsia="仿宋" w:cs="Times New Roman"/>
          <w:kern w:val="0"/>
          <w:sz w:val="32"/>
          <w:szCs w:val="32"/>
        </w:rPr>
        <w:t>133</w:t>
      </w:r>
      <w:r>
        <w:rPr>
          <w:rFonts w:ascii="仿宋" w:hAnsi="仿宋" w:eastAsia="仿宋"/>
          <w:sz w:val="32"/>
          <w:szCs w:val="32"/>
        </w:rPr>
        <w:t>人,遗属人数</w:t>
      </w:r>
      <w:r>
        <w:rPr>
          <w:rFonts w:hint="eastAsia" w:ascii="仿宋" w:hAnsi="仿宋" w:eastAsia="仿宋" w:cs="Times New Roman"/>
          <w:kern w:val="0"/>
          <w:sz w:val="32"/>
          <w:szCs w:val="32"/>
        </w:rPr>
        <w:t>19</w:t>
      </w:r>
      <w:r>
        <w:rPr>
          <w:rFonts w:ascii="仿宋" w:hAnsi="仿宋" w:eastAsia="仿宋"/>
          <w:sz w:val="32"/>
          <w:szCs w:val="32"/>
        </w:rPr>
        <w:t>人。</w:t>
      </w:r>
      <w:r>
        <w:fldChar w:fldCharType="end"/>
      </w:r>
    </w:p>
    <w:p w14:paraId="08A1BB95">
      <w:pPr>
        <w:widowControl/>
        <w:spacing w:line="580" w:lineRule="exact"/>
        <w:jc w:val="center"/>
        <w:rPr>
          <w:rFonts w:ascii="仿宋_GB2312" w:eastAsia="仿宋_GB2312"/>
          <w:b/>
          <w:szCs w:val="30"/>
        </w:rPr>
      </w:pPr>
    </w:p>
    <w:p w14:paraId="37A4F5BF">
      <w:pPr>
        <w:widowControl/>
        <w:spacing w:line="580" w:lineRule="exact"/>
        <w:jc w:val="center"/>
        <w:rPr>
          <w:rFonts w:ascii="仿宋_GB2312" w:eastAsia="仿宋_GB2312"/>
          <w:b/>
          <w:sz w:val="32"/>
          <w:szCs w:val="30"/>
        </w:rPr>
      </w:pPr>
      <w:r>
        <w:rPr>
          <w:rFonts w:hint="eastAsia" w:ascii="仿宋_GB2312" w:eastAsia="仿宋_GB2312"/>
          <w:b/>
          <w:sz w:val="32"/>
          <w:szCs w:val="30"/>
        </w:rPr>
        <w:t xml:space="preserve">第二部分  </w:t>
      </w:r>
      <w:r>
        <w:rPr>
          <w:rFonts w:ascii="仿宋_GB2312" w:eastAsia="仿宋_GB2312"/>
          <w:b/>
          <w:sz w:val="32"/>
          <w:szCs w:val="30"/>
        </w:rPr>
        <w:fldChar w:fldCharType="begin"/>
      </w:r>
      <w:r>
        <w:rPr>
          <w:rFonts w:ascii="仿宋_GB2312" w:eastAsia="仿宋_GB2312"/>
          <w:b/>
          <w:sz w:val="32"/>
          <w:szCs w:val="30"/>
        </w:rPr>
        <w:instrText xml:space="preserve">MERGEFIELD ${page400644146.ds509943833_REP_JXJC_AGENCY_WZR_NAME}</w:instrText>
      </w:r>
      <w:r>
        <w:rPr>
          <w:rFonts w:ascii="仿宋_GB2312" w:eastAsia="仿宋_GB2312"/>
          <w:b/>
          <w:sz w:val="32"/>
          <w:szCs w:val="30"/>
        </w:rPr>
        <w:fldChar w:fldCharType="separate"/>
      </w:r>
      <w:r>
        <w:rPr>
          <w:rFonts w:ascii="仿宋_GB2312" w:eastAsia="仿宋_GB2312"/>
          <w:b/>
          <w:sz w:val="32"/>
          <w:szCs w:val="30"/>
        </w:rPr>
        <w:t>江西省财政厅</w:t>
      </w:r>
      <w:r>
        <w:fldChar w:fldCharType="end"/>
      </w:r>
      <w:r>
        <w:rPr>
          <w:rFonts w:hint="eastAsia" w:ascii="仿宋_GB2312" w:eastAsia="仿宋_GB2312"/>
          <w:b/>
          <w:sz w:val="32"/>
          <w:szCs w:val="30"/>
        </w:rPr>
        <w:t>2022年部门预算表</w:t>
      </w:r>
    </w:p>
    <w:p w14:paraId="5359B7A7">
      <w:pPr>
        <w:ind w:firstLine="640" w:firstLineChars="200"/>
        <w:jc w:val="left"/>
        <w:rPr>
          <w:rStyle w:val="12"/>
          <w:rFonts w:ascii="仿宋" w:hAnsi="仿宋" w:eastAsia="仿宋"/>
          <w:bCs/>
          <w:sz w:val="32"/>
          <w:szCs w:val="32"/>
        </w:rPr>
      </w:pPr>
      <w:r>
        <w:rPr>
          <w:rFonts w:hint="eastAsia" w:ascii="仿宋" w:hAnsi="仿宋" w:eastAsia="仿宋"/>
          <w:bCs/>
          <w:sz w:val="32"/>
          <w:szCs w:val="32"/>
        </w:rPr>
        <w:t>（详见附表）</w:t>
      </w:r>
    </w:p>
    <w:p w14:paraId="397DA6D7">
      <w:pPr>
        <w:ind w:firstLine="640" w:firstLineChars="200"/>
        <w:jc w:val="left"/>
        <w:rPr>
          <w:rStyle w:val="12"/>
          <w:rFonts w:ascii="仿宋" w:hAnsi="仿宋" w:eastAsia="仿宋"/>
          <w:bCs/>
          <w:sz w:val="32"/>
          <w:szCs w:val="32"/>
        </w:rPr>
      </w:pPr>
    </w:p>
    <w:p w14:paraId="7B6F601A">
      <w:pPr>
        <w:widowControl/>
        <w:spacing w:line="580" w:lineRule="exact"/>
        <w:jc w:val="center"/>
        <w:rPr>
          <w:rFonts w:ascii="仿宋_GB2312" w:eastAsia="仿宋_GB2312"/>
          <w:b/>
          <w:sz w:val="32"/>
          <w:szCs w:val="30"/>
        </w:rPr>
      </w:pPr>
      <w:r>
        <w:rPr>
          <w:rFonts w:hint="eastAsia" w:ascii="仿宋_GB2312" w:eastAsia="仿宋_GB2312" w:cs="宋体"/>
          <w:b/>
          <w:kern w:val="0"/>
          <w:sz w:val="32"/>
          <w:szCs w:val="32"/>
        </w:rPr>
        <w:t xml:space="preserve">第三部分 </w:t>
      </w:r>
      <w:r>
        <w:rPr>
          <w:rFonts w:hint="eastAsia" w:ascii="仿宋_GB2312" w:eastAsia="仿宋_GB2312"/>
          <w:b/>
          <w:sz w:val="32"/>
          <w:szCs w:val="30"/>
        </w:rPr>
        <w:t xml:space="preserve"> 庐山市农业农村局2022年部门预算情况说明</w:t>
      </w:r>
    </w:p>
    <w:p w14:paraId="21E22FE6">
      <w:pPr>
        <w:widowControl/>
        <w:spacing w:line="580" w:lineRule="exact"/>
        <w:jc w:val="center"/>
        <w:rPr>
          <w:rFonts w:ascii="仿宋_GB2312" w:eastAsia="仿宋_GB2312"/>
          <w:b/>
          <w:sz w:val="32"/>
          <w:szCs w:val="30"/>
        </w:rPr>
      </w:pPr>
    </w:p>
    <w:p w14:paraId="03FA292C">
      <w:pPr>
        <w:widowControl/>
        <w:spacing w:line="580" w:lineRule="exact"/>
        <w:jc w:val="left"/>
        <w:rPr>
          <w:rFonts w:ascii="楷体_GB2312" w:eastAsia="楷体_GB2312"/>
          <w:b/>
          <w:sz w:val="32"/>
          <w:szCs w:val="30"/>
        </w:rPr>
      </w:pPr>
      <w:r>
        <w:rPr>
          <w:rFonts w:hint="eastAsia" w:ascii="楷体_GB2312" w:eastAsia="楷体_GB2312"/>
          <w:b/>
          <w:sz w:val="32"/>
          <w:szCs w:val="30"/>
        </w:rPr>
        <w:t>一、2022年部门预算收支情况说明</w:t>
      </w:r>
    </w:p>
    <w:p w14:paraId="57EB2E5D">
      <w:pPr>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 xml:space="preserve"> (一)收入预算情况</w:t>
      </w:r>
    </w:p>
    <w:p w14:paraId="532833D0">
      <w:pPr>
        <w:widowControl/>
        <w:ind w:firstLine="640" w:firstLineChars="200"/>
        <w:rPr>
          <w:rFonts w:ascii="仿宋" w:hAnsi="仿宋" w:eastAsia="仿宋" w:cs="Times New Roman"/>
          <w:kern w:val="0"/>
          <w:sz w:val="32"/>
        </w:rPr>
      </w:pPr>
      <w:r>
        <w:rPr>
          <w:rFonts w:ascii="仿宋" w:hAnsi="仿宋" w:eastAsia="仿宋" w:cs="Times New Roman"/>
          <w:kern w:val="0"/>
          <w:sz w:val="32"/>
          <w:szCs w:val="32"/>
        </w:rPr>
        <w:t>2022</w:t>
      </w:r>
      <w:r>
        <w:rPr>
          <w:rFonts w:hint="eastAsia" w:ascii="仿宋" w:hAnsi="仿宋" w:eastAsia="仿宋" w:cs="Times New Roman"/>
          <w:kern w:val="0"/>
          <w:sz w:val="32"/>
          <w:szCs w:val="32"/>
        </w:rPr>
        <w:t>年庐山市农业农村局</w:t>
      </w:r>
      <w:r>
        <w:rPr>
          <w:rFonts w:ascii="仿宋" w:hAnsi="仿宋" w:eastAsia="仿宋" w:cs="Times New Roman"/>
          <w:kern w:val="0"/>
          <w:sz w:val="32"/>
          <w:szCs w:val="32"/>
        </w:rPr>
        <w:fldChar w:fldCharType="begin"/>
      </w:r>
      <w:r>
        <w:rPr>
          <w:rFonts w:ascii="仿宋" w:hAnsi="仿宋" w:eastAsia="仿宋" w:cs="Times New Roman"/>
          <w:kern w:val="0"/>
          <w:sz w:val="32"/>
          <w:szCs w:val="32"/>
        </w:rPr>
        <w:instrText xml:space="preserve">MERGEFIELD ${page400644146.ds509943833_V_BGT_DEP_INCOME_DXQ01_ZJ}</w:instrText>
      </w:r>
      <w:r>
        <w:rPr>
          <w:rFonts w:ascii="仿宋" w:hAnsi="仿宋" w:eastAsia="仿宋" w:cs="Times New Roman"/>
          <w:kern w:val="0"/>
          <w:sz w:val="32"/>
          <w:szCs w:val="32"/>
        </w:rPr>
        <w:fldChar w:fldCharType="separate"/>
      </w:r>
      <w:r>
        <w:rPr>
          <w:rFonts w:ascii="仿宋" w:hAnsi="仿宋" w:eastAsia="仿宋" w:cs="Times New Roman"/>
          <w:kern w:val="0"/>
          <w:sz w:val="32"/>
          <w:szCs w:val="32"/>
        </w:rPr>
        <w:t>收入预算总额为__</w:t>
      </w:r>
      <w:r>
        <w:rPr>
          <w:rFonts w:hint="eastAsia" w:ascii="仿宋" w:hAnsi="仿宋" w:eastAsia="仿宋" w:cs="Times New Roman"/>
          <w:kern w:val="0"/>
          <w:sz w:val="32"/>
          <w:szCs w:val="32"/>
        </w:rPr>
        <w:t>7464.19</w:t>
      </w:r>
      <w:r>
        <w:rPr>
          <w:rFonts w:ascii="仿宋" w:hAnsi="仿宋" w:eastAsia="仿宋" w:cs="Times New Roman"/>
          <w:kern w:val="0"/>
          <w:sz w:val="32"/>
          <w:szCs w:val="32"/>
        </w:rPr>
        <w:t>__万元,较上年预算安排减少___</w:t>
      </w:r>
      <w:r>
        <w:rPr>
          <w:rFonts w:hint="eastAsia" w:ascii="仿宋" w:hAnsi="仿宋" w:eastAsia="仿宋" w:cs="Times New Roman"/>
          <w:kern w:val="0"/>
          <w:sz w:val="32"/>
          <w:szCs w:val="32"/>
        </w:rPr>
        <w:t>3460.56</w:t>
      </w:r>
      <w:r>
        <w:rPr>
          <w:rFonts w:ascii="仿宋" w:hAnsi="仿宋" w:eastAsia="仿宋" w:cs="Times New Roman"/>
          <w:kern w:val="0"/>
          <w:sz w:val="32"/>
          <w:szCs w:val="32"/>
        </w:rPr>
        <w:t>___万元;</w:t>
      </w:r>
      <w:r>
        <w:fldChar w:fldCharType="end"/>
      </w:r>
      <w:r>
        <w:rPr>
          <w:rFonts w:ascii="仿宋" w:hAnsi="仿宋" w:eastAsia="仿宋" w:cs="Times New Roman"/>
          <w:kern w:val="0"/>
          <w:sz w:val="32"/>
          <w:szCs w:val="32"/>
        </w:rPr>
        <w:fldChar w:fldCharType="begin"/>
      </w:r>
      <w:r>
        <w:rPr>
          <w:rFonts w:ascii="仿宋" w:hAnsi="仿宋" w:eastAsia="仿宋" w:cs="Times New Roman"/>
          <w:kern w:val="0"/>
          <w:sz w:val="32"/>
          <w:szCs w:val="32"/>
        </w:rPr>
        <w:instrText xml:space="preserve">MERGEFIELD ${page400644146.ds509943833_V_BGT_DEP_INCOME_DXQ01_SRXMMX}</w:instrText>
      </w:r>
      <w:r>
        <w:rPr>
          <w:rFonts w:ascii="仿宋" w:hAnsi="仿宋" w:eastAsia="仿宋" w:cs="Times New Roman"/>
          <w:kern w:val="0"/>
          <w:sz w:val="32"/>
          <w:szCs w:val="32"/>
        </w:rPr>
        <w:fldChar w:fldCharType="separate"/>
      </w:r>
      <w:r>
        <w:rPr>
          <w:rFonts w:ascii="仿宋" w:hAnsi="仿宋" w:eastAsia="仿宋" w:cs="Times New Roman"/>
          <w:kern w:val="0"/>
          <w:sz w:val="32"/>
          <w:szCs w:val="32"/>
        </w:rPr>
        <w:t>财政拨款收入__</w:t>
      </w:r>
      <w:r>
        <w:rPr>
          <w:rFonts w:hint="eastAsia" w:ascii="仿宋" w:hAnsi="仿宋" w:eastAsia="仿宋" w:cs="Times New Roman"/>
          <w:kern w:val="0"/>
          <w:sz w:val="32"/>
          <w:szCs w:val="32"/>
        </w:rPr>
        <w:t>7464.19</w:t>
      </w:r>
      <w:r>
        <w:rPr>
          <w:rFonts w:ascii="仿宋" w:hAnsi="仿宋" w:eastAsia="仿宋" w:cs="Times New Roman"/>
          <w:kern w:val="0"/>
          <w:sz w:val="32"/>
          <w:szCs w:val="32"/>
        </w:rPr>
        <w:t>__万元,较上年预算安排减少____</w:t>
      </w:r>
      <w:r>
        <w:rPr>
          <w:rFonts w:hint="eastAsia" w:ascii="仿宋" w:hAnsi="仿宋" w:eastAsia="仿宋" w:cs="Times New Roman"/>
          <w:kern w:val="0"/>
          <w:sz w:val="32"/>
          <w:szCs w:val="32"/>
        </w:rPr>
        <w:t>3460.56</w:t>
      </w:r>
      <w:r>
        <w:rPr>
          <w:rFonts w:ascii="仿宋" w:hAnsi="仿宋" w:eastAsia="仿宋" w:cs="Times New Roman"/>
          <w:kern w:val="0"/>
          <w:sz w:val="32"/>
          <w:szCs w:val="32"/>
        </w:rPr>
        <w:t>__万元;教育收费资金收入__</w:t>
      </w:r>
      <w:r>
        <w:rPr>
          <w:rFonts w:hint="eastAsia" w:ascii="仿宋" w:hAnsi="仿宋" w:eastAsia="仿宋" w:cs="Times New Roman"/>
          <w:kern w:val="0"/>
          <w:sz w:val="32"/>
          <w:szCs w:val="32"/>
        </w:rPr>
        <w:t>0</w:t>
      </w:r>
      <w:r>
        <w:rPr>
          <w:rFonts w:ascii="仿宋" w:hAnsi="仿宋" w:eastAsia="仿宋" w:cs="Times New Roman"/>
          <w:kern w:val="0"/>
          <w:sz w:val="32"/>
          <w:szCs w:val="32"/>
        </w:rPr>
        <w:t>__万元,较上年预算安排减少___</w:t>
      </w:r>
      <w:r>
        <w:rPr>
          <w:rFonts w:hint="eastAsia" w:ascii="仿宋" w:hAnsi="仿宋" w:eastAsia="仿宋" w:cs="Times New Roman"/>
          <w:kern w:val="0"/>
          <w:sz w:val="32"/>
          <w:szCs w:val="32"/>
        </w:rPr>
        <w:t>0</w:t>
      </w:r>
      <w:r>
        <w:rPr>
          <w:rFonts w:ascii="仿宋" w:hAnsi="仿宋" w:eastAsia="仿宋" w:cs="Times New Roman"/>
          <w:kern w:val="0"/>
          <w:sz w:val="32"/>
          <w:szCs w:val="32"/>
        </w:rPr>
        <w:t>___万元;事业单位经营收入___</w:t>
      </w:r>
      <w:r>
        <w:rPr>
          <w:rFonts w:hint="eastAsia" w:ascii="仿宋" w:hAnsi="仿宋" w:eastAsia="仿宋" w:cs="Times New Roman"/>
          <w:kern w:val="0"/>
          <w:sz w:val="32"/>
          <w:szCs w:val="32"/>
        </w:rPr>
        <w:t>0</w:t>
      </w:r>
      <w:r>
        <w:rPr>
          <w:rFonts w:ascii="仿宋" w:hAnsi="仿宋" w:eastAsia="仿宋" w:cs="Times New Roman"/>
          <w:kern w:val="0"/>
          <w:sz w:val="32"/>
          <w:szCs w:val="32"/>
        </w:rPr>
        <w:t>_万元,较上年预算安排减少___</w:t>
      </w:r>
      <w:r>
        <w:rPr>
          <w:rFonts w:hint="eastAsia" w:ascii="仿宋" w:hAnsi="仿宋" w:eastAsia="仿宋" w:cs="Times New Roman"/>
          <w:kern w:val="0"/>
          <w:sz w:val="32"/>
          <w:szCs w:val="32"/>
        </w:rPr>
        <w:t>0</w:t>
      </w:r>
      <w:r>
        <w:rPr>
          <w:rFonts w:ascii="仿宋" w:hAnsi="仿宋" w:eastAsia="仿宋" w:cs="Times New Roman"/>
          <w:kern w:val="0"/>
          <w:sz w:val="32"/>
          <w:szCs w:val="32"/>
        </w:rPr>
        <w:t>___万元;国库集中支付网上结转__</w:t>
      </w:r>
      <w:r>
        <w:rPr>
          <w:rFonts w:hint="eastAsia" w:ascii="仿宋" w:hAnsi="仿宋" w:eastAsia="仿宋" w:cs="Times New Roman"/>
          <w:kern w:val="0"/>
          <w:sz w:val="32"/>
          <w:szCs w:val="32"/>
        </w:rPr>
        <w:t>0</w:t>
      </w:r>
      <w:r>
        <w:rPr>
          <w:rFonts w:ascii="仿宋" w:hAnsi="仿宋" w:eastAsia="仿宋" w:cs="Times New Roman"/>
          <w:kern w:val="0"/>
          <w:sz w:val="32"/>
          <w:szCs w:val="32"/>
        </w:rPr>
        <w:t>__万元,较上年预算安排增加（减少）___</w:t>
      </w:r>
      <w:r>
        <w:rPr>
          <w:rFonts w:hint="eastAsia" w:ascii="仿宋" w:hAnsi="仿宋" w:eastAsia="仿宋" w:cs="Times New Roman"/>
          <w:kern w:val="0"/>
          <w:sz w:val="32"/>
          <w:szCs w:val="32"/>
        </w:rPr>
        <w:t>0</w:t>
      </w:r>
      <w:r>
        <w:rPr>
          <w:rFonts w:ascii="仿宋" w:hAnsi="仿宋" w:eastAsia="仿宋" w:cs="Times New Roman"/>
          <w:kern w:val="0"/>
          <w:sz w:val="32"/>
          <w:szCs w:val="32"/>
        </w:rPr>
        <w:t>___万元。</w:t>
      </w:r>
      <w:r>
        <w:fldChar w:fldCharType="end"/>
      </w:r>
    </w:p>
    <w:p w14:paraId="49ABCE7F">
      <w:pPr>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 xml:space="preserve"> (二)支出预算情况</w:t>
      </w:r>
    </w:p>
    <w:p w14:paraId="48399CF9">
      <w:pPr>
        <w:ind w:firstLine="640" w:firstLineChars="200"/>
        <w:rPr>
          <w:rStyle w:val="12"/>
          <w:rFonts w:ascii="仿宋" w:hAnsi="仿宋" w:eastAsia="仿宋"/>
          <w:sz w:val="32"/>
          <w:szCs w:val="32"/>
        </w:rPr>
      </w:pPr>
      <w:r>
        <w:rPr>
          <w:rStyle w:val="12"/>
          <w:rFonts w:hint="eastAsia" w:ascii="仿宋" w:hAnsi="仿宋" w:eastAsia="仿宋"/>
          <w:sz w:val="32"/>
          <w:szCs w:val="32"/>
        </w:rPr>
        <w:t>2</w:t>
      </w:r>
      <w:r>
        <w:rPr>
          <w:rStyle w:val="12"/>
          <w:rFonts w:ascii="仿宋" w:hAnsi="仿宋" w:eastAsia="仿宋"/>
          <w:sz w:val="32"/>
          <w:szCs w:val="32"/>
        </w:rPr>
        <w:t>022</w:t>
      </w:r>
      <w:r>
        <w:rPr>
          <w:rStyle w:val="12"/>
          <w:rFonts w:hint="eastAsia" w:ascii="仿宋" w:hAnsi="仿宋" w:eastAsia="仿宋"/>
          <w:sz w:val="32"/>
          <w:szCs w:val="32"/>
        </w:rPr>
        <w:t>年</w:t>
      </w:r>
      <w:r>
        <w:rPr>
          <w:rFonts w:hint="eastAsia" w:ascii="仿宋" w:hAnsi="仿宋" w:eastAsia="仿宋"/>
          <w:sz w:val="32"/>
          <w:szCs w:val="32"/>
        </w:rPr>
        <w:t>庐山市农业农村局</w:t>
      </w:r>
      <w:r>
        <w:rPr>
          <w:rStyle w:val="12"/>
          <w:rFonts w:hint="eastAsia" w:ascii="仿宋" w:hAnsi="仿宋" w:eastAsia="仿宋"/>
          <w:sz w:val="32"/>
          <w:szCs w:val="32"/>
        </w:rPr>
        <w:t>支出预算总额为</w:t>
      </w:r>
      <w:r>
        <w:rPr>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${page400644146.ds215660413_REP_BGT_T_HC1100002019_DXQ02_S_ZJ}</w:instrText>
      </w:r>
      <w:r>
        <w:rPr>
          <w:rFonts w:ascii="仿宋" w:hAnsi="仿宋" w:eastAsia="仿宋"/>
          <w:sz w:val="32"/>
          <w:szCs w:val="32"/>
        </w:rPr>
        <w:fldChar w:fldCharType="separate"/>
      </w:r>
      <w:r>
        <w:rPr>
          <w:rStyle w:val="12"/>
          <w:rFonts w:ascii="仿宋" w:hAnsi="仿宋" w:eastAsia="仿宋"/>
          <w:sz w:val="32"/>
          <w:szCs w:val="32"/>
        </w:rPr>
        <w:t>支出预算总额为</w:t>
      </w:r>
      <w:r>
        <w:rPr>
          <w:rFonts w:ascii="仿宋" w:hAnsi="仿宋" w:eastAsia="仿宋" w:cs="Times New Roman"/>
          <w:kern w:val="0"/>
          <w:sz w:val="32"/>
          <w:szCs w:val="32"/>
        </w:rPr>
        <w:t>__</w:t>
      </w:r>
      <w:r>
        <w:rPr>
          <w:rFonts w:hint="eastAsia" w:ascii="仿宋" w:hAnsi="仿宋" w:eastAsia="仿宋" w:cs="Times New Roman"/>
          <w:kern w:val="0"/>
          <w:sz w:val="32"/>
          <w:szCs w:val="32"/>
        </w:rPr>
        <w:t>7464.19</w:t>
      </w:r>
      <w:r>
        <w:rPr>
          <w:rFonts w:ascii="仿宋" w:hAnsi="仿宋" w:eastAsia="仿宋" w:cs="Times New Roman"/>
          <w:kern w:val="0"/>
          <w:sz w:val="32"/>
          <w:szCs w:val="32"/>
        </w:rPr>
        <w:t>__</w:t>
      </w:r>
      <w:r>
        <w:rPr>
          <w:rStyle w:val="12"/>
          <w:rFonts w:ascii="仿宋" w:hAnsi="仿宋" w:eastAsia="仿宋"/>
          <w:sz w:val="32"/>
          <w:szCs w:val="32"/>
        </w:rPr>
        <w:t>万元,较上年预算安排减少___</w:t>
      </w:r>
      <w:r>
        <w:rPr>
          <w:rStyle w:val="12"/>
          <w:rFonts w:hint="eastAsia" w:ascii="仿宋" w:hAnsi="仿宋" w:eastAsia="仿宋"/>
          <w:sz w:val="32"/>
          <w:szCs w:val="32"/>
        </w:rPr>
        <w:t>3460.56</w:t>
      </w:r>
      <w:r>
        <w:rPr>
          <w:rStyle w:val="12"/>
          <w:rFonts w:ascii="仿宋" w:hAnsi="仿宋" w:eastAsia="仿宋"/>
          <w:sz w:val="32"/>
          <w:szCs w:val="32"/>
        </w:rPr>
        <w:t>___万元;</w:t>
      </w:r>
      <w:r>
        <w:fldChar w:fldCharType="end"/>
      </w:r>
      <w:r>
        <w:rPr>
          <w:rStyle w:val="12"/>
          <w:rFonts w:hint="eastAsia" w:ascii="仿宋" w:hAnsi="仿宋" w:eastAsia="仿宋"/>
          <w:sz w:val="32"/>
          <w:szCs w:val="32"/>
        </w:rPr>
        <w:t>其中：</w:t>
      </w:r>
    </w:p>
    <w:p w14:paraId="3A84863B">
      <w:pPr>
        <w:ind w:firstLine="640" w:firstLineChars="200"/>
        <w:rPr>
          <w:rStyle w:val="12"/>
          <w:rFonts w:ascii="仿宋" w:hAnsi="仿宋" w:eastAsia="仿宋"/>
          <w:sz w:val="32"/>
          <w:szCs w:val="32"/>
        </w:rPr>
      </w:pPr>
      <w:r>
        <w:rPr>
          <w:rStyle w:val="12"/>
          <w:rFonts w:hint="eastAsia" w:ascii="仿宋" w:hAnsi="仿宋" w:eastAsia="仿宋"/>
          <w:sz w:val="32"/>
          <w:szCs w:val="32"/>
        </w:rPr>
        <w:t>按支出项目类别划分：</w:t>
      </w:r>
      <w:r>
        <w:rPr>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${page400644146.ds215660413_REP_BGT_T_HC1100002019_DXQ02_JBZCQK}</w:instrText>
      </w:r>
      <w:r>
        <w:rPr>
          <w:rFonts w:ascii="仿宋" w:hAnsi="仿宋" w:eastAsia="仿宋"/>
          <w:sz w:val="32"/>
          <w:szCs w:val="32"/>
        </w:rPr>
        <w:fldChar w:fldCharType="separate"/>
      </w:r>
      <w:r>
        <w:rPr>
          <w:rStyle w:val="12"/>
          <w:rFonts w:ascii="仿宋" w:hAnsi="仿宋" w:eastAsia="仿宋"/>
          <w:sz w:val="32"/>
          <w:szCs w:val="32"/>
        </w:rPr>
        <w:t>基本支出</w:t>
      </w:r>
      <w:r>
        <w:rPr>
          <w:rFonts w:ascii="仿宋" w:hAnsi="仿宋" w:eastAsia="仿宋" w:cs="Times New Roman"/>
          <w:kern w:val="0"/>
          <w:sz w:val="32"/>
          <w:szCs w:val="32"/>
        </w:rPr>
        <w:t>__</w:t>
      </w:r>
      <w:r>
        <w:rPr>
          <w:rFonts w:hint="eastAsia" w:ascii="仿宋" w:hAnsi="仿宋" w:eastAsia="仿宋" w:cs="Times New Roman"/>
          <w:kern w:val="0"/>
          <w:sz w:val="32"/>
          <w:szCs w:val="32"/>
        </w:rPr>
        <w:t>1835.96</w:t>
      </w:r>
      <w:r>
        <w:rPr>
          <w:rFonts w:ascii="仿宋" w:hAnsi="仿宋" w:eastAsia="仿宋" w:cs="Times New Roman"/>
          <w:kern w:val="0"/>
          <w:sz w:val="32"/>
          <w:szCs w:val="32"/>
        </w:rPr>
        <w:t>__</w:t>
      </w:r>
      <w:r>
        <w:rPr>
          <w:rStyle w:val="12"/>
          <w:rFonts w:ascii="仿宋" w:hAnsi="仿宋" w:eastAsia="仿宋"/>
          <w:sz w:val="32"/>
          <w:szCs w:val="32"/>
        </w:rPr>
        <w:t>万元,较上年预算安排增加___</w:t>
      </w:r>
      <w:r>
        <w:rPr>
          <w:rStyle w:val="12"/>
          <w:rFonts w:hint="eastAsia" w:ascii="仿宋" w:hAnsi="仿宋" w:eastAsia="仿宋"/>
          <w:sz w:val="32"/>
          <w:szCs w:val="32"/>
        </w:rPr>
        <w:t>433.99</w:t>
      </w:r>
      <w:r>
        <w:rPr>
          <w:rStyle w:val="12"/>
          <w:rFonts w:ascii="仿宋" w:hAnsi="仿宋" w:eastAsia="仿宋"/>
          <w:sz w:val="32"/>
          <w:szCs w:val="32"/>
        </w:rPr>
        <w:t>___万元;其中：工资福利支出</w:t>
      </w:r>
      <w:r>
        <w:rPr>
          <w:rFonts w:ascii="仿宋" w:hAnsi="仿宋" w:eastAsia="仿宋" w:cs="Times New Roman"/>
          <w:kern w:val="0"/>
          <w:sz w:val="32"/>
          <w:szCs w:val="32"/>
        </w:rPr>
        <w:t>__</w:t>
      </w:r>
      <w:r>
        <w:rPr>
          <w:rFonts w:hint="eastAsia" w:ascii="仿宋" w:hAnsi="仿宋" w:eastAsia="仿宋" w:cs="Times New Roman"/>
          <w:kern w:val="0"/>
          <w:sz w:val="32"/>
          <w:szCs w:val="32"/>
        </w:rPr>
        <w:t>1587.08</w:t>
      </w:r>
      <w:r>
        <w:rPr>
          <w:rFonts w:ascii="仿宋" w:hAnsi="仿宋" w:eastAsia="仿宋" w:cs="Times New Roman"/>
          <w:kern w:val="0"/>
          <w:sz w:val="32"/>
          <w:szCs w:val="32"/>
        </w:rPr>
        <w:t>__</w:t>
      </w:r>
      <w:r>
        <w:rPr>
          <w:rStyle w:val="12"/>
          <w:rFonts w:ascii="仿宋" w:hAnsi="仿宋" w:eastAsia="仿宋"/>
          <w:sz w:val="32"/>
          <w:szCs w:val="32"/>
        </w:rPr>
        <w:t>万元,商品和服务支出</w:t>
      </w:r>
      <w:r>
        <w:rPr>
          <w:rFonts w:ascii="仿宋" w:hAnsi="仿宋" w:eastAsia="仿宋" w:cs="Times New Roman"/>
          <w:kern w:val="0"/>
          <w:sz w:val="32"/>
          <w:szCs w:val="32"/>
        </w:rPr>
        <w:t>__</w:t>
      </w:r>
      <w:r>
        <w:rPr>
          <w:rFonts w:hint="eastAsia" w:ascii="仿宋" w:hAnsi="仿宋" w:eastAsia="仿宋" w:cs="Times New Roman"/>
          <w:kern w:val="0"/>
          <w:sz w:val="32"/>
          <w:szCs w:val="32"/>
        </w:rPr>
        <w:t>193.91</w:t>
      </w:r>
      <w:r>
        <w:rPr>
          <w:rFonts w:ascii="仿宋" w:hAnsi="仿宋" w:eastAsia="仿宋" w:cs="Times New Roman"/>
          <w:kern w:val="0"/>
          <w:sz w:val="32"/>
          <w:szCs w:val="32"/>
        </w:rPr>
        <w:t>__</w:t>
      </w:r>
      <w:r>
        <w:rPr>
          <w:rStyle w:val="12"/>
          <w:rFonts w:ascii="仿宋" w:hAnsi="仿宋" w:eastAsia="仿宋"/>
          <w:sz w:val="32"/>
          <w:szCs w:val="32"/>
        </w:rPr>
        <w:t>万元,对个人和家庭的补助</w:t>
      </w:r>
      <w:r>
        <w:rPr>
          <w:rFonts w:ascii="仿宋" w:hAnsi="仿宋" w:eastAsia="仿宋" w:cs="Times New Roman"/>
          <w:kern w:val="0"/>
          <w:sz w:val="32"/>
          <w:szCs w:val="32"/>
        </w:rPr>
        <w:t>__</w:t>
      </w:r>
      <w:r>
        <w:rPr>
          <w:rFonts w:hint="eastAsia" w:ascii="仿宋" w:hAnsi="仿宋" w:eastAsia="仿宋" w:cs="Times New Roman"/>
          <w:kern w:val="0"/>
          <w:sz w:val="32"/>
          <w:szCs w:val="32"/>
        </w:rPr>
        <w:t>54.97</w:t>
      </w:r>
      <w:r>
        <w:rPr>
          <w:rFonts w:ascii="仿宋" w:hAnsi="仿宋" w:eastAsia="仿宋" w:cs="Times New Roman"/>
          <w:kern w:val="0"/>
          <w:sz w:val="32"/>
          <w:szCs w:val="32"/>
        </w:rPr>
        <w:t>__</w:t>
      </w:r>
      <w:r>
        <w:rPr>
          <w:rStyle w:val="12"/>
          <w:rFonts w:ascii="仿宋" w:hAnsi="仿宋" w:eastAsia="仿宋"/>
          <w:sz w:val="32"/>
          <w:szCs w:val="32"/>
        </w:rPr>
        <w:t>万元,资本性支出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w:t>
      </w:r>
      <w:r>
        <w:fldChar w:fldCharType="end"/>
      </w:r>
      <w:r>
        <w:rPr>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${page400644146.ds215660413_REP_BGT_T_HC1100002019_DXQ02_XMZCQK}</w:instrText>
      </w:r>
      <w:r>
        <w:rPr>
          <w:rFonts w:ascii="仿宋" w:hAnsi="仿宋" w:eastAsia="仿宋"/>
          <w:sz w:val="32"/>
          <w:szCs w:val="32"/>
        </w:rPr>
        <w:fldChar w:fldCharType="separate"/>
      </w:r>
      <w:r>
        <w:rPr>
          <w:rStyle w:val="12"/>
          <w:rFonts w:ascii="仿宋" w:hAnsi="仿宋" w:eastAsia="仿宋"/>
          <w:sz w:val="32"/>
          <w:szCs w:val="32"/>
        </w:rPr>
        <w:t>项目支出</w:t>
      </w:r>
      <w:r>
        <w:rPr>
          <w:rFonts w:ascii="仿宋" w:hAnsi="仿宋" w:eastAsia="仿宋" w:cs="Times New Roman"/>
          <w:kern w:val="0"/>
          <w:sz w:val="32"/>
          <w:szCs w:val="32"/>
        </w:rPr>
        <w:t>__</w:t>
      </w:r>
      <w:r>
        <w:rPr>
          <w:rFonts w:hint="eastAsia" w:ascii="仿宋" w:hAnsi="仿宋" w:eastAsia="仿宋" w:cs="Times New Roman"/>
          <w:kern w:val="0"/>
          <w:sz w:val="32"/>
          <w:szCs w:val="32"/>
        </w:rPr>
        <w:t>4758.44</w:t>
      </w:r>
      <w:r>
        <w:rPr>
          <w:rFonts w:ascii="仿宋" w:hAnsi="仿宋" w:eastAsia="仿宋" w:cs="Times New Roman"/>
          <w:kern w:val="0"/>
          <w:sz w:val="32"/>
          <w:szCs w:val="32"/>
        </w:rPr>
        <w:t>__</w:t>
      </w:r>
      <w:r>
        <w:rPr>
          <w:rStyle w:val="12"/>
          <w:rFonts w:ascii="仿宋" w:hAnsi="仿宋" w:eastAsia="仿宋"/>
          <w:sz w:val="32"/>
          <w:szCs w:val="32"/>
        </w:rPr>
        <w:t>万元,较上年预算安排减少___</w:t>
      </w:r>
      <w:r>
        <w:rPr>
          <w:rStyle w:val="12"/>
          <w:rFonts w:hint="eastAsia" w:ascii="仿宋" w:hAnsi="仿宋" w:eastAsia="仿宋"/>
          <w:sz w:val="32"/>
          <w:szCs w:val="32"/>
        </w:rPr>
        <w:t>4764.34</w:t>
      </w:r>
      <w:r>
        <w:rPr>
          <w:rStyle w:val="12"/>
          <w:rFonts w:ascii="仿宋" w:hAnsi="仿宋" w:eastAsia="仿宋"/>
          <w:sz w:val="32"/>
          <w:szCs w:val="32"/>
        </w:rPr>
        <w:t>___万元;其中：工资福利支出</w:t>
      </w:r>
      <w:r>
        <w:rPr>
          <w:rFonts w:ascii="仿宋" w:hAnsi="仿宋" w:eastAsia="仿宋" w:cs="Times New Roman"/>
          <w:kern w:val="0"/>
          <w:sz w:val="32"/>
          <w:szCs w:val="32"/>
        </w:rPr>
        <w:t>__</w:t>
      </w:r>
      <w:r>
        <w:rPr>
          <w:rFonts w:hint="eastAsia" w:ascii="仿宋" w:hAnsi="仿宋" w:eastAsia="仿宋" w:cs="Times New Roman"/>
          <w:kern w:val="0"/>
          <w:sz w:val="32"/>
          <w:szCs w:val="32"/>
        </w:rPr>
        <w:t>9.59</w:t>
      </w:r>
      <w:r>
        <w:rPr>
          <w:rFonts w:ascii="仿宋" w:hAnsi="仿宋" w:eastAsia="仿宋" w:cs="Times New Roman"/>
          <w:kern w:val="0"/>
          <w:sz w:val="32"/>
          <w:szCs w:val="32"/>
        </w:rPr>
        <w:t>__</w:t>
      </w:r>
      <w:r>
        <w:rPr>
          <w:rStyle w:val="12"/>
          <w:rFonts w:ascii="仿宋" w:hAnsi="仿宋" w:eastAsia="仿宋"/>
          <w:sz w:val="32"/>
          <w:szCs w:val="32"/>
        </w:rPr>
        <w:t>万元,商品和服务支出</w:t>
      </w:r>
      <w:r>
        <w:rPr>
          <w:rFonts w:ascii="仿宋" w:hAnsi="仿宋" w:eastAsia="仿宋" w:cs="Times New Roman"/>
          <w:kern w:val="0"/>
          <w:sz w:val="32"/>
          <w:szCs w:val="32"/>
        </w:rPr>
        <w:t>__</w:t>
      </w:r>
      <w:r>
        <w:rPr>
          <w:rFonts w:hint="eastAsia" w:ascii="仿宋" w:hAnsi="仿宋" w:eastAsia="仿宋" w:cs="Times New Roman"/>
          <w:kern w:val="0"/>
          <w:sz w:val="32"/>
          <w:szCs w:val="32"/>
        </w:rPr>
        <w:t>830.40</w:t>
      </w:r>
      <w:r>
        <w:rPr>
          <w:rFonts w:ascii="仿宋" w:hAnsi="仿宋" w:eastAsia="仿宋" w:cs="Times New Roman"/>
          <w:kern w:val="0"/>
          <w:sz w:val="32"/>
          <w:szCs w:val="32"/>
        </w:rPr>
        <w:t>__</w:t>
      </w:r>
      <w:r>
        <w:rPr>
          <w:rStyle w:val="12"/>
          <w:rFonts w:ascii="仿宋" w:hAnsi="仿宋" w:eastAsia="仿宋"/>
          <w:sz w:val="32"/>
          <w:szCs w:val="32"/>
        </w:rPr>
        <w:t>万元,对个人和家庭的补助</w:t>
      </w:r>
      <w:r>
        <w:rPr>
          <w:rFonts w:ascii="仿宋" w:hAnsi="仿宋" w:eastAsia="仿宋" w:cs="Times New Roman"/>
          <w:kern w:val="0"/>
          <w:sz w:val="32"/>
          <w:szCs w:val="32"/>
        </w:rPr>
        <w:t>__</w:t>
      </w:r>
      <w:r>
        <w:rPr>
          <w:rFonts w:hint="eastAsia" w:ascii="仿宋" w:hAnsi="仿宋" w:eastAsia="仿宋" w:cs="Times New Roman"/>
          <w:kern w:val="0"/>
          <w:sz w:val="32"/>
          <w:szCs w:val="32"/>
        </w:rPr>
        <w:t>2295.32</w:t>
      </w:r>
      <w:r>
        <w:rPr>
          <w:rFonts w:ascii="仿宋" w:hAnsi="仿宋" w:eastAsia="仿宋" w:cs="Times New Roman"/>
          <w:kern w:val="0"/>
          <w:sz w:val="32"/>
          <w:szCs w:val="32"/>
        </w:rPr>
        <w:t>__</w:t>
      </w:r>
      <w:r>
        <w:rPr>
          <w:rStyle w:val="12"/>
          <w:rFonts w:ascii="仿宋" w:hAnsi="仿宋" w:eastAsia="仿宋"/>
          <w:sz w:val="32"/>
          <w:szCs w:val="32"/>
        </w:rPr>
        <w:t>万元,资本性支出</w:t>
      </w:r>
      <w:r>
        <w:rPr>
          <w:rFonts w:ascii="仿宋" w:hAnsi="仿宋" w:eastAsia="仿宋" w:cs="Times New Roman"/>
          <w:kern w:val="0"/>
          <w:sz w:val="32"/>
          <w:szCs w:val="32"/>
        </w:rPr>
        <w:t>__</w:t>
      </w:r>
      <w:r>
        <w:rPr>
          <w:rFonts w:hint="eastAsia" w:ascii="仿宋" w:hAnsi="仿宋" w:eastAsia="仿宋" w:cs="Times New Roman"/>
          <w:kern w:val="0"/>
          <w:sz w:val="32"/>
          <w:szCs w:val="32"/>
        </w:rPr>
        <w:t>738.63</w:t>
      </w:r>
      <w:r>
        <w:rPr>
          <w:rFonts w:ascii="仿宋" w:hAnsi="仿宋" w:eastAsia="仿宋" w:cs="Times New Roman"/>
          <w:kern w:val="0"/>
          <w:sz w:val="32"/>
          <w:szCs w:val="32"/>
        </w:rPr>
        <w:t>__</w:t>
      </w:r>
      <w:r>
        <w:rPr>
          <w:rStyle w:val="12"/>
          <w:rFonts w:ascii="仿宋" w:hAnsi="仿宋" w:eastAsia="仿宋"/>
          <w:sz w:val="32"/>
          <w:szCs w:val="32"/>
        </w:rPr>
        <w:t>万元,对企业补助</w:t>
      </w:r>
      <w:r>
        <w:rPr>
          <w:rFonts w:ascii="仿宋" w:hAnsi="仿宋" w:eastAsia="仿宋" w:cs="Times New Roman"/>
          <w:kern w:val="0"/>
          <w:sz w:val="32"/>
          <w:szCs w:val="32"/>
        </w:rPr>
        <w:t>__</w:t>
      </w:r>
      <w:r>
        <w:rPr>
          <w:rFonts w:hint="eastAsia" w:ascii="仿宋" w:hAnsi="仿宋" w:eastAsia="仿宋" w:cs="Times New Roman"/>
          <w:kern w:val="0"/>
          <w:sz w:val="32"/>
          <w:szCs w:val="32"/>
        </w:rPr>
        <w:t>884.50</w:t>
      </w:r>
      <w:r>
        <w:rPr>
          <w:rFonts w:ascii="仿宋" w:hAnsi="仿宋" w:eastAsia="仿宋" w:cs="Times New Roman"/>
          <w:kern w:val="0"/>
          <w:sz w:val="32"/>
          <w:szCs w:val="32"/>
        </w:rPr>
        <w:t>__</w:t>
      </w:r>
      <w:r>
        <w:rPr>
          <w:rStyle w:val="12"/>
          <w:rFonts w:ascii="仿宋" w:hAnsi="仿宋" w:eastAsia="仿宋"/>
          <w:sz w:val="32"/>
          <w:szCs w:val="32"/>
        </w:rPr>
        <w:t>万元。</w:t>
      </w:r>
      <w:r>
        <w:fldChar w:fldCharType="end"/>
      </w:r>
    </w:p>
    <w:p w14:paraId="3F954711">
      <w:pPr>
        <w:ind w:firstLine="640" w:firstLineChars="200"/>
        <w:rPr>
          <w:rStyle w:val="12"/>
          <w:rFonts w:ascii="仿宋" w:hAnsi="仿宋" w:eastAsia="仿宋"/>
          <w:sz w:val="32"/>
          <w:szCs w:val="32"/>
        </w:rPr>
      </w:pPr>
      <w:r>
        <w:rPr>
          <w:rStyle w:val="12"/>
          <w:rFonts w:hint="eastAsia" w:ascii="仿宋" w:hAnsi="仿宋" w:eastAsia="仿宋"/>
          <w:sz w:val="32"/>
          <w:szCs w:val="32"/>
        </w:rPr>
        <w:t>按支出功能科目划分：</w:t>
      </w:r>
      <w:r>
        <w:rPr>
          <w:rFonts w:ascii="仿宋" w:hAnsi="仿宋" w:eastAsia="仿宋"/>
          <w:sz w:val="32"/>
          <w:szCs w:val="32"/>
        </w:rPr>
        <w:fldChar w:fldCharType="begin"/>
      </w:r>
      <w:r>
        <w:rPr>
          <w:rStyle w:val="12"/>
          <w:rFonts w:ascii="仿宋" w:hAnsi="仿宋" w:eastAsia="仿宋"/>
          <w:sz w:val="32"/>
          <w:szCs w:val="32"/>
        </w:rPr>
        <w:instrText xml:space="preserve">MERGEFIELD ${page400644146.ds247441498_REP_BGT_T_HC1100002019DXQ01_GNZJMX}</w:instrText>
      </w:r>
      <w:r>
        <w:rPr>
          <w:rFonts w:ascii="仿宋" w:hAnsi="仿宋" w:eastAsia="仿宋"/>
          <w:sz w:val="32"/>
          <w:szCs w:val="32"/>
        </w:rPr>
        <w:fldChar w:fldCharType="separate"/>
      </w:r>
      <w:r>
        <w:rPr>
          <w:rStyle w:val="12"/>
          <w:rFonts w:ascii="仿宋" w:hAnsi="仿宋" w:eastAsia="仿宋"/>
          <w:sz w:val="32"/>
          <w:szCs w:val="32"/>
        </w:rPr>
        <w:t>一般公共服务支出</w:t>
      </w:r>
      <w:r>
        <w:rPr>
          <w:rFonts w:ascii="仿宋" w:hAnsi="仿宋" w:eastAsia="仿宋" w:cs="Times New Roman"/>
          <w:kern w:val="0"/>
          <w:sz w:val="32"/>
          <w:szCs w:val="32"/>
        </w:rPr>
        <w:t>__</w:t>
      </w:r>
      <w:r>
        <w:rPr>
          <w:rFonts w:hint="eastAsia" w:ascii="仿宋" w:hAnsi="仿宋" w:eastAsia="仿宋" w:cs="Times New Roman"/>
          <w:kern w:val="0"/>
          <w:sz w:val="32"/>
          <w:szCs w:val="32"/>
        </w:rPr>
        <w:t>10</w:t>
      </w:r>
      <w:r>
        <w:rPr>
          <w:rFonts w:ascii="仿宋" w:hAnsi="仿宋" w:eastAsia="仿宋" w:cs="Times New Roman"/>
          <w:kern w:val="0"/>
          <w:sz w:val="32"/>
          <w:szCs w:val="32"/>
        </w:rPr>
        <w:t>__</w:t>
      </w:r>
      <w:r>
        <w:rPr>
          <w:rStyle w:val="12"/>
          <w:rFonts w:ascii="仿宋" w:hAnsi="仿宋" w:eastAsia="仿宋"/>
          <w:sz w:val="32"/>
          <w:szCs w:val="32"/>
        </w:rPr>
        <w:t>万元,较上年预算安排减少___</w:t>
      </w:r>
      <w:r>
        <w:rPr>
          <w:rStyle w:val="12"/>
          <w:rFonts w:hint="eastAsia" w:ascii="仿宋" w:hAnsi="仿宋" w:eastAsia="仿宋"/>
          <w:sz w:val="32"/>
          <w:szCs w:val="32"/>
        </w:rPr>
        <w:t>308.59</w:t>
      </w:r>
      <w:r>
        <w:rPr>
          <w:rStyle w:val="12"/>
          <w:rFonts w:ascii="仿宋" w:hAnsi="仿宋" w:eastAsia="仿宋"/>
          <w:sz w:val="32"/>
          <w:szCs w:val="32"/>
        </w:rPr>
        <w:t>___万元;教育支出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万元,较上年预算安排减少___</w:t>
      </w:r>
      <w:r>
        <w:rPr>
          <w:rStyle w:val="12"/>
          <w:rFonts w:hint="eastAsia" w:ascii="仿宋" w:hAnsi="仿宋" w:eastAsia="仿宋"/>
          <w:sz w:val="32"/>
          <w:szCs w:val="32"/>
        </w:rPr>
        <w:t>0</w:t>
      </w:r>
      <w:r>
        <w:rPr>
          <w:rStyle w:val="12"/>
          <w:rFonts w:ascii="仿宋" w:hAnsi="仿宋" w:eastAsia="仿宋"/>
          <w:sz w:val="32"/>
          <w:szCs w:val="32"/>
        </w:rPr>
        <w:t>___万元;科学技术支出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万元,较上年预算安排减少___</w:t>
      </w:r>
      <w:r>
        <w:rPr>
          <w:rStyle w:val="12"/>
          <w:rFonts w:hint="eastAsia" w:ascii="仿宋" w:hAnsi="仿宋" w:eastAsia="仿宋"/>
          <w:sz w:val="32"/>
          <w:szCs w:val="32"/>
        </w:rPr>
        <w:t>0</w:t>
      </w:r>
      <w:r>
        <w:rPr>
          <w:rStyle w:val="12"/>
          <w:rFonts w:ascii="仿宋" w:hAnsi="仿宋" w:eastAsia="仿宋"/>
          <w:sz w:val="32"/>
          <w:szCs w:val="32"/>
        </w:rPr>
        <w:t>___万元;社会保障和就业支出</w:t>
      </w:r>
      <w:r>
        <w:rPr>
          <w:rFonts w:ascii="仿宋" w:hAnsi="仿宋" w:eastAsia="仿宋" w:cs="Times New Roman"/>
          <w:kern w:val="0"/>
          <w:sz w:val="32"/>
          <w:szCs w:val="32"/>
        </w:rPr>
        <w:t>__</w:t>
      </w:r>
      <w:r>
        <w:rPr>
          <w:rFonts w:hint="eastAsia" w:ascii="仿宋" w:hAnsi="仿宋" w:eastAsia="仿宋" w:cs="Times New Roman"/>
          <w:kern w:val="0"/>
          <w:sz w:val="32"/>
          <w:szCs w:val="32"/>
        </w:rPr>
        <w:t>173.48</w:t>
      </w:r>
      <w:r>
        <w:rPr>
          <w:rFonts w:ascii="仿宋" w:hAnsi="仿宋" w:eastAsia="仿宋" w:cs="Times New Roman"/>
          <w:kern w:val="0"/>
          <w:sz w:val="32"/>
          <w:szCs w:val="32"/>
        </w:rPr>
        <w:t>__</w:t>
      </w:r>
      <w:r>
        <w:rPr>
          <w:rStyle w:val="12"/>
          <w:rFonts w:ascii="仿宋" w:hAnsi="仿宋" w:eastAsia="仿宋"/>
          <w:sz w:val="32"/>
          <w:szCs w:val="32"/>
        </w:rPr>
        <w:t>万元,较上年预算安排减少___</w:t>
      </w:r>
      <w:r>
        <w:rPr>
          <w:rStyle w:val="12"/>
          <w:rFonts w:hint="eastAsia" w:ascii="仿宋" w:hAnsi="仿宋" w:eastAsia="仿宋"/>
          <w:sz w:val="32"/>
          <w:szCs w:val="32"/>
        </w:rPr>
        <w:t>20.32</w:t>
      </w:r>
      <w:r>
        <w:rPr>
          <w:rStyle w:val="12"/>
          <w:rFonts w:ascii="仿宋" w:hAnsi="仿宋" w:eastAsia="仿宋"/>
          <w:sz w:val="32"/>
          <w:szCs w:val="32"/>
        </w:rPr>
        <w:t>___万元;卫生健康支出</w:t>
      </w:r>
      <w:r>
        <w:rPr>
          <w:rFonts w:ascii="仿宋" w:hAnsi="仿宋" w:eastAsia="仿宋" w:cs="Times New Roman"/>
          <w:kern w:val="0"/>
          <w:sz w:val="32"/>
          <w:szCs w:val="32"/>
        </w:rPr>
        <w:t>__</w:t>
      </w:r>
      <w:r>
        <w:rPr>
          <w:rFonts w:hint="eastAsia" w:ascii="仿宋" w:hAnsi="仿宋" w:eastAsia="仿宋" w:cs="Times New Roman"/>
          <w:kern w:val="0"/>
          <w:sz w:val="32"/>
          <w:szCs w:val="32"/>
        </w:rPr>
        <w:t>91.75</w:t>
      </w:r>
      <w:r>
        <w:rPr>
          <w:rFonts w:ascii="仿宋" w:hAnsi="仿宋" w:eastAsia="仿宋" w:cs="Times New Roman"/>
          <w:kern w:val="0"/>
          <w:sz w:val="32"/>
          <w:szCs w:val="32"/>
        </w:rPr>
        <w:t>__</w:t>
      </w:r>
      <w:r>
        <w:rPr>
          <w:rStyle w:val="12"/>
          <w:rFonts w:ascii="仿宋" w:hAnsi="仿宋" w:eastAsia="仿宋"/>
          <w:sz w:val="32"/>
          <w:szCs w:val="32"/>
        </w:rPr>
        <w:t>万元,较上年预算安排增加___</w:t>
      </w:r>
      <w:r>
        <w:rPr>
          <w:rStyle w:val="12"/>
          <w:rFonts w:hint="eastAsia" w:ascii="仿宋" w:hAnsi="仿宋" w:eastAsia="仿宋"/>
          <w:sz w:val="32"/>
          <w:szCs w:val="32"/>
        </w:rPr>
        <w:t>36.58</w:t>
      </w:r>
      <w:r>
        <w:rPr>
          <w:rStyle w:val="12"/>
          <w:rFonts w:ascii="仿宋" w:hAnsi="仿宋" w:eastAsia="仿宋"/>
          <w:sz w:val="32"/>
          <w:szCs w:val="32"/>
        </w:rPr>
        <w:t>___万元;农林水支出</w:t>
      </w:r>
      <w:r>
        <w:rPr>
          <w:rFonts w:ascii="仿宋" w:hAnsi="仿宋" w:eastAsia="仿宋" w:cs="Times New Roman"/>
          <w:kern w:val="0"/>
          <w:sz w:val="32"/>
          <w:szCs w:val="32"/>
        </w:rPr>
        <w:t>__</w:t>
      </w:r>
      <w:r>
        <w:rPr>
          <w:rFonts w:hint="eastAsia" w:ascii="仿宋" w:hAnsi="仿宋" w:eastAsia="仿宋" w:cs="Times New Roman"/>
          <w:kern w:val="0"/>
          <w:sz w:val="32"/>
          <w:szCs w:val="32"/>
        </w:rPr>
        <w:t>5832.09</w:t>
      </w:r>
      <w:r>
        <w:rPr>
          <w:rFonts w:ascii="仿宋" w:hAnsi="仿宋" w:eastAsia="仿宋" w:cs="Times New Roman"/>
          <w:kern w:val="0"/>
          <w:sz w:val="32"/>
          <w:szCs w:val="32"/>
        </w:rPr>
        <w:t>__</w:t>
      </w:r>
      <w:r>
        <w:rPr>
          <w:rStyle w:val="12"/>
          <w:rFonts w:ascii="仿宋" w:hAnsi="仿宋" w:eastAsia="仿宋"/>
          <w:sz w:val="32"/>
          <w:szCs w:val="32"/>
        </w:rPr>
        <w:t>万元,较上年预算安排减少___</w:t>
      </w:r>
      <w:r>
        <w:rPr>
          <w:rStyle w:val="12"/>
          <w:rFonts w:hint="eastAsia" w:ascii="仿宋" w:hAnsi="仿宋" w:eastAsia="仿宋"/>
          <w:sz w:val="32"/>
          <w:szCs w:val="32"/>
        </w:rPr>
        <w:t>4304.74</w:t>
      </w:r>
      <w:r>
        <w:rPr>
          <w:rStyle w:val="12"/>
          <w:rFonts w:ascii="仿宋" w:hAnsi="仿宋" w:eastAsia="仿宋"/>
          <w:sz w:val="32"/>
          <w:szCs w:val="32"/>
        </w:rPr>
        <w:t>___万元;住房保障支出</w:t>
      </w:r>
      <w:r>
        <w:rPr>
          <w:rFonts w:ascii="仿宋" w:hAnsi="仿宋" w:eastAsia="仿宋" w:cs="Times New Roman"/>
          <w:kern w:val="0"/>
          <w:sz w:val="32"/>
          <w:szCs w:val="32"/>
        </w:rPr>
        <w:t>__</w:t>
      </w:r>
      <w:r>
        <w:rPr>
          <w:rFonts w:hint="eastAsia" w:ascii="仿宋" w:hAnsi="仿宋" w:eastAsia="仿宋" w:cs="Times New Roman"/>
          <w:kern w:val="0"/>
          <w:sz w:val="32"/>
          <w:szCs w:val="32"/>
        </w:rPr>
        <w:t>128.48</w:t>
      </w:r>
      <w:r>
        <w:rPr>
          <w:rFonts w:ascii="仿宋" w:hAnsi="仿宋" w:eastAsia="仿宋" w:cs="Times New Roman"/>
          <w:kern w:val="0"/>
          <w:sz w:val="32"/>
          <w:szCs w:val="32"/>
        </w:rPr>
        <w:t>__</w:t>
      </w:r>
      <w:r>
        <w:rPr>
          <w:rStyle w:val="12"/>
          <w:rFonts w:ascii="仿宋" w:hAnsi="仿宋" w:eastAsia="仿宋"/>
          <w:sz w:val="32"/>
          <w:szCs w:val="32"/>
        </w:rPr>
        <w:t>万元,较上年预算安排增加___</w:t>
      </w:r>
      <w:r>
        <w:rPr>
          <w:rStyle w:val="12"/>
          <w:rFonts w:hint="eastAsia" w:ascii="仿宋" w:hAnsi="仿宋" w:eastAsia="仿宋"/>
          <w:sz w:val="32"/>
          <w:szCs w:val="32"/>
        </w:rPr>
        <w:t>24.64</w:t>
      </w:r>
      <w:r>
        <w:rPr>
          <w:rStyle w:val="12"/>
          <w:rFonts w:ascii="仿宋" w:hAnsi="仿宋" w:eastAsia="仿宋"/>
          <w:sz w:val="32"/>
          <w:szCs w:val="32"/>
        </w:rPr>
        <w:t>___万元。</w:t>
      </w:r>
      <w:r>
        <w:fldChar w:fldCharType="end"/>
      </w:r>
    </w:p>
    <w:p w14:paraId="393B839A">
      <w:pPr>
        <w:ind w:firstLine="640" w:firstLineChars="200"/>
        <w:rPr>
          <w:rStyle w:val="12"/>
          <w:rFonts w:ascii="仿宋" w:hAnsi="仿宋" w:eastAsia="仿宋"/>
          <w:b/>
          <w:sz w:val="32"/>
          <w:szCs w:val="32"/>
        </w:rPr>
      </w:pPr>
      <w:r>
        <w:rPr>
          <w:rStyle w:val="12"/>
          <w:rFonts w:hint="eastAsia" w:ascii="仿宋" w:hAnsi="仿宋" w:eastAsia="仿宋"/>
          <w:sz w:val="32"/>
          <w:szCs w:val="32"/>
        </w:rPr>
        <w:t>按支出经济分类划分：</w:t>
      </w:r>
      <w:r>
        <w:rPr>
          <w:rFonts w:ascii="仿宋" w:hAnsi="仿宋" w:eastAsia="仿宋"/>
          <w:sz w:val="32"/>
          <w:szCs w:val="32"/>
        </w:rPr>
        <w:fldChar w:fldCharType="begin"/>
      </w:r>
      <w:r>
        <w:rPr>
          <w:rStyle w:val="12"/>
          <w:rFonts w:ascii="仿宋" w:hAnsi="仿宋" w:eastAsia="仿宋"/>
          <w:sz w:val="32"/>
          <w:szCs w:val="32"/>
        </w:rPr>
        <w:instrText xml:space="preserve">MERGEFIELD ${page400644146.ds247441498_REP_BGT_T_HC1100002019DXQ01_JJMX}</w:instrText>
      </w:r>
      <w:r>
        <w:rPr>
          <w:rFonts w:ascii="仿宋" w:hAnsi="仿宋" w:eastAsia="仿宋"/>
          <w:sz w:val="32"/>
          <w:szCs w:val="32"/>
        </w:rPr>
        <w:fldChar w:fldCharType="separate"/>
      </w:r>
      <w:r>
        <w:rPr>
          <w:rStyle w:val="12"/>
          <w:rFonts w:ascii="仿宋" w:hAnsi="仿宋" w:eastAsia="仿宋"/>
          <w:sz w:val="32"/>
          <w:szCs w:val="32"/>
        </w:rPr>
        <w:t>工资福利支出</w:t>
      </w:r>
      <w:r>
        <w:rPr>
          <w:rFonts w:ascii="仿宋" w:hAnsi="仿宋" w:eastAsia="仿宋" w:cs="Times New Roman"/>
          <w:kern w:val="0"/>
          <w:sz w:val="32"/>
          <w:szCs w:val="32"/>
        </w:rPr>
        <w:t>__</w:t>
      </w:r>
      <w:r>
        <w:rPr>
          <w:rFonts w:hint="eastAsia" w:ascii="仿宋" w:hAnsi="仿宋" w:eastAsia="仿宋" w:cs="Times New Roman"/>
          <w:kern w:val="0"/>
          <w:sz w:val="32"/>
          <w:szCs w:val="32"/>
        </w:rPr>
        <w:t>1596.67</w:t>
      </w:r>
      <w:r>
        <w:rPr>
          <w:rFonts w:ascii="仿宋" w:hAnsi="仿宋" w:eastAsia="仿宋" w:cs="Times New Roman"/>
          <w:kern w:val="0"/>
          <w:sz w:val="32"/>
          <w:szCs w:val="32"/>
        </w:rPr>
        <w:t>__</w:t>
      </w:r>
      <w:r>
        <w:rPr>
          <w:rStyle w:val="12"/>
          <w:rFonts w:ascii="仿宋" w:hAnsi="仿宋" w:eastAsia="仿宋"/>
          <w:sz w:val="32"/>
          <w:szCs w:val="32"/>
        </w:rPr>
        <w:t>万元,较上年预算安排减少___</w:t>
      </w:r>
      <w:r>
        <w:rPr>
          <w:rStyle w:val="12"/>
          <w:rFonts w:hint="eastAsia" w:ascii="仿宋" w:hAnsi="仿宋" w:eastAsia="仿宋"/>
          <w:sz w:val="32"/>
          <w:szCs w:val="32"/>
        </w:rPr>
        <w:t>216.05</w:t>
      </w:r>
      <w:r>
        <w:rPr>
          <w:rStyle w:val="12"/>
          <w:rFonts w:ascii="仿宋" w:hAnsi="仿宋" w:eastAsia="仿宋"/>
          <w:sz w:val="32"/>
          <w:szCs w:val="32"/>
        </w:rPr>
        <w:t>___万元;商品和服务支出</w:t>
      </w:r>
      <w:r>
        <w:rPr>
          <w:rFonts w:ascii="仿宋" w:hAnsi="仿宋" w:eastAsia="仿宋" w:cs="Times New Roman"/>
          <w:kern w:val="0"/>
          <w:sz w:val="32"/>
          <w:szCs w:val="32"/>
        </w:rPr>
        <w:t>__</w:t>
      </w:r>
      <w:r>
        <w:rPr>
          <w:rFonts w:hint="eastAsia" w:ascii="仿宋" w:hAnsi="仿宋" w:eastAsia="仿宋" w:cs="Times New Roman"/>
          <w:kern w:val="0"/>
          <w:sz w:val="32"/>
          <w:szCs w:val="32"/>
        </w:rPr>
        <w:t>1024.31</w:t>
      </w:r>
      <w:r>
        <w:rPr>
          <w:rFonts w:ascii="仿宋" w:hAnsi="仿宋" w:eastAsia="仿宋" w:cs="Times New Roman"/>
          <w:kern w:val="0"/>
          <w:sz w:val="32"/>
          <w:szCs w:val="32"/>
        </w:rPr>
        <w:t>__</w:t>
      </w:r>
      <w:r>
        <w:rPr>
          <w:rStyle w:val="12"/>
          <w:rFonts w:ascii="仿宋" w:hAnsi="仿宋" w:eastAsia="仿宋"/>
          <w:sz w:val="32"/>
          <w:szCs w:val="32"/>
        </w:rPr>
        <w:t>万元,较上年预算安排增加___</w:t>
      </w:r>
      <w:r>
        <w:rPr>
          <w:rStyle w:val="12"/>
          <w:rFonts w:hint="eastAsia" w:ascii="仿宋" w:hAnsi="仿宋" w:eastAsia="仿宋"/>
          <w:sz w:val="32"/>
          <w:szCs w:val="32"/>
        </w:rPr>
        <w:t>534.53</w:t>
      </w:r>
      <w:r>
        <w:rPr>
          <w:rStyle w:val="12"/>
          <w:rFonts w:ascii="仿宋" w:hAnsi="仿宋" w:eastAsia="仿宋"/>
          <w:sz w:val="32"/>
          <w:szCs w:val="32"/>
        </w:rPr>
        <w:t>___万元;对个人和家庭的补助</w:t>
      </w:r>
      <w:r>
        <w:rPr>
          <w:rFonts w:ascii="仿宋" w:hAnsi="仿宋" w:eastAsia="仿宋" w:cs="Times New Roman"/>
          <w:kern w:val="0"/>
          <w:sz w:val="32"/>
          <w:szCs w:val="32"/>
        </w:rPr>
        <w:t>__</w:t>
      </w:r>
      <w:r>
        <w:rPr>
          <w:rFonts w:hint="eastAsia" w:ascii="仿宋" w:hAnsi="仿宋" w:eastAsia="仿宋" w:cs="Times New Roman"/>
          <w:kern w:val="0"/>
          <w:sz w:val="32"/>
          <w:szCs w:val="32"/>
        </w:rPr>
        <w:t>2350.29</w:t>
      </w:r>
      <w:r>
        <w:rPr>
          <w:rFonts w:ascii="仿宋" w:hAnsi="仿宋" w:eastAsia="仿宋" w:cs="Times New Roman"/>
          <w:kern w:val="0"/>
          <w:sz w:val="32"/>
          <w:szCs w:val="32"/>
        </w:rPr>
        <w:t>__</w:t>
      </w:r>
      <w:r>
        <w:rPr>
          <w:rStyle w:val="12"/>
          <w:rFonts w:ascii="仿宋" w:hAnsi="仿宋" w:eastAsia="仿宋"/>
          <w:sz w:val="32"/>
          <w:szCs w:val="32"/>
        </w:rPr>
        <w:t>万元,较上年预算安排增加___</w:t>
      </w:r>
      <w:r>
        <w:rPr>
          <w:rStyle w:val="12"/>
          <w:rFonts w:hint="eastAsia" w:ascii="仿宋" w:hAnsi="仿宋" w:eastAsia="仿宋"/>
          <w:sz w:val="32"/>
          <w:szCs w:val="32"/>
        </w:rPr>
        <w:t>1239.53</w:t>
      </w:r>
      <w:r>
        <w:rPr>
          <w:rStyle w:val="12"/>
          <w:rFonts w:ascii="仿宋" w:hAnsi="仿宋" w:eastAsia="仿宋"/>
          <w:sz w:val="32"/>
          <w:szCs w:val="32"/>
        </w:rPr>
        <w:t>___万元;资本性支出</w:t>
      </w:r>
      <w:r>
        <w:rPr>
          <w:rFonts w:ascii="仿宋" w:hAnsi="仿宋" w:eastAsia="仿宋" w:cs="Times New Roman"/>
          <w:kern w:val="0"/>
          <w:sz w:val="32"/>
          <w:szCs w:val="32"/>
        </w:rPr>
        <w:t>__</w:t>
      </w:r>
      <w:r>
        <w:rPr>
          <w:rFonts w:hint="eastAsia" w:ascii="仿宋" w:hAnsi="仿宋" w:eastAsia="仿宋" w:cs="Times New Roman"/>
          <w:kern w:val="0"/>
          <w:sz w:val="32"/>
          <w:szCs w:val="32"/>
        </w:rPr>
        <w:t>738.63</w:t>
      </w:r>
      <w:r>
        <w:rPr>
          <w:rFonts w:ascii="仿宋" w:hAnsi="仿宋" w:eastAsia="仿宋" w:cs="Times New Roman"/>
          <w:kern w:val="0"/>
          <w:sz w:val="32"/>
          <w:szCs w:val="32"/>
        </w:rPr>
        <w:t>__</w:t>
      </w:r>
      <w:r>
        <w:rPr>
          <w:rStyle w:val="12"/>
          <w:rFonts w:ascii="仿宋" w:hAnsi="仿宋" w:eastAsia="仿宋"/>
          <w:sz w:val="32"/>
          <w:szCs w:val="32"/>
        </w:rPr>
        <w:t>万元,较上年预算安排</w:t>
      </w:r>
      <w:r>
        <w:rPr>
          <w:rStyle w:val="12"/>
          <w:rFonts w:hint="eastAsia" w:ascii="仿宋" w:hAnsi="仿宋" w:eastAsia="仿宋"/>
          <w:sz w:val="32"/>
          <w:szCs w:val="32"/>
        </w:rPr>
        <w:t>减少</w:t>
      </w:r>
      <w:r>
        <w:rPr>
          <w:rStyle w:val="12"/>
          <w:rFonts w:ascii="仿宋" w:hAnsi="仿宋" w:eastAsia="仿宋"/>
          <w:sz w:val="32"/>
          <w:szCs w:val="32"/>
        </w:rPr>
        <w:t>___</w:t>
      </w:r>
      <w:r>
        <w:rPr>
          <w:rStyle w:val="12"/>
          <w:rFonts w:hint="eastAsia" w:ascii="仿宋" w:hAnsi="仿宋" w:eastAsia="仿宋"/>
          <w:sz w:val="32"/>
          <w:szCs w:val="32"/>
        </w:rPr>
        <w:t>4828.31</w:t>
      </w:r>
      <w:r>
        <w:rPr>
          <w:rStyle w:val="12"/>
          <w:rFonts w:ascii="仿宋" w:hAnsi="仿宋" w:eastAsia="仿宋"/>
          <w:sz w:val="32"/>
          <w:szCs w:val="32"/>
        </w:rPr>
        <w:t>___万元;对企业补助</w:t>
      </w:r>
      <w:r>
        <w:rPr>
          <w:rFonts w:ascii="仿宋" w:hAnsi="仿宋" w:eastAsia="仿宋" w:cs="Times New Roman"/>
          <w:kern w:val="0"/>
          <w:sz w:val="32"/>
          <w:szCs w:val="32"/>
        </w:rPr>
        <w:t>__</w:t>
      </w:r>
      <w:r>
        <w:rPr>
          <w:rFonts w:hint="eastAsia" w:ascii="仿宋" w:hAnsi="仿宋" w:eastAsia="仿宋" w:cs="Times New Roman"/>
          <w:kern w:val="0"/>
          <w:sz w:val="32"/>
          <w:szCs w:val="32"/>
        </w:rPr>
        <w:t>884.50</w:t>
      </w:r>
      <w:r>
        <w:rPr>
          <w:rFonts w:ascii="仿宋" w:hAnsi="仿宋" w:eastAsia="仿宋" w:cs="Times New Roman"/>
          <w:kern w:val="0"/>
          <w:sz w:val="32"/>
          <w:szCs w:val="32"/>
        </w:rPr>
        <w:t>__</w:t>
      </w:r>
      <w:r>
        <w:rPr>
          <w:rStyle w:val="12"/>
          <w:rFonts w:ascii="仿宋" w:hAnsi="仿宋" w:eastAsia="仿宋"/>
          <w:sz w:val="32"/>
          <w:szCs w:val="32"/>
        </w:rPr>
        <w:t>万元,较上年预算安排增加___</w:t>
      </w:r>
      <w:r>
        <w:rPr>
          <w:rStyle w:val="12"/>
          <w:rFonts w:hint="eastAsia" w:ascii="仿宋" w:hAnsi="仿宋" w:eastAsia="仿宋"/>
          <w:sz w:val="32"/>
          <w:szCs w:val="32"/>
        </w:rPr>
        <w:t>393.84</w:t>
      </w:r>
      <w:r>
        <w:rPr>
          <w:rStyle w:val="12"/>
          <w:rFonts w:ascii="仿宋" w:hAnsi="仿宋" w:eastAsia="仿宋"/>
          <w:sz w:val="32"/>
          <w:szCs w:val="32"/>
        </w:rPr>
        <w:t>___万元。</w:t>
      </w:r>
      <w:r>
        <w:fldChar w:fldCharType="end"/>
      </w:r>
    </w:p>
    <w:p w14:paraId="59C4FA58">
      <w:pPr>
        <w:ind w:firstLine="321" w:firstLineChars="100"/>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 xml:space="preserve"> (三)财政拨款支出情况</w:t>
      </w:r>
    </w:p>
    <w:p w14:paraId="39F5F31E">
      <w:pPr>
        <w:ind w:firstLine="640" w:firstLineChars="200"/>
        <w:rPr>
          <w:rStyle w:val="12"/>
          <w:rFonts w:ascii="仿宋" w:hAnsi="仿宋" w:eastAsia="仿宋"/>
          <w:sz w:val="32"/>
          <w:szCs w:val="32"/>
        </w:rPr>
      </w:pPr>
      <w:r>
        <w:rPr>
          <w:rStyle w:val="12"/>
          <w:rFonts w:hint="eastAsia" w:ascii="仿宋" w:hAnsi="仿宋" w:eastAsia="仿宋"/>
          <w:sz w:val="32"/>
          <w:szCs w:val="32"/>
        </w:rPr>
        <w:t>2</w:t>
      </w:r>
      <w:r>
        <w:rPr>
          <w:rStyle w:val="12"/>
          <w:rFonts w:ascii="仿宋" w:hAnsi="仿宋" w:eastAsia="仿宋"/>
          <w:sz w:val="32"/>
          <w:szCs w:val="32"/>
        </w:rPr>
        <w:t>022</w:t>
      </w:r>
      <w:r>
        <w:rPr>
          <w:rStyle w:val="12"/>
          <w:rFonts w:hint="eastAsia" w:ascii="仿宋" w:hAnsi="仿宋" w:eastAsia="仿宋"/>
          <w:sz w:val="32"/>
          <w:szCs w:val="32"/>
        </w:rPr>
        <w:t>年</w:t>
      </w:r>
      <w:r>
        <w:rPr>
          <w:rFonts w:hint="eastAsia" w:ascii="仿宋" w:hAnsi="仿宋" w:eastAsia="仿宋"/>
          <w:sz w:val="32"/>
          <w:szCs w:val="32"/>
        </w:rPr>
        <w:t>庐山市农业农村局</w:t>
      </w:r>
      <w:r>
        <w:rPr>
          <w:rStyle w:val="12"/>
          <w:rFonts w:hint="eastAsia" w:ascii="仿宋" w:hAnsi="仿宋" w:eastAsia="仿宋"/>
          <w:sz w:val="32"/>
          <w:szCs w:val="32"/>
        </w:rPr>
        <w:t>财政拨款支出预算总额为</w:t>
      </w:r>
      <w:r>
        <w:rPr>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${page400644146.ds215660413_REP_BGT_T_HC1100002019_DXQ02_S_CBXJ}</w:instrText>
      </w:r>
      <w:r>
        <w:rPr>
          <w:rFonts w:ascii="仿宋" w:hAnsi="仿宋" w:eastAsia="仿宋"/>
          <w:sz w:val="32"/>
          <w:szCs w:val="32"/>
        </w:rPr>
        <w:fldChar w:fldCharType="separate"/>
      </w:r>
      <w:r>
        <w:rPr>
          <w:rStyle w:val="12"/>
          <w:rFonts w:ascii="仿宋" w:hAnsi="仿宋" w:eastAsia="仿宋"/>
          <w:sz w:val="32"/>
          <w:szCs w:val="32"/>
        </w:rPr>
        <w:t>财政拨款支出预算总额</w:t>
      </w:r>
      <w:r>
        <w:rPr>
          <w:rFonts w:ascii="仿宋" w:hAnsi="仿宋" w:eastAsia="仿宋" w:cs="Times New Roman"/>
          <w:kern w:val="0"/>
          <w:sz w:val="32"/>
          <w:szCs w:val="32"/>
        </w:rPr>
        <w:t>__</w:t>
      </w:r>
      <w:r>
        <w:rPr>
          <w:rFonts w:hint="eastAsia" w:ascii="仿宋" w:hAnsi="仿宋" w:eastAsia="仿宋" w:cs="Times New Roman"/>
          <w:kern w:val="0"/>
          <w:sz w:val="32"/>
          <w:szCs w:val="32"/>
        </w:rPr>
        <w:t>7464.19</w:t>
      </w:r>
      <w:r>
        <w:rPr>
          <w:rFonts w:ascii="仿宋" w:hAnsi="仿宋" w:eastAsia="仿宋" w:cs="Times New Roman"/>
          <w:kern w:val="0"/>
          <w:sz w:val="32"/>
          <w:szCs w:val="32"/>
        </w:rPr>
        <w:t>__</w:t>
      </w:r>
      <w:r>
        <w:rPr>
          <w:rStyle w:val="12"/>
          <w:rFonts w:ascii="仿宋" w:hAnsi="仿宋" w:eastAsia="仿宋"/>
          <w:sz w:val="32"/>
          <w:szCs w:val="32"/>
        </w:rPr>
        <w:t>万元,较上年预算安排减少___</w:t>
      </w:r>
      <w:r>
        <w:rPr>
          <w:rStyle w:val="12"/>
          <w:rFonts w:hint="eastAsia" w:ascii="仿宋" w:hAnsi="仿宋" w:eastAsia="仿宋"/>
          <w:sz w:val="32"/>
          <w:szCs w:val="32"/>
        </w:rPr>
        <w:t>3460.56</w:t>
      </w:r>
      <w:r>
        <w:rPr>
          <w:rStyle w:val="12"/>
          <w:rFonts w:ascii="仿宋" w:hAnsi="仿宋" w:eastAsia="仿宋"/>
          <w:sz w:val="32"/>
          <w:szCs w:val="32"/>
        </w:rPr>
        <w:t>___万元;</w:t>
      </w:r>
      <w:r>
        <w:fldChar w:fldCharType="end"/>
      </w:r>
    </w:p>
    <w:p w14:paraId="7CD02DA0">
      <w:pPr>
        <w:ind w:firstLine="640" w:firstLineChars="200"/>
        <w:rPr>
          <w:rStyle w:val="12"/>
          <w:rFonts w:ascii="仿宋" w:hAnsi="仿宋" w:eastAsia="仿宋"/>
          <w:sz w:val="32"/>
          <w:szCs w:val="32"/>
        </w:rPr>
      </w:pPr>
      <w:r>
        <w:rPr>
          <w:rStyle w:val="12"/>
          <w:rFonts w:hint="eastAsia" w:ascii="仿宋" w:hAnsi="仿宋" w:eastAsia="仿宋"/>
          <w:sz w:val="32"/>
          <w:szCs w:val="32"/>
        </w:rPr>
        <w:t>按支出功能科目划分：</w:t>
      </w:r>
      <w:r>
        <w:rPr>
          <w:rFonts w:ascii="仿宋" w:hAnsi="仿宋" w:eastAsia="仿宋"/>
          <w:sz w:val="32"/>
          <w:szCs w:val="32"/>
        </w:rPr>
        <w:fldChar w:fldCharType="begin"/>
      </w:r>
      <w:r>
        <w:rPr>
          <w:rStyle w:val="12"/>
          <w:rFonts w:ascii="仿宋" w:hAnsi="仿宋" w:eastAsia="仿宋"/>
          <w:sz w:val="32"/>
          <w:szCs w:val="32"/>
        </w:rPr>
        <w:instrText xml:space="preserve">MERGEFIELD ${page400644146.ds247441498_REP_BGT_T_HC1100002019DXQ01_GNCBMX}</w:instrText>
      </w:r>
      <w:r>
        <w:rPr>
          <w:rFonts w:ascii="仿宋" w:hAnsi="仿宋" w:eastAsia="仿宋"/>
          <w:sz w:val="32"/>
          <w:szCs w:val="32"/>
        </w:rPr>
        <w:fldChar w:fldCharType="separate"/>
      </w:r>
      <w:r>
        <w:rPr>
          <w:rStyle w:val="12"/>
          <w:rFonts w:ascii="仿宋" w:hAnsi="仿宋" w:eastAsia="仿宋"/>
          <w:sz w:val="32"/>
          <w:szCs w:val="32"/>
        </w:rPr>
        <w:t>一般公共服务支出</w:t>
      </w:r>
      <w:r>
        <w:rPr>
          <w:rFonts w:ascii="仿宋" w:hAnsi="仿宋" w:eastAsia="仿宋" w:cs="Times New Roman"/>
          <w:kern w:val="0"/>
          <w:sz w:val="32"/>
          <w:szCs w:val="32"/>
        </w:rPr>
        <w:t>__</w:t>
      </w:r>
      <w:r>
        <w:rPr>
          <w:rFonts w:hint="eastAsia" w:ascii="仿宋" w:hAnsi="仿宋" w:eastAsia="仿宋" w:cs="Times New Roman"/>
          <w:kern w:val="0"/>
          <w:sz w:val="32"/>
          <w:szCs w:val="32"/>
        </w:rPr>
        <w:t>10</w:t>
      </w:r>
      <w:r>
        <w:rPr>
          <w:rFonts w:ascii="仿宋" w:hAnsi="仿宋" w:eastAsia="仿宋" w:cs="Times New Roman"/>
          <w:kern w:val="0"/>
          <w:sz w:val="32"/>
          <w:szCs w:val="32"/>
        </w:rPr>
        <w:t>__</w:t>
      </w:r>
      <w:r>
        <w:rPr>
          <w:rStyle w:val="12"/>
          <w:rFonts w:ascii="仿宋" w:hAnsi="仿宋" w:eastAsia="仿宋"/>
          <w:sz w:val="32"/>
          <w:szCs w:val="32"/>
        </w:rPr>
        <w:t>万元,教育支出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万元,社会保障和就业支出</w:t>
      </w:r>
      <w:r>
        <w:rPr>
          <w:rFonts w:ascii="仿宋" w:hAnsi="仿宋" w:eastAsia="仿宋" w:cs="Times New Roman"/>
          <w:kern w:val="0"/>
          <w:sz w:val="32"/>
          <w:szCs w:val="32"/>
        </w:rPr>
        <w:t>__</w:t>
      </w:r>
      <w:r>
        <w:rPr>
          <w:rFonts w:hint="eastAsia" w:ascii="仿宋" w:hAnsi="仿宋" w:eastAsia="仿宋" w:cs="Times New Roman"/>
          <w:kern w:val="0"/>
          <w:sz w:val="32"/>
          <w:szCs w:val="32"/>
        </w:rPr>
        <w:t>173.48</w:t>
      </w:r>
      <w:r>
        <w:rPr>
          <w:rFonts w:ascii="仿宋" w:hAnsi="仿宋" w:eastAsia="仿宋" w:cs="Times New Roman"/>
          <w:kern w:val="0"/>
          <w:sz w:val="32"/>
          <w:szCs w:val="32"/>
        </w:rPr>
        <w:t>__</w:t>
      </w:r>
      <w:r>
        <w:rPr>
          <w:rStyle w:val="12"/>
          <w:rFonts w:ascii="仿宋" w:hAnsi="仿宋" w:eastAsia="仿宋"/>
          <w:sz w:val="32"/>
          <w:szCs w:val="32"/>
        </w:rPr>
        <w:t>万元,卫生健康支出</w:t>
      </w:r>
      <w:r>
        <w:rPr>
          <w:rFonts w:ascii="仿宋" w:hAnsi="仿宋" w:eastAsia="仿宋" w:cs="Times New Roman"/>
          <w:kern w:val="0"/>
          <w:sz w:val="32"/>
          <w:szCs w:val="32"/>
        </w:rPr>
        <w:t>__</w:t>
      </w:r>
      <w:r>
        <w:rPr>
          <w:rFonts w:hint="eastAsia" w:ascii="仿宋" w:hAnsi="仿宋" w:eastAsia="仿宋" w:cs="Times New Roman"/>
          <w:kern w:val="0"/>
          <w:sz w:val="32"/>
          <w:szCs w:val="32"/>
        </w:rPr>
        <w:t>91.75</w:t>
      </w:r>
      <w:r>
        <w:rPr>
          <w:rFonts w:ascii="仿宋" w:hAnsi="仿宋" w:eastAsia="仿宋" w:cs="Times New Roman"/>
          <w:kern w:val="0"/>
          <w:sz w:val="32"/>
          <w:szCs w:val="32"/>
        </w:rPr>
        <w:t>__</w:t>
      </w:r>
      <w:r>
        <w:rPr>
          <w:rStyle w:val="12"/>
          <w:rFonts w:ascii="仿宋" w:hAnsi="仿宋" w:eastAsia="仿宋"/>
          <w:sz w:val="32"/>
          <w:szCs w:val="32"/>
        </w:rPr>
        <w:t>万元,住房保障支出</w:t>
      </w:r>
      <w:r>
        <w:rPr>
          <w:rFonts w:ascii="仿宋" w:hAnsi="仿宋" w:eastAsia="仿宋" w:cs="Times New Roman"/>
          <w:kern w:val="0"/>
          <w:sz w:val="32"/>
          <w:szCs w:val="32"/>
        </w:rPr>
        <w:t>__</w:t>
      </w:r>
      <w:r>
        <w:rPr>
          <w:rFonts w:hint="eastAsia" w:ascii="仿宋" w:hAnsi="仿宋" w:eastAsia="仿宋" w:cs="Times New Roman"/>
          <w:kern w:val="0"/>
          <w:sz w:val="32"/>
          <w:szCs w:val="32"/>
        </w:rPr>
        <w:t>128.48</w:t>
      </w:r>
      <w:r>
        <w:rPr>
          <w:rFonts w:ascii="仿宋" w:hAnsi="仿宋" w:eastAsia="仿宋" w:cs="Times New Roman"/>
          <w:kern w:val="0"/>
          <w:sz w:val="32"/>
          <w:szCs w:val="32"/>
        </w:rPr>
        <w:t>__</w:t>
      </w:r>
      <w:r>
        <w:rPr>
          <w:rStyle w:val="12"/>
          <w:rFonts w:ascii="仿宋" w:hAnsi="仿宋" w:eastAsia="仿宋"/>
          <w:sz w:val="32"/>
          <w:szCs w:val="32"/>
        </w:rPr>
        <w:t>万元。</w:t>
      </w:r>
      <w:r>
        <w:fldChar w:fldCharType="end"/>
      </w:r>
    </w:p>
    <w:p w14:paraId="1D9FE872">
      <w:pPr>
        <w:ind w:firstLine="640" w:firstLineChars="200"/>
        <w:rPr>
          <w:rStyle w:val="12"/>
          <w:rFonts w:ascii="仿宋" w:hAnsi="仿宋" w:eastAsia="仿宋"/>
          <w:sz w:val="32"/>
          <w:szCs w:val="32"/>
        </w:rPr>
      </w:pPr>
      <w:r>
        <w:rPr>
          <w:rStyle w:val="12"/>
          <w:rFonts w:hint="eastAsia" w:ascii="仿宋" w:hAnsi="仿宋" w:eastAsia="仿宋"/>
          <w:sz w:val="32"/>
          <w:szCs w:val="32"/>
        </w:rPr>
        <w:t>按支出项目类别划分：</w:t>
      </w:r>
      <w:r>
        <w:rPr>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${page400644146.ds215660413_REP_BGT_T_HC1100002019_DXQ02_JBZCQKCB}</w:instrText>
      </w:r>
      <w:r>
        <w:rPr>
          <w:rFonts w:ascii="仿宋" w:hAnsi="仿宋" w:eastAsia="仿宋"/>
          <w:sz w:val="32"/>
          <w:szCs w:val="32"/>
        </w:rPr>
        <w:fldChar w:fldCharType="separate"/>
      </w:r>
      <w:r>
        <w:rPr>
          <w:rStyle w:val="12"/>
          <w:rFonts w:ascii="仿宋" w:hAnsi="仿宋" w:eastAsia="仿宋"/>
          <w:sz w:val="32"/>
          <w:szCs w:val="32"/>
        </w:rPr>
        <w:t>基本支出</w:t>
      </w:r>
      <w:r>
        <w:rPr>
          <w:rFonts w:ascii="仿宋" w:hAnsi="仿宋" w:eastAsia="仿宋" w:cs="Times New Roman"/>
          <w:kern w:val="0"/>
          <w:sz w:val="32"/>
          <w:szCs w:val="32"/>
        </w:rPr>
        <w:t>__</w:t>
      </w:r>
      <w:r>
        <w:rPr>
          <w:rFonts w:hint="eastAsia" w:ascii="仿宋" w:hAnsi="仿宋" w:eastAsia="仿宋" w:cs="Times New Roman"/>
          <w:kern w:val="0"/>
          <w:sz w:val="32"/>
          <w:szCs w:val="32"/>
        </w:rPr>
        <w:t>1835.96</w:t>
      </w:r>
      <w:r>
        <w:rPr>
          <w:rFonts w:ascii="仿宋" w:hAnsi="仿宋" w:eastAsia="仿宋" w:cs="Times New Roman"/>
          <w:kern w:val="0"/>
          <w:sz w:val="32"/>
          <w:szCs w:val="32"/>
        </w:rPr>
        <w:t>__</w:t>
      </w:r>
      <w:r>
        <w:rPr>
          <w:rStyle w:val="12"/>
          <w:rFonts w:ascii="仿宋" w:hAnsi="仿宋" w:eastAsia="仿宋"/>
          <w:sz w:val="32"/>
          <w:szCs w:val="32"/>
        </w:rPr>
        <w:t>万元,较上年预算安排增加___</w:t>
      </w:r>
      <w:r>
        <w:rPr>
          <w:rStyle w:val="12"/>
          <w:rFonts w:hint="eastAsia" w:ascii="仿宋" w:hAnsi="仿宋" w:eastAsia="仿宋"/>
          <w:sz w:val="32"/>
          <w:szCs w:val="32"/>
        </w:rPr>
        <w:t>433.99</w:t>
      </w:r>
      <w:r>
        <w:rPr>
          <w:rStyle w:val="12"/>
          <w:rFonts w:ascii="仿宋" w:hAnsi="仿宋" w:eastAsia="仿宋"/>
          <w:sz w:val="32"/>
          <w:szCs w:val="32"/>
        </w:rPr>
        <w:t>___万元;其中：工资福利支出</w:t>
      </w:r>
      <w:r>
        <w:rPr>
          <w:rFonts w:ascii="仿宋" w:hAnsi="仿宋" w:eastAsia="仿宋" w:cs="Times New Roman"/>
          <w:kern w:val="0"/>
          <w:sz w:val="32"/>
          <w:szCs w:val="32"/>
        </w:rPr>
        <w:t>__</w:t>
      </w:r>
      <w:r>
        <w:rPr>
          <w:rFonts w:hint="eastAsia" w:ascii="仿宋" w:hAnsi="仿宋" w:eastAsia="仿宋" w:cs="Times New Roman"/>
          <w:kern w:val="0"/>
          <w:sz w:val="32"/>
          <w:szCs w:val="32"/>
        </w:rPr>
        <w:t>1587.08</w:t>
      </w:r>
      <w:r>
        <w:rPr>
          <w:rFonts w:ascii="仿宋" w:hAnsi="仿宋" w:eastAsia="仿宋" w:cs="Times New Roman"/>
          <w:kern w:val="0"/>
          <w:sz w:val="32"/>
          <w:szCs w:val="32"/>
        </w:rPr>
        <w:t>__</w:t>
      </w:r>
      <w:r>
        <w:rPr>
          <w:rStyle w:val="12"/>
          <w:rFonts w:ascii="仿宋" w:hAnsi="仿宋" w:eastAsia="仿宋"/>
          <w:sz w:val="32"/>
          <w:szCs w:val="32"/>
        </w:rPr>
        <w:t>万元,商品和服务支出</w:t>
      </w:r>
      <w:r>
        <w:rPr>
          <w:rFonts w:ascii="仿宋" w:hAnsi="仿宋" w:eastAsia="仿宋" w:cs="Times New Roman"/>
          <w:kern w:val="0"/>
          <w:sz w:val="32"/>
          <w:szCs w:val="32"/>
        </w:rPr>
        <w:t>__</w:t>
      </w:r>
      <w:r>
        <w:rPr>
          <w:rFonts w:hint="eastAsia" w:ascii="仿宋" w:hAnsi="仿宋" w:eastAsia="仿宋" w:cs="Times New Roman"/>
          <w:kern w:val="0"/>
          <w:sz w:val="32"/>
          <w:szCs w:val="32"/>
        </w:rPr>
        <w:t>193.91</w:t>
      </w:r>
      <w:r>
        <w:rPr>
          <w:rFonts w:ascii="仿宋" w:hAnsi="仿宋" w:eastAsia="仿宋" w:cs="Times New Roman"/>
          <w:kern w:val="0"/>
          <w:sz w:val="32"/>
          <w:szCs w:val="32"/>
        </w:rPr>
        <w:t>__</w:t>
      </w:r>
      <w:r>
        <w:rPr>
          <w:rStyle w:val="12"/>
          <w:rFonts w:ascii="仿宋" w:hAnsi="仿宋" w:eastAsia="仿宋"/>
          <w:sz w:val="32"/>
          <w:szCs w:val="32"/>
        </w:rPr>
        <w:t>万元,对个人和家庭的补助</w:t>
      </w:r>
      <w:r>
        <w:rPr>
          <w:rFonts w:ascii="仿宋" w:hAnsi="仿宋" w:eastAsia="仿宋" w:cs="Times New Roman"/>
          <w:kern w:val="0"/>
          <w:sz w:val="32"/>
          <w:szCs w:val="32"/>
        </w:rPr>
        <w:t>__</w:t>
      </w:r>
      <w:r>
        <w:rPr>
          <w:rFonts w:hint="eastAsia" w:ascii="仿宋" w:hAnsi="仿宋" w:eastAsia="仿宋" w:cs="Times New Roman"/>
          <w:kern w:val="0"/>
          <w:sz w:val="32"/>
          <w:szCs w:val="32"/>
        </w:rPr>
        <w:t>54.97</w:t>
      </w:r>
      <w:r>
        <w:rPr>
          <w:rFonts w:ascii="仿宋" w:hAnsi="仿宋" w:eastAsia="仿宋" w:cs="Times New Roman"/>
          <w:kern w:val="0"/>
          <w:sz w:val="32"/>
          <w:szCs w:val="32"/>
        </w:rPr>
        <w:t>__</w:t>
      </w:r>
      <w:r>
        <w:rPr>
          <w:rStyle w:val="12"/>
          <w:rFonts w:ascii="仿宋" w:hAnsi="仿宋" w:eastAsia="仿宋"/>
          <w:sz w:val="32"/>
          <w:szCs w:val="32"/>
        </w:rPr>
        <w:t>万元,资本性支出</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Style w:val="12"/>
          <w:rFonts w:ascii="仿宋" w:hAnsi="仿宋" w:eastAsia="仿宋"/>
          <w:sz w:val="32"/>
          <w:szCs w:val="32"/>
        </w:rPr>
        <w:t>万元。</w:t>
      </w:r>
      <w:r>
        <w:fldChar w:fldCharType="end"/>
      </w:r>
      <w:r>
        <w:rPr>
          <w:rFonts w:ascii="仿宋" w:hAnsi="仿宋" w:eastAsia="仿宋"/>
          <w:sz w:val="32"/>
          <w:szCs w:val="32"/>
        </w:rPr>
        <w:fldChar w:fldCharType="begin"/>
      </w:r>
      <w:r>
        <w:rPr>
          <w:rStyle w:val="12"/>
          <w:rFonts w:ascii="仿宋" w:hAnsi="仿宋" w:eastAsia="仿宋"/>
          <w:sz w:val="32"/>
          <w:szCs w:val="32"/>
        </w:rPr>
        <w:instrText xml:space="preserve">MERGEFIELD ${page400644146.ds215660413_REP_BGT_T_HC1100002019_DXQ02_XMZCQKCB}</w:instrText>
      </w:r>
      <w:r>
        <w:rPr>
          <w:rFonts w:ascii="仿宋" w:hAnsi="仿宋" w:eastAsia="仿宋"/>
          <w:sz w:val="32"/>
          <w:szCs w:val="32"/>
        </w:rPr>
        <w:fldChar w:fldCharType="separate"/>
      </w:r>
      <w:r>
        <w:rPr>
          <w:rStyle w:val="12"/>
          <w:rFonts w:ascii="仿宋" w:hAnsi="仿宋" w:eastAsia="仿宋"/>
          <w:sz w:val="32"/>
          <w:szCs w:val="32"/>
        </w:rPr>
        <w:t>项目支出</w:t>
      </w:r>
      <w:r>
        <w:rPr>
          <w:rFonts w:ascii="仿宋" w:hAnsi="仿宋" w:eastAsia="仿宋" w:cs="Times New Roman"/>
          <w:kern w:val="0"/>
          <w:sz w:val="32"/>
          <w:szCs w:val="32"/>
        </w:rPr>
        <w:t>__</w:t>
      </w:r>
      <w:r>
        <w:rPr>
          <w:rFonts w:hint="eastAsia" w:ascii="仿宋" w:hAnsi="仿宋" w:eastAsia="仿宋" w:cs="Times New Roman"/>
          <w:kern w:val="0"/>
          <w:sz w:val="32"/>
          <w:szCs w:val="32"/>
        </w:rPr>
        <w:t>4758.44</w:t>
      </w:r>
      <w:r>
        <w:rPr>
          <w:rFonts w:ascii="仿宋" w:hAnsi="仿宋" w:eastAsia="仿宋" w:cs="Times New Roman"/>
          <w:kern w:val="0"/>
          <w:sz w:val="32"/>
          <w:szCs w:val="32"/>
        </w:rPr>
        <w:t>__</w:t>
      </w:r>
      <w:r>
        <w:rPr>
          <w:rStyle w:val="12"/>
          <w:rFonts w:ascii="仿宋" w:hAnsi="仿宋" w:eastAsia="仿宋"/>
          <w:sz w:val="32"/>
          <w:szCs w:val="32"/>
        </w:rPr>
        <w:t>万元,较上年预算安排减少___</w:t>
      </w:r>
      <w:r>
        <w:rPr>
          <w:rStyle w:val="12"/>
          <w:rFonts w:hint="eastAsia" w:ascii="仿宋" w:hAnsi="仿宋" w:eastAsia="仿宋"/>
          <w:sz w:val="32"/>
          <w:szCs w:val="32"/>
        </w:rPr>
        <w:t>4764.34</w:t>
      </w:r>
      <w:r>
        <w:rPr>
          <w:rStyle w:val="12"/>
          <w:rFonts w:ascii="仿宋" w:hAnsi="仿宋" w:eastAsia="仿宋"/>
          <w:sz w:val="32"/>
          <w:szCs w:val="32"/>
        </w:rPr>
        <w:t>___万元;其中：商品和服务支出</w:t>
      </w:r>
      <w:r>
        <w:rPr>
          <w:rFonts w:ascii="仿宋" w:hAnsi="仿宋" w:eastAsia="仿宋" w:cs="Times New Roman"/>
          <w:kern w:val="0"/>
          <w:sz w:val="32"/>
          <w:szCs w:val="32"/>
        </w:rPr>
        <w:t>__</w:t>
      </w:r>
      <w:r>
        <w:rPr>
          <w:rFonts w:hint="eastAsia" w:ascii="仿宋" w:hAnsi="仿宋" w:eastAsia="仿宋" w:cs="Times New Roman"/>
          <w:kern w:val="0"/>
          <w:sz w:val="32"/>
          <w:szCs w:val="32"/>
        </w:rPr>
        <w:t>830.40</w:t>
      </w:r>
      <w:r>
        <w:rPr>
          <w:rFonts w:ascii="仿宋" w:hAnsi="仿宋" w:eastAsia="仿宋" w:cs="Times New Roman"/>
          <w:kern w:val="0"/>
          <w:sz w:val="32"/>
          <w:szCs w:val="32"/>
        </w:rPr>
        <w:t>__</w:t>
      </w:r>
      <w:r>
        <w:rPr>
          <w:rStyle w:val="12"/>
          <w:rFonts w:ascii="仿宋" w:hAnsi="仿宋" w:eastAsia="仿宋"/>
          <w:sz w:val="32"/>
          <w:szCs w:val="32"/>
        </w:rPr>
        <w:t>万元,对个人和家庭的补助</w:t>
      </w:r>
      <w:r>
        <w:rPr>
          <w:rFonts w:ascii="仿宋" w:hAnsi="仿宋" w:eastAsia="仿宋" w:cs="Times New Roman"/>
          <w:kern w:val="0"/>
          <w:sz w:val="32"/>
          <w:szCs w:val="32"/>
        </w:rPr>
        <w:t>__</w:t>
      </w:r>
      <w:r>
        <w:rPr>
          <w:rFonts w:hint="eastAsia" w:ascii="仿宋" w:hAnsi="仿宋" w:eastAsia="仿宋" w:cs="Times New Roman"/>
          <w:kern w:val="0"/>
          <w:sz w:val="32"/>
          <w:szCs w:val="32"/>
        </w:rPr>
        <w:t>2295.32</w:t>
      </w:r>
      <w:r>
        <w:rPr>
          <w:rFonts w:ascii="仿宋" w:hAnsi="仿宋" w:eastAsia="仿宋" w:cs="Times New Roman"/>
          <w:kern w:val="0"/>
          <w:sz w:val="32"/>
          <w:szCs w:val="32"/>
        </w:rPr>
        <w:t>__</w:t>
      </w:r>
      <w:r>
        <w:rPr>
          <w:rStyle w:val="12"/>
          <w:rFonts w:ascii="仿宋" w:hAnsi="仿宋" w:eastAsia="仿宋"/>
          <w:sz w:val="32"/>
          <w:szCs w:val="32"/>
        </w:rPr>
        <w:t>万元,资本性支出</w:t>
      </w:r>
      <w:r>
        <w:rPr>
          <w:rFonts w:ascii="仿宋" w:hAnsi="仿宋" w:eastAsia="仿宋" w:cs="Times New Roman"/>
          <w:kern w:val="0"/>
          <w:sz w:val="32"/>
          <w:szCs w:val="32"/>
        </w:rPr>
        <w:t>__</w:t>
      </w:r>
      <w:r>
        <w:rPr>
          <w:rFonts w:hint="eastAsia" w:ascii="仿宋" w:hAnsi="仿宋" w:eastAsia="仿宋" w:cs="Times New Roman"/>
          <w:kern w:val="0"/>
          <w:sz w:val="32"/>
          <w:szCs w:val="32"/>
        </w:rPr>
        <w:t>738.63</w:t>
      </w:r>
      <w:r>
        <w:rPr>
          <w:rFonts w:ascii="仿宋" w:hAnsi="仿宋" w:eastAsia="仿宋" w:cs="Times New Roman"/>
          <w:kern w:val="0"/>
          <w:sz w:val="32"/>
          <w:szCs w:val="32"/>
        </w:rPr>
        <w:t>__</w:t>
      </w:r>
      <w:r>
        <w:rPr>
          <w:rStyle w:val="12"/>
          <w:rFonts w:ascii="仿宋" w:hAnsi="仿宋" w:eastAsia="仿宋"/>
          <w:sz w:val="32"/>
          <w:szCs w:val="32"/>
        </w:rPr>
        <w:t>万元。</w:t>
      </w:r>
      <w:r>
        <w:fldChar w:fldCharType="end"/>
      </w:r>
    </w:p>
    <w:p w14:paraId="72FA30D5">
      <w:pPr>
        <w:jc w:val="left"/>
        <w:textAlignment w:val="top"/>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(四)政府性基金情况</w:t>
      </w:r>
    </w:p>
    <w:p w14:paraId="4B7BFDD7">
      <w:pPr>
        <w:ind w:firstLine="640" w:firstLineChars="200"/>
        <w:jc w:val="left"/>
        <w:textAlignment w:val="top"/>
        <w:rPr>
          <w:rStyle w:val="12"/>
          <w:rFonts w:hint="eastAsia" w:ascii="仿宋" w:hAnsi="仿宋" w:eastAsia="仿宋"/>
          <w:sz w:val="32"/>
          <w:szCs w:val="32"/>
        </w:rPr>
      </w:pPr>
      <w:r>
        <w:rPr>
          <w:rStyle w:val="12"/>
          <w:rFonts w:hint="eastAsia" w:ascii="仿宋" w:hAnsi="仿宋" w:eastAsia="仿宋"/>
          <w:sz w:val="32"/>
          <w:szCs w:val="32"/>
        </w:rPr>
        <w:t>没有使用政府性基金预算拨款安排的支出</w:t>
      </w:r>
    </w:p>
    <w:p w14:paraId="1A2ED300">
      <w:pPr>
        <w:jc w:val="left"/>
        <w:textAlignment w:val="top"/>
        <w:rPr>
          <w:rStyle w:val="12"/>
          <w:rFonts w:hint="eastAsia" w:ascii="仿宋" w:hAnsi="仿宋" w:eastAsia="仿宋" w:cs="仿宋"/>
          <w:b/>
          <w:sz w:val="32"/>
          <w:szCs w:val="32"/>
        </w:rPr>
      </w:pPr>
      <w:r>
        <w:rPr>
          <w:rStyle w:val="12"/>
          <w:rFonts w:hint="eastAsia" w:ascii="仿宋" w:hAnsi="仿宋" w:eastAsia="仿宋" w:cs="仿宋"/>
          <w:b/>
          <w:sz w:val="32"/>
          <w:szCs w:val="32"/>
        </w:rPr>
        <w:t>（五）国有资本经营情况</w:t>
      </w:r>
    </w:p>
    <w:p w14:paraId="799A8DDD">
      <w:pPr>
        <w:ind w:firstLine="640" w:firstLineChars="200"/>
        <w:jc w:val="left"/>
        <w:textAlignment w:val="top"/>
        <w:rPr>
          <w:rStyle w:val="12"/>
          <w:rFonts w:ascii="仿宋" w:hAnsi="仿宋" w:eastAsia="仿宋"/>
          <w:sz w:val="32"/>
          <w:szCs w:val="32"/>
        </w:rPr>
      </w:pPr>
      <w:r>
        <w:rPr>
          <w:rStyle w:val="12"/>
          <w:rFonts w:hint="eastAsia" w:ascii="仿宋" w:hAnsi="仿宋" w:eastAsia="仿宋"/>
          <w:sz w:val="32"/>
          <w:szCs w:val="32"/>
        </w:rPr>
        <w:t>没有使用国有资本经营预算拨款安排的支出</w:t>
      </w:r>
    </w:p>
    <w:p w14:paraId="46C2D20F">
      <w:pPr>
        <w:jc w:val="left"/>
        <w:textAlignment w:val="top"/>
        <w:rPr>
          <w:rStyle w:val="12"/>
          <w:rFonts w:hint="eastAsia" w:ascii="仿宋" w:hAnsi="仿宋" w:eastAsia="仿宋" w:cs="仿宋"/>
          <w:b/>
          <w:sz w:val="32"/>
          <w:szCs w:val="32"/>
        </w:rPr>
      </w:pPr>
      <w:r>
        <w:rPr>
          <w:rStyle w:val="12"/>
          <w:rFonts w:hint="eastAsia" w:ascii="仿宋" w:hAnsi="仿宋" w:eastAsia="仿宋" w:cs="仿宋"/>
          <w:b/>
          <w:sz w:val="32"/>
          <w:szCs w:val="32"/>
        </w:rPr>
        <w:t>(六)机关运行经费等重要事项的说明</w:t>
      </w:r>
    </w:p>
    <w:p w14:paraId="0474B16B">
      <w:pPr>
        <w:widowControl/>
        <w:spacing w:line="580" w:lineRule="exact"/>
        <w:ind w:firstLine="636"/>
        <w:jc w:val="left"/>
        <w:rPr>
          <w:rFonts w:ascii="Adobe 仿宋 Std R" w:hAnsi="Adobe 仿宋 Std R" w:eastAsia="Adobe 仿宋 Std R"/>
          <w:sz w:val="32"/>
          <w:szCs w:val="32"/>
        </w:rPr>
      </w:pPr>
      <w:r>
        <w:rPr>
          <w:rStyle w:val="12"/>
          <w:rFonts w:hint="eastAsia" w:ascii="Adobe 仿宋 Std R" w:hAnsi="Adobe 仿宋 Std R" w:eastAsia="Adobe 仿宋 Std R"/>
          <w:sz w:val="32"/>
          <w:szCs w:val="32"/>
        </w:rPr>
        <w:t>2022年</w:t>
      </w:r>
      <w:r>
        <w:rPr>
          <w:rFonts w:hint="eastAsia" w:ascii="Adobe 仿宋 Std R" w:hAnsi="Adobe 仿宋 Std R" w:eastAsia="Adobe 仿宋 Std R"/>
          <w:sz w:val="32"/>
          <w:szCs w:val="32"/>
        </w:rPr>
        <w:t>部门机关运行费预算</w:t>
      </w:r>
      <w:r>
        <w:rPr>
          <w:rFonts w:hint="eastAsia" w:ascii="仿宋_GB2312" w:eastAsia="仿宋_GB2312"/>
          <w:sz w:val="32"/>
          <w:szCs w:val="30"/>
          <w:u w:val="single"/>
        </w:rPr>
        <w:t xml:space="preserve">   1017.31  </w:t>
      </w:r>
      <w:r>
        <w:rPr>
          <w:rFonts w:hint="eastAsia" w:ascii="Adobe 仿宋 Std R" w:hAnsi="Adobe 仿宋 Std R" w:eastAsia="Adobe 仿宋 Std R"/>
          <w:sz w:val="32"/>
          <w:szCs w:val="32"/>
        </w:rPr>
        <w:t>万元，比2021年预算增加</w:t>
      </w:r>
      <w:r>
        <w:rPr>
          <w:rFonts w:hint="eastAsia" w:ascii="仿宋_GB2312" w:eastAsia="仿宋_GB2312"/>
          <w:sz w:val="32"/>
          <w:szCs w:val="30"/>
          <w:u w:val="single"/>
        </w:rPr>
        <w:t xml:space="preserve">   565.54  </w:t>
      </w:r>
      <w:r>
        <w:rPr>
          <w:rFonts w:hint="eastAsia" w:ascii="Adobe 仿宋 Std R" w:hAnsi="Adobe 仿宋 Std R" w:eastAsia="Adobe 仿宋 Std R"/>
          <w:sz w:val="32"/>
          <w:szCs w:val="32"/>
        </w:rPr>
        <w:t>万元，增加</w:t>
      </w:r>
      <w:r>
        <w:rPr>
          <w:rFonts w:hint="eastAsia" w:ascii="仿宋_GB2312" w:eastAsia="仿宋_GB2312"/>
          <w:sz w:val="32"/>
          <w:szCs w:val="30"/>
          <w:u w:val="single"/>
        </w:rPr>
        <w:t xml:space="preserve">  125   </w:t>
      </w:r>
      <w:r>
        <w:rPr>
          <w:rFonts w:hint="eastAsia" w:ascii="Adobe 仿宋 Std R" w:hAnsi="Adobe 仿宋 Std R" w:eastAsia="Adobe 仿宋 Std R"/>
          <w:sz w:val="32"/>
          <w:szCs w:val="32"/>
        </w:rPr>
        <w:t>%。</w:t>
      </w:r>
    </w:p>
    <w:p w14:paraId="2D78062C">
      <w:pPr>
        <w:ind w:firstLine="321" w:firstLineChars="100"/>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(七)政府采购情况</w:t>
      </w:r>
    </w:p>
    <w:p w14:paraId="1B1648B9">
      <w:pPr>
        <w:rPr>
          <w:sz w:val="32"/>
        </w:rPr>
      </w:pPr>
      <w:r>
        <w:rPr>
          <w:rStyle w:val="12"/>
          <w:rFonts w:hint="eastAsia" w:ascii="宋体" w:hAnsi="宋体"/>
          <w:b/>
          <w:sz w:val="32"/>
          <w:szCs w:val="32"/>
        </w:rPr>
        <w:t xml:space="preserve">  </w:t>
      </w:r>
      <w:r>
        <w:rPr>
          <w:rFonts w:hint="eastAsia" w:ascii="Adobe 仿宋 Std R" w:hAnsi="Adobe 仿宋 Std R" w:eastAsia="Adobe 仿宋 Std R"/>
        </w:rPr>
        <w:t xml:space="preserve"> </w:t>
      </w:r>
      <w:r>
        <w:rPr>
          <w:rFonts w:hint="eastAsia" w:ascii="Adobe 仿宋 Std R" w:hAnsi="Adobe 仿宋 Std R" w:eastAsia="Adobe 仿宋 Std R"/>
          <w:sz w:val="32"/>
          <w:szCs w:val="32"/>
        </w:rPr>
        <w:t>2022年部门所属各单位政府采购总额</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Fonts w:hint="eastAsia" w:ascii="Adobe 仿宋 Std R" w:hAnsi="Adobe 仿宋 Std R" w:eastAsia="Adobe 仿宋 Std R"/>
          <w:sz w:val="32"/>
          <w:szCs w:val="32"/>
        </w:rPr>
        <w:t>万元</w:t>
      </w:r>
      <w:r>
        <w:rPr>
          <w:rFonts w:ascii="Adobe 仿宋 Std R" w:hAnsi="Adobe 仿宋 Std R" w:eastAsia="Adobe 仿宋 Std R"/>
          <w:sz w:val="32"/>
          <w:szCs w:val="32"/>
        </w:rPr>
        <w:t>,</w:t>
      </w:r>
      <w:r>
        <w:rPr>
          <w:rFonts w:hint="eastAsia" w:ascii="Adobe 仿宋 Std R" w:hAnsi="Adobe 仿宋 Std R" w:eastAsia="Adobe 仿宋 Std R"/>
          <w:sz w:val="32"/>
          <w:szCs w:val="32"/>
        </w:rPr>
        <w:t>其中</w:t>
      </w:r>
      <w:r>
        <w:rPr>
          <w:rFonts w:ascii="Adobe 仿宋 Std R" w:hAnsi="Adobe 仿宋 Std R" w:eastAsia="Adobe 仿宋 Std R"/>
          <w:sz w:val="32"/>
          <w:szCs w:val="32"/>
        </w:rPr>
        <w:t>:</w:t>
      </w:r>
      <w:r>
        <w:rPr>
          <w:rFonts w:hint="eastAsia" w:ascii="Adobe 仿宋 Std R" w:hAnsi="Adobe 仿宋 Std R" w:eastAsia="Adobe 仿宋 Std R"/>
          <w:sz w:val="32"/>
          <w:szCs w:val="32"/>
        </w:rPr>
        <w:t xml:space="preserve"> 政府采购货物预算</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Fonts w:hint="eastAsia" w:ascii="Adobe 仿宋 Std R" w:hAnsi="Adobe 仿宋 Std R" w:eastAsia="Adobe 仿宋 Std R"/>
          <w:sz w:val="32"/>
          <w:szCs w:val="32"/>
        </w:rPr>
        <w:t>万元</w:t>
      </w:r>
      <w:r>
        <w:rPr>
          <w:rFonts w:ascii="Adobe 仿宋 Std R" w:hAnsi="Adobe 仿宋 Std R" w:eastAsia="Adobe 仿宋 Std R"/>
          <w:sz w:val="32"/>
          <w:szCs w:val="32"/>
        </w:rPr>
        <w:t>,</w:t>
      </w:r>
      <w:r>
        <w:rPr>
          <w:rFonts w:hint="eastAsia" w:ascii="Adobe 仿宋 Std R" w:hAnsi="Adobe 仿宋 Std R" w:eastAsia="Adobe 仿宋 Std R"/>
          <w:sz w:val="32"/>
          <w:szCs w:val="32"/>
        </w:rPr>
        <w:t xml:space="preserve"> 政府采购工程预算</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Fonts w:hint="eastAsia" w:ascii="Adobe 仿宋 Std R" w:hAnsi="Adobe 仿宋 Std R" w:eastAsia="Adobe 仿宋 Std R"/>
          <w:sz w:val="32"/>
          <w:szCs w:val="32"/>
        </w:rPr>
        <w:t>万元</w:t>
      </w:r>
      <w:r>
        <w:rPr>
          <w:rFonts w:ascii="Adobe 仿宋 Std R" w:hAnsi="Adobe 仿宋 Std R" w:eastAsia="Adobe 仿宋 Std R"/>
          <w:sz w:val="32"/>
          <w:szCs w:val="32"/>
        </w:rPr>
        <w:t>,</w:t>
      </w:r>
      <w:r>
        <w:rPr>
          <w:rFonts w:hint="eastAsia" w:ascii="Adobe 仿宋 Std R" w:hAnsi="Adobe 仿宋 Std R" w:eastAsia="Adobe 仿宋 Std R"/>
          <w:sz w:val="32"/>
          <w:szCs w:val="32"/>
        </w:rPr>
        <w:t xml:space="preserve"> 政府采购服务预算</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Fonts w:hint="eastAsia" w:ascii="Adobe 仿宋 Std R" w:hAnsi="Adobe 仿宋 Std R" w:eastAsia="Adobe 仿宋 Std R"/>
          <w:sz w:val="32"/>
          <w:szCs w:val="32"/>
        </w:rPr>
        <w:t>万元。</w:t>
      </w:r>
    </w:p>
    <w:p w14:paraId="7EEBAF32">
      <w:pPr>
        <w:ind w:firstLine="321" w:firstLineChars="100"/>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(八)国有资产占有使用情况</w:t>
      </w:r>
    </w:p>
    <w:p w14:paraId="0C53EB82">
      <w:pPr>
        <w:ind w:firstLine="642"/>
        <w:rPr>
          <w:rFonts w:ascii="Adobe 仿宋 Std R" w:hAnsi="Adobe 仿宋 Std R" w:eastAsia="Adobe 仿宋 Std R"/>
          <w:b/>
          <w:sz w:val="20"/>
        </w:rPr>
      </w:pPr>
      <w:r>
        <w:rPr>
          <w:rFonts w:hint="eastAsia" w:ascii="Adobe 仿宋 Std R" w:hAnsi="Adobe 仿宋 Std R" w:eastAsia="Adobe 仿宋 Std R"/>
          <w:sz w:val="32"/>
          <w:szCs w:val="32"/>
        </w:rPr>
        <w:t>截至2021年8月31日,</w:t>
      </w:r>
      <w:r>
        <w:rPr>
          <w:rFonts w:ascii="Adobe 仿宋 Std R" w:hAnsi="Adobe 仿宋 Std R" w:eastAsia="Adobe 仿宋 Std R"/>
          <w:sz w:val="32"/>
          <w:szCs w:val="32"/>
        </w:rPr>
        <w:t xml:space="preserve"> </w:t>
      </w:r>
      <w:r>
        <w:rPr>
          <w:rFonts w:ascii="Adobe 仿宋 Std R" w:hAnsi="Adobe 仿宋 Std R" w:eastAsia="Adobe 仿宋 Std R"/>
          <w:sz w:val="32"/>
          <w:szCs w:val="32"/>
        </w:rPr>
        <w:fldChar w:fldCharType="begin"/>
      </w:r>
      <w:r>
        <w:rPr>
          <w:rFonts w:ascii="Adobe 仿宋 Std R" w:hAnsi="Adobe 仿宋 Std R" w:eastAsia="Adobe 仿宋 Std R"/>
          <w:sz w:val="32"/>
          <w:szCs w:val="32"/>
        </w:rPr>
        <w:instrText xml:space="preserve">MERGEFIELD ${page400644146.ds532982397_REP_JX_BAS_AGENCY_INFO_ZYFRS_S_CLSYS}</w:instrText>
      </w:r>
      <w:r>
        <w:rPr>
          <w:rFonts w:ascii="Adobe 仿宋 Std R" w:hAnsi="Adobe 仿宋 Std R" w:eastAsia="Adobe 仿宋 Std R"/>
          <w:sz w:val="32"/>
          <w:szCs w:val="32"/>
        </w:rPr>
        <w:fldChar w:fldCharType="separate"/>
      </w:r>
      <w:r>
        <w:rPr>
          <w:rFonts w:ascii="Adobe 仿宋 Std R" w:hAnsi="Adobe 仿宋 Std R" w:eastAsia="Adobe 仿宋 Std R"/>
          <w:sz w:val="32"/>
          <w:szCs w:val="32"/>
        </w:rPr>
        <w:t>部门共有车辆</w:t>
      </w:r>
      <w:r>
        <w:rPr>
          <w:rFonts w:ascii="仿宋" w:hAnsi="仿宋" w:eastAsia="仿宋" w:cs="Times New Roman"/>
          <w:kern w:val="0"/>
          <w:sz w:val="32"/>
          <w:szCs w:val="32"/>
        </w:rPr>
        <w:t>__</w:t>
      </w:r>
      <w:r>
        <w:rPr>
          <w:rFonts w:hint="eastAsia" w:ascii="仿宋" w:hAnsi="仿宋" w:eastAsia="仿宋" w:cs="Times New Roman"/>
          <w:kern w:val="0"/>
          <w:sz w:val="32"/>
          <w:szCs w:val="32"/>
        </w:rPr>
        <w:t>3</w:t>
      </w:r>
      <w:r>
        <w:rPr>
          <w:rFonts w:ascii="仿宋" w:hAnsi="仿宋" w:eastAsia="仿宋" w:cs="Times New Roman"/>
          <w:kern w:val="0"/>
          <w:sz w:val="32"/>
          <w:szCs w:val="32"/>
        </w:rPr>
        <w:t>__</w:t>
      </w:r>
      <w:r>
        <w:rPr>
          <w:rFonts w:ascii="Adobe 仿宋 Std R" w:hAnsi="Adobe 仿宋 Std R" w:eastAsia="Adobe 仿宋 Std R"/>
          <w:sz w:val="32"/>
          <w:szCs w:val="32"/>
        </w:rPr>
        <w:t>辆,其中：一般公务用车实有数</w:t>
      </w:r>
      <w:r>
        <w:rPr>
          <w:rFonts w:ascii="仿宋" w:hAnsi="仿宋" w:eastAsia="仿宋" w:cs="Times New Roman"/>
          <w:kern w:val="0"/>
          <w:sz w:val="32"/>
          <w:szCs w:val="32"/>
        </w:rPr>
        <w:t>__</w:t>
      </w:r>
      <w:r>
        <w:rPr>
          <w:rFonts w:hint="eastAsia" w:ascii="仿宋" w:hAnsi="仿宋" w:eastAsia="仿宋" w:cs="Times New Roman"/>
          <w:kern w:val="0"/>
          <w:sz w:val="32"/>
          <w:szCs w:val="32"/>
        </w:rPr>
        <w:t>2</w:t>
      </w:r>
      <w:r>
        <w:rPr>
          <w:rFonts w:ascii="仿宋" w:hAnsi="仿宋" w:eastAsia="仿宋" w:cs="Times New Roman"/>
          <w:kern w:val="0"/>
          <w:sz w:val="32"/>
          <w:szCs w:val="32"/>
        </w:rPr>
        <w:t>__</w:t>
      </w:r>
      <w:r>
        <w:rPr>
          <w:rFonts w:ascii="Adobe 仿宋 Std R" w:hAnsi="Adobe 仿宋 Std R" w:eastAsia="Adobe 仿宋 Std R"/>
          <w:sz w:val="32"/>
          <w:szCs w:val="32"/>
        </w:rPr>
        <w:t>辆,执法执勤用车实有数</w:t>
      </w:r>
      <w:r>
        <w:rPr>
          <w:rFonts w:ascii="仿宋" w:hAnsi="仿宋" w:eastAsia="仿宋" w:cs="Times New Roman"/>
          <w:kern w:val="0"/>
          <w:sz w:val="32"/>
          <w:szCs w:val="32"/>
        </w:rPr>
        <w:t>__</w:t>
      </w:r>
      <w:r>
        <w:rPr>
          <w:rFonts w:hint="eastAsia" w:ascii="仿宋" w:hAnsi="仿宋" w:eastAsia="仿宋" w:cs="Times New Roman"/>
          <w:kern w:val="0"/>
          <w:sz w:val="32"/>
          <w:szCs w:val="32"/>
        </w:rPr>
        <w:t>1</w:t>
      </w:r>
      <w:r>
        <w:rPr>
          <w:rFonts w:ascii="仿宋" w:hAnsi="仿宋" w:eastAsia="仿宋" w:cs="Times New Roman"/>
          <w:kern w:val="0"/>
          <w:sz w:val="32"/>
          <w:szCs w:val="32"/>
        </w:rPr>
        <w:t>__</w:t>
      </w:r>
      <w:r>
        <w:rPr>
          <w:rFonts w:ascii="Adobe 仿宋 Std R" w:hAnsi="Adobe 仿宋 Std R" w:eastAsia="Adobe 仿宋 Std R"/>
          <w:sz w:val="32"/>
          <w:szCs w:val="32"/>
        </w:rPr>
        <w:t>辆。</w:t>
      </w:r>
      <w:r>
        <w:fldChar w:fldCharType="end"/>
      </w:r>
    </w:p>
    <w:p w14:paraId="0C7D03A6">
      <w:pPr>
        <w:ind w:firstLine="642"/>
        <w:rPr>
          <w:rFonts w:hint="eastAsia" w:ascii="仿宋_GB2312" w:eastAsia="Adobe 仿宋 Std R"/>
          <w:sz w:val="32"/>
          <w:szCs w:val="30"/>
        </w:rPr>
      </w:pPr>
      <w:r>
        <w:rPr>
          <w:rFonts w:hint="eastAsia" w:ascii="Adobe 仿宋 Std R" w:hAnsi="Adobe 仿宋 Std R" w:eastAsia="Adobe 仿宋 Std R"/>
          <w:sz w:val="32"/>
          <w:szCs w:val="32"/>
        </w:rPr>
        <w:t>2022年部门预算安排购置车辆</w:t>
      </w:r>
      <w:r>
        <w:rPr>
          <w:rFonts w:hint="eastAsia" w:ascii="仿宋_GB2312" w:eastAsia="仿宋_GB2312"/>
          <w:sz w:val="32"/>
          <w:szCs w:val="30"/>
          <w:u w:val="single"/>
        </w:rPr>
        <w:t xml:space="preserve">  0   </w:t>
      </w:r>
      <w:r>
        <w:rPr>
          <w:rFonts w:hint="eastAsia" w:ascii="Adobe 仿宋 Std R" w:hAnsi="Adobe 仿宋 Std R" w:eastAsia="Adobe 仿宋 Std R"/>
          <w:sz w:val="32"/>
          <w:szCs w:val="32"/>
        </w:rPr>
        <w:t>辆，安排购置单位价值200万元以上大型设备具体为：无</w:t>
      </w:r>
    </w:p>
    <w:p w14:paraId="48746BC8">
      <w:pPr>
        <w:ind w:firstLine="321" w:firstLineChars="100"/>
        <w:rPr>
          <w:rStyle w:val="12"/>
          <w:rFonts w:ascii="Adobe 仿宋 Std R" w:hAnsi="Adobe 仿宋 Std R" w:eastAsia="Adobe 仿宋 Std R"/>
          <w:b/>
          <w:sz w:val="32"/>
          <w:szCs w:val="32"/>
        </w:rPr>
      </w:pPr>
      <w:r>
        <w:rPr>
          <w:rStyle w:val="12"/>
          <w:rFonts w:hint="eastAsia" w:ascii="Adobe 仿宋 Std R" w:hAnsi="Adobe 仿宋 Std R" w:eastAsia="Adobe 仿宋 Std R"/>
          <w:b/>
          <w:sz w:val="32"/>
          <w:szCs w:val="32"/>
        </w:rPr>
        <w:t>（九）庐山市农业农村局项目情况说明</w:t>
      </w:r>
    </w:p>
    <w:p w14:paraId="445AF083">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1.关于星子县农科所及改制继续保留单位牌子和原财政预算拨款经费项目</w:t>
      </w:r>
    </w:p>
    <w:p w14:paraId="0CA261E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1）项目概述：支持农业技术试验，新品种、新技术的推广、示范等工作及人员管理</w:t>
      </w:r>
    </w:p>
    <w:p w14:paraId="437C509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2）立项依据：星府字【2009】56号】</w:t>
      </w:r>
    </w:p>
    <w:p w14:paraId="166A238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5581B297">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4）实施方案：政府每年安排预算4.97万元解决农科所、良种场改制后保留人员的工作经费</w:t>
      </w:r>
    </w:p>
    <w:p w14:paraId="29E484E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3490A4B4">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）年度预算安排：4.97万元</w:t>
      </w:r>
    </w:p>
    <w:p w14:paraId="4C5381F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7）绩效目标和指标：保障农科所及良种场改制后人员的稳定性</w:t>
      </w:r>
    </w:p>
    <w:p w14:paraId="23A38108">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2.渔政-2022 年罚没款收入项目</w:t>
      </w:r>
    </w:p>
    <w:p w14:paraId="5B548D9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1）项目概述：保障渔业执法经费需要</w:t>
      </w:r>
    </w:p>
    <w:p w14:paraId="2B627F3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2）立项依据：2020年渔业执法非税收测算表</w:t>
      </w:r>
    </w:p>
    <w:p w14:paraId="68DBA57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6903A71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4）实施方案：农业农村局解决渔政执法工作人员日常经费</w:t>
      </w:r>
    </w:p>
    <w:p w14:paraId="051B050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0DB65DC5">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）年度预算安排：7万元</w:t>
      </w:r>
    </w:p>
    <w:p w14:paraId="1C4678D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7）绩效目标和指标：保障渔业执法经费</w:t>
      </w:r>
    </w:p>
    <w:p w14:paraId="5C153372">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3.2021年省级现代农业专项资金</w:t>
      </w:r>
    </w:p>
    <w:p w14:paraId="3CD8FC3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1）项目概述：①、优质稻米基地建设；②、设施蔬菜基地建设；③、提升标准化果园基地；④、建设500亩中药材基地；⑤、支持建设省级龙头茶叶及富硒加工型龙头企业。              </w:t>
      </w:r>
    </w:p>
    <w:p w14:paraId="3FC5E52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2）立项依据：赣财农指【2020】60 号文件</w:t>
      </w:r>
    </w:p>
    <w:p w14:paraId="3D58ABF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2EFCF03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4）实施方案：农业农村局通过专项资金完成基地的建设   </w:t>
      </w:r>
    </w:p>
    <w:p w14:paraId="0F880AF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051558E2">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）年度预算安排：38万元</w:t>
      </w:r>
    </w:p>
    <w:p w14:paraId="5863494E">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7）绩效目标和指标：①、优质稻米基地规模2 万亩；②、设施蔬菜基地0.13 万亩；③、提升标准化果园基地500</w:t>
      </w:r>
    </w:p>
    <w:p w14:paraId="2AAC353F">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亩；④、建设500 亩中药材基地；⑤、支持建设省级龙头茶叶企业1 个；⑥、培育省级富硒加工型龙头企业，推动富硒产业和品牌发展。</w:t>
      </w:r>
    </w:p>
    <w:p w14:paraId="0F5C4E9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4.2021 年乡村振兴现代农业发展</w:t>
      </w:r>
    </w:p>
    <w:p w14:paraId="3989E1A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1）项目概述：完善高标准农田管护机制，提高农机驾驶人员技能水平、兽医实验室改造升级、规模猪场“洗消通道”建设。         </w:t>
      </w:r>
    </w:p>
    <w:p w14:paraId="29DB443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2）立项依据：九财农指【2021】54 号】</w:t>
      </w:r>
    </w:p>
    <w:p w14:paraId="441A785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5EEED52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4）实施方案：建设设施蔬菜大棚18.2 亩、完善3.98 万亩高标准农田建后管护、农机驾驶人员技能培训5人、兽医实验室改造升级1 个、规模猪场“洗消通道”建设1个。               </w:t>
      </w:r>
    </w:p>
    <w:p w14:paraId="3CA441C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4BF9499A">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）年度预算安排：38.73万元</w:t>
      </w:r>
    </w:p>
    <w:p w14:paraId="34EA5BBB">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7）绩效目标和指标：①、推进我市设施蔬菜向高产、优质发展。②、建设和完善</w:t>
      </w:r>
      <w:bookmarkStart w:id="0" w:name="_GoBack"/>
      <w:r>
        <w:rPr>
          <w:rFonts w:hint="eastAsia" w:ascii="Adobe 仿宋 Std R" w:hAnsi="Adobe 仿宋 Std R" w:eastAsia="Adobe 仿宋 Std R"/>
          <w:sz w:val="32"/>
          <w:szCs w:val="32"/>
        </w:rPr>
        <w:t>高标准农田</w:t>
      </w:r>
      <w:bookmarkEnd w:id="0"/>
      <w:r>
        <w:rPr>
          <w:rFonts w:hint="eastAsia" w:ascii="Adobe 仿宋 Std R" w:hAnsi="Adobe 仿宋 Std R" w:eastAsia="Adobe 仿宋 Std R"/>
          <w:sz w:val="32"/>
          <w:szCs w:val="32"/>
        </w:rPr>
        <w:t>建后管护机制。③、完善拖拉机和联合收割机驾驶员集中培训，提高农机驾驶人员技能水平。④、兽医实验室改造升级、规模猪场“洗消通道”建设。</w:t>
      </w:r>
    </w:p>
    <w:p w14:paraId="1193C47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5.第二批中央农业保险补助</w:t>
      </w:r>
    </w:p>
    <w:p w14:paraId="3719DD7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1）项目概述：稳定农业生产，保障农民收入</w:t>
      </w:r>
    </w:p>
    <w:p w14:paraId="0EF4CB0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2）立项依据：九财金指【2021】6号</w:t>
      </w:r>
    </w:p>
    <w:p w14:paraId="6F17EA8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196B9F0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4）实施方案：扩大农业保险覆盖面和风险保障水平，逐步建立市场化的农业生产保险防范化解机制 </w:t>
      </w:r>
    </w:p>
    <w:p w14:paraId="5B872F6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7031B297">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）年度预算安排：32.44万元</w:t>
      </w:r>
    </w:p>
    <w:p w14:paraId="0A0A2853">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7）绩效目标和指标：稳定农业生产，保障农民收入</w:t>
      </w:r>
    </w:p>
    <w:p w14:paraId="00B69EB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6.2022年农机购置费补贴</w:t>
      </w:r>
    </w:p>
    <w:p w14:paraId="55ACA13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1）项目概述：推进农机农艺融合、农机化与信息化融合，持续提升政策实施的精准化、规范化、便利化水平，为保障粮食等重要农产品有效供给，推进现代农业发展和乡村振兴提供坚实支持。  </w:t>
      </w:r>
    </w:p>
    <w:p w14:paraId="2BB1C44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2）立项依据：赣农字［2021］27号</w:t>
      </w:r>
    </w:p>
    <w:p w14:paraId="09EBFFF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58964D9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4）实施方案：按照省厅文件规定的标准实施农机购置补贴</w:t>
      </w:r>
    </w:p>
    <w:p w14:paraId="115DDBB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3BF759BF">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）年度预算安排：23万元</w:t>
      </w:r>
    </w:p>
    <w:p w14:paraId="04D342A0">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7）绩效目标和指标：到2022年主要农作物农机化作业，耕种收综合机械化率达到74.2％</w:t>
      </w:r>
    </w:p>
    <w:p w14:paraId="0DFC75B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7.农村人居环境整治宣传资金</w:t>
      </w:r>
    </w:p>
    <w:p w14:paraId="74C0F37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为实施好我市“十四五”新农村建设，加快乡村建设行动，促进农业高质高效、农村宜居宜业、农民富裕富足，加快农业农村现代化，推进村容村貌和庭院整治，全面推行村庄长效管护工作，全面提升全市新农村建设和农村人居环境整体水平，进一步夯实乡村振兴基础。 </w:t>
      </w:r>
    </w:p>
    <w:p w14:paraId="04A266C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2）立项依据：庐财农指〔2021〕15号</w:t>
      </w:r>
    </w:p>
    <w:p w14:paraId="181B9D1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32FA8EE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4）实施方案：①、在10 个涉农乡镇实施实施农村人居环境整治宣传行动。②、庐山市2021 年最美庭院评选活动前期摸排、奖牌制作等。</w:t>
      </w:r>
    </w:p>
    <w:p w14:paraId="213F72E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6D41E47B">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）年度预算安排：21.5万元</w:t>
      </w:r>
    </w:p>
    <w:p w14:paraId="31EA070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7）绩效目标和指标：目标1：大力实施农村人居环境整治宣传行动，不断增强干部群众的环卫意识，引导农民转变生产、生活方式，巩固农村环境整治成果，完善村庄环境治理长效机制。</w:t>
      </w:r>
    </w:p>
    <w:p w14:paraId="10AA615E">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目标2：开展好庐山市2021 年最美庭院评选活动，做好前期摸排、奖牌制作等工作。</w:t>
      </w:r>
    </w:p>
    <w:p w14:paraId="560A6B5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8.2021年省级农产品冷链物流建设项目</w:t>
      </w:r>
    </w:p>
    <w:p w14:paraId="4D139C7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1）项目概述：推动我市农产品冷链物流设施建设，畅通农产品出村进成渠道。 </w:t>
      </w:r>
    </w:p>
    <w:p w14:paraId="3398AE0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2）立项依据：九财农指［2021］55号</w:t>
      </w:r>
    </w:p>
    <w:p w14:paraId="146D2BB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1BAB992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4）实施方案：新建气能型气调贮藏库1间，共计1400 立方米。</w:t>
      </w:r>
    </w:p>
    <w:p w14:paraId="2EE2C55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1C59767B">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）年度预算安排：25万元</w:t>
      </w:r>
    </w:p>
    <w:p w14:paraId="63C3D74C">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7）绩效目标和指标：提升农产品冷链物流能力。</w:t>
      </w:r>
    </w:p>
    <w:p w14:paraId="485216A8">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9.提前下达2022年农业保险补助</w:t>
      </w:r>
    </w:p>
    <w:p w14:paraId="23B14CD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1）项目概述：稳定农业生产，保障农民收入</w:t>
      </w:r>
    </w:p>
    <w:p w14:paraId="43F89EB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2）立项依据：九财金指【2021】7号】</w:t>
      </w:r>
    </w:p>
    <w:p w14:paraId="5678FAD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0AC1227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4）实施方案：不断扩大农业保险覆盖面积和风险保障水平，逐步建立市场的农业生产保险防范，化解机制,引导和支持农户参加农业保险。</w:t>
      </w:r>
    </w:p>
    <w:p w14:paraId="336EF2C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7ABF1530">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）年度预算安排：166.82万元</w:t>
      </w:r>
    </w:p>
    <w:p w14:paraId="028DD82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7）绩效目标和指标：稳定农业生产，保障农民收入</w:t>
      </w:r>
    </w:p>
    <w:p w14:paraId="76D394C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10.解决农产品质量安全监管经费</w:t>
      </w:r>
    </w:p>
    <w:p w14:paraId="1600D3C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1）项目概述：根据《中华人民共和国农产品质量安全法》要求，加强农产品质量安全监管</w:t>
      </w:r>
    </w:p>
    <w:p w14:paraId="438A3E4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2）立项依据：赣农字【2019】89号关于做好2019 年度现代农业及农业农村优先发展、乡村振兴发展、农产品安全及生猪养殖考核评价工作的通知</w:t>
      </w:r>
    </w:p>
    <w:p w14:paraId="27D1B91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74C8473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4）实施方案：制定农产品质量安全计划，开展农产品质量安全采样、检测及宣传培训</w:t>
      </w:r>
    </w:p>
    <w:p w14:paraId="1449717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5A64789F">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）年度预算安排：50万元</w:t>
      </w:r>
    </w:p>
    <w:p w14:paraId="52368CA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7）绩效目标和指标：确保农产品质量的检测合格率达到98%以上。</w:t>
      </w:r>
    </w:p>
    <w:p w14:paraId="091E321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11.粮食购销企业民生资金</w:t>
      </w:r>
    </w:p>
    <w:p w14:paraId="21BDAB3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1）项目概述：解决粮食企业职工改制遗留历史问题养老金、医疗金等；退回职工上岗保证金等。</w:t>
      </w:r>
    </w:p>
    <w:p w14:paraId="7B615F5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2）立项依据：庐农字（2020）232 号</w:t>
      </w:r>
    </w:p>
    <w:p w14:paraId="6D35788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712B477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4）实施方案：职工改制达到退休年龄需单位负担部分的养老、医疗等保险基金</w:t>
      </w:r>
    </w:p>
    <w:p w14:paraId="65F76D4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19262009">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）年度预算安排：86万元</w:t>
      </w:r>
    </w:p>
    <w:p w14:paraId="4E6371F9">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7）绩效目标和指标：解决粮食改制企业2022 年度养老、医疗保险基金及退回退休职工上岗保证金等历史遗留问题</w:t>
      </w:r>
    </w:p>
    <w:p w14:paraId="7C48DC6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12.庐山市县级储备粮油费用利息补贴</w:t>
      </w:r>
    </w:p>
    <w:p w14:paraId="3598985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1）项目概述：备战、备荒，稳定粮食市场，保护农民利益，满足国家储备安全。</w:t>
      </w:r>
    </w:p>
    <w:p w14:paraId="3221178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2）立项依据：九粮字【2015】49 号，九农文【2021】33 号</w:t>
      </w:r>
    </w:p>
    <w:p w14:paraId="45C44D4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3）实施主体：庐山市粮食收储公司</w:t>
      </w:r>
    </w:p>
    <w:p w14:paraId="291F1F0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4）实施方案：全力落实地方储备4700 吨</w:t>
      </w:r>
    </w:p>
    <w:p w14:paraId="1DC8428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4EC46954">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）年度预算安排：168万元</w:t>
      </w:r>
    </w:p>
    <w:p w14:paraId="430F2DA0">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7）绩效目标和指标：保障城乡居民粮食供应，满足全市25万人口2个月口粮供应</w:t>
      </w:r>
    </w:p>
    <w:p w14:paraId="20D51E2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13.农村土地承包经营纠纷调解仲裁工作</w:t>
      </w:r>
    </w:p>
    <w:p w14:paraId="6F4872F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1）项目概述：农业农村部关于开展2020 年农村土地承包经营纠纷调解仲裁考评工资有关要求和省平安江西建设领导小组办公室《关于报送2020 年度全省平安建设工作协查考核计分结果的通知》</w:t>
      </w:r>
    </w:p>
    <w:p w14:paraId="692F05D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2）立项依据：关于认真做好2020 年农村土地承包经营纠纷调解仲裁考评工作的通知</w:t>
      </w:r>
    </w:p>
    <w:p w14:paraId="0226C62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0A205D8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4）实施方案：仲裁队伍建设、经费保障、宣传培训、案件调处、工作制度创新</w:t>
      </w:r>
    </w:p>
    <w:p w14:paraId="7C0E802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679D3480">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）年度预算安排：2万元</w:t>
      </w:r>
    </w:p>
    <w:p w14:paraId="36CCB04D">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7）绩效目标和指标：调处农村土地承包经营纠纷，维护农村社会稳定。</w:t>
      </w:r>
    </w:p>
    <w:p w14:paraId="1AF3334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14.重大动物疫情防控项目</w:t>
      </w:r>
    </w:p>
    <w:p w14:paraId="0D973A5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1）项目概述：提高我市畜禽及其产品质量，确保我市不发生区域性重大动物疫病疫情和重大公共卫生安全事件，保障我市人民生命财产安全。</w:t>
      </w:r>
    </w:p>
    <w:p w14:paraId="7CA2AAF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2）立项依据：庐府办发【2018】72号</w:t>
      </w:r>
    </w:p>
    <w:p w14:paraId="6E44426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6326E0C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4）实施方案：重大动物疫情监控、培训、检测等</w:t>
      </w:r>
    </w:p>
    <w:p w14:paraId="6BB32F0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7EC94111">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）年度预算安排：10万元</w:t>
      </w:r>
    </w:p>
    <w:p w14:paraId="0724D123">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7）绩效目标和指标：重大动物疫病强制免疫密度达到100%，免疫抗体水平达到80%以上，其他各项指标达到上级考核要求。</w:t>
      </w:r>
    </w:p>
    <w:p w14:paraId="134565F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15.水稻保险</w:t>
      </w:r>
    </w:p>
    <w:p w14:paraId="2024908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1）项目概述：降低农民种植水稻的经济风险，提高农民种粮积极性。</w:t>
      </w:r>
    </w:p>
    <w:p w14:paraId="27BE8CC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2）立项依据：赣财债【2017】141号关于印发《江西省农业保险保费补贴管理办法》的通知</w:t>
      </w:r>
    </w:p>
    <w:p w14:paraId="055B231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7623430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4）实施方案：补贴水稻保险</w:t>
      </w:r>
    </w:p>
    <w:p w14:paraId="19B7624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5481BE4C">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）年度预算安排：20.5万元</w:t>
      </w:r>
    </w:p>
    <w:p w14:paraId="492C22FC">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7）绩效目标和指标：支持水稻种植投保面积10.25 万亩。</w:t>
      </w:r>
    </w:p>
    <w:p w14:paraId="49150D4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16.育肥猪保险</w:t>
      </w:r>
    </w:p>
    <w:p w14:paraId="396EC73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1）项目概述：促进我市生猪生产，提高我市养殖户收益。</w:t>
      </w:r>
    </w:p>
    <w:p w14:paraId="3933E9D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2）立项依据：赣财债〔2017〕141 号-关于印发《江西省农业保险保费补贴管理办法》的通知</w:t>
      </w:r>
    </w:p>
    <w:p w14:paraId="05E9F06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6E677C94">
      <w:pPr>
        <w:ind w:left="319" w:leftChars="152" w:firstLine="656" w:firstLineChars="205"/>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4）实施方案：育肥猪保费20 元/头。力争应保尽保</w:t>
      </w:r>
    </w:p>
    <w:p w14:paraId="6C1FC6A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45BB126F">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）年度预算安排：0.26万元</w:t>
      </w:r>
    </w:p>
    <w:p w14:paraId="7E292E09">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7）绩效目标和指标：做到育肥猪保险应保尽保</w:t>
      </w:r>
    </w:p>
    <w:p w14:paraId="5C9CFC6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17.油菜保险补贴</w:t>
      </w:r>
    </w:p>
    <w:p w14:paraId="37DC66D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1）项目概述：鼓励农民种植油菜的积极性</w:t>
      </w:r>
    </w:p>
    <w:p w14:paraId="7DBA0E7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2）立项依据：赣财债【2017】141 号关于印发《江西省农业保险保费补贴管理办法》的通知</w:t>
      </w:r>
    </w:p>
    <w:p w14:paraId="369AE46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0ED3A28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4）实施方案：补贴油菜种植</w:t>
      </w:r>
    </w:p>
    <w:p w14:paraId="2793F24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6C61A2CD">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）年度预算安排：2.03万元</w:t>
      </w:r>
    </w:p>
    <w:p w14:paraId="2246DFAF">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7）绩效目标和指标：补贴油菜种植保险</w:t>
      </w:r>
    </w:p>
    <w:p w14:paraId="3F3CD33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18.能繁母猪保险</w:t>
      </w:r>
    </w:p>
    <w:p w14:paraId="24BB0DB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1）项目概述：促进我市生猪生产，提高我市养殖户收益。</w:t>
      </w:r>
    </w:p>
    <w:p w14:paraId="6F0A0AC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2）立项依据：赣财债【2017】141 号关于印发《江西省农业保险保费补贴管理办法》的通知</w:t>
      </w:r>
    </w:p>
    <w:p w14:paraId="01D8335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0C8BEC4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4）实施方案：能繁母猪保费60 元/头，力争应保尽保。</w:t>
      </w:r>
    </w:p>
    <w:p w14:paraId="3895FA6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291121A2">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）年度预算安排：0.18万元</w:t>
      </w:r>
    </w:p>
    <w:p w14:paraId="642AA01D">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7）绩效目标和指标：做到能繁母猪保险应保尽保</w:t>
      </w:r>
    </w:p>
    <w:p w14:paraId="7B71053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19.中药材保险</w:t>
      </w:r>
    </w:p>
    <w:p w14:paraId="51D61F2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1）项目概述：鼓励中药材种植</w:t>
      </w:r>
    </w:p>
    <w:p w14:paraId="665C948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2）立项依据：赣财债〔2017〕141 号-关于印发《江西省农业保险保费补贴管理办法》的通知</w:t>
      </w:r>
    </w:p>
    <w:p w14:paraId="4D075A8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76CA42D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4）实施方案：补贴中药材种植保险</w:t>
      </w:r>
    </w:p>
    <w:p w14:paraId="78E8D6B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67A2D237">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）年度预算安排：2.7万元</w:t>
      </w:r>
    </w:p>
    <w:p w14:paraId="6E97E139">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7）绩效目标和指标：补贴中药材种植投保面积0.1 万亩</w:t>
      </w:r>
    </w:p>
    <w:p w14:paraId="1EED9B7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20.耕地地力监测</w:t>
      </w:r>
    </w:p>
    <w:p w14:paraId="50215FC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1）项目概述：按照平均每10 万亩设置1个监测点的原则（按此原则设置的监测点数为基准数），构建耕地质量长期定位监测网络。</w:t>
      </w:r>
    </w:p>
    <w:p w14:paraId="27EF52D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2）立项依据：2020年度九江市粮食安全省长责任制考核评分表</w:t>
      </w:r>
    </w:p>
    <w:p w14:paraId="1E0F33C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6F392C3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4）实施方案：按照平均每10 万亩设置1 个监测点的原则（按此原则设置的监测点数为基准数），构建耕地质量长期定位监测网络，监测点信息数据应包括土壤理化性状（有机质、全氮、有效磷、速效钾、缓效钾、pH、耕层厚度、土壤容重）、作物产量、肥料使用量等，完整的。</w:t>
      </w:r>
    </w:p>
    <w:p w14:paraId="164F03F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041746C5">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）年度预算安排：2万元</w:t>
      </w:r>
    </w:p>
    <w:p w14:paraId="6A0B1E75">
      <w:pPr>
        <w:widowControl/>
        <w:spacing w:line="580" w:lineRule="exact"/>
        <w:jc w:val="left"/>
        <w:rPr>
          <w:rFonts w:hint="eastAsia" w:ascii="仿宋" w:hAnsi="仿宋" w:eastAsia="仿宋" w:cs="仿宋"/>
          <w:sz w:val="32"/>
          <w:szCs w:val="32"/>
        </w:rPr>
      </w:pPr>
      <w:r>
        <w:rPr>
          <w:rFonts w:hint="eastAsia" w:ascii="Adobe 仿宋 Std R" w:hAnsi="Adobe 仿宋 Std R" w:eastAsia="Adobe 仿宋 Std R"/>
          <w:sz w:val="32"/>
          <w:szCs w:val="32"/>
        </w:rPr>
        <w:t xml:space="preserve">       7）绩效目标和指标：</w:t>
      </w:r>
      <w:r>
        <w:rPr>
          <w:rFonts w:hint="eastAsia" w:ascii="仿宋" w:hAnsi="仿宋" w:eastAsia="仿宋" w:cs="仿宋"/>
          <w:sz w:val="32"/>
          <w:szCs w:val="32"/>
        </w:rPr>
        <w:t>耕地质量得到提升</w:t>
      </w:r>
    </w:p>
    <w:p w14:paraId="433E640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21.解决耕地环境土壤质量类别划分工作经费</w:t>
      </w:r>
    </w:p>
    <w:p w14:paraId="006073A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1）项目概述：是污染防治攻坚战重要措施，是省市部门工作要求，必须完成耕地土壤环境类别划分工作。</w:t>
      </w:r>
    </w:p>
    <w:p w14:paraId="1C9F861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2）立项依据：庐农字【2020】50</w:t>
      </w:r>
    </w:p>
    <w:p w14:paraId="5F8F49A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6F2B5F5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4）实施方案：聘请第三方机构开展服务，开展田间踏勘、专家评审。</w:t>
      </w:r>
    </w:p>
    <w:p w14:paraId="5F4459A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04BED5BC">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）年度预算安排：5万元</w:t>
      </w:r>
    </w:p>
    <w:p w14:paraId="4D471EF4">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7）绩效目标和指标：完成耕地土壤环境类别划分工作，出具一报告三图鉴。</w:t>
      </w:r>
    </w:p>
    <w:p w14:paraId="5BBB63C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22.种子管理工作经费、农作物品种区域安全性试验经费</w:t>
      </w:r>
    </w:p>
    <w:p w14:paraId="6B3B45F1">
      <w:pPr>
        <w:ind w:firstLine="642"/>
        <w:rPr>
          <w:rFonts w:hint="eastAsia" w:ascii="Adobe 仿宋 Std R" w:hAnsi="Adobe 仿宋 Std R" w:eastAsia="Adobe 仿宋 Std R"/>
          <w:sz w:val="32"/>
          <w:szCs w:val="32"/>
        </w:rPr>
      </w:pP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1）项目概述：农作物品种区域安全性试验展示、种子管理安全试验、农作物新品种转基因安全评价与监管、种子安全固定监测点、完成我市安全监测点16 亩中稻品种，的安全试验示范及产量评估。</w:t>
      </w:r>
    </w:p>
    <w:p w14:paraId="23FBF13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2）立项依据：九农产发【2011】3 号</w:t>
      </w:r>
    </w:p>
    <w:p w14:paraId="33DC7B8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22D2B7C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①、通过新品种百亩展示，使我市品种更新率达到20%以上，良种科技贡献率提高20%以上，主推品种达到50%以上，良种覆盖率达到96%以上实现水稻单产，总产效益明显提高。②、确保品种种植安全，认真完成各项试验，示范，展示任务，加大种子市场管理力度，加强业务学习，全面提升素质：③、为了大力推广水稻“单改双”技术。协调水气热农业生产资源，积极发展粮食生产，确保国家粮食安全，探索出一条我市粮食生产的新途径。④、完成我市安全监测点16 亩中稻品种，的安全试验示范及产量评估。以帮助农民选好良种，规避风险，确保粮食生产安全。     </w:t>
      </w:r>
    </w:p>
    <w:p w14:paraId="763440B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0E569BFC">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）年度预算安排：15万元</w:t>
      </w:r>
    </w:p>
    <w:p w14:paraId="50F1F4F7">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7）绩效目标和指标：目标：1;农作物品种区域安全性试验展示，通过新品种百亩展示，使我市品种更新率达到</w:t>
      </w:r>
    </w:p>
    <w:p w14:paraId="7B8ADED0">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20%以上，良种科技贡献率提高20%以上，主推品种达到50%以上，良种覆盖率达到96%以上实现水稻单产，总产效益明显提高；目标2：种子管理安全试验，紧围绕“三农”主</w:t>
      </w:r>
    </w:p>
    <w:p w14:paraId="54AAEFF3">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线，“稳粮，以优供，增效”为总体目标，确保品种种植安全，认真完成各项试验，示范，展示任务，加大种子市场管理力度，加强业务学习，全面提升素质；目标3：农作物</w:t>
      </w:r>
    </w:p>
    <w:p w14:paraId="4A95A437">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新品种转基因安全评价与监管，为了大力推广水稻“单改双”技术。协调水气热农业生产资源，积极发展粮食生产，确保国家粮食安全，探索出一条我市粮食生产的新途径；目标4：种子安全固定监测点，完成我市安全监测点16 亩中稻品种，的安全试验示范及产量评估。以帮助农民选好良种，规避风险，确保粮食生产安全。</w:t>
      </w:r>
    </w:p>
    <w:p w14:paraId="3C56E43E">
      <w:pPr>
        <w:numPr>
          <w:ilvl w:val="0"/>
          <w:numId w:val="1"/>
        </w:num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农业血防津贴</w:t>
      </w:r>
    </w:p>
    <w:p w14:paraId="617237B8">
      <w:pPr>
        <w:numPr>
          <w:ilvl w:val="0"/>
          <w:numId w:val="2"/>
        </w:num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项目概述：保障湖区执法顺利开展</w:t>
      </w:r>
    </w:p>
    <w:p w14:paraId="2679B497">
      <w:pPr>
        <w:numPr>
          <w:ilvl w:val="0"/>
          <w:numId w:val="2"/>
        </w:num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立项依据：庐农字【2021】2 号</w:t>
      </w:r>
    </w:p>
    <w:p w14:paraId="53BE0A9E">
      <w:pPr>
        <w:numPr>
          <w:ilvl w:val="0"/>
          <w:numId w:val="2"/>
        </w:num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实施主体：庐山市农业农村局</w:t>
      </w:r>
    </w:p>
    <w:p w14:paraId="06816AAF">
      <w:pPr>
        <w:numPr>
          <w:ilvl w:val="0"/>
          <w:numId w:val="2"/>
        </w:num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实施方案：保障一线执法工作人员人身安全</w:t>
      </w:r>
    </w:p>
    <w:p w14:paraId="49060373">
      <w:pPr>
        <w:numPr>
          <w:ilvl w:val="0"/>
          <w:numId w:val="2"/>
        </w:num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实施周期：一年</w:t>
      </w:r>
    </w:p>
    <w:p w14:paraId="43075B52">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）年度预算安排：4.62万元</w:t>
      </w:r>
    </w:p>
    <w:p w14:paraId="5A30C32E">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7）绩效目标和指标：一线湖区执法工作人员血防全部发放到位</w:t>
      </w:r>
    </w:p>
    <w:p w14:paraId="58DB3D9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24.困难企业事业单位退休职工生活补助</w:t>
      </w:r>
    </w:p>
    <w:p w14:paraId="1AF6954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1）项目概述：解决困难企业事业单位退休职工生活补助</w:t>
      </w:r>
    </w:p>
    <w:p w14:paraId="4A8FC2F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2）立项依据：赣财农指【2013】9号</w:t>
      </w:r>
    </w:p>
    <w:p w14:paraId="7BC5C74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645EE93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4）实施方案：解决了36位困难职工的生活保障</w:t>
      </w:r>
    </w:p>
    <w:p w14:paraId="7364067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38EB5D26">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）年度预算安排：4万元</w:t>
      </w:r>
    </w:p>
    <w:p w14:paraId="6A474122">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7）绩效目标和指标：困难企事业单位退休职工补助资金</w:t>
      </w:r>
    </w:p>
    <w:p w14:paraId="05AB43C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25.现代农业招商引资产业链组团工作经费</w:t>
      </w:r>
    </w:p>
    <w:p w14:paraId="5C059E9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1）项目概述：重点围绕绿色食品主导产业开展招商引资工作</w:t>
      </w:r>
    </w:p>
    <w:p w14:paraId="41401C9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2）立项依据：庐办字【2021】33号</w:t>
      </w:r>
    </w:p>
    <w:p w14:paraId="624F77C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383A5A5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4）实施方案：重点围绕绿色食品主导产业开展招商引资工作</w:t>
      </w:r>
    </w:p>
    <w:p w14:paraId="2E511AA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66F14079">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）年度预算安排：10万元</w:t>
      </w:r>
    </w:p>
    <w:p w14:paraId="28DE7523">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7）绩效目标和指标：促进产业招商工作提质提速，为新时代庐山全面进位赶超提供有力支撑</w:t>
      </w:r>
    </w:p>
    <w:p w14:paraId="40E744A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26.解决县级储备粮轮换亏损及收购差价</w:t>
      </w:r>
    </w:p>
    <w:p w14:paraId="12BA3CB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1）项目概述：解决粮食企业县级储备粮轮换亏损及收购差价</w:t>
      </w:r>
    </w:p>
    <w:p w14:paraId="3386770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2）立项依据：庐府办抄字【2020】70号、农庐字【2020】223号、庐府办抄字【2020】26号</w:t>
      </w:r>
    </w:p>
    <w:p w14:paraId="381D66B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3）实施主体：庐山市粮食收储公司</w:t>
      </w:r>
    </w:p>
    <w:p w14:paraId="4F76336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4）实施方案：解决粮食企业县级储备粮轮换亏损及收购差价</w:t>
      </w:r>
    </w:p>
    <w:p w14:paraId="470A74D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485BF42E">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）年度预算安排：104.6万元</w:t>
      </w:r>
    </w:p>
    <w:p w14:paraId="322293E7">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7）绩效目标和指标：保证粮食市场稳定，满足城乡居民供应，促进社会和谐发展。</w:t>
      </w:r>
    </w:p>
    <w:p w14:paraId="5526F76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27.高素质农民培训</w:t>
      </w:r>
    </w:p>
    <w:p w14:paraId="663D6C3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1）项目概述：为提高农民业务水平，丰富农业知识，帮助农民增加收入</w:t>
      </w:r>
    </w:p>
    <w:p w14:paraId="7A7EC45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2）立项依据：赣财农指【2018】44号</w:t>
      </w:r>
    </w:p>
    <w:p w14:paraId="7A13279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3442D2A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4）实施方案：经营管理型每人3500 元，技能服务型和专业生产型每年1000 元</w:t>
      </w:r>
    </w:p>
    <w:p w14:paraId="75DC0E1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52057790">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）年度预算安排：46.75万元</w:t>
      </w:r>
    </w:p>
    <w:p w14:paraId="28FA929C">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7）绩效目标和指标：培训人数100 人，提高农民知识水平，农民培训满意度85%</w:t>
      </w:r>
    </w:p>
    <w:p w14:paraId="39801F8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28.基层农技推广与建设</w:t>
      </w:r>
    </w:p>
    <w:p w14:paraId="005FD55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1）项目概述：提高农民技术水平</w:t>
      </w:r>
    </w:p>
    <w:p w14:paraId="5420303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2）立项依据：赣财农指【2019】5号、赣财农指【2020】6号</w:t>
      </w:r>
    </w:p>
    <w:p w14:paraId="62CB93A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445D165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4）实施方案：发布农业主推技术，建立科技示范基地。</w:t>
      </w:r>
    </w:p>
    <w:p w14:paraId="2819C32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0352F997">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）年度预算安排：82.37万元</w:t>
      </w:r>
    </w:p>
    <w:p w14:paraId="4231AE5E">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7）绩效目标和指标：发布农业主推技术5个以上，建立科技示范基地2个以上，农技推广APP使用率95%以</w:t>
      </w:r>
    </w:p>
    <w:p w14:paraId="7FBDC436">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上。</w:t>
      </w:r>
    </w:p>
    <w:p w14:paraId="538F499A">
      <w:pPr>
        <w:ind w:left="630"/>
        <w:rPr>
          <w:rFonts w:hint="eastAsia" w:ascii="Adobe 仿宋 Std R" w:hAnsi="Adobe 仿宋 Std R" w:eastAsia="Adobe 仿宋 Std R"/>
          <w:sz w:val="32"/>
          <w:szCs w:val="32"/>
        </w:rPr>
      </w:pPr>
      <w:r>
        <w:rPr>
          <w:rFonts w:hint="eastAsia" w:ascii="Adobe 仿宋 Std R" w:hAnsi="Adobe 仿宋 Std R" w:eastAsia="Adobe 仿宋 Std R"/>
          <w:sz w:val="32"/>
          <w:szCs w:val="32"/>
        </w:rPr>
        <w:t>29.科技转换及推广服务</w:t>
      </w:r>
    </w:p>
    <w:p w14:paraId="3ACCD7E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1）项目概述：促进现代农业的发展</w:t>
      </w:r>
    </w:p>
    <w:p w14:paraId="02BC4C5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2）立项依据：赣农规计字【2021】13</w:t>
      </w:r>
    </w:p>
    <w:p w14:paraId="09248BD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6F683F2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4）实施方案：①、优质稻米基地建设；②、设施蔬菜基地建设；③、提升标准化果园基地；④、建设500亩中药材基地   </w:t>
      </w:r>
    </w:p>
    <w:p w14:paraId="312E020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3B96BB94">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）年度预算安排：38万元</w:t>
      </w:r>
    </w:p>
    <w:p w14:paraId="7471015C">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7）绩效目标和指标：①、优质稻米基地规模2万亩；②、设施蔬菜基地0.13 万亩；③、提升标准化果园基地500</w:t>
      </w:r>
    </w:p>
    <w:p w14:paraId="367FBC56">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亩；④、建设500 亩中药材基地；⑤、支持建设省级龙头茶叶企业1 个</w:t>
      </w:r>
    </w:p>
    <w:p w14:paraId="4E4DB25D">
      <w:pPr>
        <w:ind w:left="630"/>
        <w:rPr>
          <w:rFonts w:hint="eastAsia" w:ascii="Adobe 仿宋 Std R" w:hAnsi="Adobe 仿宋 Std R" w:eastAsia="Adobe 仿宋 Std R"/>
          <w:sz w:val="32"/>
          <w:szCs w:val="32"/>
        </w:rPr>
      </w:pPr>
      <w:r>
        <w:rPr>
          <w:rFonts w:hint="eastAsia" w:ascii="Adobe 仿宋 Std R" w:hAnsi="Adobe 仿宋 Std R" w:eastAsia="Adobe 仿宋 Std R"/>
          <w:sz w:val="32"/>
          <w:szCs w:val="32"/>
        </w:rPr>
        <w:t>30.农业资源及生态保护补助</w:t>
      </w:r>
    </w:p>
    <w:p w14:paraId="4A1264D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1）项目概述：农业资源及生态保护需要</w:t>
      </w:r>
    </w:p>
    <w:p w14:paraId="7E5A282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2）立项依据：九财农指【2021】13号</w:t>
      </w:r>
    </w:p>
    <w:p w14:paraId="051C35C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3FCC79F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①.稻油轮作2万亩。②.双季稻轮作0.6万亩。③.完成1万亩酸化土壤防治，10个酸化土壤防治效果监测点；1个酸化土壤防治田间试验，耕地质量登记调查评价，调查点位12个。④.测土配方基础性工作及化肥减量示范：完成取土化验20个，田间试验2个。</w:t>
      </w:r>
    </w:p>
    <w:p w14:paraId="4D7B339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2A9AFBA1">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）年度预算安排：418.7万元</w:t>
      </w:r>
    </w:p>
    <w:p w14:paraId="3D0A2E37">
      <w:pPr>
        <w:widowControl/>
        <w:spacing w:line="580" w:lineRule="exact"/>
        <w:jc w:val="left"/>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7）绩效目标和指标：目标1.完成退化耕地治理，提升耕地有机质含量；目标2.开展化肥减量增效示范处理；目标3.推广稻油轮作模式和双季稻轮作，恢复发展双季稻。</w:t>
      </w:r>
    </w:p>
    <w:p w14:paraId="0A81B05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31.病虫害控制</w:t>
      </w:r>
    </w:p>
    <w:p w14:paraId="173C657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1）项目概述：主要用于支持水稻和草地贪夜蛾等农作物重大病虫害防控工作</w:t>
      </w:r>
    </w:p>
    <w:p w14:paraId="53EDEE5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2）立项依据：九财农指【2021】29号</w:t>
      </w:r>
    </w:p>
    <w:p w14:paraId="6E12732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37126FE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4）实施方案：水稻等重要农作物病虫害防控与草地贪夜蛾防控</w:t>
      </w:r>
    </w:p>
    <w:p w14:paraId="1389943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140D2EB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）年度预算安排：34万元</w:t>
      </w:r>
    </w:p>
    <w:p w14:paraId="45137E0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7）绩效目标和指标：支持草地贪夜蛾、水稻重大病虫疫情等防控，重大区域病虫疫情得到有效控制，不出现</w:t>
      </w:r>
    </w:p>
    <w:p w14:paraId="316958B0">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大面积绝收成灾，有力保障粮食安全和农业丰收。</w:t>
      </w:r>
    </w:p>
    <w:p w14:paraId="07170B3D">
      <w:pPr>
        <w:numPr>
          <w:ilvl w:val="0"/>
          <w:numId w:val="3"/>
        </w:num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农药化肥减量增效</w:t>
      </w:r>
    </w:p>
    <w:p w14:paraId="68D21DA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1）项目概述：农业资源及生态保护</w:t>
      </w:r>
    </w:p>
    <w:p w14:paraId="286245A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2）立项依据：九财农指【2021】38号</w:t>
      </w:r>
    </w:p>
    <w:p w14:paraId="67D241A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4AAC222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4）实施方案：提升农作物产量及质量</w:t>
      </w:r>
    </w:p>
    <w:p w14:paraId="2D2736F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41E81D00">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）年度预算安排：10万元</w:t>
      </w:r>
    </w:p>
    <w:p w14:paraId="0F160C94">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7）绩效目标和指标：提升农作物产量及质量</w:t>
      </w:r>
    </w:p>
    <w:p w14:paraId="4F67E397">
      <w:pPr>
        <w:numPr>
          <w:ilvl w:val="0"/>
          <w:numId w:val="3"/>
        </w:num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动物防疫补助经费</w:t>
      </w:r>
    </w:p>
    <w:p w14:paraId="1F4E510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1）项目概述：县、乡两级有动物防疫机构，村级有协防员，支持配合工作的养殖户</w:t>
      </w:r>
    </w:p>
    <w:p w14:paraId="0B5B1DA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2）立项依据：九财农指【2021】52号</w:t>
      </w:r>
    </w:p>
    <w:p w14:paraId="2462334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488E5425">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4）实施方案：强制免疫密度大于90%,完成疫情监测任务。病死猪无害化处理病死猪99头，合理的使用经费</w:t>
      </w:r>
    </w:p>
    <w:p w14:paraId="3080208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31DB2F3D">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）年度预算安排：23.3万元</w:t>
      </w:r>
    </w:p>
    <w:p w14:paraId="349C4770">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7）绩效目标和指标：强制免疫密度大于90%,完成疫情监测任务。病死猪无害化处理达到要求，合理的使用经费</w:t>
      </w:r>
    </w:p>
    <w:p w14:paraId="33A306C8">
      <w:pPr>
        <w:numPr>
          <w:ilvl w:val="0"/>
          <w:numId w:val="3"/>
        </w:num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产粮油大县奖励资金</w:t>
      </w:r>
    </w:p>
    <w:p w14:paraId="5CFF359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1）项目概述：确保油菜播种面积，扶持油菜产业发展</w:t>
      </w:r>
    </w:p>
    <w:p w14:paraId="3183896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2）立项依据：赣财农指【2020】193号</w:t>
      </w:r>
    </w:p>
    <w:p w14:paraId="1CC3D12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02A9CD6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4）实施方案：鼓励稻油种植模式</w:t>
      </w:r>
    </w:p>
    <w:p w14:paraId="291B649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7F46EB7F">
      <w:pPr>
        <w:ind w:firstLine="642"/>
        <w:rPr>
          <w:rFonts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）年度预算安排：137万元</w:t>
      </w:r>
    </w:p>
    <w:p w14:paraId="162D3D7E">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7）绩效目标和指标：①.确保每年我市油菜播种面积5 万亩以上。②.扶持油菜产业发展</w:t>
      </w:r>
    </w:p>
    <w:p w14:paraId="11F1773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35.动物防疫市级配套经费</w:t>
      </w:r>
    </w:p>
    <w:p w14:paraId="18E371E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1）项目概述：县、乡两级有动物防疫机构，村级有协防员，支持配合工作的养殖户</w:t>
      </w:r>
    </w:p>
    <w:p w14:paraId="5D28185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2）立项依据：九财农指【2021】53号</w:t>
      </w:r>
    </w:p>
    <w:p w14:paraId="52ADBD9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202586C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4）实施方案：病死猪无害化处理99 头</w:t>
      </w:r>
    </w:p>
    <w:p w14:paraId="3D15B17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28CDF43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）年度预算安排：0.34万元</w:t>
      </w:r>
    </w:p>
    <w:p w14:paraId="58A3D448">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7）绩效目标和指标：病死猪无害化处理达到要求，合理的使用经费</w:t>
      </w:r>
    </w:p>
    <w:p w14:paraId="5B013F6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36.支持双季稻奖励资金预算及对产油大县进行清算 </w:t>
      </w:r>
    </w:p>
    <w:p w14:paraId="0D2E3AD5">
      <w:pPr>
        <w:ind w:firstLine="642"/>
        <w:rPr>
          <w:rFonts w:hint="eastAsia" w:ascii="Adobe 仿宋 Std R" w:hAnsi="Adobe 仿宋 Std R" w:eastAsia="Adobe 仿宋 Std R"/>
          <w:sz w:val="32"/>
          <w:szCs w:val="32"/>
          <w:lang w:eastAsia="zh-CN"/>
        </w:rPr>
      </w:pP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1）项目概述：促进我市粮油发展，保障国家粮食安全，推进农业</w:t>
      </w:r>
      <w:r>
        <w:rPr>
          <w:rFonts w:hint="eastAsia" w:ascii="Adobe 仿宋 Std R" w:hAnsi="Adobe 仿宋 Std R" w:eastAsia="Adobe 仿宋 Std R"/>
          <w:sz w:val="32"/>
          <w:szCs w:val="32"/>
          <w:lang w:eastAsia="zh-CN"/>
        </w:rPr>
        <w:t>供给侧结构性改革</w:t>
      </w:r>
    </w:p>
    <w:p w14:paraId="05EFDF4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2）立项依据：九财建指【2021】66号</w:t>
      </w:r>
    </w:p>
    <w:p w14:paraId="4453BF0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57E2B19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4）实施方案：支持双季稻发展</w:t>
      </w:r>
    </w:p>
    <w:p w14:paraId="4B37493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4247A53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）年度预算安排：28万元</w:t>
      </w:r>
    </w:p>
    <w:p w14:paraId="3F5257F6">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7）绩效目标和指标：双季稻种植面积600亩以上</w:t>
      </w:r>
    </w:p>
    <w:p w14:paraId="2587AB3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37.产油大县奖励资金</w:t>
      </w:r>
    </w:p>
    <w:p w14:paraId="64D5B1A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1）项目概述：发展粮、油产业需要</w:t>
      </w:r>
    </w:p>
    <w:p w14:paraId="7770F89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2）立项依据：赣财建指【2020】82号</w:t>
      </w:r>
    </w:p>
    <w:p w14:paraId="54D098D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5A6266F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4）实施方案：支持粮、油产业发展</w:t>
      </w:r>
    </w:p>
    <w:p w14:paraId="183C88E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4D9961A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）年度预算安排：62万元</w:t>
      </w:r>
    </w:p>
    <w:p w14:paraId="319C40D5">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7）绩效目标和指标：通过使用奖励资金、支持粮、油产业发展</w:t>
      </w:r>
    </w:p>
    <w:p w14:paraId="43DABD0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38.病死猪无害化处理</w:t>
      </w:r>
    </w:p>
    <w:p w14:paraId="445A22E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1）项目概述：项目实施需要规模场申报、乡镇农业畜牧主管部门审核、县级农业畜牧主管部门审核、建立无害化处理机制</w:t>
      </w:r>
    </w:p>
    <w:p w14:paraId="4BE7E86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2）立项依据：九财农指【2021】34号</w:t>
      </w:r>
    </w:p>
    <w:p w14:paraId="1787C60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72F91A9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4）实施方案：建立无害化处理机制</w:t>
      </w:r>
    </w:p>
    <w:p w14:paraId="5B7E8EB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62E4E83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）年度预算安排：0.16万元</w:t>
      </w:r>
    </w:p>
    <w:p w14:paraId="7EBE210D">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7）绩效目标和指标：规模化养殖场病死猪无害化处理率100%，补助款100%到位</w:t>
      </w:r>
    </w:p>
    <w:p w14:paraId="548BC1B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39.农业保险保费补贴资金预算</w:t>
      </w:r>
    </w:p>
    <w:p w14:paraId="111EF09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1）项目概述：稳定农业生产，保障农民收入</w:t>
      </w:r>
    </w:p>
    <w:p w14:paraId="5262C62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2）立项依据：赣财金指【2021】12号</w:t>
      </w:r>
    </w:p>
    <w:p w14:paraId="0DF6697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443BFF0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4）实施方案：不断扩大农业保险覆盖面积和风险保障水平，逐步建立市场的农业生产保险防范，化解机制</w:t>
      </w:r>
    </w:p>
    <w:p w14:paraId="531C8AA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4A372FE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）年度预算安排：18.82万元</w:t>
      </w:r>
    </w:p>
    <w:p w14:paraId="243948D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7）绩效目标和指标：稳定农业生产，保障农民收入</w:t>
      </w:r>
    </w:p>
    <w:p w14:paraId="0BA4751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40.农业生产发展资金</w:t>
      </w:r>
    </w:p>
    <w:p w14:paraId="13F613F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1）项目概述：项目实施需要的工序包括稻谷烘干工序、稻谷除尘工序、稻谷清筛工序、稻谷碾米工序、大米抛光工序、大米分级工序、包装工序。</w:t>
      </w:r>
    </w:p>
    <w:p w14:paraId="66996E7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2）立项依据：九财农指【2021】36号</w:t>
      </w:r>
    </w:p>
    <w:p w14:paraId="0ECA93E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4D048DA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4）实施方案：建设一条日处理稻谷150 吨大米成套碾米设备生产线（包括车间部分土建工程），包括稻谷烘干工序、稻谷除尘工序、稻谷清筛工序、稻谷碾米工序、大米抛光工序、大米分级工序、包装工序。项目总投资2052万元，其中设备投资796.4万元、土建基础及厂房装饰装修（包括项目前期费用）1255.6万元</w:t>
      </w:r>
    </w:p>
    <w:p w14:paraId="1884E4BC">
      <w:pPr>
        <w:ind w:firstLine="640" w:firstLineChars="200"/>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2CB56A4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）年度预算安排：281万元</w:t>
      </w:r>
    </w:p>
    <w:p w14:paraId="30097EE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7）绩效目标和指标：①、支持一批联合体的链主型升级龙头企业开展农产品加工项目建设，培育壮大联合体，</w:t>
      </w:r>
    </w:p>
    <w:p w14:paraId="6C6ACA0B">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②、提升农产品加工水平，做大做强作优农产品加工业</w:t>
      </w:r>
    </w:p>
    <w:p w14:paraId="164151B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41.农业技术应用与公共服务</w:t>
      </w:r>
    </w:p>
    <w:p w14:paraId="7B70B57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1）项目概述：①、农产品质量安全法的要求，加强农产品质量安全监管。振兴江西茶叶产业的需要。②、“庐山云雾茶”公共品牌打造的需要，发挥好农业园联农带农作用的需要。③、开展耕地质量调查与评价</w:t>
      </w:r>
    </w:p>
    <w:p w14:paraId="4311583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2）立项依据：九财农指【2021】25号</w:t>
      </w:r>
    </w:p>
    <w:p w14:paraId="0AD65CA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4E3C9E4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①、开展农产品质量安全抽样、检测，开展农产品质量安全宣传、培训。②、创建农产品质量安全追溯体系。建设庐山云雾加工提升工程、产业融合培育工程、茶博馆提升、良种基地建设工程等内容。③、建立一个省级耕地地力监测点。</w:t>
      </w:r>
    </w:p>
    <w:p w14:paraId="0DC9765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4EFB380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）年度预算安排：461.5万元</w:t>
      </w:r>
    </w:p>
    <w:p w14:paraId="104E814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7）绩效目标和指标：①、开展农产品质量安全检测500 批次，农产品检测合格率98%，不发生重大农产品质量</w:t>
      </w:r>
    </w:p>
    <w:p w14:paraId="2899C003">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安全事件，创建1 个省级现代农业产业园，示范带动一二三产业融合发展。②、建设省级长期定位检测一个。</w:t>
      </w:r>
    </w:p>
    <w:p w14:paraId="41469246">
      <w:pPr>
        <w:numPr>
          <w:ilvl w:val="0"/>
          <w:numId w:val="4"/>
        </w:num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农业生产发展资金</w:t>
      </w:r>
    </w:p>
    <w:p w14:paraId="6B63CE1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1）项目概述：省市农业农村工作要求，推动农业科技服务发展</w:t>
      </w:r>
    </w:p>
    <w:p w14:paraId="388DE7A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2）立项依据：九财农指【2021】20号</w:t>
      </w:r>
    </w:p>
    <w:p w14:paraId="69CEDBF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01C3DB9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4）实施方案：建立科技示范户，开展高素质农民培训和农技人员培训</w:t>
      </w:r>
    </w:p>
    <w:p w14:paraId="0A4F5C0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456845E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）年度预算安排：69.5万元</w:t>
      </w:r>
    </w:p>
    <w:p w14:paraId="53372FFF">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7）绩效目标和指标：基层农技推广服务水平提高，优质绿色高效技术进村入户，建立2个长期稳定农业科技示范基地，提升农民生产能力及经营管理能力。提高农民综合素质。</w:t>
      </w:r>
    </w:p>
    <w:p w14:paraId="5841CC5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43.乡村振兴现代农业发展</w:t>
      </w:r>
    </w:p>
    <w:p w14:paraId="0400278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1）项目概述：落实水稻机抛秧、油菜毯状苗移栽技术推广</w:t>
      </w:r>
    </w:p>
    <w:p w14:paraId="31E8113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2）立项依据：九财农指【2021】46号</w:t>
      </w:r>
    </w:p>
    <w:p w14:paraId="0FE35AE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2C8D1F2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4）实施方案：购买水稻机抛秧、油菜毯状苗移栽机</w:t>
      </w:r>
    </w:p>
    <w:p w14:paraId="7B61758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6E1F625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）年度预算安排：6.4万元</w:t>
      </w:r>
    </w:p>
    <w:p w14:paraId="662BDA40">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7）绩效目标和指标：扶持农业主体生产能力</w:t>
      </w:r>
    </w:p>
    <w:p w14:paraId="3E3EF47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44.高标准农田建设</w:t>
      </w:r>
    </w:p>
    <w:p w14:paraId="3A18D5C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1）项目概述：通过项目建设，有效改善农田基础设施，提升耕地质量，提高粮食综合生产能力</w:t>
      </w:r>
    </w:p>
    <w:p w14:paraId="612D406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2）立项依据：庐发改审批字【2021】106号</w:t>
      </w:r>
    </w:p>
    <w:p w14:paraId="7F4D0E5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3BBDEFC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4）实施方案：建设高标准农田5000亩</w:t>
      </w:r>
    </w:p>
    <w:p w14:paraId="688AAAC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2AEF5B9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）年度预算安排：41万元</w:t>
      </w:r>
    </w:p>
    <w:p w14:paraId="0135EF43">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7）绩效目标和指标：新建高标准农田0.5万亩通过项目建设，有效改善农田基础设施，提升耕地质量，提高粮食综合生产能力</w:t>
      </w:r>
    </w:p>
    <w:p w14:paraId="46DA43B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45.农业资源及生态补助</w:t>
      </w:r>
    </w:p>
    <w:p w14:paraId="17E8451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1）项目概述：全力推广退捕渔民转型专业</w:t>
      </w:r>
    </w:p>
    <w:p w14:paraId="6E208CD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2）立项依据：赣财农指【2020】75号</w:t>
      </w:r>
    </w:p>
    <w:p w14:paraId="623CFAE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0F3F124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4）实施方案：全面完成退捕渔民转安置保障工作，全力推进退捕渔民灵活就业能力，加强渔政执法能力</w:t>
      </w:r>
    </w:p>
    <w:p w14:paraId="14ACAAB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6423F30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）年度预算安排：794.55万元</w:t>
      </w:r>
    </w:p>
    <w:p w14:paraId="146B873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7）绩效目标和指标：全面完成退捕渔民转安置保障工作，全力推进退捕渔民灵活就业能力，加强渔政执法能力</w:t>
      </w:r>
    </w:p>
    <w:p w14:paraId="201C710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46.江豚保护</w:t>
      </w:r>
    </w:p>
    <w:p w14:paraId="1636DF6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1）项目概述：通过日常管护巡查，对水生生物进行保护</w:t>
      </w:r>
    </w:p>
    <w:p w14:paraId="2102F9C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2）立项依据：九财建指【2021】82号</w:t>
      </w:r>
    </w:p>
    <w:p w14:paraId="4920ED8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6069C4A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4）实施方案：水生生物监测及保护、执法能力培训   </w:t>
      </w:r>
    </w:p>
    <w:p w14:paraId="59E0C8C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3CFDA49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）年度预算安排：10.2万元</w:t>
      </w:r>
    </w:p>
    <w:p w14:paraId="59EBC65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7）绩效目标和指标：提升水生生物保护能力，提升执法能力</w:t>
      </w:r>
    </w:p>
    <w:p w14:paraId="2A5F2D8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47.农业生产发展资金</w:t>
      </w:r>
    </w:p>
    <w:p w14:paraId="7F3C730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1）项目概述：山地灌溉设备系统建设</w:t>
      </w:r>
    </w:p>
    <w:p w14:paraId="4A81B01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2）立项依据：九财农指【2021】22号</w:t>
      </w:r>
    </w:p>
    <w:p w14:paraId="5E51864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1F33288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4）实施方案：引导家庭农场发展适度规模经营，提升高质量发展水平</w:t>
      </w:r>
    </w:p>
    <w:p w14:paraId="76AEBDD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5E23F93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）年度预算安排：10万元</w:t>
      </w:r>
    </w:p>
    <w:p w14:paraId="021568C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7）绩效目标和指标：扶持1个家庭农场</w:t>
      </w:r>
    </w:p>
    <w:p w14:paraId="3774561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48.救灾资金</w:t>
      </w:r>
    </w:p>
    <w:p w14:paraId="298C62E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1）项目概述：农业救灾需要</w:t>
      </w:r>
    </w:p>
    <w:p w14:paraId="759C55B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2）立项依据：九财农指【2021】45号</w:t>
      </w:r>
    </w:p>
    <w:p w14:paraId="370C74D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0334D22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4）实施方案：①、灾后田管保②、灾后改种补种</w:t>
      </w:r>
    </w:p>
    <w:p w14:paraId="6D7B9B8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580178B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）年度预算安排：2万元</w:t>
      </w:r>
    </w:p>
    <w:p w14:paraId="3F0EBDE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7）绩效目标和指标：通过使用救灾资金，落实洪涝灾后恢复生产技术措施，促进农作物恢复生长发育，减少灾害损失，恢复农业生产</w:t>
      </w:r>
    </w:p>
    <w:p w14:paraId="1A9FF4C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49.退捕渔民安置保障</w:t>
      </w:r>
    </w:p>
    <w:p w14:paraId="50461DE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1）项目概述：维护禁捕退捕工作稳定</w:t>
      </w:r>
    </w:p>
    <w:p w14:paraId="2B297E1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2）立项依据：赣府厅字【2019】75号</w:t>
      </w:r>
    </w:p>
    <w:p w14:paraId="7A1319A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4867906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4）实施方案：保障退捕渔民安置保障</w:t>
      </w:r>
    </w:p>
    <w:p w14:paraId="7906C9B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152C02F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）年度预算安排：106.21万元</w:t>
      </w:r>
    </w:p>
    <w:p w14:paraId="24C192F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7）绩效目标和指标：全面完成庐山市鄱阳湖水域禁捕退捕工作</w:t>
      </w:r>
    </w:p>
    <w:p w14:paraId="657F2C0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50.农田建设</w:t>
      </w:r>
    </w:p>
    <w:p w14:paraId="5DA8DA5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1）项目概述：通过项目建设，有效改善农田基础设施，提升耕地质量，提高粮食综合生产能力</w:t>
      </w:r>
    </w:p>
    <w:p w14:paraId="7F5C105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2）立项依据：赣财农指【2021】24号</w:t>
      </w:r>
    </w:p>
    <w:p w14:paraId="7555D7A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07812E1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4）实施方案：建设高标准农田5000 亩</w:t>
      </w:r>
    </w:p>
    <w:p w14:paraId="035A0BD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40FDC1D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）年度预算安排：115万元</w:t>
      </w:r>
    </w:p>
    <w:p w14:paraId="7904415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7）绩效目标和指标：新建高标准农田0.5 万亩，通过项目建设，有效改善农田基础设施，提升耕地质量，提高</w:t>
      </w:r>
    </w:p>
    <w:p w14:paraId="33E84D16">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粮食综合生产能力</w:t>
      </w:r>
    </w:p>
    <w:p w14:paraId="35D2C7A4">
      <w:pPr>
        <w:numPr>
          <w:ilvl w:val="0"/>
          <w:numId w:val="5"/>
        </w:num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高标准农田建设补助</w:t>
      </w:r>
    </w:p>
    <w:p w14:paraId="09524FD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1）项目概述：通过项目建设，有效改善农田基础设施，提升耕地质量，提高粮食综合生产能力</w:t>
      </w:r>
    </w:p>
    <w:p w14:paraId="30AC263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2）立项依据：赣财农指【2021】17号</w:t>
      </w:r>
    </w:p>
    <w:p w14:paraId="0413184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0BDC29C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4）实施方案：建设高标准农田5000 亩</w:t>
      </w:r>
    </w:p>
    <w:p w14:paraId="4C6A92E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75687FC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）年度预算安排：7万元</w:t>
      </w:r>
    </w:p>
    <w:p w14:paraId="397A9C4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7）绩效目标和指标：新建高标准农田0.5 万亩，通过项目建设，有效改善农田基础设施，提升耕地质量，提高</w:t>
      </w:r>
    </w:p>
    <w:p w14:paraId="6890CD97">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粮食综合生产能力</w:t>
      </w:r>
    </w:p>
    <w:p w14:paraId="0ADFBE22">
      <w:pPr>
        <w:numPr>
          <w:ilvl w:val="0"/>
          <w:numId w:val="5"/>
        </w:num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高标准农田建后养护</w:t>
      </w:r>
    </w:p>
    <w:p w14:paraId="19FD981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1）项目概述：加强高标准农田建后管护</w:t>
      </w:r>
    </w:p>
    <w:p w14:paraId="30B0900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2）立项依据：九财农指【2020】59 号</w:t>
      </w:r>
    </w:p>
    <w:p w14:paraId="183A8A0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141A45F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4）实施方案：高标准农田建后管护</w:t>
      </w:r>
    </w:p>
    <w:p w14:paraId="1CE2DF7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5C2A7AA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）年度预算安排：1万元</w:t>
      </w:r>
    </w:p>
    <w:p w14:paraId="7487BD95">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7）绩效目标和指标：建设和完善高标准农田项目管护机制，对建成的高标基础设施进行管护</w:t>
      </w:r>
    </w:p>
    <w:p w14:paraId="7705C6B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53.农业技术应用与公共服务专项</w:t>
      </w:r>
    </w:p>
    <w:p w14:paraId="4FE5F12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1）项目概述：保障退捕渔民养老做到应补尽补；加强高标准农田项目建后管护</w:t>
      </w:r>
    </w:p>
    <w:p w14:paraId="25DC3A7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2）立项依据：赣财农指【2020】59 号</w:t>
      </w:r>
    </w:p>
    <w:p w14:paraId="56F4F0C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28E96F6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4）实施方案：保障保障退捕渔民807人的养老做到应补尽补；对2011 年以来建成的高标准农田基础实施进行管护 </w:t>
      </w:r>
    </w:p>
    <w:p w14:paraId="7EB5184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503F2EA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）年度预算安排：810.2万元</w:t>
      </w:r>
    </w:p>
    <w:p w14:paraId="4902A06E">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7）绩效目标和指标：保障退捕渔民养老做到应保尽保；建设和完善高标准农田项目管护机制</w:t>
      </w:r>
    </w:p>
    <w:p w14:paraId="731F92A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54.第二批农业保险保费补贴</w:t>
      </w:r>
    </w:p>
    <w:p w14:paraId="7C0DDDB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1）项目概述：稳定农业生产，保障农民收入</w:t>
      </w:r>
    </w:p>
    <w:p w14:paraId="0BC10D2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2）立项依据：赣财金指【2020】10号</w:t>
      </w:r>
    </w:p>
    <w:p w14:paraId="559074F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4469C1E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4）实施方案：不断扩大农业保险覆盖面积和风险保障水平，逐步建立市场的农业生产保险防范，化解机制</w:t>
      </w:r>
    </w:p>
    <w:p w14:paraId="64AEE934">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3599E65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）年度预算安排：23.31万元</w:t>
      </w:r>
    </w:p>
    <w:p w14:paraId="64916A23">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7）绩效目标和指标：稳定农业生产，保障农民收入</w:t>
      </w:r>
    </w:p>
    <w:p w14:paraId="0242BD1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55.高标准农田建设补助资金</w:t>
      </w:r>
    </w:p>
    <w:p w14:paraId="67CE662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1）项目概述：通过项目建设，有效改善农田基础设施，提升耕地质量，提高粮食综合生产能力</w:t>
      </w:r>
    </w:p>
    <w:p w14:paraId="68E1232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2）立项依据：赣财农指【2021】70号</w:t>
      </w:r>
    </w:p>
    <w:p w14:paraId="70A503E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56699DE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4）实施方案：建设高标准农田5000 亩</w:t>
      </w:r>
    </w:p>
    <w:p w14:paraId="348622A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6F25A0D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）年度预算安排：413万元</w:t>
      </w:r>
    </w:p>
    <w:p w14:paraId="39669E16">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7）绩效目标和指标：通过项目建设，有效改善农田基础设施，提升耕地质量，提高粮食综合生产能力</w:t>
      </w:r>
    </w:p>
    <w:p w14:paraId="6B7E3A0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56.农业资源及生态保护</w:t>
      </w:r>
    </w:p>
    <w:p w14:paraId="67AE4A1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1）项目概述：稳定早稻生产，确保早稻面积2 万亩，稻油轮作试点面积2 万亩</w:t>
      </w:r>
    </w:p>
    <w:p w14:paraId="7B7EE44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2）立项依据：赣财农指【2020】34号</w:t>
      </w:r>
    </w:p>
    <w:p w14:paraId="11A0A0A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0B2D5B6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4）实施方案：推广稻油轮作模式</w:t>
      </w:r>
    </w:p>
    <w:p w14:paraId="52D5A348">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23A0516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）年度预算安排：235.31万元</w:t>
      </w:r>
    </w:p>
    <w:p w14:paraId="522E6386">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7）绩效目标和指标：确保稻油轮作试点面积2万亩</w:t>
      </w:r>
    </w:p>
    <w:p w14:paraId="7AEB04E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57.农业技术应用与公共服务</w:t>
      </w:r>
    </w:p>
    <w:p w14:paraId="1EBEDDB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1）项目概述：①、加大农业综合执法办案能力。②、全面推进农业机械化发展</w:t>
      </w:r>
    </w:p>
    <w:p w14:paraId="26EB6F8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2）立项依据：赣财农指【2020】59号</w:t>
      </w:r>
    </w:p>
    <w:p w14:paraId="0733A35D">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13ED834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4）实施方案：①、加大农业综合执法办案能力。②、支持农机购置补贴监管推进农业机械全程高素质化发展    </w:t>
      </w:r>
    </w:p>
    <w:p w14:paraId="0D148AF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4228A04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）年度预算安排：10.57万元</w:t>
      </w:r>
    </w:p>
    <w:p w14:paraId="32315B23">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7）绩效目标和指标：①、加大农业综合执法办案能力。②、支持农机购置补贴监管推进农业机械全程高素质化发展 </w:t>
      </w:r>
    </w:p>
    <w:p w14:paraId="1F14507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58.现代农业专项（茶产业发展项目）</w:t>
      </w:r>
    </w:p>
    <w:p w14:paraId="1E4022A9">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1）项目概述：加快江西茶产业发展</w:t>
      </w:r>
    </w:p>
    <w:p w14:paraId="5A33569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2）立项依据：九财农指【2021】59号关于下达2021 年省级现代农业专项资金（茶产业发展项目）的通知</w:t>
      </w:r>
    </w:p>
    <w:p w14:paraId="62766C9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5229ED7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4）实施方案：打造茶叶公园、茶博园、研学游基地；进行广告宣传；建设茶叶绿色生产技术和茶园全程机械化生产技术集成示范点 </w:t>
      </w:r>
    </w:p>
    <w:p w14:paraId="6C143846">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4670EC7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）年度预算安排：55万元</w:t>
      </w:r>
    </w:p>
    <w:p w14:paraId="2F794B4C">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7）绩效目标和指标：打造茶叶公园、茶博园、研学游基地；进行广告宣传；建设茶叶绿色生产技术和茶园全程机械化生产技术集成示范点</w:t>
      </w:r>
    </w:p>
    <w:p w14:paraId="5C15F7C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59.乡村振兴现代农业发展</w:t>
      </w:r>
    </w:p>
    <w:p w14:paraId="33EBA420">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①.促进以“农业企业为龙头、农民专业合作社、家庭农场为龙骨，产业基地为龙身”的农业产业化联合体向更高层次发展，加快农业农村现代化发展。②.打造一批拥有较高标准的休闲农业和乡村旅游示范企业。③.扶持特色水产养殖，推进渔业高质量发展，提升渔政执法能力。④.以农业供给侧结构性改革为主线结合我市经济作物产业实际已强茶优果提蔬扩药为抓手</w:t>
      </w:r>
      <w:r>
        <w:rPr>
          <w:rFonts w:hint="eastAsia" w:ascii="Adobe 仿宋 Std R" w:hAnsi="Adobe 仿宋 Std R" w:eastAsia="Adobe 仿宋 Std R"/>
          <w:sz w:val="32"/>
          <w:szCs w:val="32"/>
          <w:lang w:eastAsia="zh-CN"/>
        </w:rPr>
        <w:t>因地制宜</w:t>
      </w:r>
      <w:r>
        <w:rPr>
          <w:rFonts w:hint="eastAsia" w:ascii="Adobe 仿宋 Std R" w:hAnsi="Adobe 仿宋 Std R" w:eastAsia="Adobe 仿宋 Std R"/>
          <w:sz w:val="32"/>
          <w:szCs w:val="32"/>
        </w:rPr>
        <w:t>优化农业产业布局。⑤.发展壮大集体经济</w:t>
      </w:r>
    </w:p>
    <w:p w14:paraId="33A178B3">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2）立项依据：九财农指【2021】57号关于下达2021 年乡村振兴现代农业发展专项资金的通知</w:t>
      </w:r>
    </w:p>
    <w:p w14:paraId="08FDEC47">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45DA7D6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①.培育发展一批以龙头企业为核心、农民合作社为纽带、家庭农场和专业大户为基础的紧密型的农业产业化联合体。②.打造一批拥有较高标准的休闲农业和乡村旅游示范企业。③.建立特色水产养殖示范点一个，完善渔政执法装备体系建设，增强技防水平，提升执法监管能力。④.新增中药材种植面积200 亩，支持庐山云雾茶品种选育良种、良法示范推广⑤.申报村设农民专业合作社、家庭农场村级集体产权制度改革各2家</w:t>
      </w:r>
    </w:p>
    <w:p w14:paraId="44968FEC">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5621A58E">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）年度预算安排：257万元</w:t>
      </w:r>
    </w:p>
    <w:p w14:paraId="432B00CB">
      <w:pPr>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7）绩效目标和指标：①.培育3 家市级农业产业化联合体；②.创建2 个休闲农业和乡村旅游示范企业。③.建立特色水产养殖示范点一个；提升渔政执法监管能力，增强技防水平，我市进步水域禁捕退捕效果明显，水生生物环境得到明显改善，江豚保护得到进步一加强。④.新增中药材种植面积200 亩，支持庐山云雾茶品种选育良种、良法示范推广⑤.以点带面示范推广，发展壮大集体经济，申报村设农民专业合作社、家庭农场村级集体产权制度改革各2家</w:t>
      </w:r>
    </w:p>
    <w:p w14:paraId="5B60FD8A">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60.乡村振兴现代农业发展资金</w:t>
      </w:r>
    </w:p>
    <w:p w14:paraId="38393842">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 xml:space="preserve"> </w:t>
      </w:r>
      <w:r>
        <w:rPr>
          <w:rFonts w:hint="eastAsia" w:ascii="Adobe 仿宋 Std R" w:hAnsi="Adobe 仿宋 Std R" w:eastAsia="Adobe 仿宋 Std R"/>
          <w:sz w:val="32"/>
          <w:szCs w:val="32"/>
        </w:rPr>
        <w:t xml:space="preserve"> 1）项目概述：①.为推动我市设施蔬菜高产优质高效发展的2021 年新建蔬菜设施大棚进行奖补。②.打造市级现代农业产业园、市级现代农业示范园。③.组织符合条件的农业企业参加省、市级举办的各类农副产品交易会、博览会等展示展销活动。④.发展壮大集体经济，扶持家庭农产及农民专业合作社促进规范管理、应用先进技术示范引领作用。   </w:t>
      </w:r>
    </w:p>
    <w:p w14:paraId="2834B22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2）立项依据：九财农指【2021】78号关于下达2021 年乡村振兴现代农业发展专项资金的通知</w:t>
      </w:r>
    </w:p>
    <w:p w14:paraId="3091C67F">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3）实施主体：庐山市农业农村局</w:t>
      </w:r>
    </w:p>
    <w:p w14:paraId="490371BB">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4）实施方案：①.新建设施蔬菜大棚，按建设面积计算。②.鼓励符合条件的农业企业参加省、市级举办的各类农副产品交易会、博览会等展示展销活动。③.用于产业园现代农业产业发展，支持新型经营主体开展一二三产融合发展、品牌创建与培育。④.支持农村集体组织、农民专业合作社和家庭农村15家</w:t>
      </w:r>
    </w:p>
    <w:p w14:paraId="0D606705">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5）实施周期：一年</w:t>
      </w:r>
    </w:p>
    <w:p w14:paraId="16F97F31">
      <w:pPr>
        <w:ind w:firstLine="642"/>
        <w:rPr>
          <w:rFonts w:hint="eastAsia" w:ascii="Adobe 仿宋 Std R" w:hAnsi="Adobe 仿宋 Std R" w:eastAsia="Adobe 仿宋 Std R"/>
          <w:sz w:val="32"/>
          <w:szCs w:val="32"/>
        </w:rPr>
      </w:pPr>
      <w:r>
        <w:rPr>
          <w:rFonts w:hint="eastAsia" w:ascii="Adobe 仿宋 Std R" w:hAnsi="Adobe 仿宋 Std R" w:eastAsia="Adobe 仿宋 Std R"/>
          <w:sz w:val="32"/>
          <w:szCs w:val="32"/>
        </w:rPr>
        <w:t xml:space="preserve">   </w:t>
      </w:r>
      <w:r>
        <w:rPr>
          <w:rFonts w:ascii="Adobe 仿宋 Std R" w:hAnsi="Adobe 仿宋 Std R" w:eastAsia="Adobe 仿宋 Std R"/>
          <w:sz w:val="32"/>
          <w:szCs w:val="32"/>
        </w:rPr>
        <w:t>6</w:t>
      </w:r>
      <w:r>
        <w:rPr>
          <w:rFonts w:hint="eastAsia" w:ascii="Adobe 仿宋 Std R" w:hAnsi="Adobe 仿宋 Std R" w:eastAsia="Adobe 仿宋 Std R"/>
          <w:sz w:val="32"/>
          <w:szCs w:val="32"/>
        </w:rPr>
        <w:t>）年度预算安排：174.7万元</w:t>
      </w:r>
    </w:p>
    <w:p w14:paraId="038D4CB8">
      <w:pPr>
        <w:rPr>
          <w:rFonts w:hint="eastAsia" w:ascii="Adobe 仿宋 Std R" w:hAnsi="Adobe 仿宋 Std R" w:eastAsia="Adobe 仿宋 Std R"/>
          <w:sz w:val="32"/>
          <w:szCs w:val="32"/>
        </w:rPr>
      </w:pPr>
      <w:r>
        <w:rPr>
          <w:rFonts w:hint="eastAsia" w:ascii="仿宋" w:hAnsi="仿宋" w:eastAsia="仿宋" w:cs="仿宋"/>
          <w:sz w:val="32"/>
          <w:szCs w:val="32"/>
        </w:rPr>
        <w:t xml:space="preserve">       7）绩效目标和指标</w:t>
      </w:r>
      <w:r>
        <w:rPr>
          <w:rFonts w:hint="eastAsia" w:ascii="Adobe 仿宋 Std R" w:hAnsi="Adobe 仿宋 Std R" w:eastAsia="Adobe 仿宋 Std R"/>
          <w:sz w:val="32"/>
          <w:szCs w:val="32"/>
        </w:rPr>
        <w:t>：①.新建设施蔬菜基地，在海会镇、蛟塘镇、蓼南乡、星子镇、庐山垦殖场新建设施蔬菜大棚39.5 亩。②.打造3 个市级现代农业产业园、1 个市级现代农业示范园。③.组织符合条件的农业企业参加省、市级举办的各类农副产品交易会、博览会等展示展销活动。④.支持农村集体组织、农民专业合作社和家庭农村15 家</w:t>
      </w:r>
    </w:p>
    <w:p w14:paraId="6BBC244D">
      <w:pPr>
        <w:widowControl/>
        <w:spacing w:line="580" w:lineRule="exact"/>
        <w:jc w:val="left"/>
        <w:rPr>
          <w:rFonts w:ascii="楷体_GB2312" w:eastAsia="楷体_GB2312"/>
          <w:b/>
          <w:sz w:val="32"/>
          <w:szCs w:val="30"/>
        </w:rPr>
      </w:pPr>
      <w:r>
        <w:rPr>
          <w:rFonts w:hint="eastAsia" w:ascii="楷体_GB2312" w:eastAsia="楷体_GB2312" w:cs="宋体"/>
          <w:b/>
          <w:kern w:val="0"/>
          <w:sz w:val="32"/>
          <w:szCs w:val="32"/>
        </w:rPr>
        <w:t>二、</w:t>
      </w:r>
      <w:r>
        <w:rPr>
          <w:rFonts w:hint="eastAsia" w:ascii="楷体_GB2312" w:eastAsia="楷体_GB2312"/>
          <w:b/>
          <w:sz w:val="32"/>
          <w:szCs w:val="30"/>
        </w:rPr>
        <w:t>2022年“三公</w:t>
      </w:r>
      <w:r>
        <w:rPr>
          <w:rFonts w:ascii="楷体_GB2312" w:eastAsia="楷体_GB2312"/>
          <w:b/>
          <w:sz w:val="32"/>
          <w:szCs w:val="30"/>
        </w:rPr>
        <w:t>”</w:t>
      </w:r>
      <w:r>
        <w:rPr>
          <w:rFonts w:hint="eastAsia" w:ascii="楷体_GB2312" w:eastAsia="楷体_GB2312"/>
          <w:b/>
          <w:sz w:val="32"/>
          <w:szCs w:val="30"/>
        </w:rPr>
        <w:t>经费预算情况说明</w:t>
      </w:r>
    </w:p>
    <w:p w14:paraId="15992A16">
      <w:pPr>
        <w:ind w:firstLine="640" w:firstLineChars="200"/>
        <w:jc w:val="left"/>
        <w:rPr>
          <w:rFonts w:ascii="仿宋" w:hAnsi="仿宋" w:eastAsia="仿宋"/>
          <w:bCs/>
          <w:sz w:val="32"/>
          <w:szCs w:val="32"/>
        </w:rPr>
      </w:pPr>
      <w:r>
        <w:rPr>
          <w:rFonts w:hint="eastAsia" w:ascii="仿宋" w:hAnsi="仿宋" w:eastAsia="仿宋"/>
          <w:bCs/>
          <w:sz w:val="32"/>
          <w:szCs w:val="32"/>
        </w:rPr>
        <w:t>2</w:t>
      </w:r>
      <w:r>
        <w:rPr>
          <w:rFonts w:ascii="仿宋" w:hAnsi="仿宋" w:eastAsia="仿宋"/>
          <w:bCs/>
          <w:sz w:val="32"/>
          <w:szCs w:val="32"/>
        </w:rPr>
        <w:t>022</w:t>
      </w:r>
      <w:r>
        <w:rPr>
          <w:rFonts w:hint="eastAsia" w:ascii="仿宋" w:hAnsi="仿宋" w:eastAsia="仿宋"/>
          <w:bCs/>
          <w:sz w:val="32"/>
          <w:szCs w:val="32"/>
        </w:rPr>
        <w:t>年</w:t>
      </w:r>
      <w:r>
        <w:rPr>
          <w:rFonts w:ascii="仿宋" w:hAnsi="仿宋" w:eastAsia="仿宋"/>
          <w:bCs/>
          <w:sz w:val="32"/>
          <w:szCs w:val="32"/>
        </w:rPr>
        <w:fldChar w:fldCharType="begin"/>
      </w:r>
      <w:r>
        <w:rPr>
          <w:rFonts w:ascii="仿宋" w:hAnsi="仿宋" w:eastAsia="仿宋"/>
          <w:bCs/>
          <w:sz w:val="32"/>
          <w:szCs w:val="32"/>
        </w:rPr>
        <w:instrText xml:space="preserve">MERGEFIELD ${page400644146.ds215660413_REP_JXJC_AGENCY_WZR_NAME}</w:instrText>
      </w:r>
      <w:r>
        <w:rPr>
          <w:rFonts w:ascii="仿宋" w:hAnsi="仿宋" w:eastAsia="仿宋"/>
          <w:bCs/>
          <w:sz w:val="32"/>
          <w:szCs w:val="32"/>
        </w:rPr>
        <w:fldChar w:fldCharType="separate"/>
      </w:r>
      <w:r>
        <w:rPr>
          <w:rFonts w:ascii="仿宋" w:hAnsi="仿宋" w:eastAsia="仿宋"/>
          <w:bCs/>
          <w:sz w:val="32"/>
          <w:szCs w:val="32"/>
        </w:rPr>
        <w:t>江西省财政厅</w:t>
      </w:r>
      <w:r>
        <w:fldChar w:fldCharType="end"/>
      </w:r>
      <w:r>
        <w:rPr>
          <w:rFonts w:ascii="仿宋" w:hAnsi="仿宋" w:eastAsia="仿宋"/>
          <w:bCs/>
          <w:sz w:val="32"/>
          <w:szCs w:val="32"/>
        </w:rPr>
        <w:t>"</w:t>
      </w:r>
      <w:r>
        <w:rPr>
          <w:rFonts w:hint="eastAsia" w:ascii="仿宋" w:hAnsi="仿宋" w:eastAsia="仿宋"/>
          <w:bCs/>
          <w:sz w:val="32"/>
          <w:szCs w:val="32"/>
        </w:rPr>
        <w:t>三公</w:t>
      </w:r>
      <w:r>
        <w:rPr>
          <w:rFonts w:ascii="仿宋" w:hAnsi="仿宋" w:eastAsia="仿宋"/>
          <w:bCs/>
          <w:sz w:val="32"/>
          <w:szCs w:val="32"/>
        </w:rPr>
        <w:t>"</w:t>
      </w:r>
      <w:r>
        <w:rPr>
          <w:rFonts w:hint="eastAsia" w:ascii="仿宋" w:hAnsi="仿宋" w:eastAsia="仿宋"/>
          <w:bCs/>
          <w:sz w:val="32"/>
          <w:szCs w:val="32"/>
        </w:rPr>
        <w:t>经费一般公共预算安排24.00万元，其中：</w:t>
      </w:r>
    </w:p>
    <w:p w14:paraId="31FC0EC6">
      <w:pPr>
        <w:ind w:firstLine="640" w:firstLineChars="200"/>
        <w:jc w:val="left"/>
        <w:rPr>
          <w:rFonts w:hint="eastAsia" w:ascii="仿宋" w:hAnsi="仿宋" w:eastAsia="仿宋"/>
          <w:bCs/>
          <w:sz w:val="32"/>
          <w:szCs w:val="32"/>
        </w:rPr>
      </w:pPr>
      <w:r>
        <w:rPr>
          <w:rFonts w:ascii="仿宋" w:hAnsi="仿宋" w:eastAsia="仿宋"/>
          <w:bCs/>
          <w:sz w:val="32"/>
          <w:szCs w:val="32"/>
        </w:rPr>
        <w:t>因公出国</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Fonts w:ascii="仿宋" w:hAnsi="仿宋" w:eastAsia="仿宋"/>
          <w:bCs/>
          <w:sz w:val="32"/>
          <w:szCs w:val="32"/>
        </w:rPr>
        <w:t>万元,比上年减</w:t>
      </w:r>
      <w:r>
        <w:rPr>
          <w:rFonts w:hint="eastAsia" w:ascii="仿宋" w:hAnsi="仿宋" w:eastAsia="仿宋"/>
          <w:bCs/>
          <w:sz w:val="32"/>
          <w:szCs w:val="32"/>
        </w:rPr>
        <w:t>少</w:t>
      </w:r>
      <w:r>
        <w:rPr>
          <w:rFonts w:ascii="仿宋" w:hAnsi="仿宋" w:eastAsia="仿宋"/>
          <w:bCs/>
          <w:sz w:val="32"/>
          <w:szCs w:val="32"/>
        </w:rPr>
        <w:t>___</w:t>
      </w:r>
      <w:r>
        <w:rPr>
          <w:rFonts w:hint="eastAsia" w:ascii="仿宋" w:hAnsi="仿宋" w:eastAsia="仿宋"/>
          <w:bCs/>
          <w:sz w:val="32"/>
          <w:szCs w:val="32"/>
        </w:rPr>
        <w:t>0</w:t>
      </w:r>
      <w:r>
        <w:rPr>
          <w:rFonts w:ascii="仿宋" w:hAnsi="仿宋" w:eastAsia="仿宋"/>
          <w:bCs/>
          <w:sz w:val="32"/>
          <w:szCs w:val="32"/>
        </w:rPr>
        <w:t>___万元，主要原因是：</w:t>
      </w:r>
      <w:r>
        <w:rPr>
          <w:rFonts w:hint="eastAsia" w:ascii="仿宋" w:hAnsi="仿宋" w:eastAsia="仿宋"/>
          <w:bCs/>
          <w:sz w:val="32"/>
          <w:szCs w:val="32"/>
        </w:rPr>
        <w:t>无</w:t>
      </w:r>
    </w:p>
    <w:p w14:paraId="27EADA6A">
      <w:pPr>
        <w:ind w:firstLine="640" w:firstLineChars="200"/>
        <w:jc w:val="left"/>
        <w:rPr>
          <w:rFonts w:hint="eastAsia" w:ascii="仿宋" w:hAnsi="仿宋" w:eastAsia="仿宋"/>
          <w:bCs/>
          <w:sz w:val="32"/>
          <w:szCs w:val="32"/>
        </w:rPr>
      </w:pPr>
      <w:r>
        <w:rPr>
          <w:rFonts w:ascii="仿宋" w:hAnsi="仿宋" w:eastAsia="仿宋"/>
          <w:bCs/>
          <w:sz w:val="32"/>
          <w:szCs w:val="32"/>
        </w:rPr>
        <w:t>公务接待</w:t>
      </w:r>
      <w:r>
        <w:rPr>
          <w:rFonts w:ascii="仿宋" w:hAnsi="仿宋" w:eastAsia="仿宋" w:cs="Times New Roman"/>
          <w:kern w:val="0"/>
          <w:sz w:val="32"/>
          <w:szCs w:val="32"/>
        </w:rPr>
        <w:t>__</w:t>
      </w:r>
      <w:r>
        <w:rPr>
          <w:rFonts w:hint="eastAsia" w:ascii="仿宋" w:hAnsi="仿宋" w:eastAsia="仿宋" w:cs="Times New Roman"/>
          <w:kern w:val="0"/>
          <w:sz w:val="32"/>
          <w:szCs w:val="32"/>
        </w:rPr>
        <w:t>20</w:t>
      </w:r>
      <w:r>
        <w:rPr>
          <w:rFonts w:ascii="仿宋" w:hAnsi="仿宋" w:eastAsia="仿宋" w:cs="Times New Roman"/>
          <w:kern w:val="0"/>
          <w:sz w:val="32"/>
          <w:szCs w:val="32"/>
        </w:rPr>
        <w:t>__</w:t>
      </w:r>
      <w:r>
        <w:rPr>
          <w:rFonts w:ascii="仿宋" w:hAnsi="仿宋" w:eastAsia="仿宋"/>
          <w:bCs/>
          <w:sz w:val="32"/>
          <w:szCs w:val="32"/>
        </w:rPr>
        <w:t>万元,比上年增</w:t>
      </w:r>
      <w:r>
        <w:rPr>
          <w:rFonts w:hint="eastAsia" w:ascii="仿宋" w:hAnsi="仿宋" w:eastAsia="仿宋"/>
          <w:bCs/>
          <w:sz w:val="32"/>
          <w:szCs w:val="32"/>
        </w:rPr>
        <w:t>加</w:t>
      </w:r>
      <w:r>
        <w:rPr>
          <w:rFonts w:ascii="仿宋" w:hAnsi="仿宋" w:eastAsia="仿宋"/>
          <w:bCs/>
          <w:sz w:val="32"/>
          <w:szCs w:val="32"/>
        </w:rPr>
        <w:t>___</w:t>
      </w:r>
      <w:r>
        <w:rPr>
          <w:rFonts w:hint="eastAsia" w:ascii="仿宋" w:hAnsi="仿宋" w:eastAsia="仿宋"/>
          <w:bCs/>
          <w:sz w:val="32"/>
          <w:szCs w:val="32"/>
        </w:rPr>
        <w:t>15.75</w:t>
      </w:r>
      <w:r>
        <w:rPr>
          <w:rFonts w:ascii="仿宋" w:hAnsi="仿宋" w:eastAsia="仿宋"/>
          <w:bCs/>
          <w:sz w:val="32"/>
          <w:szCs w:val="32"/>
        </w:rPr>
        <w:t>___万元，主要原因是：</w:t>
      </w:r>
      <w:r>
        <w:rPr>
          <w:rFonts w:hint="eastAsia" w:ascii="仿宋" w:hAnsi="仿宋" w:eastAsia="仿宋"/>
          <w:bCs/>
          <w:sz w:val="32"/>
          <w:szCs w:val="32"/>
        </w:rPr>
        <w:t>去年编制不准确</w:t>
      </w:r>
    </w:p>
    <w:p w14:paraId="7C248EF6">
      <w:pPr>
        <w:ind w:firstLine="640" w:firstLineChars="200"/>
        <w:jc w:val="left"/>
        <w:rPr>
          <w:rFonts w:hint="eastAsia" w:ascii="仿宋" w:hAnsi="仿宋" w:eastAsia="仿宋"/>
          <w:bCs/>
          <w:sz w:val="32"/>
          <w:szCs w:val="32"/>
        </w:rPr>
      </w:pPr>
      <w:r>
        <w:rPr>
          <w:rFonts w:ascii="仿宋" w:hAnsi="仿宋" w:eastAsia="仿宋"/>
          <w:bCs/>
          <w:sz w:val="32"/>
          <w:szCs w:val="32"/>
        </w:rPr>
        <w:t>公务用车运行</w:t>
      </w:r>
      <w:r>
        <w:rPr>
          <w:rFonts w:ascii="仿宋" w:hAnsi="仿宋" w:eastAsia="仿宋" w:cs="Times New Roman"/>
          <w:kern w:val="0"/>
          <w:sz w:val="32"/>
          <w:szCs w:val="32"/>
        </w:rPr>
        <w:t>__</w:t>
      </w:r>
      <w:r>
        <w:rPr>
          <w:rFonts w:hint="eastAsia" w:ascii="仿宋" w:hAnsi="仿宋" w:eastAsia="仿宋" w:cs="Times New Roman"/>
          <w:kern w:val="0"/>
          <w:sz w:val="32"/>
          <w:szCs w:val="32"/>
        </w:rPr>
        <w:t>4</w:t>
      </w:r>
      <w:r>
        <w:rPr>
          <w:rFonts w:ascii="仿宋" w:hAnsi="仿宋" w:eastAsia="仿宋" w:cs="Times New Roman"/>
          <w:kern w:val="0"/>
          <w:sz w:val="32"/>
          <w:szCs w:val="32"/>
        </w:rPr>
        <w:t>__</w:t>
      </w:r>
      <w:r>
        <w:rPr>
          <w:rFonts w:ascii="仿宋" w:hAnsi="仿宋" w:eastAsia="仿宋"/>
          <w:bCs/>
          <w:sz w:val="32"/>
          <w:szCs w:val="32"/>
        </w:rPr>
        <w:t>万元,比上年减</w:t>
      </w:r>
      <w:r>
        <w:rPr>
          <w:rFonts w:hint="eastAsia" w:ascii="仿宋" w:hAnsi="仿宋" w:eastAsia="仿宋"/>
          <w:bCs/>
          <w:sz w:val="32"/>
          <w:szCs w:val="32"/>
        </w:rPr>
        <w:t>少</w:t>
      </w:r>
      <w:r>
        <w:rPr>
          <w:rFonts w:ascii="仿宋" w:hAnsi="仿宋" w:eastAsia="仿宋"/>
          <w:bCs/>
          <w:sz w:val="32"/>
          <w:szCs w:val="32"/>
        </w:rPr>
        <w:t>___</w:t>
      </w:r>
      <w:r>
        <w:rPr>
          <w:rFonts w:hint="eastAsia" w:ascii="仿宋" w:hAnsi="仿宋" w:eastAsia="仿宋"/>
          <w:bCs/>
          <w:sz w:val="32"/>
          <w:szCs w:val="32"/>
        </w:rPr>
        <w:t>3.62</w:t>
      </w:r>
      <w:r>
        <w:rPr>
          <w:rFonts w:ascii="仿宋" w:hAnsi="仿宋" w:eastAsia="仿宋"/>
          <w:bCs/>
          <w:sz w:val="32"/>
          <w:szCs w:val="32"/>
        </w:rPr>
        <w:t>___万元，主要原因是：</w:t>
      </w:r>
      <w:r>
        <w:rPr>
          <w:rFonts w:hint="eastAsia" w:ascii="仿宋" w:hAnsi="仿宋" w:eastAsia="仿宋"/>
          <w:bCs/>
          <w:sz w:val="32"/>
          <w:szCs w:val="32"/>
        </w:rPr>
        <w:t>今年经费紧张</w:t>
      </w:r>
    </w:p>
    <w:p w14:paraId="5432E5F8">
      <w:pPr>
        <w:ind w:firstLine="640" w:firstLineChars="200"/>
        <w:jc w:val="left"/>
        <w:rPr>
          <w:rFonts w:hint="eastAsia" w:ascii="仿宋" w:hAnsi="仿宋" w:eastAsia="仿宋"/>
          <w:bCs/>
          <w:sz w:val="32"/>
          <w:szCs w:val="32"/>
        </w:rPr>
      </w:pPr>
      <w:r>
        <w:rPr>
          <w:rFonts w:ascii="仿宋" w:hAnsi="仿宋" w:eastAsia="仿宋"/>
          <w:bCs/>
          <w:sz w:val="32"/>
          <w:szCs w:val="32"/>
        </w:rPr>
        <w:t>公务用车购置</w:t>
      </w:r>
      <w:r>
        <w:rPr>
          <w:rFonts w:ascii="仿宋" w:hAnsi="仿宋" w:eastAsia="仿宋" w:cs="Times New Roman"/>
          <w:kern w:val="0"/>
          <w:sz w:val="32"/>
          <w:szCs w:val="32"/>
        </w:rPr>
        <w:t>__</w:t>
      </w:r>
      <w:r>
        <w:rPr>
          <w:rFonts w:hint="eastAsia" w:ascii="仿宋" w:hAnsi="仿宋" w:eastAsia="仿宋" w:cs="Times New Roman"/>
          <w:kern w:val="0"/>
          <w:sz w:val="32"/>
          <w:szCs w:val="32"/>
        </w:rPr>
        <w:t>0</w:t>
      </w:r>
      <w:r>
        <w:rPr>
          <w:rFonts w:ascii="仿宋" w:hAnsi="仿宋" w:eastAsia="仿宋" w:cs="Times New Roman"/>
          <w:kern w:val="0"/>
          <w:sz w:val="32"/>
          <w:szCs w:val="32"/>
        </w:rPr>
        <w:t>__</w:t>
      </w:r>
      <w:r>
        <w:rPr>
          <w:rFonts w:ascii="仿宋" w:hAnsi="仿宋" w:eastAsia="仿宋"/>
          <w:bCs/>
          <w:sz w:val="32"/>
          <w:szCs w:val="32"/>
        </w:rPr>
        <w:t>万元,比上年</w:t>
      </w:r>
      <w:r>
        <w:rPr>
          <w:rFonts w:hint="eastAsia" w:ascii="仿宋" w:hAnsi="仿宋" w:eastAsia="仿宋"/>
          <w:bCs/>
          <w:sz w:val="32"/>
          <w:szCs w:val="32"/>
        </w:rPr>
        <w:t>减少</w:t>
      </w:r>
      <w:r>
        <w:rPr>
          <w:rFonts w:ascii="仿宋" w:hAnsi="仿宋" w:eastAsia="仿宋"/>
          <w:bCs/>
          <w:sz w:val="32"/>
          <w:szCs w:val="32"/>
        </w:rPr>
        <w:t>___</w:t>
      </w:r>
      <w:r>
        <w:rPr>
          <w:rFonts w:hint="eastAsia" w:ascii="仿宋" w:hAnsi="仿宋" w:eastAsia="仿宋"/>
          <w:bCs/>
          <w:sz w:val="32"/>
          <w:szCs w:val="32"/>
        </w:rPr>
        <w:t>0</w:t>
      </w:r>
      <w:r>
        <w:rPr>
          <w:rFonts w:ascii="仿宋" w:hAnsi="仿宋" w:eastAsia="仿宋"/>
          <w:bCs/>
          <w:sz w:val="32"/>
          <w:szCs w:val="32"/>
        </w:rPr>
        <w:t>___万元，主要原因是：</w:t>
      </w:r>
      <w:r>
        <w:rPr>
          <w:rFonts w:hint="eastAsia" w:ascii="仿宋" w:hAnsi="仿宋" w:eastAsia="仿宋"/>
          <w:bCs/>
          <w:sz w:val="32"/>
          <w:szCs w:val="32"/>
        </w:rPr>
        <w:t>无</w:t>
      </w:r>
    </w:p>
    <w:p w14:paraId="00DA9276">
      <w:pPr>
        <w:ind w:firstLine="480" w:firstLineChars="200"/>
        <w:jc w:val="left"/>
        <w:rPr>
          <w:rFonts w:hint="eastAsia" w:ascii="仿宋" w:hAnsi="仿宋" w:eastAsia="仿宋"/>
          <w:bCs/>
          <w:sz w:val="32"/>
          <w:szCs w:val="32"/>
        </w:rPr>
      </w:pPr>
      <w:r>
        <w:rPr>
          <w:rFonts w:ascii="宋体" w:hAnsi="宋体" w:eastAsia="宋体" w:cs="宋体"/>
          <w:sz w:val="24"/>
          <w:szCs w:val="24"/>
        </w:rPr>
        <w:drawing>
          <wp:inline distT="0" distB="0" distL="114300" distR="114300">
            <wp:extent cx="5866765" cy="5904865"/>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866765" cy="5904865"/>
                    </a:xfrm>
                    <a:prstGeom prst="rect">
                      <a:avLst/>
                    </a:prstGeom>
                    <a:noFill/>
                    <a:ln>
                      <a:noFill/>
                    </a:ln>
                  </pic:spPr>
                </pic:pic>
              </a:graphicData>
            </a:graphic>
          </wp:inline>
        </w:drawing>
      </w:r>
    </w:p>
    <w:p w14:paraId="617E172B">
      <w:pPr>
        <w:widowControl/>
        <w:shd w:val="clear" w:color="auto" w:fill="FFFFFF"/>
        <w:spacing w:line="640" w:lineRule="atLeast"/>
        <w:ind w:firstLine="640"/>
        <w:jc w:val="center"/>
        <w:rPr>
          <w:rFonts w:ascii="仿宋_GB2312" w:eastAsia="仿宋_GB2312"/>
          <w:b/>
          <w:sz w:val="32"/>
          <w:szCs w:val="30"/>
        </w:rPr>
      </w:pPr>
      <w:r>
        <w:rPr>
          <w:rFonts w:ascii="宋体" w:hAnsi="宋体" w:eastAsia="宋体" w:cs="宋体"/>
          <w:sz w:val="24"/>
          <w:szCs w:val="24"/>
        </w:rPr>
        <w:drawing>
          <wp:inline distT="0" distB="0" distL="114300" distR="114300">
            <wp:extent cx="5394325" cy="1842135"/>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5394325" cy="1842135"/>
                    </a:xfrm>
                    <a:prstGeom prst="rect">
                      <a:avLst/>
                    </a:prstGeom>
                    <a:noFill/>
                    <a:ln>
                      <a:noFill/>
                    </a:ln>
                  </pic:spPr>
                </pic:pic>
              </a:graphicData>
            </a:graphic>
          </wp:inline>
        </w:drawing>
      </w:r>
    </w:p>
    <w:p w14:paraId="1D5DED4C">
      <w:pPr>
        <w:widowControl/>
        <w:shd w:val="clear" w:color="auto" w:fill="FFFFFF"/>
        <w:spacing w:line="640" w:lineRule="atLeast"/>
        <w:ind w:firstLine="64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475480" cy="668528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4475480" cy="6685280"/>
                    </a:xfrm>
                    <a:prstGeom prst="rect">
                      <a:avLst/>
                    </a:prstGeom>
                    <a:noFill/>
                    <a:ln>
                      <a:noFill/>
                    </a:ln>
                  </pic:spPr>
                </pic:pic>
              </a:graphicData>
            </a:graphic>
          </wp:inline>
        </w:drawing>
      </w:r>
    </w:p>
    <w:p w14:paraId="311C0F28">
      <w:pPr>
        <w:widowControl/>
        <w:shd w:val="clear" w:color="auto" w:fill="FFFFFF"/>
        <w:spacing w:line="640" w:lineRule="atLeast"/>
        <w:ind w:firstLine="64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5041900" cy="6500495"/>
            <wp:effectExtent l="0" t="0" r="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8"/>
                    <a:stretch>
                      <a:fillRect/>
                    </a:stretch>
                  </pic:blipFill>
                  <pic:spPr>
                    <a:xfrm>
                      <a:off x="0" y="0"/>
                      <a:ext cx="5041900" cy="6500495"/>
                    </a:xfrm>
                    <a:prstGeom prst="rect">
                      <a:avLst/>
                    </a:prstGeom>
                    <a:noFill/>
                    <a:ln>
                      <a:noFill/>
                    </a:ln>
                  </pic:spPr>
                </pic:pic>
              </a:graphicData>
            </a:graphic>
          </wp:inline>
        </w:drawing>
      </w:r>
    </w:p>
    <w:p w14:paraId="08BE2A23">
      <w:pPr>
        <w:widowControl/>
        <w:shd w:val="clear" w:color="auto" w:fill="FFFFFF"/>
        <w:spacing w:line="640" w:lineRule="atLeast"/>
        <w:ind w:firstLine="640"/>
        <w:jc w:val="center"/>
        <w:rPr>
          <w:rFonts w:ascii="仿宋_GB2312" w:eastAsia="仿宋_GB2312"/>
          <w:b/>
          <w:sz w:val="32"/>
          <w:szCs w:val="30"/>
        </w:rPr>
      </w:pPr>
      <w:r>
        <w:rPr>
          <w:rFonts w:ascii="宋体" w:hAnsi="宋体" w:eastAsia="宋体" w:cs="宋体"/>
          <w:sz w:val="24"/>
          <w:szCs w:val="24"/>
        </w:rPr>
        <w:drawing>
          <wp:inline distT="0" distB="0" distL="114300" distR="114300">
            <wp:extent cx="3879850" cy="5596255"/>
            <wp:effectExtent l="0" t="0" r="0" b="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9"/>
                    <a:stretch>
                      <a:fillRect/>
                    </a:stretch>
                  </pic:blipFill>
                  <pic:spPr>
                    <a:xfrm>
                      <a:off x="0" y="0"/>
                      <a:ext cx="3879850" cy="5596255"/>
                    </a:xfrm>
                    <a:prstGeom prst="rect">
                      <a:avLst/>
                    </a:prstGeom>
                    <a:noFill/>
                    <a:ln>
                      <a:noFill/>
                    </a:ln>
                  </pic:spPr>
                </pic:pic>
              </a:graphicData>
            </a:graphic>
          </wp:inline>
        </w:drawing>
      </w:r>
    </w:p>
    <w:p w14:paraId="185CA287">
      <w:pPr>
        <w:widowControl/>
        <w:shd w:val="clear" w:color="auto" w:fill="FFFFFF"/>
        <w:spacing w:line="640" w:lineRule="atLeast"/>
        <w:ind w:firstLine="640"/>
        <w:jc w:val="center"/>
        <w:rPr>
          <w:rFonts w:ascii="仿宋_GB2312" w:eastAsia="仿宋_GB2312"/>
          <w:b/>
          <w:sz w:val="32"/>
          <w:szCs w:val="30"/>
        </w:rPr>
      </w:pPr>
      <w:r>
        <w:rPr>
          <w:rFonts w:ascii="宋体" w:hAnsi="宋体" w:eastAsia="宋体" w:cs="宋体"/>
          <w:sz w:val="24"/>
          <w:szCs w:val="24"/>
        </w:rPr>
        <w:drawing>
          <wp:inline distT="0" distB="0" distL="114300" distR="114300">
            <wp:extent cx="3935095" cy="5965190"/>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0"/>
                    <a:stretch>
                      <a:fillRect/>
                    </a:stretch>
                  </pic:blipFill>
                  <pic:spPr>
                    <a:xfrm>
                      <a:off x="0" y="0"/>
                      <a:ext cx="3935095" cy="5965190"/>
                    </a:xfrm>
                    <a:prstGeom prst="rect">
                      <a:avLst/>
                    </a:prstGeom>
                    <a:noFill/>
                    <a:ln>
                      <a:noFill/>
                    </a:ln>
                  </pic:spPr>
                </pic:pic>
              </a:graphicData>
            </a:graphic>
          </wp:inline>
        </w:drawing>
      </w:r>
    </w:p>
    <w:p w14:paraId="246C7FBE">
      <w:pPr>
        <w:widowControl/>
        <w:shd w:val="clear" w:color="auto" w:fill="FFFFFF"/>
        <w:spacing w:line="640" w:lineRule="atLeast"/>
        <w:ind w:firstLine="640"/>
        <w:jc w:val="center"/>
        <w:rPr>
          <w:rFonts w:ascii="仿宋_GB2312" w:eastAsia="仿宋_GB2312"/>
          <w:b/>
          <w:sz w:val="32"/>
          <w:szCs w:val="30"/>
        </w:rPr>
      </w:pPr>
      <w:r>
        <w:rPr>
          <w:rFonts w:ascii="宋体" w:hAnsi="宋体" w:eastAsia="宋体" w:cs="宋体"/>
          <w:sz w:val="24"/>
          <w:szCs w:val="24"/>
        </w:rPr>
        <w:drawing>
          <wp:inline distT="0" distB="0" distL="114300" distR="114300">
            <wp:extent cx="3957320" cy="5154295"/>
            <wp:effectExtent l="0" t="0" r="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1"/>
                    <a:stretch>
                      <a:fillRect/>
                    </a:stretch>
                  </pic:blipFill>
                  <pic:spPr>
                    <a:xfrm>
                      <a:off x="0" y="0"/>
                      <a:ext cx="3957320" cy="5154295"/>
                    </a:xfrm>
                    <a:prstGeom prst="rect">
                      <a:avLst/>
                    </a:prstGeom>
                    <a:noFill/>
                    <a:ln>
                      <a:noFill/>
                    </a:ln>
                  </pic:spPr>
                </pic:pic>
              </a:graphicData>
            </a:graphic>
          </wp:inline>
        </w:drawing>
      </w:r>
    </w:p>
    <w:p w14:paraId="1C360CA0">
      <w:pPr>
        <w:widowControl/>
        <w:shd w:val="clear" w:color="auto" w:fill="FFFFFF"/>
        <w:spacing w:line="640" w:lineRule="atLeast"/>
        <w:ind w:firstLine="640"/>
        <w:jc w:val="center"/>
        <w:rPr>
          <w:rFonts w:ascii="仿宋_GB2312" w:eastAsia="仿宋_GB2312"/>
          <w:b/>
          <w:sz w:val="32"/>
          <w:szCs w:val="30"/>
        </w:rPr>
      </w:pPr>
    </w:p>
    <w:p w14:paraId="60A24CCA">
      <w:pPr>
        <w:widowControl/>
        <w:shd w:val="clear" w:color="auto" w:fill="FFFFFF"/>
        <w:spacing w:line="640" w:lineRule="atLeast"/>
        <w:ind w:firstLine="640"/>
        <w:jc w:val="center"/>
        <w:rPr>
          <w:rFonts w:ascii="仿宋_GB2312" w:eastAsia="仿宋_GB2312"/>
          <w:b/>
          <w:sz w:val="32"/>
          <w:szCs w:val="30"/>
        </w:rPr>
      </w:pPr>
    </w:p>
    <w:p w14:paraId="082FFF99">
      <w:pPr>
        <w:widowControl/>
        <w:shd w:val="clear" w:color="auto" w:fill="FFFFFF"/>
        <w:spacing w:line="640" w:lineRule="atLeast"/>
        <w:ind w:firstLine="640"/>
        <w:jc w:val="center"/>
        <w:rPr>
          <w:rFonts w:ascii="Arial" w:hAnsi="Arial" w:cs="Arial"/>
          <w:color w:val="333333"/>
          <w:sz w:val="14"/>
          <w:szCs w:val="14"/>
        </w:rPr>
      </w:pPr>
      <w:r>
        <w:rPr>
          <w:rFonts w:hint="eastAsia" w:ascii="仿宋_GB2312" w:eastAsia="仿宋_GB2312"/>
          <w:b/>
          <w:sz w:val="32"/>
          <w:szCs w:val="30"/>
        </w:rPr>
        <w:t>第四部分   名词解释</w:t>
      </w:r>
    </w:p>
    <w:p w14:paraId="748F6693">
      <w:pPr>
        <w:widowControl/>
        <w:shd w:val="clear" w:color="auto" w:fill="FFFFFF"/>
        <w:spacing w:line="640" w:lineRule="atLeast"/>
        <w:ind w:firstLine="800" w:firstLineChars="250"/>
        <w:jc w:val="left"/>
        <w:rPr>
          <w:rFonts w:ascii="Adobe 仿宋 Std R" w:hAnsi="Adobe 仿宋 Std R" w:eastAsia="Adobe 仿宋 Std R"/>
          <w:sz w:val="32"/>
          <w:szCs w:val="32"/>
        </w:rPr>
      </w:pPr>
      <w:r>
        <w:rPr>
          <w:rFonts w:hint="eastAsia" w:ascii="Adobe 仿宋 Std R" w:hAnsi="Adobe 仿宋 Std R" w:eastAsia="Adobe 仿宋 Std R"/>
          <w:sz w:val="32"/>
          <w:szCs w:val="32"/>
        </w:rPr>
        <w:t>一、收入科目</w:t>
      </w:r>
    </w:p>
    <w:p w14:paraId="42557743">
      <w:pPr>
        <w:widowControl/>
        <w:spacing w:line="600" w:lineRule="exact"/>
        <w:ind w:firstLine="1600" w:firstLineChars="500"/>
        <w:jc w:val="left"/>
        <w:rPr>
          <w:rFonts w:ascii="仿宋_GB2312" w:eastAsia="仿宋_GB2312"/>
          <w:color w:val="000000"/>
          <w:sz w:val="32"/>
          <w:szCs w:val="30"/>
        </w:rPr>
      </w:pPr>
      <w:r>
        <w:rPr>
          <w:rFonts w:hint="eastAsia" w:ascii="仿宋_GB2312" w:hAnsi="Times New Roman" w:eastAsia="仿宋_GB2312" w:cs="Times New Roman"/>
          <w:color w:val="000000"/>
          <w:sz w:val="32"/>
          <w:szCs w:val="30"/>
        </w:rPr>
        <w:t>财政拨款：指省级财政当年拨付的资金。</w:t>
      </w:r>
    </w:p>
    <w:p w14:paraId="343DA3DE">
      <w:pPr>
        <w:ind w:firstLine="640" w:firstLineChars="200"/>
        <w:rPr>
          <w:rFonts w:ascii="Adobe 仿宋 Std R" w:hAnsi="Adobe 仿宋 Std R" w:eastAsia="Adobe 仿宋 Std R"/>
          <w:sz w:val="32"/>
          <w:szCs w:val="32"/>
        </w:rPr>
      </w:pPr>
      <w:r>
        <w:rPr>
          <w:rFonts w:hint="eastAsia" w:ascii="Adobe 仿宋 Std R" w:hAnsi="Adobe 仿宋 Std R" w:eastAsia="Adobe 仿宋 Std R"/>
          <w:sz w:val="32"/>
          <w:szCs w:val="32"/>
        </w:rPr>
        <w:t>二、支出科目</w:t>
      </w:r>
    </w:p>
    <w:p w14:paraId="7F1D60DA">
      <w:pPr>
        <w:ind w:firstLine="1280" w:firstLineChars="400"/>
        <w:rPr>
          <w:rFonts w:ascii="仿宋_GB2312" w:eastAsia="仿宋_GB2312"/>
          <w:color w:val="000000"/>
          <w:sz w:val="32"/>
          <w:szCs w:val="32"/>
        </w:rPr>
      </w:pPr>
      <w:r>
        <w:rPr>
          <w:rFonts w:hint="eastAsia" w:ascii="仿宋_GB2312" w:eastAsia="仿宋_GB2312"/>
          <w:color w:val="000000"/>
          <w:sz w:val="32"/>
          <w:szCs w:val="32"/>
        </w:rPr>
        <w:t>（2139999）其他农林水支出：反映除化解债务支出以外其他用于农林水方面的支出</w:t>
      </w:r>
    </w:p>
    <w:p w14:paraId="6B1A35E5">
      <w:pPr>
        <w:ind w:firstLine="640" w:firstLineChars="200"/>
        <w:rPr>
          <w:rFonts w:ascii="Adobe 仿宋 Std R" w:hAnsi="Adobe 仿宋 Std R" w:eastAsia="Adobe 仿宋 Std R"/>
          <w:sz w:val="32"/>
          <w:szCs w:val="32"/>
        </w:rPr>
      </w:pPr>
      <w:r>
        <w:rPr>
          <w:rFonts w:hint="eastAsia" w:ascii="Adobe 仿宋 Std R" w:hAnsi="Adobe 仿宋 Std R" w:eastAsia="Adobe 仿宋 Std R"/>
          <w:sz w:val="32"/>
          <w:szCs w:val="32"/>
        </w:rPr>
        <w:t>三、部门涉及的专业名词</w:t>
      </w:r>
    </w:p>
    <w:p w14:paraId="166021F4">
      <w:pPr>
        <w:pStyle w:val="4"/>
        <w:widowControl/>
        <w:spacing w:before="0" w:beforeAutospacing="0" w:after="0" w:afterAutospacing="0" w:line="480" w:lineRule="atLeast"/>
        <w:ind w:firstLine="1280" w:firstLineChars="400"/>
        <w:rPr>
          <w:rStyle w:val="7"/>
          <w:rFonts w:hint="eastAsia" w:ascii="仿宋" w:hAnsi="仿宋" w:eastAsia="仿宋" w:cs="仿宋"/>
          <w:b w:val="0"/>
          <w:bCs/>
          <w:color w:val="434343"/>
          <w:sz w:val="32"/>
          <w:szCs w:val="32"/>
          <w:shd w:val="clear" w:color="auto" w:fill="FFFFFF"/>
        </w:rPr>
      </w:pPr>
      <w:r>
        <w:rPr>
          <w:rStyle w:val="7"/>
          <w:rFonts w:hint="eastAsia" w:ascii="仿宋" w:hAnsi="仿宋" w:eastAsia="仿宋" w:cs="仿宋"/>
          <w:b w:val="0"/>
          <w:bCs/>
          <w:color w:val="434343"/>
          <w:sz w:val="32"/>
          <w:szCs w:val="32"/>
          <w:shd w:val="clear" w:color="auto" w:fill="FFFFFF"/>
        </w:rPr>
        <w:t>乡村振兴：乡村振兴战略的基本内涵是产业兴旺、生态宜居、乡风文明、治理有效、生活富裕。</w:t>
      </w:r>
    </w:p>
    <w:p w14:paraId="46720A37">
      <w:pPr>
        <w:pStyle w:val="4"/>
        <w:widowControl/>
        <w:spacing w:before="0" w:beforeAutospacing="0" w:after="0" w:afterAutospacing="0" w:line="480" w:lineRule="atLeast"/>
        <w:ind w:firstLine="1280" w:firstLineChars="400"/>
        <w:rPr>
          <w:rFonts w:hint="eastAsia" w:ascii="仿宋" w:hAnsi="仿宋" w:eastAsia="仿宋" w:cs="仿宋"/>
          <w:color w:val="000000"/>
          <w:sz w:val="32"/>
          <w:szCs w:val="32"/>
        </w:rPr>
      </w:pPr>
      <w:r>
        <w:rPr>
          <w:rStyle w:val="7"/>
          <w:rFonts w:hint="eastAsia" w:ascii="仿宋" w:hAnsi="仿宋" w:eastAsia="仿宋" w:cs="仿宋"/>
          <w:b w:val="0"/>
          <w:bCs/>
          <w:color w:val="434343"/>
          <w:sz w:val="32"/>
          <w:szCs w:val="32"/>
          <w:shd w:val="clear" w:color="auto" w:fill="FFFFFF"/>
        </w:rPr>
        <w:t>县级储备粮：县级储备粮是指市（县级）人民政府储备的用于调节全市（县）行政区域内的粮食供求，稳定粮食市场，应对重大自然灾害或者其他突发公共事件等情况的粮食。</w:t>
      </w: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Adobe 仿宋 Std R">
    <w:altName w:val="仿宋"/>
    <w:panose1 w:val="00000000000000000000"/>
    <w:charset w:val="86"/>
    <w:family w:val="auto"/>
    <w:pitch w:val="default"/>
    <w:sig w:usb0="00000000" w:usb1="00000000" w:usb2="00000016" w:usb3="00000000" w:csb0="00060007"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69E07">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4F191E"/>
    <w:multiLevelType w:val="singleLevel"/>
    <w:tmpl w:val="934F191E"/>
    <w:lvl w:ilvl="0" w:tentative="0">
      <w:start w:val="42"/>
      <w:numFmt w:val="decimal"/>
      <w:lvlText w:val="%1."/>
      <w:lvlJc w:val="left"/>
      <w:pPr>
        <w:tabs>
          <w:tab w:val="left" w:pos="312"/>
        </w:tabs>
      </w:pPr>
    </w:lvl>
  </w:abstractNum>
  <w:abstractNum w:abstractNumId="1">
    <w:nsid w:val="B19DB6C8"/>
    <w:multiLevelType w:val="singleLevel"/>
    <w:tmpl w:val="B19DB6C8"/>
    <w:lvl w:ilvl="0" w:tentative="0">
      <w:start w:val="1"/>
      <w:numFmt w:val="decimal"/>
      <w:suff w:val="nothing"/>
      <w:lvlText w:val="%1）"/>
      <w:lvlJc w:val="left"/>
      <w:pPr>
        <w:ind w:left="1122" w:firstLine="0"/>
      </w:pPr>
    </w:lvl>
  </w:abstractNum>
  <w:abstractNum w:abstractNumId="2">
    <w:nsid w:val="2150116D"/>
    <w:multiLevelType w:val="singleLevel"/>
    <w:tmpl w:val="2150116D"/>
    <w:lvl w:ilvl="0" w:tentative="0">
      <w:start w:val="32"/>
      <w:numFmt w:val="decimal"/>
      <w:lvlText w:val="%1."/>
      <w:lvlJc w:val="left"/>
      <w:pPr>
        <w:tabs>
          <w:tab w:val="left" w:pos="312"/>
        </w:tabs>
      </w:pPr>
    </w:lvl>
  </w:abstractNum>
  <w:abstractNum w:abstractNumId="3">
    <w:nsid w:val="3D7D2650"/>
    <w:multiLevelType w:val="singleLevel"/>
    <w:tmpl w:val="3D7D2650"/>
    <w:lvl w:ilvl="0" w:tentative="0">
      <w:start w:val="51"/>
      <w:numFmt w:val="decimal"/>
      <w:lvlText w:val="%1."/>
      <w:lvlJc w:val="left"/>
      <w:pPr>
        <w:tabs>
          <w:tab w:val="left" w:pos="312"/>
        </w:tabs>
      </w:pPr>
    </w:lvl>
  </w:abstractNum>
  <w:abstractNum w:abstractNumId="4">
    <w:nsid w:val="50D71490"/>
    <w:multiLevelType w:val="singleLevel"/>
    <w:tmpl w:val="50D71490"/>
    <w:lvl w:ilvl="0" w:tentative="0">
      <w:start w:val="23"/>
      <w:numFmt w:val="decimal"/>
      <w:lvlText w:val="%1."/>
      <w:lvlJc w:val="left"/>
      <w:pPr>
        <w:tabs>
          <w:tab w:val="left" w:pos="312"/>
        </w:tabs>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hyphenationZone w:val="360"/>
  <w:drawingGridHorizontalSpacing w:val="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9A6594"/>
    <w:rsid w:val="00BD2E46"/>
    <w:rsid w:val="1091772E"/>
    <w:rsid w:val="207D397A"/>
    <w:rsid w:val="26DE3FC5"/>
    <w:rsid w:val="42594DA6"/>
    <w:rsid w:val="46633F07"/>
    <w:rsid w:val="49237091"/>
    <w:rsid w:val="4B1049F3"/>
    <w:rsid w:val="666A3D68"/>
    <w:rsid w:val="6BCB22D2"/>
    <w:rsid w:val="6CAF2FA2"/>
    <w:rsid w:val="6F85024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6">
    <w:name w:val="Default Paragraph Font"/>
    <w:uiPriority w:val="0"/>
  </w:style>
  <w:style w:type="table" w:default="1" w:styleId="5">
    <w:name w:val="Normal Table"/>
    <w:semiHidden/>
    <w:uiPriority w:val="0"/>
    <w:tblPr>
      <w:tblStyle w:val="5"/>
      <w:tblCellMar>
        <w:top w:w="0" w:type="dxa"/>
        <w:left w:w="108" w:type="dxa"/>
        <w:bottom w:w="0" w:type="dxa"/>
        <w:right w:w="108" w:type="dxa"/>
      </w:tblCellMar>
    </w:tblPr>
  </w:style>
  <w:style w:type="paragraph" w:styleId="2">
    <w:name w:val="footer"/>
    <w:basedOn w:val="1"/>
    <w:link w:val="13"/>
    <w:uiPriority w:val="0"/>
    <w:pPr>
      <w:tabs>
        <w:tab w:val="center" w:pos="4153"/>
        <w:tab w:val="right" w:pos="8306"/>
      </w:tabs>
      <w:snapToGrid w:val="0"/>
      <w:jc w:val="left"/>
    </w:pPr>
    <w:rPr>
      <w:sz w:val="18"/>
      <w:szCs w:val="18"/>
    </w:rPr>
  </w:style>
  <w:style w:type="paragraph" w:styleId="3">
    <w:name w:val="header"/>
    <w:basedOn w:val="1"/>
    <w:link w:val="10"/>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100" w:beforeAutospacing="1" w:after="100" w:afterAutospacing="1"/>
      <w:jc w:val="left"/>
    </w:pPr>
    <w:rPr>
      <w:rFonts w:cs="Times New Roman"/>
      <w:kern w:val="0"/>
      <w:sz w:val="24"/>
    </w:rPr>
  </w:style>
  <w:style w:type="character" w:styleId="7">
    <w:name w:val="Strong"/>
    <w:basedOn w:val="6"/>
    <w:qFormat/>
    <w:uiPriority w:val="0"/>
    <w:rPr>
      <w:b/>
    </w:rPr>
  </w:style>
  <w:style w:type="character" w:styleId="8">
    <w:name w:val="Hyperlink"/>
    <w:basedOn w:val="6"/>
    <w:uiPriority w:val="0"/>
    <w:rPr>
      <w:color w:val="0000FF"/>
      <w:u w:val="single"/>
    </w:rPr>
  </w:style>
  <w:style w:type="character" w:customStyle="1" w:styleId="9">
    <w:name w:val="15"/>
    <w:basedOn w:val="6"/>
    <w:uiPriority w:val="0"/>
    <w:rPr>
      <w:rFonts w:hint="default" w:ascii="Times New Roman" w:hAnsi="Times New Roman" w:cs="Times New Roman"/>
      <w:sz w:val="20"/>
      <w:szCs w:val="20"/>
    </w:rPr>
  </w:style>
  <w:style w:type="character" w:customStyle="1" w:styleId="10">
    <w:name w:val="页眉 Char"/>
    <w:basedOn w:val="6"/>
    <w:link w:val="3"/>
    <w:uiPriority w:val="0"/>
    <w:rPr>
      <w:sz w:val="18"/>
      <w:szCs w:val="18"/>
    </w:rPr>
  </w:style>
  <w:style w:type="character" w:customStyle="1" w:styleId="11">
    <w:name w:val="row_tree_level_3"/>
    <w:basedOn w:val="6"/>
    <w:uiPriority w:val="0"/>
  </w:style>
  <w:style w:type="character" w:customStyle="1" w:styleId="12">
    <w:name w:val="row_tree_level_4"/>
    <w:basedOn w:val="6"/>
    <w:uiPriority w:val="0"/>
  </w:style>
  <w:style w:type="character" w:customStyle="1" w:styleId="13">
    <w:name w:val="页脚 Char"/>
    <w:basedOn w:val="6"/>
    <w:link w:val="2"/>
    <w:uiPriority w:val="0"/>
    <w:rPr>
      <w:sz w:val="18"/>
      <w:szCs w:val="18"/>
    </w:rPr>
  </w:style>
  <w:style w:type="paragraph" w:customStyle="1" w:styleId="14">
    <w:name w:val="p0"/>
    <w:basedOn w:val="1"/>
    <w:uiPriority w:val="0"/>
    <w:pPr>
      <w:widowControl/>
    </w:pPr>
    <w:rPr>
      <w:rFonts w:ascii="Times New Roman" w:hAnsi="Times New Roman" w:cs="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50</Pages>
  <Words>16544</Words>
  <Characters>18026</Characters>
  <Lines>154</Lines>
  <Paragraphs>43</Paragraphs>
  <TotalTime>37</TotalTime>
  <ScaleCrop>false</ScaleCrop>
  <LinksUpToDate>false</LinksUpToDate>
  <CharactersWithSpaces>19638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2022-05-18T04:25:00Z</dcterms:created>
  <dc:creator>NTKO</dc:creator>
  <cp:lastModifiedBy>熊艳</cp:lastModifiedBy>
  <dcterms:modified xsi:type="dcterms:W3CDTF">2026-03-12T03:17:11Z</dcterms:modified>
  <dc:title>xtzj</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1E113F585F124CA4AFB02E2B0EA7A80C_13</vt:lpwstr>
  </property>
  <property fmtid="{D5CDD505-2E9C-101B-9397-08002B2CF9AE}" pid="4" name="KSOTemplateDocerSaveRecord">
    <vt:lpwstr>eyJoZGlkIjoiYzg2YzNiNDA0ZTUwNzhlODNmODI5ZTM0Zjg4ZTAzNTgiLCJ1c2VySWQiOiIxMDI4MzE4MjM5In0=</vt:lpwstr>
  </property>
</Properties>
</file>