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35888">
      <w:pPr>
        <w:spacing w:line="620" w:lineRule="exact"/>
        <w:jc w:val="center"/>
        <w:rPr>
          <w:rFonts w:hint="eastAsia" w:ascii="方正小标宋简体" w:hAnsi="方正小标宋简体" w:eastAsia="方正小标宋简体"/>
          <w:sz w:val="44"/>
          <w:szCs w:val="32"/>
        </w:rPr>
      </w:pPr>
    </w:p>
    <w:p w14:paraId="3CB0F0B2">
      <w:pPr>
        <w:spacing w:line="620" w:lineRule="exact"/>
        <w:jc w:val="center"/>
        <w:rPr>
          <w:rFonts w:hint="eastAsia" w:ascii="方正小标宋简体" w:hAnsi="方正小标宋简体" w:eastAsia="方正小标宋简体"/>
          <w:sz w:val="44"/>
          <w:szCs w:val="32"/>
          <w:lang w:eastAsia="zh-CN"/>
        </w:rPr>
      </w:pPr>
      <w:bookmarkStart w:id="0" w:name="_GoBack"/>
      <w:r>
        <w:rPr>
          <w:rFonts w:hint="eastAsia" w:ascii="方正小标宋简体" w:hAnsi="方正小标宋简体" w:eastAsia="方正小标宋简体"/>
          <w:sz w:val="44"/>
          <w:szCs w:val="32"/>
          <w:lang w:eastAsia="zh-CN"/>
        </w:rPr>
        <w:t>项目支出绩效评价报告</w:t>
      </w:r>
    </w:p>
    <w:p w14:paraId="061EE0BF">
      <w:pPr>
        <w:spacing w:line="620" w:lineRule="exact"/>
        <w:jc w:val="center"/>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lang w:val="en-US" w:eastAsia="zh-CN"/>
        </w:rPr>
        <w:t>—儿童福利</w:t>
      </w:r>
    </w:p>
    <w:p w14:paraId="4DE20F9A">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一、</w:t>
      </w:r>
      <w:r>
        <w:rPr>
          <w:rFonts w:hint="eastAsia" w:ascii="黑体" w:hAnsi="黑体" w:eastAsia="黑体"/>
          <w:sz w:val="32"/>
          <w:lang w:val="en-US" w:eastAsia="zh-CN"/>
        </w:rPr>
        <w:t>基本情况</w:t>
      </w:r>
    </w:p>
    <w:p w14:paraId="47C71520">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4E984B20">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我省孤儿基本生活费的发放对象为：城乡福利机构抚养的孤儿和扶养人或监护人为贫困家庭的社会散居孤儿。（贫困家庭是指：城市和农村最低生活保障家庭；经县级以上民政部门依据有关规定和条件认定的其他贫困家庭。）事实无人抚养儿童是指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具有江西省户籍，持有《中华人民共和国残疾人证》的残疾孤儿(残疾事实无人抚养儿童)或持有残疾评定指定医院、县及县以上具备医疗诊断资质的专业机构出具诊断证明的0-6岁(不满7周岁)残疾孤儿(残疾事实无人抚养儿童)。残疾孤儿(残疾事实无人抚养儿童)年满18周岁后仍在接受义务教育或者在普通高中、中等职业学校、高等职业学校、普通全日制专科学校、普通全日制本科学校等就读高中、中专、大专、本科学生和硕士研究生，可继续享受照料护理补贴。</w:t>
      </w:r>
    </w:p>
    <w:p w14:paraId="4FD260D3">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w:t>
      </w:r>
      <w:r>
        <w:rPr>
          <w:rFonts w:hint="default" w:ascii="仿宋_GB2312" w:hAnsi="仿宋_GB2312" w:eastAsia="仿宋_GB2312"/>
          <w:sz w:val="32"/>
          <w:lang w:val="en-US" w:eastAsia="zh-CN"/>
        </w:rPr>
        <w:t>基本生活费发放标准</w:t>
      </w:r>
    </w:p>
    <w:p w14:paraId="327E7DE1">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城乡福利机构抚养孤儿每人每月1940元；城乡散居孤儿每人每月1450元，</w:t>
      </w:r>
      <w:r>
        <w:rPr>
          <w:rFonts w:hint="eastAsia" w:ascii="仿宋_GB2312" w:eastAsia="仿宋_GB2312"/>
          <w:sz w:val="32"/>
          <w:szCs w:val="32"/>
          <w:highlight w:val="none"/>
          <w:lang w:val="en-US" w:eastAsia="zh-CN"/>
        </w:rPr>
        <w:t>事实无人抚养儿童1450</w:t>
      </w:r>
      <w:r>
        <w:rPr>
          <w:rFonts w:hint="eastAsia" w:ascii="仿宋_GB2312" w:hAnsi="仿宋_GB2312" w:eastAsia="仿宋_GB2312"/>
          <w:sz w:val="32"/>
          <w:lang w:val="en-US" w:eastAsia="zh-CN"/>
        </w:rPr>
        <w:t>元，</w:t>
      </w:r>
      <w:r>
        <w:rPr>
          <w:rFonts w:hint="eastAsia" w:ascii="仿宋_GB2312" w:eastAsia="仿宋_GB2312"/>
          <w:sz w:val="32"/>
          <w:szCs w:val="32"/>
          <w:highlight w:val="none"/>
          <w:lang w:val="en-US" w:eastAsia="zh-CN"/>
        </w:rPr>
        <w:t>残疾孤儿(残疾事实无人抚养儿童)照料护理补贴1500元</w:t>
      </w:r>
      <w:r>
        <w:rPr>
          <w:rFonts w:hint="eastAsia" w:ascii="仿宋_GB2312" w:hAnsi="仿宋_GB2312" w:eastAsia="仿宋_GB2312"/>
          <w:sz w:val="32"/>
          <w:lang w:val="en-US" w:eastAsia="zh-CN"/>
        </w:rPr>
        <w:t>。</w:t>
      </w:r>
    </w:p>
    <w:p w14:paraId="64F355F2">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按照《意见》及《通知》要求，孤儿基本生活费由地方各级财政安排专项资金予以保障，中央财政安排专项资金予以补助。中央财政补助资金自2011年起采取预拨方式，将部分来年所需资金跨年度提前下拨各地。各地要定期与财政部门沟通，确保按月发放孤儿基本生活费、事实无人抚养儿童基本生活费、残疾孤儿（残疾事实无人抚养儿童）照料护理补贴。孤儿基本生活费、事实无人抚养儿童基本生活费、残疾孤儿（残疾事实无人抚养儿童）照料护理补贴严格执行专款专用，不得从中列支工作费用。庐山市民政局2023年儿童福利项目收到上级补助收入75万元，本级财政配套收入158万元，2023年1-12月累计发放孤儿基本生活费、事实无人抚养儿童基本生活费、残疾孤儿（残疾事实无人抚养儿童）照料护理补贴197.42万元。</w:t>
      </w:r>
    </w:p>
    <w:p w14:paraId="0039C980">
      <w:pPr>
        <w:numPr>
          <w:ilvl w:val="0"/>
          <w:numId w:val="1"/>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552C698E">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牢固树立公共财政意识，认真贯彻落实上级文件要求，足额列支专项资金，实行专户粗存，专款专用，并积极推行保障金社会化发放；对保障对象实行动态管理，据实核定家庭收入，做到应保尽保，按月足额补差，切实保障困难群众的基本生活。</w:t>
      </w:r>
    </w:p>
    <w:p w14:paraId="0229E3D4">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63992BAF">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222C6DCA">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绩效评价目的：通过对项目绩效目标实现程度进行科学、客观、公正地衡量和评判，考核项目实施的综合绩效水平，总结实施过程中的经验，揭示政策措施贯彻落实、项目建设管理运营存在的问题，分析原因并提出改进建议，促进项目管理水平和财政资金使用效益的进一步提高。</w:t>
      </w:r>
    </w:p>
    <w:p w14:paraId="0A26B848">
      <w:pPr>
        <w:numPr>
          <w:ilvl w:val="0"/>
          <w:numId w:val="0"/>
        </w:num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2.绩效评价对象和范围：本次绩效评价对象为孤儿基本生活费、事实无人抚养儿童基本生活费、残疾孤儿（残疾事实无人抚养儿童）照料护理补贴一体化项目预算资金使用效益及具体实施情况，涵盖庐山市整个乡镇区域，结合资金划拨程序、财务管理规范及绩效目标要求等，评价范围包括项目决策情况、项目过程情况及项目产出、效益情况。</w:t>
      </w:r>
    </w:p>
    <w:p w14:paraId="3119F0A2">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22ECAA9C">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评价指标体系由一级至三级指标及分值、指标解释及指标说明5个部分组成，本项目绩效评价指标体系共设置3个一级指标、7个二级指标和11个三级指标。</w:t>
      </w:r>
    </w:p>
    <w:p w14:paraId="590D5015">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绩效评价指标体系构成中，一级指标体系的权重分配为：项目决策类指标占5%，项目过程类指标占10%，项目产出设定指标占45%，项目效益设定指标占40%。</w:t>
      </w:r>
    </w:p>
    <w:p w14:paraId="2D4438B4">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绩效评价采用定量与定性相结合、书面评价和现场评价相结合方式，运用案卷研究法、公众评判法、实地测评法、成本—效益比较法、目标预定与实施效果比较法、横向比较法等方法进行评价。</w:t>
      </w:r>
    </w:p>
    <w:p w14:paraId="5916AB16">
      <w:pPr>
        <w:numPr>
          <w:ilvl w:val="0"/>
          <w:numId w:val="1"/>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绩效评价工作过程。</w:t>
      </w:r>
    </w:p>
    <w:p w14:paraId="0CF14A84">
      <w:pPr>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根据各业务股室的情况汇报和提交的工作计划、工作总结等资料，评价小组现场进行询查和核实，根据确定的评价指标、评价标准和评价方法统一打分，形成自评结论。</w:t>
      </w:r>
    </w:p>
    <w:p w14:paraId="69295F9B">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rPr>
        <w:t>三、</w:t>
      </w:r>
      <w:r>
        <w:rPr>
          <w:rFonts w:hint="eastAsia" w:ascii="黑体" w:hAnsi="黑体" w:eastAsia="黑体"/>
          <w:sz w:val="32"/>
          <w:lang w:val="en-US" w:eastAsia="zh-CN"/>
        </w:rPr>
        <w:t>综合评价情况及评价结论（附相关评分表）</w:t>
      </w:r>
    </w:p>
    <w:p w14:paraId="4D9A2C44">
      <w:pPr>
        <w:spacing w:line="240" w:lineRule="auto"/>
        <w:rPr>
          <w:rFonts w:hint="eastAsia" w:ascii="黑体" w:hAnsi="黑体" w:eastAsia="黑体"/>
          <w:sz w:val="32"/>
          <w:lang w:val="en-US" w:eastAsia="zh-CN"/>
        </w:rPr>
      </w:pPr>
      <w:r>
        <w:rPr>
          <w:rFonts w:hint="eastAsia" w:ascii="黑体" w:hAnsi="黑体" w:eastAsia="黑体"/>
          <w:sz w:val="32"/>
          <w:lang w:val="en-US" w:eastAsia="zh-CN"/>
        </w:rPr>
        <w:object>
          <v:shape id="_x0000_i1026" o:spt="75" type="#_x0000_t75" style="height:359.4pt;width:415.25pt;" o:ole="t" filled="f" o:preferrelative="t" stroked="f" coordsize="21600,21600">
            <v:path/>
            <v:fill on="f" focussize="0,0"/>
            <v:stroke on="f"/>
            <v:imagedata r:id="rId5" o:title=""/>
            <o:lock v:ext="edit" aspectratio="f"/>
            <w10:wrap type="none"/>
            <w10:anchorlock/>
          </v:shape>
          <o:OLEObject Type="Embed" ProgID="Excel.Sheet.8" ShapeID="_x0000_i1026" DrawAspect="Content" ObjectID="_1468075725" r:id="rId4">
            <o:LockedField>false</o:LockedField>
          </o:OLEObject>
        </w:object>
      </w:r>
    </w:p>
    <w:p w14:paraId="7D8712C1">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四、</w:t>
      </w:r>
      <w:r>
        <w:rPr>
          <w:rFonts w:hint="eastAsia" w:ascii="黑体" w:hAnsi="黑体" w:eastAsia="黑体"/>
          <w:sz w:val="32"/>
          <w:lang w:val="en-US" w:eastAsia="zh-CN"/>
        </w:rPr>
        <w:t>绩效评价指标分析</w:t>
      </w:r>
    </w:p>
    <w:p w14:paraId="5E8BDAC3">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p>
    <w:p w14:paraId="56EC4459">
      <w:pPr>
        <w:spacing w:line="620" w:lineRule="exac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决策指标分值为</w:t>
      </w:r>
      <w:r>
        <w:rPr>
          <w:rFonts w:hint="eastAsia" w:ascii="仿宋_GB2312" w:hAnsi="仿宋_GB2312" w:eastAsia="仿宋_GB2312"/>
          <w:sz w:val="32"/>
          <w:lang w:val="en-US" w:eastAsia="zh-CN"/>
        </w:rPr>
        <w:t>5</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4</w:t>
      </w:r>
      <w:r>
        <w:rPr>
          <w:rFonts w:hint="eastAsia" w:ascii="仿宋_GB2312" w:hAnsi="仿宋_GB2312" w:eastAsia="仿宋_GB2312"/>
          <w:sz w:val="32"/>
        </w:rPr>
        <w:t>分，得分率为</w:t>
      </w:r>
      <w:r>
        <w:rPr>
          <w:rFonts w:hint="eastAsia" w:ascii="仿宋_GB2312" w:hAnsi="仿宋_GB2312" w:eastAsia="仿宋_GB2312"/>
          <w:sz w:val="32"/>
          <w:lang w:val="en-US" w:eastAsia="zh-CN"/>
        </w:rPr>
        <w:t>80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756654AE">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p>
    <w:p w14:paraId="2CE74B6C">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过程指标分值为</w:t>
      </w:r>
      <w:r>
        <w:rPr>
          <w:rFonts w:hint="eastAsia" w:ascii="仿宋_GB2312" w:hAnsi="仿宋_GB2312" w:eastAsia="仿宋_GB2312"/>
          <w:sz w:val="32"/>
          <w:lang w:val="en-US" w:eastAsia="zh-CN"/>
        </w:rPr>
        <w:t>10</w:t>
      </w:r>
      <w:r>
        <w:rPr>
          <w:rFonts w:hint="eastAsia" w:ascii="仿宋_GB2312" w:hAnsi="仿宋_GB2312" w:eastAsia="仿宋_GB2312"/>
          <w:sz w:val="32"/>
        </w:rPr>
        <w:t>分，评价得分为</w:t>
      </w:r>
      <w:r>
        <w:rPr>
          <w:rFonts w:hint="eastAsia" w:ascii="仿宋_GB2312" w:hAnsi="仿宋_GB2312" w:eastAsia="仿宋_GB2312"/>
          <w:sz w:val="32"/>
          <w:lang w:val="en-US" w:eastAsia="zh-CN"/>
        </w:rPr>
        <w:t>8</w:t>
      </w:r>
      <w:r>
        <w:rPr>
          <w:rFonts w:hint="eastAsia" w:ascii="仿宋_GB2312" w:hAnsi="仿宋_GB2312" w:eastAsia="仿宋_GB2312"/>
          <w:sz w:val="32"/>
        </w:rPr>
        <w:t>分，得分率为</w:t>
      </w:r>
      <w:r>
        <w:rPr>
          <w:rFonts w:hint="eastAsia" w:ascii="仿宋_GB2312" w:hAnsi="仿宋_GB2312" w:eastAsia="仿宋_GB2312"/>
          <w:sz w:val="32"/>
          <w:lang w:val="en-US" w:eastAsia="zh-CN"/>
        </w:rPr>
        <w:t>80</w:t>
      </w:r>
      <w:r>
        <w:rPr>
          <w:rFonts w:hint="eastAsia" w:ascii="仿宋_GB2312" w:hAnsi="仿宋_GB2312" w:eastAsia="仿宋_GB2312"/>
          <w:sz w:val="32"/>
        </w:rPr>
        <w:t>%。项目立项依据充分、立项程序规范，设置的绩效目标合理</w:t>
      </w:r>
      <w:r>
        <w:rPr>
          <w:rFonts w:hint="eastAsia" w:ascii="仿宋_GB2312" w:hAnsi="仿宋_GB2312" w:eastAsia="仿宋_GB2312"/>
          <w:sz w:val="32"/>
          <w:lang w:eastAsia="zh-CN"/>
        </w:rPr>
        <w:t>。</w:t>
      </w:r>
    </w:p>
    <w:p w14:paraId="1DA9B1D0">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rPr>
        <w:t>（三）</w:t>
      </w:r>
      <w:r>
        <w:rPr>
          <w:rFonts w:hint="eastAsia" w:ascii="仿宋_GB2312" w:hAnsi="仿宋_GB2312" w:eastAsia="仿宋_GB2312"/>
          <w:sz w:val="32"/>
          <w:lang w:val="en-US" w:eastAsia="zh-CN"/>
        </w:rPr>
        <w:t>项目产出情况。</w:t>
      </w:r>
    </w:p>
    <w:p w14:paraId="7B49D086">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产出指标分值为45分，评价得分为45分，得分率为100%。严格按照城孤儿基本生活费、事实无人抚养儿童基本生活费、残疾孤儿（残疾事实无人抚养儿童）照料护理补贴在册人数按全市生活保障补助标准水平进行社会化发放。</w:t>
      </w:r>
    </w:p>
    <w:p w14:paraId="5AAD9D60">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（四）项目效益情况。</w:t>
      </w:r>
    </w:p>
    <w:p w14:paraId="1BC9A50E">
      <w:pPr>
        <w:spacing w:line="62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效益指标分值为40分，评价得分为36分，得分率为90%。孤儿基本生活费、事实无人抚养儿童基本生活费、残疾孤儿（残疾事实无人抚养儿童）照料护理补贴项目的实施，切实保障了我市困难群众基本生活水平；解决困难群众基本生活问题，维护社会和谐稳定，社会救助水平与经济发展水平相适应；</w:t>
      </w:r>
    </w:p>
    <w:p w14:paraId="62E8B97F">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423A8EC5">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绩效理念有待提高。评价年度计划产出与应实现的效益缺少刚性约束，项目绩效理念有待加强。</w:t>
      </w:r>
    </w:p>
    <w:p w14:paraId="7260C268">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根据自评结果及时总结经验，改进管理措施，不断增强和落实绩效管理责任，完善工作机制。</w:t>
      </w:r>
    </w:p>
    <w:p w14:paraId="7D5148DC">
      <w:pPr>
        <w:numPr>
          <w:ilvl w:val="0"/>
          <w:numId w:val="2"/>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0A539E76">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加强绩效管理能力，提升绩效管理水平</w:t>
      </w:r>
    </w:p>
    <w:p w14:paraId="75C7650A">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是建议在设定项目绩效目标时，按照全面实施预算绩效管理的要求，确保绩效目标设定具有适当性，绩效指标表述清晰、规范，具有一定可衡量性。二是加强单位的绩效培训力度，提高单位绩效工作质量，加强对项目资金绩效的监督管理，定期对项目资金的使用情况进行监督、跟踪和评价。三是建议全面了解资金项目的产出和效益完成情况，加强对项目绩效审核规范性，为后期绩效的评价打下良好基础，确保项目预期产出和效益的顺利完成。</w:t>
      </w:r>
    </w:p>
    <w:p w14:paraId="6D68E310">
      <w:pPr>
        <w:numPr>
          <w:ilvl w:val="0"/>
          <w:numId w:val="2"/>
        </w:numPr>
        <w:spacing w:line="620" w:lineRule="exact"/>
        <w:ind w:left="0" w:leftChars="0" w:firstLine="640" w:firstLineChars="200"/>
        <w:rPr>
          <w:rFonts w:hint="eastAsia" w:ascii="黑体" w:hAnsi="黑体" w:eastAsia="黑体"/>
          <w:sz w:val="32"/>
          <w:lang w:val="en-US" w:eastAsia="zh-CN"/>
        </w:rPr>
      </w:pPr>
      <w:r>
        <w:rPr>
          <w:rFonts w:hint="eastAsia" w:ascii="黑体" w:hAnsi="黑体" w:eastAsia="黑体"/>
          <w:sz w:val="32"/>
          <w:lang w:val="en-US" w:eastAsia="zh-CN"/>
        </w:rPr>
        <w:t>其他需要说明的问题</w:t>
      </w:r>
    </w:p>
    <w:p w14:paraId="454146E5">
      <w:pPr>
        <w:numPr>
          <w:ilvl w:val="0"/>
          <w:numId w:val="0"/>
        </w:numPr>
        <w:spacing w:line="620" w:lineRule="exact"/>
        <w:ind w:leftChars="200"/>
        <w:rPr>
          <w:rFonts w:hint="default" w:ascii="宋体" w:hAnsi="宋体" w:eastAsia="宋体" w:cs="宋体"/>
          <w:b w:val="0"/>
          <w:bCs w:val="0"/>
          <w:sz w:val="32"/>
          <w:lang w:val="en-US" w:eastAsia="zh-CN"/>
        </w:rPr>
      </w:pPr>
      <w:r>
        <w:rPr>
          <w:rFonts w:hint="eastAsia" w:ascii="黑体" w:hAnsi="黑体" w:eastAsia="黑体"/>
          <w:sz w:val="32"/>
          <w:lang w:val="en-US" w:eastAsia="zh-CN"/>
        </w:rPr>
        <w:t xml:space="preserve"> </w:t>
      </w:r>
      <w:r>
        <w:rPr>
          <w:rFonts w:hint="eastAsia" w:ascii="仿宋_GB2312" w:hAnsi="仿宋_GB2312" w:eastAsia="仿宋_GB2312"/>
          <w:sz w:val="32"/>
          <w:lang w:val="en-US" w:eastAsia="zh-CN"/>
        </w:rPr>
        <w:t>无其他需要说明的问题。</w:t>
      </w:r>
    </w:p>
    <w:bookmarkEnd w:id="0"/>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493D5"/>
    <w:multiLevelType w:val="singleLevel"/>
    <w:tmpl w:val="56D493D5"/>
    <w:lvl w:ilvl="0" w:tentative="0">
      <w:start w:val="6"/>
      <w:numFmt w:val="chineseCounting"/>
      <w:suff w:val="nothing"/>
      <w:lvlText w:val="%1、"/>
      <w:lvlJc w:val="left"/>
      <w:rPr>
        <w:rFonts w:hint="eastAsia"/>
      </w:rPr>
    </w:lvl>
  </w:abstractNum>
  <w:abstractNum w:abstractNumId="1">
    <w:nsid w:val="65C058EB"/>
    <w:multiLevelType w:val="singleLevel"/>
    <w:tmpl w:val="65C058E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xNmM4ZmI1ZGU5MzUxODk1NjNiZmI1YTc1MzU5MGMifQ=="/>
  </w:docVars>
  <w:rsids>
    <w:rsidRoot w:val="00000000"/>
    <w:rsid w:val="05A01219"/>
    <w:rsid w:val="0701218C"/>
    <w:rsid w:val="0C9927BA"/>
    <w:rsid w:val="0E8A7C66"/>
    <w:rsid w:val="0F7F2A80"/>
    <w:rsid w:val="189F337E"/>
    <w:rsid w:val="2D4C5AA8"/>
    <w:rsid w:val="2DA56B2B"/>
    <w:rsid w:val="2F1C42A3"/>
    <w:rsid w:val="304D4F59"/>
    <w:rsid w:val="30770C11"/>
    <w:rsid w:val="31505715"/>
    <w:rsid w:val="3682076F"/>
    <w:rsid w:val="3B9A11EC"/>
    <w:rsid w:val="469C7F72"/>
    <w:rsid w:val="4B2B6E8D"/>
    <w:rsid w:val="4C7C718B"/>
    <w:rsid w:val="4E80581D"/>
    <w:rsid w:val="4FE85275"/>
    <w:rsid w:val="531C255F"/>
    <w:rsid w:val="54CF7A9F"/>
    <w:rsid w:val="58055332"/>
    <w:rsid w:val="5C9B540C"/>
    <w:rsid w:val="626A2BF7"/>
    <w:rsid w:val="661E14D0"/>
    <w:rsid w:val="67AE5A3D"/>
    <w:rsid w:val="6DCF7084"/>
    <w:rsid w:val="6E00533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autoRedefine/>
    <w:qFormat/>
    <w:uiPriority w:val="0"/>
    <w:rPr>
      <w:color w:val="0000FF"/>
      <w:u w:val="single"/>
    </w:rPr>
  </w:style>
  <w:style w:type="paragraph" w:customStyle="1" w:styleId="6">
    <w:name w:val="正文1 Char Char Char"/>
    <w:basedOn w:val="1"/>
    <w:autoRedefine/>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2340</Words>
  <Characters>2404</Characters>
  <Lines>0</Lines>
  <Paragraphs>0</Paragraphs>
  <TotalTime>0</TotalTime>
  <ScaleCrop>false</ScaleCrop>
  <LinksUpToDate>false</LinksUpToDate>
  <CharactersWithSpaces>2416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再见如初</cp:lastModifiedBy>
  <dcterms:modified xsi:type="dcterms:W3CDTF">2024-10-16T04:41:36Z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82B3B4755C8540618DA609384EA5F802_13</vt:lpwstr>
  </property>
</Properties>
</file>