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479FC">
      <w:pPr>
        <w:spacing w:before="100" w:line="230" w:lineRule="auto"/>
        <w:jc w:val="center"/>
        <w:rPr>
          <w:rFonts w:ascii="宋体" w:hAnsi="宋体" w:eastAsia="宋体" w:cs="宋体"/>
          <w:sz w:val="43"/>
          <w:szCs w:val="43"/>
        </w:rPr>
      </w:pPr>
      <w:r>
        <w:rPr>
          <w:rFonts w:hint="eastAsia" w:ascii="宋体" w:hAnsi="宋体" w:eastAsia="宋体" w:cs="宋体"/>
          <w:b/>
          <w:bCs/>
          <w:spacing w:val="19"/>
          <w:sz w:val="43"/>
          <w:szCs w:val="43"/>
          <w:lang w:val="en-US" w:eastAsia="zh-CN"/>
        </w:rPr>
        <w:t>庐山市（局）林业局</w:t>
      </w:r>
      <w:r>
        <w:rPr>
          <w:rFonts w:ascii="宋体" w:hAnsi="宋体" w:eastAsia="宋体" w:cs="宋体"/>
          <w:b/>
          <w:bCs/>
          <w:spacing w:val="19"/>
          <w:sz w:val="43"/>
          <w:szCs w:val="43"/>
        </w:rPr>
        <w:t>2026</w:t>
      </w:r>
      <w:r>
        <w:rPr>
          <w:rFonts w:ascii="宋体" w:hAnsi="宋体" w:eastAsia="宋体" w:cs="宋体"/>
          <w:spacing w:val="-95"/>
          <w:sz w:val="43"/>
          <w:szCs w:val="43"/>
        </w:rPr>
        <w:t xml:space="preserve"> </w:t>
      </w:r>
      <w:r>
        <w:rPr>
          <w:rFonts w:ascii="宋体" w:hAnsi="宋体" w:eastAsia="宋体" w:cs="宋体"/>
          <w:b/>
          <w:bCs/>
          <w:spacing w:val="19"/>
          <w:sz w:val="43"/>
          <w:szCs w:val="43"/>
        </w:rPr>
        <w:t>年度涉企行政检查计划清单</w:t>
      </w:r>
    </w:p>
    <w:p w14:paraId="7BCF5D3C">
      <w:pPr>
        <w:spacing w:line="126"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2467"/>
        <w:gridCol w:w="2181"/>
        <w:gridCol w:w="3449"/>
        <w:gridCol w:w="1595"/>
        <w:gridCol w:w="1731"/>
        <w:gridCol w:w="1820"/>
      </w:tblGrid>
      <w:tr w14:paraId="5E393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5" w:type="dxa"/>
            <w:vAlign w:val="top"/>
          </w:tcPr>
          <w:p w14:paraId="09A063F5">
            <w:pPr>
              <w:spacing w:before="159" w:line="228" w:lineRule="auto"/>
              <w:ind w:left="156"/>
              <w:rPr>
                <w:rFonts w:ascii="黑体" w:hAnsi="黑体" w:eastAsia="黑体" w:cs="黑体"/>
                <w:sz w:val="31"/>
                <w:szCs w:val="31"/>
              </w:rPr>
            </w:pPr>
            <w:r>
              <w:rPr>
                <w:rFonts w:ascii="黑体" w:hAnsi="黑体" w:eastAsia="黑体" w:cs="黑体"/>
                <w:spacing w:val="2"/>
                <w:sz w:val="31"/>
                <w:szCs w:val="31"/>
              </w:rPr>
              <w:t>序号</w:t>
            </w:r>
          </w:p>
        </w:tc>
        <w:tc>
          <w:tcPr>
            <w:tcW w:w="2467" w:type="dxa"/>
            <w:vAlign w:val="top"/>
          </w:tcPr>
          <w:p w14:paraId="1F67E46D">
            <w:pPr>
              <w:spacing w:before="158" w:line="227" w:lineRule="auto"/>
              <w:ind w:left="597"/>
              <w:rPr>
                <w:rFonts w:ascii="黑体" w:hAnsi="黑体" w:eastAsia="黑体" w:cs="黑体"/>
                <w:sz w:val="31"/>
                <w:szCs w:val="31"/>
              </w:rPr>
            </w:pPr>
            <w:r>
              <w:rPr>
                <w:rFonts w:ascii="黑体" w:hAnsi="黑体" w:eastAsia="黑体" w:cs="黑体"/>
                <w:spacing w:val="7"/>
                <w:sz w:val="31"/>
                <w:szCs w:val="31"/>
              </w:rPr>
              <w:t>检查事项</w:t>
            </w:r>
          </w:p>
        </w:tc>
        <w:tc>
          <w:tcPr>
            <w:tcW w:w="2181" w:type="dxa"/>
            <w:vAlign w:val="top"/>
          </w:tcPr>
          <w:p w14:paraId="256E9B01">
            <w:pPr>
              <w:spacing w:before="158" w:line="228" w:lineRule="auto"/>
              <w:ind w:left="456"/>
              <w:rPr>
                <w:rFonts w:ascii="黑体" w:hAnsi="黑体" w:eastAsia="黑体" w:cs="黑体"/>
                <w:sz w:val="31"/>
                <w:szCs w:val="31"/>
              </w:rPr>
            </w:pPr>
            <w:r>
              <w:rPr>
                <w:rFonts w:ascii="黑体" w:hAnsi="黑体" w:eastAsia="黑体" w:cs="黑体"/>
                <w:spacing w:val="7"/>
                <w:sz w:val="31"/>
                <w:szCs w:val="31"/>
              </w:rPr>
              <w:t>检查对象</w:t>
            </w:r>
          </w:p>
        </w:tc>
        <w:tc>
          <w:tcPr>
            <w:tcW w:w="3449" w:type="dxa"/>
            <w:vAlign w:val="top"/>
          </w:tcPr>
          <w:p w14:paraId="2EA9D815">
            <w:pPr>
              <w:spacing w:before="158" w:line="227" w:lineRule="auto"/>
              <w:ind w:left="1090"/>
              <w:rPr>
                <w:rFonts w:ascii="黑体" w:hAnsi="黑体" w:eastAsia="黑体" w:cs="黑体"/>
                <w:sz w:val="31"/>
                <w:szCs w:val="31"/>
              </w:rPr>
            </w:pPr>
            <w:r>
              <w:rPr>
                <w:rFonts w:ascii="黑体" w:hAnsi="黑体" w:eastAsia="黑体" w:cs="黑体"/>
                <w:spacing w:val="7"/>
                <w:sz w:val="31"/>
                <w:szCs w:val="31"/>
              </w:rPr>
              <w:t>检查依据</w:t>
            </w:r>
          </w:p>
        </w:tc>
        <w:tc>
          <w:tcPr>
            <w:tcW w:w="1595" w:type="dxa"/>
            <w:vAlign w:val="top"/>
          </w:tcPr>
          <w:p w14:paraId="1AF672CC">
            <w:pPr>
              <w:spacing w:before="159" w:line="226" w:lineRule="auto"/>
              <w:ind w:left="163"/>
              <w:rPr>
                <w:rFonts w:ascii="黑体" w:hAnsi="黑体" w:eastAsia="黑体" w:cs="黑体"/>
                <w:sz w:val="31"/>
                <w:szCs w:val="31"/>
              </w:rPr>
            </w:pPr>
            <w:r>
              <w:rPr>
                <w:rFonts w:ascii="黑体" w:hAnsi="黑体" w:eastAsia="黑体" w:cs="黑体"/>
                <w:spacing w:val="7"/>
                <w:sz w:val="31"/>
                <w:szCs w:val="31"/>
              </w:rPr>
              <w:t>检查方式</w:t>
            </w:r>
          </w:p>
        </w:tc>
        <w:tc>
          <w:tcPr>
            <w:tcW w:w="1731" w:type="dxa"/>
            <w:vAlign w:val="top"/>
          </w:tcPr>
          <w:p w14:paraId="2D227410">
            <w:pPr>
              <w:spacing w:before="159" w:line="228" w:lineRule="auto"/>
              <w:ind w:left="234"/>
              <w:rPr>
                <w:rFonts w:ascii="黑体" w:hAnsi="黑体" w:eastAsia="黑体" w:cs="黑体"/>
                <w:sz w:val="31"/>
                <w:szCs w:val="31"/>
              </w:rPr>
            </w:pPr>
            <w:r>
              <w:rPr>
                <w:rFonts w:ascii="黑体" w:hAnsi="黑体" w:eastAsia="黑体" w:cs="黑体"/>
                <w:spacing w:val="7"/>
                <w:sz w:val="31"/>
                <w:szCs w:val="31"/>
              </w:rPr>
              <w:t>检查时间</w:t>
            </w:r>
          </w:p>
        </w:tc>
        <w:tc>
          <w:tcPr>
            <w:tcW w:w="1820" w:type="dxa"/>
            <w:vAlign w:val="top"/>
          </w:tcPr>
          <w:p w14:paraId="3FDE2E2B">
            <w:pPr>
              <w:spacing w:before="158" w:line="228" w:lineRule="auto"/>
              <w:ind w:left="276"/>
              <w:rPr>
                <w:rFonts w:ascii="黑体" w:hAnsi="黑体" w:eastAsia="黑体" w:cs="黑体"/>
                <w:sz w:val="31"/>
                <w:szCs w:val="31"/>
              </w:rPr>
            </w:pPr>
            <w:r>
              <w:rPr>
                <w:rFonts w:ascii="黑体" w:hAnsi="黑体" w:eastAsia="黑体" w:cs="黑体"/>
                <w:spacing w:val="7"/>
                <w:sz w:val="31"/>
                <w:szCs w:val="31"/>
              </w:rPr>
              <w:t>检查频次</w:t>
            </w:r>
          </w:p>
        </w:tc>
      </w:tr>
      <w:tr w14:paraId="37C4C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935" w:type="dxa"/>
            <w:vAlign w:val="center"/>
          </w:tcPr>
          <w:p w14:paraId="475E2A47">
            <w:pPr>
              <w:spacing w:line="337" w:lineRule="auto"/>
              <w:jc w:val="center"/>
              <w:rPr>
                <w:rFonts w:ascii="Arial"/>
                <w:sz w:val="20"/>
                <w:szCs w:val="20"/>
              </w:rPr>
            </w:pPr>
          </w:p>
          <w:p w14:paraId="0524F855">
            <w:pPr>
              <w:spacing w:line="338" w:lineRule="auto"/>
              <w:jc w:val="center"/>
              <w:rPr>
                <w:rFonts w:ascii="Arial"/>
                <w:sz w:val="20"/>
                <w:szCs w:val="20"/>
              </w:rPr>
            </w:pPr>
          </w:p>
          <w:p w14:paraId="225B687F">
            <w:pPr>
              <w:pStyle w:val="6"/>
              <w:spacing w:before="100" w:line="223" w:lineRule="auto"/>
              <w:ind w:left="311" w:leftChars="0"/>
              <w:jc w:val="center"/>
              <w:rPr>
                <w:rFonts w:hint="eastAsia" w:eastAsia="仿宋"/>
                <w:sz w:val="28"/>
                <w:szCs w:val="28"/>
                <w:lang w:val="en-US" w:eastAsia="zh-CN"/>
              </w:rPr>
            </w:pPr>
            <w:r>
              <w:rPr>
                <w:rFonts w:hint="eastAsia"/>
                <w:sz w:val="28"/>
                <w:szCs w:val="28"/>
                <w:lang w:val="en-US" w:eastAsia="zh-CN"/>
              </w:rPr>
              <w:t>1</w:t>
            </w:r>
          </w:p>
        </w:tc>
        <w:tc>
          <w:tcPr>
            <w:tcW w:w="2467" w:type="dxa"/>
            <w:vAlign w:val="center"/>
          </w:tcPr>
          <w:p w14:paraId="457A4500">
            <w:pPr>
              <w:pStyle w:val="6"/>
              <w:spacing w:before="157" w:line="339" w:lineRule="auto"/>
              <w:ind w:left="112" w:leftChars="0" w:right="121" w:rightChars="0" w:firstLine="7" w:firstLineChars="0"/>
              <w:jc w:val="center"/>
              <w:rPr>
                <w:sz w:val="28"/>
                <w:szCs w:val="28"/>
              </w:rPr>
            </w:pPr>
            <w:r>
              <w:rPr>
                <w:rFonts w:hint="eastAsia"/>
                <w:spacing w:val="7"/>
                <w:sz w:val="28"/>
                <w:szCs w:val="28"/>
              </w:rPr>
              <w:t>对生产经营者林</w:t>
            </w:r>
            <w:r>
              <w:rPr>
                <w:rFonts w:hint="eastAsia"/>
                <w:spacing w:val="7"/>
                <w:sz w:val="28"/>
                <w:szCs w:val="28"/>
                <w:lang w:eastAsia="zh-CN"/>
              </w:rPr>
              <w:t>木</w:t>
            </w:r>
            <w:r>
              <w:rPr>
                <w:rFonts w:hint="eastAsia"/>
                <w:spacing w:val="7"/>
                <w:sz w:val="28"/>
                <w:szCs w:val="28"/>
              </w:rPr>
              <w:t>种子生产经营活动的监督检查</w:t>
            </w:r>
          </w:p>
        </w:tc>
        <w:tc>
          <w:tcPr>
            <w:tcW w:w="2181" w:type="dxa"/>
            <w:vAlign w:val="center"/>
          </w:tcPr>
          <w:p w14:paraId="275EC9C1">
            <w:pPr>
              <w:pStyle w:val="6"/>
              <w:spacing w:before="101" w:line="373" w:lineRule="auto"/>
              <w:ind w:right="152" w:rightChars="0"/>
              <w:jc w:val="center"/>
              <w:rPr>
                <w:sz w:val="28"/>
                <w:szCs w:val="28"/>
              </w:rPr>
            </w:pPr>
            <w:r>
              <w:rPr>
                <w:rFonts w:hint="eastAsia" w:ascii="仿宋" w:hAnsi="仿宋" w:eastAsia="仿宋"/>
                <w:sz w:val="28"/>
                <w:szCs w:val="28"/>
              </w:rPr>
              <w:t>全市范围内已取得林</w:t>
            </w:r>
            <w:r>
              <w:rPr>
                <w:rFonts w:hint="eastAsia"/>
                <w:sz w:val="28"/>
                <w:szCs w:val="28"/>
                <w:lang w:eastAsia="zh-CN"/>
              </w:rPr>
              <w:t>草</w:t>
            </w:r>
            <w:r>
              <w:rPr>
                <w:rFonts w:hint="eastAsia" w:ascii="仿宋" w:hAnsi="仿宋" w:eastAsia="仿宋"/>
                <w:sz w:val="28"/>
                <w:szCs w:val="28"/>
              </w:rPr>
              <w:t>种子生产经营许可证的</w:t>
            </w:r>
            <w:r>
              <w:rPr>
                <w:rFonts w:hint="eastAsia"/>
                <w:sz w:val="28"/>
                <w:szCs w:val="28"/>
                <w:lang w:eastAsia="zh-CN"/>
              </w:rPr>
              <w:t>单位和个人</w:t>
            </w:r>
          </w:p>
        </w:tc>
        <w:tc>
          <w:tcPr>
            <w:tcW w:w="3449" w:type="dxa"/>
            <w:vAlign w:val="center"/>
          </w:tcPr>
          <w:p w14:paraId="12389F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72" w:lineRule="auto"/>
              <w:ind w:left="0" w:leftChars="0" w:right="0" w:rightChars="0" w:firstLine="0" w:firstLineChars="0"/>
              <w:jc w:val="center"/>
              <w:textAlignment w:val="baseline"/>
              <w:rPr>
                <w:sz w:val="22"/>
                <w:szCs w:val="20"/>
              </w:rPr>
            </w:pPr>
            <w:r>
              <w:rPr>
                <w:rFonts w:hint="eastAsia" w:ascii="仿宋" w:hAnsi="仿宋" w:eastAsia="仿宋" w:cs="仿宋"/>
                <w:snapToGrid w:val="0"/>
                <w:color w:val="000000"/>
                <w:kern w:val="0"/>
                <w:sz w:val="28"/>
                <w:szCs w:val="28"/>
                <w:lang w:val="en-US" w:eastAsia="en-US" w:bidi="ar-SA"/>
              </w:rPr>
              <w:t>《中华人民共和国种子法》</w:t>
            </w:r>
            <w:r>
              <w:rPr>
                <w:rFonts w:hint="eastAsia" w:ascii="仿宋" w:hAnsi="仿宋" w:eastAsia="仿宋" w:cs="仿宋"/>
                <w:snapToGrid w:val="0"/>
                <w:color w:val="000000"/>
                <w:kern w:val="0"/>
                <w:sz w:val="28"/>
                <w:szCs w:val="28"/>
                <w:lang w:val="en-US" w:eastAsia="zh-CN" w:bidi="ar-SA"/>
              </w:rPr>
              <w:t>第四十九条；《</w:t>
            </w:r>
            <w:r>
              <w:rPr>
                <w:rFonts w:hint="eastAsia" w:ascii="仿宋" w:hAnsi="仿宋" w:eastAsia="仿宋" w:cs="仿宋"/>
                <w:snapToGrid w:val="0"/>
                <w:color w:val="000000"/>
                <w:kern w:val="0"/>
                <w:sz w:val="28"/>
                <w:szCs w:val="28"/>
                <w:lang w:val="en-US" w:eastAsia="en-US" w:bidi="ar-SA"/>
              </w:rPr>
              <w:t>林木种子生产经营许可证管理办法</w:t>
            </w:r>
            <w:r>
              <w:rPr>
                <w:rFonts w:hint="eastAsia" w:ascii="仿宋" w:hAnsi="仿宋" w:eastAsia="仿宋" w:cs="仿宋"/>
                <w:snapToGrid w:val="0"/>
                <w:color w:val="000000"/>
                <w:kern w:val="0"/>
                <w:sz w:val="28"/>
                <w:szCs w:val="28"/>
                <w:lang w:val="en-US" w:eastAsia="zh-CN" w:bidi="ar-SA"/>
              </w:rPr>
              <w:t>》第十九条</w:t>
            </w:r>
          </w:p>
        </w:tc>
        <w:tc>
          <w:tcPr>
            <w:tcW w:w="1595" w:type="dxa"/>
            <w:vAlign w:val="center"/>
          </w:tcPr>
          <w:p w14:paraId="6933C7CC">
            <w:pPr>
              <w:pStyle w:val="6"/>
              <w:spacing w:before="100" w:line="372" w:lineRule="auto"/>
              <w:ind w:right="206" w:rightChars="0"/>
              <w:jc w:val="center"/>
              <w:rPr>
                <w:sz w:val="28"/>
                <w:szCs w:val="28"/>
              </w:rPr>
            </w:pPr>
            <w:r>
              <w:rPr>
                <w:spacing w:val="4"/>
                <w:sz w:val="28"/>
                <w:szCs w:val="28"/>
              </w:rPr>
              <w:t>现场检查</w:t>
            </w:r>
          </w:p>
        </w:tc>
        <w:tc>
          <w:tcPr>
            <w:tcW w:w="1731" w:type="dxa"/>
            <w:vAlign w:val="center"/>
          </w:tcPr>
          <w:p w14:paraId="6A3C49A4">
            <w:pPr>
              <w:pStyle w:val="6"/>
              <w:spacing w:before="157" w:line="339" w:lineRule="auto"/>
              <w:ind w:left="127" w:leftChars="0" w:right="180" w:rightChars="0" w:hanging="11" w:firstLineChars="0"/>
              <w:jc w:val="center"/>
              <w:rPr>
                <w:sz w:val="28"/>
                <w:szCs w:val="28"/>
              </w:rPr>
            </w:pPr>
            <w:r>
              <w:rPr>
                <w:spacing w:val="6"/>
                <w:sz w:val="28"/>
                <w:szCs w:val="28"/>
              </w:rPr>
              <w:t>全年</w:t>
            </w:r>
          </w:p>
        </w:tc>
        <w:tc>
          <w:tcPr>
            <w:tcW w:w="1820" w:type="dxa"/>
            <w:vAlign w:val="center"/>
          </w:tcPr>
          <w:p w14:paraId="743C85FA">
            <w:pPr>
              <w:pStyle w:val="6"/>
              <w:spacing w:before="157" w:line="339" w:lineRule="auto"/>
              <w:ind w:left="118" w:leftChars="0" w:right="270" w:rightChars="0" w:firstLine="1" w:firstLineChars="0"/>
              <w:jc w:val="center"/>
              <w:rPr>
                <w:rFonts w:hint="default" w:eastAsia="仿宋"/>
                <w:sz w:val="28"/>
                <w:szCs w:val="28"/>
                <w:lang w:val="en-US" w:eastAsia="zh-CN"/>
              </w:rPr>
            </w:pPr>
            <w:r>
              <w:rPr>
                <w:spacing w:val="5"/>
                <w:sz w:val="28"/>
                <w:szCs w:val="28"/>
              </w:rPr>
              <w:t>每年</w:t>
            </w:r>
            <w:r>
              <w:rPr>
                <w:spacing w:val="-38"/>
                <w:sz w:val="28"/>
                <w:szCs w:val="28"/>
              </w:rPr>
              <w:t xml:space="preserve"> </w:t>
            </w:r>
            <w:r>
              <w:rPr>
                <w:rFonts w:hint="eastAsia"/>
                <w:spacing w:val="-38"/>
                <w:sz w:val="28"/>
                <w:szCs w:val="28"/>
                <w:lang w:val="en-US" w:eastAsia="zh-CN"/>
              </w:rPr>
              <w:t>1次</w:t>
            </w:r>
          </w:p>
        </w:tc>
      </w:tr>
      <w:tr w14:paraId="272CC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935" w:type="dxa"/>
            <w:vAlign w:val="center"/>
          </w:tcPr>
          <w:p w14:paraId="1AB8FDC4">
            <w:pPr>
              <w:spacing w:line="338" w:lineRule="auto"/>
              <w:jc w:val="center"/>
              <w:rPr>
                <w:rFonts w:ascii="Arial"/>
                <w:sz w:val="20"/>
                <w:szCs w:val="20"/>
              </w:rPr>
            </w:pPr>
          </w:p>
          <w:p w14:paraId="3D6CCE67">
            <w:pPr>
              <w:spacing w:line="338" w:lineRule="auto"/>
              <w:jc w:val="center"/>
              <w:rPr>
                <w:rFonts w:ascii="Arial"/>
                <w:sz w:val="20"/>
                <w:szCs w:val="20"/>
              </w:rPr>
            </w:pPr>
          </w:p>
          <w:p w14:paraId="6C414F69">
            <w:pPr>
              <w:pStyle w:val="6"/>
              <w:spacing w:before="101" w:line="223" w:lineRule="auto"/>
              <w:ind w:left="311"/>
              <w:jc w:val="center"/>
              <w:rPr>
                <w:rFonts w:hint="eastAsia" w:eastAsia="仿宋"/>
                <w:sz w:val="28"/>
                <w:szCs w:val="28"/>
                <w:lang w:val="en-US" w:eastAsia="zh-CN"/>
              </w:rPr>
            </w:pPr>
            <w:r>
              <w:rPr>
                <w:rFonts w:hint="eastAsia"/>
                <w:sz w:val="28"/>
                <w:szCs w:val="28"/>
                <w:lang w:val="en-US" w:eastAsia="zh-CN"/>
              </w:rPr>
              <w:t>2</w:t>
            </w:r>
          </w:p>
        </w:tc>
        <w:tc>
          <w:tcPr>
            <w:tcW w:w="2467" w:type="dxa"/>
            <w:vAlign w:val="center"/>
          </w:tcPr>
          <w:p w14:paraId="0EA6F04A">
            <w:pPr>
              <w:pStyle w:val="6"/>
              <w:spacing w:before="101" w:line="376" w:lineRule="auto"/>
              <w:ind w:right="121"/>
              <w:jc w:val="center"/>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对普及型国外引种试种苗圃、松材线虫病疫木加工板材定点加工企业及应施检疫林业植物及其产品的行政检查</w:t>
            </w:r>
          </w:p>
        </w:tc>
        <w:tc>
          <w:tcPr>
            <w:tcW w:w="2181" w:type="dxa"/>
            <w:vAlign w:val="center"/>
          </w:tcPr>
          <w:p w14:paraId="569E3906">
            <w:pPr>
              <w:pStyle w:val="6"/>
              <w:spacing w:before="101" w:line="220" w:lineRule="auto"/>
              <w:jc w:val="center"/>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松材线虫病疫木加工板材定点加工企业及涉木加工企业</w:t>
            </w:r>
          </w:p>
        </w:tc>
        <w:tc>
          <w:tcPr>
            <w:tcW w:w="3449" w:type="dxa"/>
            <w:vAlign w:val="center"/>
          </w:tcPr>
          <w:p w14:paraId="4CB57FB7">
            <w:pPr>
              <w:pStyle w:val="6"/>
              <w:spacing w:before="156" w:line="340" w:lineRule="auto"/>
              <w:ind w:left="120" w:right="140" w:hanging="11"/>
              <w:jc w:val="center"/>
              <w:rPr>
                <w:rFonts w:hint="eastAsia" w:eastAsia="仿宋"/>
                <w:sz w:val="28"/>
                <w:szCs w:val="28"/>
                <w:lang w:eastAsia="zh-CN"/>
              </w:rPr>
            </w:pPr>
            <w:r>
              <w:rPr>
                <w:rFonts w:hint="eastAsia"/>
                <w:spacing w:val="9"/>
                <w:sz w:val="28"/>
                <w:szCs w:val="28"/>
                <w:lang w:eastAsia="zh-CN"/>
              </w:rPr>
              <w:t>《</w:t>
            </w:r>
            <w:r>
              <w:rPr>
                <w:rFonts w:hint="eastAsia"/>
                <w:spacing w:val="9"/>
                <w:sz w:val="28"/>
                <w:szCs w:val="28"/>
                <w:lang w:val="en-US" w:eastAsia="zh-CN"/>
              </w:rPr>
              <w:t>九江市松材线虫病防治条例</w:t>
            </w:r>
            <w:r>
              <w:rPr>
                <w:rFonts w:hint="eastAsia"/>
                <w:spacing w:val="9"/>
                <w:sz w:val="28"/>
                <w:szCs w:val="28"/>
                <w:lang w:eastAsia="zh-CN"/>
              </w:rPr>
              <w:t>》第二十四条</w:t>
            </w:r>
          </w:p>
        </w:tc>
        <w:tc>
          <w:tcPr>
            <w:tcW w:w="1595" w:type="dxa"/>
            <w:vAlign w:val="center"/>
          </w:tcPr>
          <w:p w14:paraId="0FFBD3AE">
            <w:pPr>
              <w:spacing w:line="364" w:lineRule="auto"/>
              <w:jc w:val="center"/>
              <w:rPr>
                <w:rFonts w:ascii="Arial"/>
                <w:sz w:val="20"/>
                <w:szCs w:val="20"/>
              </w:rPr>
            </w:pPr>
          </w:p>
          <w:p w14:paraId="19AFB1C5">
            <w:pPr>
              <w:pStyle w:val="6"/>
              <w:spacing w:before="101" w:line="372" w:lineRule="auto"/>
              <w:ind w:left="126" w:right="206" w:firstLine="7"/>
              <w:jc w:val="center"/>
              <w:rPr>
                <w:sz w:val="28"/>
                <w:szCs w:val="28"/>
              </w:rPr>
            </w:pPr>
            <w:r>
              <w:rPr>
                <w:spacing w:val="4"/>
                <w:sz w:val="28"/>
                <w:szCs w:val="28"/>
              </w:rPr>
              <w:t>现场检查</w:t>
            </w:r>
          </w:p>
        </w:tc>
        <w:tc>
          <w:tcPr>
            <w:tcW w:w="1731" w:type="dxa"/>
            <w:vAlign w:val="center"/>
          </w:tcPr>
          <w:p w14:paraId="1621F9DF">
            <w:pPr>
              <w:pStyle w:val="6"/>
              <w:spacing w:before="156" w:line="340" w:lineRule="auto"/>
              <w:ind w:left="127" w:right="180" w:hanging="11"/>
              <w:jc w:val="center"/>
              <w:rPr>
                <w:rFonts w:hint="default" w:eastAsia="仿宋"/>
                <w:sz w:val="28"/>
                <w:szCs w:val="28"/>
                <w:lang w:val="en-US" w:eastAsia="zh-CN"/>
              </w:rPr>
            </w:pPr>
            <w:r>
              <w:rPr>
                <w:rFonts w:hint="eastAsia"/>
                <w:spacing w:val="6"/>
                <w:sz w:val="28"/>
                <w:szCs w:val="28"/>
                <w:lang w:val="en-US" w:eastAsia="zh-CN"/>
              </w:rPr>
              <w:t>25日-31日</w:t>
            </w:r>
          </w:p>
        </w:tc>
        <w:tc>
          <w:tcPr>
            <w:tcW w:w="1820" w:type="dxa"/>
            <w:vAlign w:val="center"/>
          </w:tcPr>
          <w:p w14:paraId="6ADD1950">
            <w:pPr>
              <w:pStyle w:val="6"/>
              <w:spacing w:before="156" w:line="340" w:lineRule="auto"/>
              <w:ind w:left="118" w:right="270" w:firstLine="1"/>
              <w:jc w:val="center"/>
              <w:rPr>
                <w:sz w:val="28"/>
                <w:szCs w:val="28"/>
              </w:rPr>
            </w:pPr>
            <w:r>
              <w:rPr>
                <w:spacing w:val="5"/>
                <w:sz w:val="28"/>
                <w:szCs w:val="28"/>
              </w:rPr>
              <w:t>每季</w:t>
            </w:r>
            <w:r>
              <w:rPr>
                <w:spacing w:val="-2"/>
                <w:sz w:val="28"/>
                <w:szCs w:val="28"/>
              </w:rPr>
              <w:t>度</w:t>
            </w:r>
          </w:p>
        </w:tc>
      </w:tr>
    </w:tbl>
    <w:p w14:paraId="4FB89A72">
      <w:pPr>
        <w:rPr>
          <w:rFonts w:hint="eastAsia" w:ascii="宋体" w:hAnsi="宋体" w:eastAsia="宋体" w:cs="宋体"/>
          <w:sz w:val="22"/>
          <w:szCs w:val="22"/>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76DEF"/>
    <w:rsid w:val="1EAA7202"/>
    <w:rsid w:val="26B65058"/>
    <w:rsid w:val="39D76DEF"/>
    <w:rsid w:val="4E55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251</Words>
  <Characters>257</Characters>
  <Lines>0</Lines>
  <Paragraphs>0</Paragraphs>
  <TotalTime>196</TotalTime>
  <ScaleCrop>false</ScaleCrop>
  <LinksUpToDate>false</LinksUpToDate>
  <CharactersWithSpaces>260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2026-01-22T01:20:00Z</dcterms:created>
  <dc:creator>三蛋瓦斯</dc:creator>
  <cp:lastModifiedBy>三蛋瓦斯</cp:lastModifiedBy>
  <cp:lastPrinted>2026-01-27T03:32:57Z</cp:lastPrinted>
  <dcterms:modified xsi:type="dcterms:W3CDTF">2026-01-28T04:40:41Z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268A04A3241E4F93ADD1E072FC641D00_13</vt:lpwstr>
  </property>
  <property fmtid="{D5CDD505-2E9C-101B-9397-08002B2CF9AE}" pid="4" name="KSOTemplateDocerSaveRecord">
    <vt:lpwstr>eyJoZGlkIjoiNGE1MjZmMWI0MTBkZWFhMTkyNmQ4ZGI0ODU4NzRmMTIiLCJ1c2VySWQiOiI2MDAyMTIzMjcifQ==</vt:lpwstr>
  </property>
</Properties>
</file>