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9D0CC">
      <w:pPr>
        <w:jc w:val="center"/>
        <w:rPr>
          <w:rFonts w:cs="Times New Roman" w:asciiTheme="minorEastAsia" w:hAnsiTheme="minorEastAsia"/>
          <w:b/>
          <w:sz w:val="32"/>
          <w:szCs w:val="32"/>
        </w:rPr>
      </w:pPr>
      <w:bookmarkStart w:id="0" w:name="_GoBack"/>
      <w:bookmarkEnd w:id="0"/>
      <w:r>
        <w:rPr>
          <w:rFonts w:cs="Times New Roman" w:asciiTheme="minorEastAsia" w:hAnsiTheme="minorEastAsia"/>
          <w:b/>
          <w:sz w:val="32"/>
          <w:szCs w:val="32"/>
        </w:rPr>
        <w:t>中央林业改革发展资金</w:t>
      </w:r>
      <w:r>
        <w:rPr>
          <w:rFonts w:hint="eastAsia" w:cs="Times New Roman" w:asciiTheme="minorEastAsia" w:hAnsiTheme="minorEastAsia"/>
          <w:b/>
          <w:sz w:val="32"/>
          <w:szCs w:val="32"/>
        </w:rPr>
        <w:t>“珍稀濒危野生植物白豆杉人工繁育及野外回归”项目</w:t>
      </w:r>
      <w:r>
        <w:rPr>
          <w:rFonts w:cs="Times New Roman" w:asciiTheme="minorEastAsia" w:hAnsiTheme="minorEastAsia"/>
          <w:b/>
          <w:sz w:val="32"/>
          <w:szCs w:val="32"/>
        </w:rPr>
        <w:t>2022年</w:t>
      </w:r>
      <w:r>
        <w:rPr>
          <w:rFonts w:hint="eastAsia" w:cs="Times New Roman" w:asciiTheme="minorEastAsia" w:hAnsiTheme="minorEastAsia"/>
          <w:b/>
          <w:sz w:val="32"/>
          <w:szCs w:val="32"/>
        </w:rPr>
        <w:t>度区域绩效自评报告</w:t>
      </w:r>
    </w:p>
    <w:p w14:paraId="594BE458">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一、绩效目标分解下达情况</w:t>
      </w:r>
    </w:p>
    <w:p w14:paraId="4F83F3B0">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中央林业改革发展资金202</w:t>
      </w:r>
      <w:r>
        <w:rPr>
          <w:rFonts w:cs="Times New Roman" w:asciiTheme="minorEastAsia" w:hAnsiTheme="minorEastAsia"/>
          <w:sz w:val="24"/>
          <w:szCs w:val="24"/>
        </w:rPr>
        <w:t>2</w:t>
      </w:r>
      <w:r>
        <w:rPr>
          <w:rFonts w:hint="eastAsia" w:cs="Times New Roman" w:asciiTheme="minorEastAsia" w:hAnsiTheme="minorEastAsia"/>
          <w:sz w:val="24"/>
          <w:szCs w:val="24"/>
        </w:rPr>
        <w:t>年下达2</w:t>
      </w:r>
      <w:r>
        <w:rPr>
          <w:rFonts w:cs="Times New Roman" w:asciiTheme="minorEastAsia" w:hAnsiTheme="minorEastAsia"/>
          <w:sz w:val="24"/>
          <w:szCs w:val="24"/>
        </w:rPr>
        <w:t>0</w:t>
      </w:r>
      <w:r>
        <w:rPr>
          <w:rFonts w:hint="eastAsia" w:cs="Times New Roman" w:asciiTheme="minorEastAsia" w:hAnsiTheme="minorEastAsia"/>
          <w:sz w:val="24"/>
          <w:szCs w:val="24"/>
        </w:rPr>
        <w:t>.0万元项目经费，支持“珍稀濒危野生植物白豆杉人工繁育及野外回归”项目，资金已全部一次性下达到九江市庐山市财政局。由庐山市财政局全额一次性拨付给项目实施单位江西省、中国科学院庐山植物园。</w:t>
      </w:r>
    </w:p>
    <w:p w14:paraId="14287A1C">
      <w:pPr>
        <w:spacing w:line="360" w:lineRule="auto"/>
        <w:rPr>
          <w:rFonts w:cs="Times New Roman" w:asciiTheme="minorEastAsia" w:hAnsiTheme="minorEastAsia"/>
          <w:sz w:val="24"/>
          <w:szCs w:val="24"/>
        </w:rPr>
      </w:pPr>
    </w:p>
    <w:p w14:paraId="6FE14F79">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二、绩效目标完成情况分析</w:t>
      </w:r>
    </w:p>
    <w:p w14:paraId="31B2C3DA">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（一）资金投入情况分析</w:t>
      </w:r>
    </w:p>
    <w:p w14:paraId="32105571">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项目202</w:t>
      </w:r>
      <w:r>
        <w:rPr>
          <w:rFonts w:cs="Times New Roman" w:asciiTheme="minorEastAsia" w:hAnsiTheme="minorEastAsia"/>
          <w:sz w:val="24"/>
          <w:szCs w:val="24"/>
        </w:rPr>
        <w:t>2</w:t>
      </w:r>
      <w:r>
        <w:rPr>
          <w:rFonts w:hint="eastAsia" w:cs="Times New Roman" w:asciiTheme="minorEastAsia" w:hAnsiTheme="minorEastAsia"/>
          <w:sz w:val="24"/>
          <w:szCs w:val="24"/>
        </w:rPr>
        <w:t>年预算2</w:t>
      </w:r>
      <w:r>
        <w:rPr>
          <w:rFonts w:cs="Times New Roman" w:asciiTheme="minorEastAsia" w:hAnsiTheme="minorEastAsia"/>
          <w:sz w:val="24"/>
          <w:szCs w:val="24"/>
        </w:rPr>
        <w:t>0</w:t>
      </w:r>
      <w:r>
        <w:rPr>
          <w:rFonts w:hint="eastAsia" w:cs="Times New Roman" w:asciiTheme="minorEastAsia" w:hAnsiTheme="minorEastAsia"/>
          <w:sz w:val="24"/>
          <w:szCs w:val="24"/>
        </w:rPr>
        <w:t>.0万元，实际使用</w:t>
      </w:r>
      <w:r>
        <w:rPr>
          <w:rFonts w:cs="Times New Roman" w:asciiTheme="minorEastAsia" w:hAnsiTheme="minorEastAsia"/>
          <w:sz w:val="24"/>
          <w:szCs w:val="24"/>
        </w:rPr>
        <w:t>19.0</w:t>
      </w:r>
      <w:r>
        <w:rPr>
          <w:rFonts w:hint="eastAsia" w:cs="Times New Roman" w:asciiTheme="minorEastAsia" w:hAnsiTheme="minorEastAsia"/>
          <w:sz w:val="24"/>
          <w:szCs w:val="24"/>
        </w:rPr>
        <w:t>万元，节余</w:t>
      </w:r>
      <w:r>
        <w:rPr>
          <w:rFonts w:cs="Times New Roman" w:asciiTheme="minorEastAsia" w:hAnsiTheme="minorEastAsia"/>
          <w:sz w:val="24"/>
          <w:szCs w:val="24"/>
        </w:rPr>
        <w:t>1.0</w:t>
      </w:r>
      <w:r>
        <w:rPr>
          <w:rFonts w:hint="eastAsia" w:cs="Times New Roman" w:asciiTheme="minorEastAsia" w:hAnsiTheme="minorEastAsia"/>
          <w:sz w:val="24"/>
          <w:szCs w:val="24"/>
        </w:rPr>
        <w:t>万元。</w:t>
      </w:r>
    </w:p>
    <w:p w14:paraId="37AAA253">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（二）总体绩效目标完成情况分析</w:t>
      </w:r>
    </w:p>
    <w:p w14:paraId="28220E90">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总体绩效目标为：</w:t>
      </w:r>
    </w:p>
    <w:p w14:paraId="49517EB5">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（1）对2</w:t>
      </w:r>
      <w:r>
        <w:rPr>
          <w:rFonts w:cs="Times New Roman" w:asciiTheme="minorEastAsia" w:hAnsiTheme="minorEastAsia"/>
          <w:sz w:val="24"/>
          <w:szCs w:val="24"/>
        </w:rPr>
        <w:t>022</w:t>
      </w:r>
      <w:r>
        <w:rPr>
          <w:rFonts w:hint="eastAsia" w:cs="Times New Roman" w:asciiTheme="minorEastAsia" w:hAnsiTheme="minorEastAsia"/>
          <w:sz w:val="24"/>
          <w:szCs w:val="24"/>
        </w:rPr>
        <w:t>年回归的白豆杉扦插苗进行监测及管理，并于2</w:t>
      </w:r>
      <w:r>
        <w:rPr>
          <w:rFonts w:cs="Times New Roman" w:asciiTheme="minorEastAsia" w:hAnsiTheme="minorEastAsia"/>
          <w:sz w:val="24"/>
          <w:szCs w:val="24"/>
        </w:rPr>
        <w:t>022</w:t>
      </w:r>
      <w:r>
        <w:rPr>
          <w:rFonts w:hint="eastAsia" w:cs="Times New Roman" w:asciiTheme="minorEastAsia" w:hAnsiTheme="minorEastAsia"/>
          <w:sz w:val="24"/>
          <w:szCs w:val="24"/>
        </w:rPr>
        <w:t>年继续回归3</w:t>
      </w:r>
      <w:r>
        <w:rPr>
          <w:rFonts w:cs="Times New Roman" w:asciiTheme="minorEastAsia" w:hAnsiTheme="minorEastAsia"/>
          <w:sz w:val="24"/>
          <w:szCs w:val="24"/>
        </w:rPr>
        <w:t>00</w:t>
      </w:r>
      <w:r>
        <w:rPr>
          <w:rFonts w:hint="eastAsia" w:cs="Times New Roman" w:asciiTheme="minorEastAsia" w:hAnsiTheme="minorEastAsia"/>
          <w:sz w:val="24"/>
          <w:szCs w:val="24"/>
        </w:rPr>
        <w:t>株以上，总结白豆杉回归技术规范。</w:t>
      </w:r>
    </w:p>
    <w:p w14:paraId="5676B22E">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（2）进行白豆杉播种繁殖，总结白豆杉有性繁殖技术。</w:t>
      </w:r>
    </w:p>
    <w:p w14:paraId="54841606">
      <w:pPr>
        <w:spacing w:line="360" w:lineRule="auto"/>
        <w:ind w:firstLine="480"/>
        <w:rPr>
          <w:rFonts w:cs="Times New Roman" w:asciiTheme="minorEastAsia" w:hAnsiTheme="minorEastAsia"/>
          <w:sz w:val="24"/>
          <w:szCs w:val="24"/>
        </w:rPr>
      </w:pPr>
      <w:r>
        <w:rPr>
          <w:rFonts w:hint="eastAsia" w:cs="Times New Roman" w:asciiTheme="minorEastAsia" w:hAnsiTheme="minorEastAsia"/>
          <w:sz w:val="24"/>
          <w:szCs w:val="24"/>
        </w:rPr>
        <w:t>（3）对白豆杉繁育技术进行成果展示和推广。</w:t>
      </w:r>
    </w:p>
    <w:p w14:paraId="07BE4789">
      <w:pPr>
        <w:spacing w:line="360" w:lineRule="auto"/>
        <w:ind w:firstLine="480"/>
        <w:rPr>
          <w:rFonts w:cs="Times New Roman" w:asciiTheme="minorEastAsia" w:hAnsiTheme="minorEastAsia"/>
          <w:sz w:val="24"/>
          <w:szCs w:val="24"/>
        </w:rPr>
      </w:pPr>
      <w:r>
        <w:rPr>
          <w:rFonts w:hint="eastAsia" w:cs="Times New Roman" w:asciiTheme="minorEastAsia" w:hAnsiTheme="minorEastAsia"/>
          <w:sz w:val="24"/>
          <w:szCs w:val="24"/>
        </w:rPr>
        <w:t xml:space="preserve">    总体绩效目标已经全部完成。</w:t>
      </w:r>
    </w:p>
    <w:p w14:paraId="29CB0FEA">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（三）绩效指标完成情况分析</w:t>
      </w:r>
    </w:p>
    <w:p w14:paraId="75BA6B65">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（1）白豆杉扦插苗的管理和养护</w:t>
      </w:r>
    </w:p>
    <w:p w14:paraId="0BB7098A">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对获得的3</w:t>
      </w:r>
      <w:r>
        <w:rPr>
          <w:rFonts w:cs="Times New Roman" w:asciiTheme="minorEastAsia" w:hAnsiTheme="minorEastAsia"/>
          <w:sz w:val="24"/>
          <w:szCs w:val="24"/>
        </w:rPr>
        <w:t>000</w:t>
      </w:r>
      <w:r>
        <w:rPr>
          <w:rFonts w:hint="eastAsia" w:cs="Times New Roman" w:asciiTheme="minorEastAsia" w:hAnsiTheme="minorEastAsia"/>
          <w:sz w:val="24"/>
          <w:szCs w:val="24"/>
        </w:rPr>
        <w:t>株扦插苗进行日常管理，包括浇水、除草、遮阳、给大棚通风透气等工作。</w:t>
      </w:r>
    </w:p>
    <w:p w14:paraId="07F5B2C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（2）白豆杉种子繁育</w:t>
      </w:r>
    </w:p>
    <w:p w14:paraId="14A88BA6">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白豆杉种子繁殖采用点播，点播种子</w:t>
      </w:r>
      <w:r>
        <w:rPr>
          <w:rFonts w:cs="Times New Roman" w:asciiTheme="minorEastAsia" w:hAnsiTheme="minorEastAsia"/>
          <w:sz w:val="24"/>
          <w:szCs w:val="24"/>
        </w:rPr>
        <w:t>200</w:t>
      </w:r>
      <w:r>
        <w:rPr>
          <w:rFonts w:hint="eastAsia" w:cs="Times New Roman" w:asciiTheme="minorEastAsia" w:hAnsiTheme="minorEastAsia"/>
          <w:sz w:val="24"/>
          <w:szCs w:val="24"/>
        </w:rPr>
        <w:t>余粒，日常管理中注意苗床土壤的湿润程度，做到见干见湿。播种苗幼年期注意防晒和保温保湿。</w:t>
      </w:r>
      <w:r>
        <w:rPr>
          <w:rFonts w:cs="Times New Roman" w:asciiTheme="minorEastAsia" w:hAnsiTheme="minorEastAsia"/>
          <w:sz w:val="24"/>
          <w:szCs w:val="24"/>
        </w:rPr>
        <w:t xml:space="preserve"> </w:t>
      </w:r>
    </w:p>
    <w:p w14:paraId="21021D9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（3）扦插苗木回归</w:t>
      </w:r>
    </w:p>
    <w:p w14:paraId="693541B4">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w:t>
      </w:r>
      <w:r>
        <w:rPr>
          <w:rFonts w:cs="Times New Roman" w:asciiTheme="minorEastAsia" w:hAnsiTheme="minorEastAsia"/>
          <w:sz w:val="24"/>
          <w:szCs w:val="24"/>
        </w:rPr>
        <w:t>022</w:t>
      </w:r>
      <w:r>
        <w:rPr>
          <w:rFonts w:hint="eastAsia" w:cs="Times New Roman" w:asciiTheme="minorEastAsia" w:hAnsiTheme="minorEastAsia"/>
          <w:sz w:val="24"/>
          <w:szCs w:val="24"/>
        </w:rPr>
        <w:t>年在井冈山回归白豆杉扦插苗3</w:t>
      </w:r>
      <w:r>
        <w:rPr>
          <w:rFonts w:cs="Times New Roman" w:asciiTheme="minorEastAsia" w:hAnsiTheme="minorEastAsia"/>
          <w:sz w:val="24"/>
          <w:szCs w:val="24"/>
        </w:rPr>
        <w:t>00</w:t>
      </w:r>
      <w:r>
        <w:rPr>
          <w:rFonts w:hint="eastAsia" w:cs="Times New Roman" w:asciiTheme="minorEastAsia" w:hAnsiTheme="minorEastAsia"/>
          <w:sz w:val="24"/>
          <w:szCs w:val="24"/>
        </w:rPr>
        <w:t>余株。回归地的选择注重与白豆杉原分布地气候环境相一致。选择有较大林窗林下，以海拔7</w:t>
      </w:r>
      <w:r>
        <w:rPr>
          <w:rFonts w:cs="Times New Roman" w:asciiTheme="minorEastAsia" w:hAnsiTheme="minorEastAsia"/>
          <w:sz w:val="24"/>
          <w:szCs w:val="24"/>
        </w:rPr>
        <w:t>00m</w:t>
      </w:r>
      <w:r>
        <w:rPr>
          <w:rFonts w:hint="eastAsia" w:cs="Times New Roman" w:asciiTheme="minorEastAsia" w:hAnsiTheme="minorEastAsia"/>
          <w:sz w:val="24"/>
          <w:szCs w:val="24"/>
        </w:rPr>
        <w:t>为最低界，海拔每上升5</w:t>
      </w:r>
      <w:r>
        <w:rPr>
          <w:rFonts w:cs="Times New Roman" w:asciiTheme="minorEastAsia" w:hAnsiTheme="minorEastAsia"/>
          <w:sz w:val="24"/>
          <w:szCs w:val="24"/>
        </w:rPr>
        <w:t>0m,</w:t>
      </w:r>
      <w:r>
        <w:rPr>
          <w:rFonts w:hint="eastAsia" w:cs="Times New Roman" w:asciiTheme="minorEastAsia" w:hAnsiTheme="minorEastAsia"/>
          <w:sz w:val="24"/>
          <w:szCs w:val="24"/>
        </w:rPr>
        <w:t>种植回归苗</w:t>
      </w:r>
      <w:r>
        <w:rPr>
          <w:rFonts w:cs="Times New Roman" w:asciiTheme="minorEastAsia" w:hAnsiTheme="minorEastAsia"/>
          <w:sz w:val="24"/>
          <w:szCs w:val="24"/>
        </w:rPr>
        <w:t>25</w:t>
      </w:r>
      <w:r>
        <w:rPr>
          <w:rFonts w:hint="eastAsia" w:cs="Times New Roman" w:asciiTheme="minorEastAsia" w:hAnsiTheme="minorEastAsia"/>
          <w:sz w:val="24"/>
          <w:szCs w:val="24"/>
        </w:rPr>
        <w:t>株，至海拔1</w:t>
      </w:r>
      <w:r>
        <w:rPr>
          <w:rFonts w:cs="Times New Roman" w:asciiTheme="minorEastAsia" w:hAnsiTheme="minorEastAsia"/>
          <w:sz w:val="24"/>
          <w:szCs w:val="24"/>
        </w:rPr>
        <w:t>300m</w:t>
      </w:r>
      <w:r>
        <w:rPr>
          <w:rFonts w:hint="eastAsia" w:cs="Times New Roman" w:asciiTheme="minorEastAsia" w:hAnsiTheme="minorEastAsia"/>
          <w:sz w:val="24"/>
          <w:szCs w:val="24"/>
        </w:rPr>
        <w:t>左右，种植回归苗3</w:t>
      </w:r>
      <w:r>
        <w:rPr>
          <w:rFonts w:cs="Times New Roman" w:asciiTheme="minorEastAsia" w:hAnsiTheme="minorEastAsia"/>
          <w:sz w:val="24"/>
          <w:szCs w:val="24"/>
        </w:rPr>
        <w:t>00</w:t>
      </w:r>
      <w:r>
        <w:rPr>
          <w:rFonts w:hint="eastAsia" w:cs="Times New Roman" w:asciiTheme="minorEastAsia" w:hAnsiTheme="minorEastAsia"/>
          <w:sz w:val="24"/>
          <w:szCs w:val="24"/>
        </w:rPr>
        <w:t>余株。</w:t>
      </w:r>
    </w:p>
    <w:p w14:paraId="3B268429">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（4）回归苗监测与管理</w:t>
      </w:r>
    </w:p>
    <w:p w14:paraId="71DD7404">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对回归苗进行野外监测与管理，记录回归苗木树高生长量、地径增粗情况以及根、茎生长存活情况等，探讨回归技术规范。 </w:t>
      </w:r>
    </w:p>
    <w:p w14:paraId="150A078D">
      <w:pPr>
        <w:spacing w:line="360" w:lineRule="auto"/>
        <w:rPr>
          <w:rFonts w:cs="Times New Roman" w:asciiTheme="minorEastAsia" w:hAnsiTheme="minorEastAsia"/>
          <w:sz w:val="24"/>
          <w:szCs w:val="24"/>
        </w:rPr>
      </w:pPr>
    </w:p>
    <w:p w14:paraId="3CD06BEA">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三、偏离绩效目标的原因和下一步改进措施</w:t>
      </w:r>
    </w:p>
    <w:p w14:paraId="22C8B29F">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绩效目标已全部完成。</w:t>
      </w:r>
    </w:p>
    <w:p w14:paraId="08794399">
      <w:pPr>
        <w:spacing w:line="360" w:lineRule="auto"/>
        <w:rPr>
          <w:rFonts w:cs="Times New Roman" w:asciiTheme="minorEastAsia" w:hAnsiTheme="minorEastAsia"/>
          <w:sz w:val="24"/>
          <w:szCs w:val="24"/>
        </w:rPr>
      </w:pPr>
    </w:p>
    <w:p w14:paraId="2F230326">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四、绩效自评结果拟应用和公开情况</w:t>
      </w:r>
    </w:p>
    <w:p w14:paraId="6D3C95FA">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野外资源调查表明，白豆杉在江西的地理分布点主要在三清山、井冈山。其生境多以山地矮林或山顶悬崖为主；白豆杉分布海拔较高、气温较同纬度地区寒冷，空气湿度更大，而气候温和湿润的赣中、赣北的平原或丘陵地带，未见白豆杉生长繁衍与分布，由此推测可能是由于特殊的小生境，造成了白豆杉的狭域分布，白豆杉表现出对环境的明显依赖性。</w:t>
      </w:r>
    </w:p>
    <w:p w14:paraId="48529B78">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通过对白豆杉进行扩繁和野外回归，保存白豆杉种质资源，从而为江西省白豆杉种质资源的有效保存及繁育提供理论和技术支持，相关研究报告将以研究报告的形式在后期公开公布。 </w:t>
      </w:r>
    </w:p>
    <w:p w14:paraId="242329FB">
      <w:pPr>
        <w:spacing w:line="360" w:lineRule="auto"/>
        <w:rPr>
          <w:rFonts w:cs="Times New Roman" w:asciiTheme="minorEastAsia" w:hAnsiTheme="minorEastAsia"/>
          <w:sz w:val="24"/>
          <w:szCs w:val="24"/>
        </w:rPr>
      </w:pPr>
    </w:p>
    <w:p w14:paraId="740E3E6C">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五、其他需要说明的问题</w:t>
      </w:r>
    </w:p>
    <w:p w14:paraId="617DB6EF">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 xml:space="preserve">    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JjNThlNmY3ZDZkZjAxYTI4MmU2MWQ5MGNlZTQxNDkifQ=="/>
  </w:docVars>
  <w:rsids>
    <w:rsidRoot w:val="00212770"/>
    <w:rsid w:val="000523F9"/>
    <w:rsid w:val="000A42A3"/>
    <w:rsid w:val="00163C75"/>
    <w:rsid w:val="00212770"/>
    <w:rsid w:val="00475413"/>
    <w:rsid w:val="006D39DC"/>
    <w:rsid w:val="0074732D"/>
    <w:rsid w:val="008C075A"/>
    <w:rsid w:val="009C352B"/>
    <w:rsid w:val="00AA349D"/>
    <w:rsid w:val="00AE3752"/>
    <w:rsid w:val="00C06C76"/>
    <w:rsid w:val="00CE561F"/>
    <w:rsid w:val="00CE56B9"/>
    <w:rsid w:val="00E05227"/>
    <w:rsid w:val="00F161E5"/>
    <w:rsid w:val="1C5E2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938</Words>
  <Characters>989</Characters>
  <Lines>7</Lines>
  <Paragraphs>2</Paragraphs>
  <TotalTime>251</TotalTime>
  <ScaleCrop>false</ScaleCrop>
  <LinksUpToDate>false</LinksUpToDate>
  <CharactersWithSpaces>1035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2022-02-14T06:59:00Z</dcterms:created>
  <dc:creator>zsx</dc:creator>
  <cp:lastModifiedBy>小透明</cp:lastModifiedBy>
  <dcterms:modified xsi:type="dcterms:W3CDTF">2024-07-22T03:27:47Z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238FA3BC3C414BAF90FEBBAE4DC9A8F5_12</vt:lpwstr>
  </property>
</Properties>
</file>