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394"/>
          <w:tab w:val="left" w:pos="5620"/>
        </w:tabs>
        <w:autoSpaceDE w:val="0"/>
        <w:autoSpaceDN w:val="0"/>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lang w:val="zh-CN"/>
          <w14:textFill>
            <w14:solidFill>
              <w14:schemeClr w14:val="tx1"/>
            </w14:solidFill>
          </w14:textFill>
        </w:rPr>
        <w:t>附件</w:t>
      </w:r>
      <w:r>
        <w:rPr>
          <w:rFonts w:hint="eastAsia" w:ascii="黑体" w:hAnsi="黑体" w:eastAsia="黑体" w:cs="黑体"/>
          <w:color w:val="000000" w:themeColor="text1"/>
          <w:szCs w:val="32"/>
          <w14:textFill>
            <w14:solidFill>
              <w14:schemeClr w14:val="tx1"/>
            </w14:solidFill>
          </w14:textFill>
        </w:rPr>
        <w:t>1</w:t>
      </w:r>
    </w:p>
    <w:p>
      <w:pPr>
        <w:tabs>
          <w:tab w:val="center" w:pos="4394"/>
          <w:tab w:val="left" w:pos="5620"/>
        </w:tabs>
        <w:autoSpaceDE w:val="0"/>
        <w:autoSpaceDN w:val="0"/>
        <w:spacing w:line="700" w:lineRule="exact"/>
        <w:jc w:val="center"/>
        <w:rPr>
          <w:rFonts w:ascii="方正小标宋简体" w:hAnsi="方正小标宋简体" w:eastAsia="方正小标宋简体" w:cs="方正小标宋简体"/>
          <w:color w:val="000000" w:themeColor="text1"/>
          <w:sz w:val="44"/>
          <w:szCs w:val="44"/>
          <w:lang w:val="zh-CN"/>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t>2026年度九江市科技计划项目申报指南</w:t>
      </w:r>
      <w:bookmarkEnd w:id="0"/>
    </w:p>
    <w:p>
      <w:pPr>
        <w:pStyle w:val="9"/>
        <w:adjustRightInd/>
        <w:spacing w:line="700" w:lineRule="exact"/>
        <w:ind w:firstLine="646" w:firstLineChars="200"/>
        <w:jc w:val="both"/>
        <w:rPr>
          <w:rFonts w:hAnsi="仿宋_GB2312"/>
          <w:color w:val="000000" w:themeColor="text1"/>
          <w:sz w:val="32"/>
          <w:szCs w:val="32"/>
          <w14:textFill>
            <w14:solidFill>
              <w14:schemeClr w14:val="tx1"/>
            </w14:solidFill>
          </w14:textFill>
        </w:rPr>
      </w:pPr>
    </w:p>
    <w:p>
      <w:pPr>
        <w:pStyle w:val="9"/>
        <w:keepNext w:val="0"/>
        <w:keepLines w:val="0"/>
        <w:pageBreakBefore w:val="0"/>
        <w:widowControl w:val="0"/>
        <w:kinsoku/>
        <w:wordWrap/>
        <w:overflowPunct/>
        <w:topLinePunct w:val="0"/>
        <w:bidi w:val="0"/>
        <w:adjustRightInd/>
        <w:snapToGrid/>
        <w:spacing w:line="540" w:lineRule="exact"/>
        <w:ind w:firstLine="629" w:firstLineChars="195"/>
        <w:jc w:val="both"/>
        <w:textAlignment w:val="auto"/>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一、科技重大专项（</w:t>
      </w:r>
      <w:r>
        <w:rPr>
          <w:rFonts w:hint="eastAsia" w:ascii="黑体" w:hAnsi="黑体" w:eastAsia="黑体"/>
          <w:bCs/>
          <w:color w:val="000000" w:themeColor="text1"/>
          <w:sz w:val="32"/>
          <w:szCs w:val="32"/>
          <w:lang w:eastAsia="zh-CN"/>
          <w14:textFill>
            <w14:solidFill>
              <w14:schemeClr w14:val="tx1"/>
            </w14:solidFill>
          </w14:textFill>
        </w:rPr>
        <w:t>重大技术攻关</w:t>
      </w:r>
      <w:r>
        <w:rPr>
          <w:rFonts w:hint="eastAsia" w:ascii="黑体" w:hAnsi="黑体" w:eastAsia="黑体"/>
          <w:bCs/>
          <w:color w:val="000000" w:themeColor="text1"/>
          <w:sz w:val="32"/>
          <w:szCs w:val="32"/>
          <w14:textFill>
            <w14:solidFill>
              <w14:schemeClr w14:val="tx1"/>
            </w14:solidFill>
          </w14:textFill>
        </w:rPr>
        <w:t>“揭榜挂帅”）</w:t>
      </w:r>
    </w:p>
    <w:p>
      <w:pPr>
        <w:pStyle w:val="9"/>
        <w:keepNext w:val="0"/>
        <w:keepLines w:val="0"/>
        <w:pageBreakBefore w:val="0"/>
        <w:widowControl w:val="0"/>
        <w:kinsoku/>
        <w:wordWrap/>
        <w:overflowPunct/>
        <w:topLinePunct w:val="0"/>
        <w:bidi w:val="0"/>
        <w:adjustRightInd/>
        <w:snapToGrid/>
        <w:spacing w:line="540" w:lineRule="exact"/>
        <w:ind w:firstLine="646" w:firstLineChars="200"/>
        <w:jc w:val="both"/>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（一）技术需求企业条件</w:t>
      </w:r>
    </w:p>
    <w:p>
      <w:pPr>
        <w:keepNext w:val="0"/>
        <w:keepLines w:val="0"/>
        <w:pageBreakBefore w:val="0"/>
        <w:widowControl w:val="0"/>
        <w:kinsoku/>
        <w:wordWrap/>
        <w:overflowPunct/>
        <w:topLinePunct w:val="0"/>
        <w:autoSpaceDE/>
        <w:autoSpaceDN/>
        <w:bidi w:val="0"/>
        <w:adjustRightInd/>
        <w:snapToGrid/>
        <w:spacing w:line="540" w:lineRule="exact"/>
        <w:ind w:firstLine="646"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（1）市内注册、具有独立法人资格且有技术难题或重大技术需求的行业龙头骨干企业或科技领军（入库）企业、高成长性科技型企业、高新技术企业，202</w:t>
      </w:r>
      <w:r>
        <w:rPr>
          <w:rFonts w:hint="eastAsia" w:ascii="仿宋_GB2312" w:hAnsi="仿宋_GB2312" w:cs="仿宋_GB2312"/>
          <w:color w:val="000000" w:themeColor="text1"/>
          <w:kern w:val="0"/>
          <w:sz w:val="32"/>
          <w:szCs w:val="32"/>
          <w:lang w:val="en-US" w:eastAsia="zh-CN" w:bidi="ar-SA"/>
          <w14:textFill>
            <w14:solidFill>
              <w14:schemeClr w14:val="tx1"/>
            </w14:solidFill>
          </w14:textFill>
        </w:rPr>
        <w:t>5</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年度研发投入经费不低于500万元；</w:t>
      </w:r>
    </w:p>
    <w:p>
      <w:pPr>
        <w:keepNext w:val="0"/>
        <w:keepLines w:val="0"/>
        <w:pageBreakBefore w:val="0"/>
        <w:widowControl w:val="0"/>
        <w:kinsoku/>
        <w:wordWrap/>
        <w:overflowPunct/>
        <w:topLinePunct w:val="0"/>
        <w:autoSpaceDE/>
        <w:autoSpaceDN/>
        <w:bidi w:val="0"/>
        <w:adjustRightInd/>
        <w:snapToGrid/>
        <w:spacing w:line="540" w:lineRule="exact"/>
        <w:ind w:firstLine="646"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（2）具备良好的社会信用，三年之内无违背科研诚信行为记录及科研部门实施联合惩戒的社会失信行为记录；</w:t>
      </w:r>
    </w:p>
    <w:p>
      <w:pPr>
        <w:keepNext w:val="0"/>
        <w:keepLines w:val="0"/>
        <w:pageBreakBefore w:val="0"/>
        <w:widowControl w:val="0"/>
        <w:kinsoku/>
        <w:wordWrap/>
        <w:overflowPunct/>
        <w:topLinePunct w:val="0"/>
        <w:autoSpaceDE/>
        <w:autoSpaceDN/>
        <w:bidi w:val="0"/>
        <w:adjustRightInd/>
        <w:snapToGrid/>
        <w:spacing w:line="540" w:lineRule="exact"/>
        <w:ind w:firstLine="646"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（3）技术需求应聚焦本行业、本企业发展的“卡脖子”等前沿技术、关键核心技术、关键零部件、重要关键工艺和方法等，通过项目实施，能显著提升本行业的核心竞争力；</w:t>
      </w:r>
    </w:p>
    <w:p>
      <w:pPr>
        <w:keepNext w:val="0"/>
        <w:keepLines w:val="0"/>
        <w:pageBreakBefore w:val="0"/>
        <w:widowControl w:val="0"/>
        <w:kinsoku/>
        <w:wordWrap/>
        <w:overflowPunct/>
        <w:topLinePunct w:val="0"/>
        <w:autoSpaceDE/>
        <w:autoSpaceDN/>
        <w:bidi w:val="0"/>
        <w:adjustRightInd/>
        <w:snapToGrid/>
        <w:spacing w:line="540" w:lineRule="exact"/>
        <w:ind w:firstLine="646"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（4）提出的技术需求应有明确的技术目标内容、考核指标、完成时限（一般不超过2年）、产权归属、资金投入及对揭榜方的条件要求等，相关技术目标内容及指标应清晰、可量化、可考核；</w:t>
      </w:r>
    </w:p>
    <w:p>
      <w:pPr>
        <w:keepNext w:val="0"/>
        <w:keepLines w:val="0"/>
        <w:pageBreakBefore w:val="0"/>
        <w:widowControl w:val="0"/>
        <w:kinsoku/>
        <w:wordWrap/>
        <w:overflowPunct/>
        <w:topLinePunct w:val="0"/>
        <w:autoSpaceDE/>
        <w:autoSpaceDN/>
        <w:bidi w:val="0"/>
        <w:adjustRightInd/>
        <w:snapToGrid/>
        <w:spacing w:line="540" w:lineRule="exact"/>
        <w:ind w:firstLine="646"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（5）须承诺并有能力保障项目的投入，提供项目研发的资金、人员、地点、设备等基本条件；</w:t>
      </w:r>
    </w:p>
    <w:p>
      <w:pPr>
        <w:keepNext w:val="0"/>
        <w:keepLines w:val="0"/>
        <w:pageBreakBefore w:val="0"/>
        <w:widowControl w:val="0"/>
        <w:kinsoku/>
        <w:wordWrap/>
        <w:overflowPunct/>
        <w:topLinePunct w:val="0"/>
        <w:autoSpaceDE/>
        <w:autoSpaceDN/>
        <w:bidi w:val="0"/>
        <w:adjustRightInd/>
        <w:snapToGrid/>
        <w:spacing w:line="540" w:lineRule="exact"/>
        <w:ind w:firstLine="646" w:firstLineChars="200"/>
        <w:textAlignment w:val="auto"/>
        <w:rPr>
          <w:rFonts w:hint="eastAsia" w:hAnsi="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（6）已承担了市级“揭榜挂帅”项目还未验收的企业不得报送。</w:t>
      </w:r>
    </w:p>
    <w:p>
      <w:pPr>
        <w:pStyle w:val="9"/>
        <w:keepNext w:val="0"/>
        <w:keepLines w:val="0"/>
        <w:pageBreakBefore w:val="0"/>
        <w:widowControl w:val="0"/>
        <w:kinsoku/>
        <w:wordWrap/>
        <w:overflowPunct/>
        <w:topLinePunct w:val="0"/>
        <w:bidi w:val="0"/>
        <w:adjustRightInd/>
        <w:snapToGrid/>
        <w:spacing w:line="540" w:lineRule="exact"/>
        <w:ind w:firstLine="646" w:firstLineChars="200"/>
        <w:jc w:val="both"/>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（二）重点支持范围</w:t>
      </w:r>
    </w:p>
    <w:p>
      <w:pPr>
        <w:keepNext w:val="0"/>
        <w:keepLines w:val="0"/>
        <w:pageBreakBefore w:val="0"/>
        <w:widowControl w:val="0"/>
        <w:kinsoku/>
        <w:wordWrap/>
        <w:overflowPunct/>
        <w:topLinePunct w:val="0"/>
        <w:bidi w:val="0"/>
        <w:adjustRightInd/>
        <w:snapToGrid/>
        <w:spacing w:line="540" w:lineRule="exact"/>
        <w:ind w:firstLine="646" w:firstLineChars="200"/>
        <w:jc w:val="both"/>
        <w:textAlignment w:val="auto"/>
        <w:rPr>
          <w:rFonts w:hint="eastAsia"/>
          <w:color w:val="000000" w:themeColor="text1"/>
          <w:spacing w:val="-6"/>
          <w:kern w:val="0"/>
          <w:sz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聚焦我市装备制造（船舶</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等</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）、电子信息、有色金属、新能源、石化化工、钢铁、建材、食品、纺织服装、航运物流、文化旅游等重点产业链，以及未来产业（低空经济、氢能、核技术应用、人工智能、生命健康、量子通信、具身智能等）</w:t>
      </w:r>
      <w:r>
        <w:rPr>
          <w:rFonts w:hint="eastAsia"/>
          <w:color w:val="000000" w:themeColor="text1"/>
          <w:kern w:val="0"/>
          <w14:textFill>
            <w14:solidFill>
              <w14:schemeClr w14:val="tx1"/>
            </w14:solidFill>
          </w14:textFill>
        </w:rPr>
        <w:t>，征集和遴选一批关键核心技术难题和重大技术需求</w:t>
      </w:r>
      <w:r>
        <w:rPr>
          <w:rFonts w:hint="eastAsia"/>
          <w:color w:val="000000" w:themeColor="text1"/>
          <w:spacing w:val="-6"/>
          <w:kern w:val="0"/>
          <w:sz w:val="32"/>
          <w14:textFill>
            <w14:solidFill>
              <w14:schemeClr w14:val="tx1"/>
            </w14:solidFill>
          </w14:textFill>
        </w:rPr>
        <w:t>。</w:t>
      </w:r>
    </w:p>
    <w:p>
      <w:pPr>
        <w:keepNext w:val="0"/>
        <w:keepLines w:val="0"/>
        <w:pageBreakBefore w:val="0"/>
        <w:widowControl w:val="0"/>
        <w:kinsoku/>
        <w:wordWrap/>
        <w:overflowPunct/>
        <w:topLinePunct w:val="0"/>
        <w:bidi w:val="0"/>
        <w:adjustRightInd/>
        <w:snapToGrid/>
        <w:spacing w:line="540" w:lineRule="exact"/>
        <w:ind w:firstLine="646" w:firstLineChars="200"/>
        <w:textAlignment w:val="auto"/>
        <w:rPr>
          <w:rFonts w:ascii="楷体_GB2312" w:hAnsi="仿宋_GB2312" w:eastAsia="楷体_GB2312" w:cs="仿宋_GB2312"/>
          <w:b/>
          <w:color w:val="000000" w:themeColor="text1"/>
          <w:szCs w:val="32"/>
          <w14:textFill>
            <w14:solidFill>
              <w14:schemeClr w14:val="tx1"/>
            </w14:solidFill>
          </w14:textFill>
        </w:rPr>
      </w:pPr>
      <w:r>
        <w:rPr>
          <w:rFonts w:hint="eastAsia" w:ascii="楷体_GB2312" w:hAnsi="仿宋_GB2312" w:eastAsia="楷体_GB2312" w:cs="仿宋_GB2312"/>
          <w:b/>
          <w:color w:val="000000" w:themeColor="text1"/>
          <w:szCs w:val="32"/>
          <w14:textFill>
            <w14:solidFill>
              <w14:schemeClr w14:val="tx1"/>
            </w14:solidFill>
          </w14:textFill>
        </w:rPr>
        <w:t>（三）申报材料</w:t>
      </w:r>
    </w:p>
    <w:p>
      <w:pPr>
        <w:keepNext w:val="0"/>
        <w:keepLines w:val="0"/>
        <w:pageBreakBefore w:val="0"/>
        <w:widowControl w:val="0"/>
        <w:kinsoku/>
        <w:wordWrap/>
        <w:overflowPunct/>
        <w:topLinePunct w:val="0"/>
        <w:bidi w:val="0"/>
        <w:adjustRightInd/>
        <w:snapToGrid/>
        <w:spacing w:line="540" w:lineRule="exact"/>
        <w:ind w:firstLine="646"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1.“揭榜挂帅”企业重大技术需求征集表；2.</w:t>
      </w:r>
      <w:r>
        <w:rPr>
          <w:rFonts w:hint="eastAsia" w:ascii="仿宋_GB2312" w:hAnsi="仿宋_GB2312" w:cs="仿宋_GB2312"/>
          <w:color w:val="000000" w:themeColor="text1"/>
          <w:szCs w:val="32"/>
          <w:lang w:val="en-US" w:eastAsia="zh-CN"/>
          <w14:textFill>
            <w14:solidFill>
              <w14:schemeClr w14:val="tx1"/>
            </w14:solidFill>
          </w14:textFill>
        </w:rPr>
        <w:t>企业上一年度研发投入证明</w:t>
      </w:r>
      <w:r>
        <w:rPr>
          <w:rFonts w:hint="eastAsia" w:ascii="仿宋_GB2312" w:hAnsi="仿宋_GB2312" w:cs="仿宋_GB2312"/>
          <w:color w:val="000000" w:themeColor="text1"/>
          <w:szCs w:val="32"/>
          <w14:textFill>
            <w14:solidFill>
              <w14:schemeClr w14:val="tx1"/>
            </w14:solidFill>
          </w14:textFill>
        </w:rPr>
        <w:t>；</w:t>
      </w:r>
      <w:r>
        <w:rPr>
          <w:rFonts w:hint="eastAsia" w:ascii="仿宋_GB2312" w:hAnsi="仿宋_GB2312" w:cs="仿宋_GB2312"/>
          <w:color w:val="000000" w:themeColor="text1"/>
          <w:szCs w:val="32"/>
          <w:lang w:val="en-US" w:eastAsia="zh-CN"/>
          <w14:textFill>
            <w14:solidFill>
              <w14:schemeClr w14:val="tx1"/>
            </w14:solidFill>
          </w14:textFill>
        </w:rPr>
        <w:t>3</w:t>
      </w:r>
      <w:r>
        <w:rPr>
          <w:rFonts w:hint="eastAsia" w:ascii="仿宋_GB2312" w:hAnsi="仿宋_GB2312" w:cs="仿宋_GB2312"/>
          <w:color w:val="000000" w:themeColor="text1"/>
          <w:szCs w:val="32"/>
          <w14:textFill>
            <w14:solidFill>
              <w14:schemeClr w14:val="tx1"/>
            </w14:solidFill>
          </w14:textFill>
        </w:rPr>
        <w:t>.其他相关附件材料。</w:t>
      </w:r>
    </w:p>
    <w:p>
      <w:pPr>
        <w:keepNext w:val="0"/>
        <w:keepLines w:val="0"/>
        <w:pageBreakBefore w:val="0"/>
        <w:widowControl w:val="0"/>
        <w:kinsoku/>
        <w:wordWrap/>
        <w:overflowPunct/>
        <w:topLinePunct w:val="0"/>
        <w:bidi w:val="0"/>
        <w:adjustRightInd/>
        <w:snapToGrid/>
        <w:spacing w:line="540" w:lineRule="exact"/>
        <w:ind w:firstLine="646" w:firstLineChars="200"/>
        <w:textAlignment w:val="auto"/>
        <w:rPr>
          <w:color w:val="000000" w:themeColor="text1"/>
          <w14:textFill>
            <w14:solidFill>
              <w14:schemeClr w14:val="tx1"/>
            </w14:solidFill>
          </w14:textFill>
        </w:rPr>
      </w:pPr>
      <w:r>
        <w:rPr>
          <w:rFonts w:hint="eastAsia" w:ascii="楷体_GB2312" w:hAnsi="仿宋_GB2312" w:eastAsia="楷体_GB2312" w:cs="仿宋_GB2312"/>
          <w:b/>
          <w:color w:val="000000" w:themeColor="text1"/>
          <w:szCs w:val="32"/>
          <w14:textFill>
            <w14:solidFill>
              <w14:schemeClr w14:val="tx1"/>
            </w14:solidFill>
          </w14:textFill>
        </w:rPr>
        <w:t xml:space="preserve">（四）牵头科室  </w:t>
      </w:r>
      <w:r>
        <w:rPr>
          <w:rFonts w:hint="eastAsia" w:ascii="仿宋_GB2312" w:hAnsi="仿宋_GB2312" w:eastAsia="楷体_GB2312" w:cs="仿宋_GB2312"/>
          <w:color w:val="000000" w:themeColor="text1"/>
          <w:szCs w:val="32"/>
          <w14:textFill>
            <w14:solidFill>
              <w14:schemeClr w14:val="tx1"/>
            </w14:solidFill>
          </w14:textFill>
        </w:rPr>
        <w:t>规划</w:t>
      </w:r>
      <w:r>
        <w:rPr>
          <w:rFonts w:hint="eastAsia" w:ascii="仿宋_GB2312" w:hAnsi="仿宋_GB2312" w:cs="仿宋_GB2312"/>
          <w:color w:val="000000" w:themeColor="text1"/>
          <w:szCs w:val="32"/>
          <w14:textFill>
            <w14:solidFill>
              <w14:schemeClr w14:val="tx1"/>
            </w14:solidFill>
          </w14:textFill>
        </w:rPr>
        <w:t>科。</w:t>
      </w:r>
    </w:p>
    <w:p>
      <w:pPr>
        <w:pStyle w:val="9"/>
        <w:keepNext w:val="0"/>
        <w:keepLines w:val="0"/>
        <w:pageBreakBefore w:val="0"/>
        <w:widowControl w:val="0"/>
        <w:kinsoku/>
        <w:wordWrap/>
        <w:overflowPunct/>
        <w:topLinePunct w:val="0"/>
        <w:bidi w:val="0"/>
        <w:adjustRightInd/>
        <w:snapToGrid/>
        <w:spacing w:line="540" w:lineRule="exact"/>
        <w:ind w:firstLine="629" w:firstLineChars="195"/>
        <w:jc w:val="both"/>
        <w:textAlignment w:val="auto"/>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二、基础研究计划（自然科学基金计划）</w:t>
      </w:r>
    </w:p>
    <w:p>
      <w:pPr>
        <w:pStyle w:val="9"/>
        <w:keepNext w:val="0"/>
        <w:keepLines w:val="0"/>
        <w:pageBreakBefore w:val="0"/>
        <w:widowControl w:val="0"/>
        <w:kinsoku/>
        <w:wordWrap/>
        <w:overflowPunct/>
        <w:topLinePunct w:val="0"/>
        <w:bidi w:val="0"/>
        <w:adjustRightInd/>
        <w:snapToGrid/>
        <w:spacing w:line="540" w:lineRule="exact"/>
        <w:ind w:firstLine="646" w:firstLineChars="200"/>
        <w:jc w:val="both"/>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（一）申报条件</w:t>
      </w:r>
    </w:p>
    <w:p>
      <w:pPr>
        <w:pStyle w:val="9"/>
        <w:keepNext w:val="0"/>
        <w:keepLines w:val="0"/>
        <w:pageBreakBefore w:val="0"/>
        <w:widowControl w:val="0"/>
        <w:kinsoku/>
        <w:wordWrap/>
        <w:overflowPunct/>
        <w:topLinePunct w:val="0"/>
        <w:bidi w:val="0"/>
        <w:adjustRightInd/>
        <w:snapToGrid/>
        <w:spacing w:line="540" w:lineRule="exact"/>
        <w:ind w:firstLine="646" w:firstLineChars="200"/>
        <w:jc w:val="both"/>
        <w:textAlignment w:val="auto"/>
        <w:rPr>
          <w:rFonts w:hAnsi="仿宋_GB2312"/>
          <w:color w:val="000000" w:themeColor="text1"/>
          <w:sz w:val="32"/>
          <w:szCs w:val="32"/>
          <w14:textFill>
            <w14:solidFill>
              <w14:schemeClr w14:val="tx1"/>
            </w14:solidFill>
          </w14:textFill>
        </w:rPr>
      </w:pPr>
      <w:r>
        <w:rPr>
          <w:rFonts w:hint="eastAsia" w:hAnsi="仿宋_GB2312"/>
          <w:color w:val="000000" w:themeColor="text1"/>
          <w:sz w:val="32"/>
          <w:szCs w:val="32"/>
          <w14:textFill>
            <w14:solidFill>
              <w14:schemeClr w14:val="tx1"/>
            </w14:solidFill>
          </w14:textFill>
        </w:rPr>
        <w:t>市自然科学基金项目的申报除满足申报通知中有关基本条件外，还应符合以下条件：</w:t>
      </w:r>
    </w:p>
    <w:p>
      <w:pPr>
        <w:pStyle w:val="9"/>
        <w:keepNext w:val="0"/>
        <w:keepLines w:val="0"/>
        <w:pageBreakBefore w:val="0"/>
        <w:widowControl w:val="0"/>
        <w:kinsoku/>
        <w:wordWrap/>
        <w:overflowPunct/>
        <w:topLinePunct w:val="0"/>
        <w:bidi w:val="0"/>
        <w:adjustRightInd/>
        <w:snapToGrid/>
        <w:spacing w:line="540" w:lineRule="exact"/>
        <w:ind w:firstLine="646" w:firstLineChars="200"/>
        <w:jc w:val="both"/>
        <w:textAlignment w:val="auto"/>
        <w:rPr>
          <w:rFonts w:hAnsi="仿宋_GB2312"/>
          <w:color w:val="000000" w:themeColor="text1"/>
          <w:sz w:val="32"/>
          <w:szCs w:val="32"/>
          <w14:textFill>
            <w14:solidFill>
              <w14:schemeClr w14:val="tx1"/>
            </w14:solidFill>
          </w14:textFill>
        </w:rPr>
      </w:pPr>
      <w:r>
        <w:rPr>
          <w:rFonts w:hint="eastAsia" w:hAnsi="仿宋_GB2312"/>
          <w:color w:val="000000" w:themeColor="text1"/>
          <w:sz w:val="32"/>
          <w:szCs w:val="32"/>
          <w14:textFill>
            <w14:solidFill>
              <w14:schemeClr w14:val="tx1"/>
            </w14:solidFill>
          </w14:textFill>
        </w:rPr>
        <w:t>1.项目承担单位为我市高校、科研院所、新型研发机构和三甲医院，项目组成员为具有中华人民共和国国籍（含获得中国永久居留权证的外国籍专家）从事科学技术研究的在职在岗人员。</w:t>
      </w:r>
    </w:p>
    <w:p>
      <w:pPr>
        <w:pStyle w:val="9"/>
        <w:keepNext w:val="0"/>
        <w:keepLines w:val="0"/>
        <w:pageBreakBefore w:val="0"/>
        <w:widowControl w:val="0"/>
        <w:kinsoku/>
        <w:wordWrap/>
        <w:overflowPunct/>
        <w:topLinePunct w:val="0"/>
        <w:bidi w:val="0"/>
        <w:adjustRightInd/>
        <w:snapToGrid/>
        <w:spacing w:line="540" w:lineRule="exact"/>
        <w:ind w:firstLine="646" w:firstLineChars="200"/>
        <w:jc w:val="both"/>
        <w:textAlignment w:val="auto"/>
        <w:rPr>
          <w:rFonts w:hAnsi="仿宋_GB2312"/>
          <w:color w:val="000000" w:themeColor="text1"/>
          <w:sz w:val="32"/>
          <w:szCs w:val="32"/>
          <w14:textFill>
            <w14:solidFill>
              <w14:schemeClr w14:val="tx1"/>
            </w14:solidFill>
          </w14:textFill>
        </w:rPr>
      </w:pPr>
      <w:r>
        <w:rPr>
          <w:rFonts w:hint="eastAsia" w:hAnsi="仿宋_GB2312"/>
          <w:color w:val="000000" w:themeColor="text1"/>
          <w:sz w:val="32"/>
          <w:szCs w:val="32"/>
          <w14:textFill>
            <w14:solidFill>
              <w14:schemeClr w14:val="tx1"/>
            </w14:solidFill>
          </w14:textFill>
        </w:rPr>
        <w:t>2.申报人必须具有博士学位或高级专业技术职务（职称）的在职在岗人员。</w:t>
      </w:r>
    </w:p>
    <w:p>
      <w:pPr>
        <w:pStyle w:val="9"/>
        <w:keepNext w:val="0"/>
        <w:keepLines w:val="0"/>
        <w:pageBreakBefore w:val="0"/>
        <w:widowControl w:val="0"/>
        <w:kinsoku/>
        <w:wordWrap/>
        <w:overflowPunct/>
        <w:topLinePunct w:val="0"/>
        <w:bidi w:val="0"/>
        <w:adjustRightInd/>
        <w:snapToGrid/>
        <w:spacing w:line="540" w:lineRule="exact"/>
        <w:ind w:firstLine="646" w:firstLineChars="200"/>
        <w:jc w:val="both"/>
        <w:textAlignment w:val="auto"/>
        <w:rPr>
          <w:rFonts w:hAnsi="仿宋_GB2312"/>
          <w:color w:val="000000" w:themeColor="text1"/>
          <w:sz w:val="32"/>
          <w:szCs w:val="32"/>
          <w14:textFill>
            <w14:solidFill>
              <w14:schemeClr w14:val="tx1"/>
            </w14:solidFill>
          </w14:textFill>
        </w:rPr>
      </w:pPr>
      <w:r>
        <w:rPr>
          <w:rFonts w:hint="eastAsia" w:hAnsi="仿宋_GB2312"/>
          <w:color w:val="000000" w:themeColor="text1"/>
          <w:sz w:val="32"/>
          <w:szCs w:val="32"/>
          <w14:textFill>
            <w14:solidFill>
              <w14:schemeClr w14:val="tx1"/>
            </w14:solidFill>
          </w14:textFill>
        </w:rPr>
        <w:t>3.项目申报人具有组织开展创新性研究的能力和基本条件，有承担基础研究项目或从事基础研究的工作经历，且具有良好的科研信用记录；每年在依托单位工作时间应不少于9个月，有足够的时间和精力从事申报项目的研究。</w:t>
      </w:r>
    </w:p>
    <w:p>
      <w:pPr>
        <w:pStyle w:val="9"/>
        <w:keepNext w:val="0"/>
        <w:keepLines w:val="0"/>
        <w:pageBreakBefore w:val="0"/>
        <w:widowControl w:val="0"/>
        <w:kinsoku/>
        <w:wordWrap/>
        <w:overflowPunct/>
        <w:topLinePunct w:val="0"/>
        <w:bidi w:val="0"/>
        <w:adjustRightInd/>
        <w:snapToGrid/>
        <w:spacing w:line="540" w:lineRule="exact"/>
        <w:ind w:firstLine="646" w:firstLineChars="200"/>
        <w:jc w:val="both"/>
        <w:textAlignment w:val="auto"/>
        <w:rPr>
          <w:rFonts w:hAnsi="仿宋_GB2312"/>
          <w:b/>
          <w:color w:val="000000" w:themeColor="text1"/>
          <w:sz w:val="32"/>
          <w:szCs w:val="32"/>
          <w14:textFill>
            <w14:solidFill>
              <w14:schemeClr w14:val="tx1"/>
            </w14:solidFill>
          </w14:textFill>
        </w:rPr>
      </w:pPr>
      <w:r>
        <w:rPr>
          <w:rFonts w:hint="eastAsia" w:ascii="楷体_GB2312" w:hAnsi="仿宋_GB2312" w:eastAsia="楷体_GB2312"/>
          <w:b/>
          <w:color w:val="000000" w:themeColor="text1"/>
          <w:kern w:val="2"/>
          <w:sz w:val="32"/>
          <w:szCs w:val="32"/>
          <w14:textFill>
            <w14:solidFill>
              <w14:schemeClr w14:val="tx1"/>
            </w14:solidFill>
          </w14:textFill>
        </w:rPr>
        <w:t xml:space="preserve">（二）支持领域 </w:t>
      </w:r>
    </w:p>
    <w:p>
      <w:pPr>
        <w:pStyle w:val="9"/>
        <w:keepNext w:val="0"/>
        <w:keepLines w:val="0"/>
        <w:pageBreakBefore w:val="0"/>
        <w:widowControl w:val="0"/>
        <w:kinsoku/>
        <w:wordWrap/>
        <w:overflowPunct/>
        <w:topLinePunct w:val="0"/>
        <w:bidi w:val="0"/>
        <w:adjustRightInd/>
        <w:snapToGrid/>
        <w:spacing w:line="540" w:lineRule="exact"/>
        <w:ind w:firstLine="646" w:firstLineChars="200"/>
        <w:jc w:val="both"/>
        <w:textAlignment w:val="auto"/>
        <w:rPr>
          <w:rFonts w:hAnsi="仿宋_GB2312"/>
          <w:color w:val="000000" w:themeColor="text1"/>
          <w:sz w:val="32"/>
          <w:szCs w:val="32"/>
          <w14:textFill>
            <w14:solidFill>
              <w14:schemeClr w14:val="tx1"/>
            </w14:solidFill>
          </w14:textFill>
        </w:rPr>
      </w:pPr>
      <w:r>
        <w:rPr>
          <w:rFonts w:hint="eastAsia" w:hAnsi="仿宋_GB2312"/>
          <w:color w:val="000000" w:themeColor="text1"/>
          <w:sz w:val="32"/>
          <w:szCs w:val="32"/>
          <w14:textFill>
            <w14:solidFill>
              <w14:schemeClr w14:val="tx1"/>
            </w14:solidFill>
          </w14:textFill>
        </w:rPr>
        <w:t>1.数理科学:基础数学、计算数学、概率论与数理统计、应用数学、运筹学与控制论等数学研究领域的理论与方法；动力学与控制、固体力学、流体力学、生物力学、物理力学、基础物理、光物理与发光器件、低维凝聚态物理与量子调控、引力理论与粒子物理、纳米电子学与纳米光学。</w:t>
      </w:r>
    </w:p>
    <w:p>
      <w:pPr>
        <w:pStyle w:val="9"/>
        <w:keepNext w:val="0"/>
        <w:keepLines w:val="0"/>
        <w:pageBreakBefore w:val="0"/>
        <w:widowControl w:val="0"/>
        <w:kinsoku/>
        <w:wordWrap/>
        <w:overflowPunct/>
        <w:topLinePunct w:val="0"/>
        <w:bidi w:val="0"/>
        <w:adjustRightInd/>
        <w:snapToGrid/>
        <w:spacing w:line="540" w:lineRule="exact"/>
        <w:ind w:firstLine="646" w:firstLineChars="200"/>
        <w:jc w:val="both"/>
        <w:textAlignment w:val="auto"/>
        <w:rPr>
          <w:rFonts w:hAnsi="仿宋_GB2312"/>
          <w:color w:val="000000" w:themeColor="text1"/>
          <w:sz w:val="32"/>
          <w:szCs w:val="32"/>
          <w14:textFill>
            <w14:solidFill>
              <w14:schemeClr w14:val="tx1"/>
            </w14:solidFill>
          </w14:textFill>
        </w:rPr>
      </w:pPr>
      <w:r>
        <w:rPr>
          <w:rFonts w:hint="eastAsia" w:hAnsi="仿宋_GB2312"/>
          <w:color w:val="000000" w:themeColor="text1"/>
          <w:sz w:val="32"/>
          <w:szCs w:val="32"/>
          <w14:textFill>
            <w14:solidFill>
              <w14:schemeClr w14:val="tx1"/>
            </w14:solidFill>
          </w14:textFill>
        </w:rPr>
        <w:t>2.信息科学:电子学、通信与网络、电子器件与集成电路、计算机科学、自动化科学、大模型、光电子与微电子、网络安全、半导体照明关键技术、光电子器件、数字化制造与智能制造。</w:t>
      </w:r>
    </w:p>
    <w:p>
      <w:pPr>
        <w:pStyle w:val="9"/>
        <w:keepNext w:val="0"/>
        <w:keepLines w:val="0"/>
        <w:pageBreakBefore w:val="0"/>
        <w:widowControl w:val="0"/>
        <w:kinsoku/>
        <w:wordWrap/>
        <w:overflowPunct/>
        <w:topLinePunct w:val="0"/>
        <w:bidi w:val="0"/>
        <w:adjustRightInd/>
        <w:snapToGrid/>
        <w:spacing w:line="540" w:lineRule="exact"/>
        <w:ind w:firstLine="646" w:firstLineChars="200"/>
        <w:jc w:val="both"/>
        <w:textAlignment w:val="auto"/>
        <w:rPr>
          <w:rFonts w:hAnsi="仿宋_GB2312"/>
          <w:color w:val="000000" w:themeColor="text1"/>
          <w:sz w:val="32"/>
          <w:szCs w:val="32"/>
          <w14:textFill>
            <w14:solidFill>
              <w14:schemeClr w14:val="tx1"/>
            </w14:solidFill>
          </w14:textFill>
        </w:rPr>
      </w:pPr>
      <w:r>
        <w:rPr>
          <w:rFonts w:hint="eastAsia" w:hAnsi="仿宋_GB2312"/>
          <w:color w:val="000000" w:themeColor="text1"/>
          <w:sz w:val="32"/>
          <w:szCs w:val="32"/>
          <w14:textFill>
            <w14:solidFill>
              <w14:schemeClr w14:val="tx1"/>
            </w14:solidFill>
          </w14:textFill>
        </w:rPr>
        <w:t>3.化学类：新型聚合物材料合成方法、试剂、机理；同位素分析及制备基础研究；高效热、光、电、生物催化新理论、新技术、新方法；高性能超级电容器关键技术；危化品生产本质安全化科学问题研究。</w:t>
      </w:r>
    </w:p>
    <w:p>
      <w:pPr>
        <w:pStyle w:val="9"/>
        <w:keepNext w:val="0"/>
        <w:keepLines w:val="0"/>
        <w:pageBreakBefore w:val="0"/>
        <w:widowControl w:val="0"/>
        <w:kinsoku/>
        <w:wordWrap/>
        <w:overflowPunct/>
        <w:topLinePunct w:val="0"/>
        <w:bidi w:val="0"/>
        <w:adjustRightInd/>
        <w:snapToGrid/>
        <w:spacing w:line="540" w:lineRule="exact"/>
        <w:ind w:firstLine="646" w:firstLineChars="200"/>
        <w:jc w:val="both"/>
        <w:textAlignment w:val="auto"/>
        <w:rPr>
          <w:rFonts w:hAnsi="仿宋_GB2312"/>
          <w:color w:val="000000" w:themeColor="text1"/>
          <w:sz w:val="32"/>
          <w:szCs w:val="32"/>
          <w14:textFill>
            <w14:solidFill>
              <w14:schemeClr w14:val="tx1"/>
            </w14:solidFill>
          </w14:textFill>
        </w:rPr>
      </w:pPr>
      <w:r>
        <w:rPr>
          <w:rFonts w:hint="eastAsia" w:hAnsi="仿宋_GB2312"/>
          <w:color w:val="000000" w:themeColor="text1"/>
          <w:sz w:val="32"/>
          <w:szCs w:val="32"/>
          <w14:textFill>
            <w14:solidFill>
              <w14:schemeClr w14:val="tx1"/>
            </w14:solidFill>
          </w14:textFill>
        </w:rPr>
        <w:t>4.环境科学：鄱阳湖污染物多介质环境过程、效应及控制；水利工程系统理论与应用；污染物高效处理及同步资源化和能源化的基础理论与新技术开发；环境污染物的高效检测及其体内毒性效应评价；资源开发与综合利用、生态保护、资源利用的环境效应；鄱阳湖湿地土地利用及土地覆盖变化和碳循环;土壤质量与资源效应等；绿色资源开采、矿物材料的制备和加工；特殊矿产尾矿库退役治理；自然环境中低活度放射性检测方法与技术; 资源循环科学、水处理、空气净化、水资源可持续利用、环境污染控制与修复新理论与新方法。</w:t>
      </w:r>
    </w:p>
    <w:p>
      <w:pPr>
        <w:pStyle w:val="9"/>
        <w:keepNext w:val="0"/>
        <w:keepLines w:val="0"/>
        <w:pageBreakBefore w:val="0"/>
        <w:widowControl w:val="0"/>
        <w:kinsoku/>
        <w:wordWrap/>
        <w:overflowPunct/>
        <w:topLinePunct w:val="0"/>
        <w:bidi w:val="0"/>
        <w:adjustRightInd/>
        <w:snapToGrid/>
        <w:spacing w:line="540" w:lineRule="exact"/>
        <w:ind w:firstLine="646" w:firstLineChars="200"/>
        <w:jc w:val="both"/>
        <w:textAlignment w:val="auto"/>
        <w:rPr>
          <w:rFonts w:hAnsi="仿宋_GB2312"/>
          <w:color w:val="000000" w:themeColor="text1"/>
          <w:sz w:val="32"/>
          <w:szCs w:val="32"/>
          <w14:textFill>
            <w14:solidFill>
              <w14:schemeClr w14:val="tx1"/>
            </w14:solidFill>
          </w14:textFill>
        </w:rPr>
      </w:pPr>
      <w:r>
        <w:rPr>
          <w:rFonts w:hint="eastAsia" w:hAnsi="仿宋_GB2312"/>
          <w:color w:val="000000" w:themeColor="text1"/>
          <w:sz w:val="32"/>
          <w:szCs w:val="32"/>
          <w14:textFill>
            <w14:solidFill>
              <w14:schemeClr w14:val="tx1"/>
            </w14:solidFill>
          </w14:textFill>
        </w:rPr>
        <w:t>5.材料与工程科学:提高传统产业竞争能力的高性能结构材料、半导体发光材料、太阳能光伏材料、陶瓷功能材料、环境能源材料、新型能源材料与动力锂离子电池、稀土掺杂光电功能材料；有机高分子能量转换及节能减排和低碳排放转化机制；柔性生物电子材料；高精铜材、优特钢材、硬质合金、锂、镍钴、铅锌、铝合金等新材料；工程技术领域在数字化、智能化、精密化、绿色化方面等关键技术。</w:t>
      </w:r>
    </w:p>
    <w:p>
      <w:pPr>
        <w:pStyle w:val="9"/>
        <w:keepNext w:val="0"/>
        <w:keepLines w:val="0"/>
        <w:pageBreakBefore w:val="0"/>
        <w:widowControl w:val="0"/>
        <w:kinsoku/>
        <w:wordWrap/>
        <w:overflowPunct/>
        <w:topLinePunct w:val="0"/>
        <w:bidi w:val="0"/>
        <w:adjustRightInd/>
        <w:snapToGrid/>
        <w:spacing w:line="540" w:lineRule="exact"/>
        <w:ind w:firstLine="646" w:firstLineChars="200"/>
        <w:jc w:val="both"/>
        <w:textAlignment w:val="auto"/>
        <w:rPr>
          <w:rFonts w:hAnsi="仿宋_GB2312"/>
          <w:color w:val="000000" w:themeColor="text1"/>
          <w:sz w:val="32"/>
          <w:szCs w:val="32"/>
          <w14:textFill>
            <w14:solidFill>
              <w14:schemeClr w14:val="tx1"/>
            </w14:solidFill>
          </w14:textFill>
        </w:rPr>
      </w:pPr>
      <w:r>
        <w:rPr>
          <w:rFonts w:hint="eastAsia" w:hAnsi="仿宋_GB2312"/>
          <w:color w:val="000000" w:themeColor="text1"/>
          <w:sz w:val="32"/>
          <w:szCs w:val="32"/>
          <w14:textFill>
            <w14:solidFill>
              <w14:schemeClr w14:val="tx1"/>
            </w14:solidFill>
          </w14:textFill>
        </w:rPr>
        <w:t>6.农业与生物科学:九江特色水果、茶叶和主要农作物的营养与风味物质基础、生长机理及与人体的互作网络模型；食品加工的生物学基础与调控机制；食品营养；食品风味；食品安全；肠道微生态与人体健康；食品微生物资源开发与利用；九江特色食物资源营养功能成分的高效纯化理论；九江特色农副产品贮藏与保鲜过程中品质劣变的生物学基础等；动植物新品种选育;生物资源繁育种植、生物基材料、微生物制造技术；生物产品新型高效的分离、纯化方法。</w:t>
      </w:r>
    </w:p>
    <w:p>
      <w:pPr>
        <w:pStyle w:val="9"/>
        <w:keepNext w:val="0"/>
        <w:keepLines w:val="0"/>
        <w:pageBreakBefore w:val="0"/>
        <w:widowControl w:val="0"/>
        <w:kinsoku/>
        <w:wordWrap/>
        <w:overflowPunct/>
        <w:topLinePunct w:val="0"/>
        <w:bidi w:val="0"/>
        <w:adjustRightInd/>
        <w:snapToGrid/>
        <w:spacing w:line="540" w:lineRule="exact"/>
        <w:ind w:firstLine="646" w:firstLineChars="200"/>
        <w:jc w:val="both"/>
        <w:textAlignment w:val="auto"/>
        <w:rPr>
          <w:rFonts w:hAnsi="仿宋_GB2312"/>
          <w:color w:val="000000" w:themeColor="text1"/>
          <w:sz w:val="32"/>
          <w:szCs w:val="32"/>
          <w14:textFill>
            <w14:solidFill>
              <w14:schemeClr w14:val="tx1"/>
            </w14:solidFill>
          </w14:textFill>
        </w:rPr>
      </w:pPr>
      <w:r>
        <w:rPr>
          <w:rFonts w:hint="eastAsia" w:hAnsi="仿宋_GB2312"/>
          <w:color w:val="000000" w:themeColor="text1"/>
          <w:sz w:val="32"/>
          <w:szCs w:val="32"/>
          <w14:textFill>
            <w14:solidFill>
              <w14:schemeClr w14:val="tx1"/>
            </w14:solidFill>
          </w14:textFill>
        </w:rPr>
        <w:t>7.医药与卫生科学：九江地区常见疾病预防、优生、优育等有关交叉学科；威胁人类健康的多发疾病、重大疾病、血吸虫等地方或区域性疾病的诊断、治疗与临床前和治疗过程中的应用基础研究；环境对健康的影响、九江地区常见疾病预防、重要传染病流行特征及防治策略等有关交叉学科；胃肠道微生态；现代中药、生物制药、化学制药、生物医学工程；新型给药系统、重大疾病的药效学评价等；中医基础理论概念、内涵的规范化、热敏灸应用规律及其机理、中医病因病机的证治分类；中药药性理论与中药资源利用、中药鉴定、中药炮制、中药质量控制、中药药理、九江道地药材药效、方药药效及中药制剂关键技术与制药装备。</w:t>
      </w:r>
    </w:p>
    <w:p>
      <w:pPr>
        <w:pStyle w:val="9"/>
        <w:keepNext w:val="0"/>
        <w:keepLines w:val="0"/>
        <w:pageBreakBefore w:val="0"/>
        <w:widowControl w:val="0"/>
        <w:kinsoku/>
        <w:wordWrap/>
        <w:overflowPunct/>
        <w:topLinePunct w:val="0"/>
        <w:bidi w:val="0"/>
        <w:adjustRightInd/>
        <w:snapToGrid/>
        <w:spacing w:line="540" w:lineRule="exact"/>
        <w:ind w:firstLine="646" w:firstLineChars="200"/>
        <w:jc w:val="both"/>
        <w:textAlignment w:val="auto"/>
        <w:rPr>
          <w:rFonts w:hAnsi="仿宋_GB2312"/>
          <w:color w:val="000000" w:themeColor="text1"/>
          <w:sz w:val="32"/>
          <w:szCs w:val="32"/>
          <w14:textFill>
            <w14:solidFill>
              <w14:schemeClr w14:val="tx1"/>
            </w14:solidFill>
          </w14:textFill>
        </w:rPr>
      </w:pPr>
      <w:r>
        <w:rPr>
          <w:rFonts w:hint="eastAsia" w:hAnsi="仿宋_GB2312"/>
          <w:color w:val="000000" w:themeColor="text1"/>
          <w:sz w:val="32"/>
          <w:szCs w:val="32"/>
          <w14:textFill>
            <w14:solidFill>
              <w14:schemeClr w14:val="tx1"/>
            </w14:solidFill>
          </w14:textFill>
        </w:rPr>
        <w:t xml:space="preserve">8.前沿技术及颠覆性技术领域:人工智能及数据挖掘、图像处理、高性能软件技术、网络与通信技术、信息安全协议的设计与理论分析等技术;量子计算在密码破解和分子模拟技术研究；区块链技术研究；可再生能源技术研究；纳米技术与新材料；脑机接口技术；磁约束聚变物理和技术、磁约束等离子体物理、中子输运理论与物理、粒子与核物理探测新方法新技术、核技术应用研究；核安全、核仪器仪表及测量系统等设计研发；重要功能基因的表达调控、开发及应用；发现并鉴定代谢调控物质（包括外泌体、代谢物、RNA、肽类等）及其功能与作用机制；基因编辑（CRISPR）技术。 </w:t>
      </w:r>
    </w:p>
    <w:p>
      <w:pPr>
        <w:keepNext w:val="0"/>
        <w:keepLines w:val="0"/>
        <w:pageBreakBefore w:val="0"/>
        <w:widowControl w:val="0"/>
        <w:kinsoku/>
        <w:wordWrap/>
        <w:overflowPunct/>
        <w:topLinePunct w:val="0"/>
        <w:bidi w:val="0"/>
        <w:adjustRightInd/>
        <w:snapToGrid/>
        <w:spacing w:line="540" w:lineRule="exact"/>
        <w:ind w:firstLine="646" w:firstLineChars="200"/>
        <w:textAlignment w:val="auto"/>
        <w:rPr>
          <w:rFonts w:ascii="楷体_GB2312" w:hAnsi="仿宋_GB2312" w:eastAsia="楷体_GB2312" w:cs="仿宋_GB2312"/>
          <w:b/>
          <w:color w:val="000000" w:themeColor="text1"/>
          <w:szCs w:val="32"/>
          <w14:textFill>
            <w14:solidFill>
              <w14:schemeClr w14:val="tx1"/>
            </w14:solidFill>
          </w14:textFill>
        </w:rPr>
      </w:pPr>
      <w:r>
        <w:rPr>
          <w:rFonts w:hint="eastAsia" w:ascii="楷体_GB2312" w:hAnsi="仿宋_GB2312" w:eastAsia="楷体_GB2312" w:cs="仿宋_GB2312"/>
          <w:b/>
          <w:color w:val="000000" w:themeColor="text1"/>
          <w:szCs w:val="32"/>
          <w14:textFill>
            <w14:solidFill>
              <w14:schemeClr w14:val="tx1"/>
            </w14:solidFill>
          </w14:textFill>
        </w:rPr>
        <w:t>（三）申报材料</w:t>
      </w:r>
    </w:p>
    <w:p>
      <w:pPr>
        <w:keepNext w:val="0"/>
        <w:keepLines w:val="0"/>
        <w:pageBreakBefore w:val="0"/>
        <w:widowControl w:val="0"/>
        <w:kinsoku/>
        <w:wordWrap/>
        <w:overflowPunct/>
        <w:topLinePunct w:val="0"/>
        <w:bidi w:val="0"/>
        <w:adjustRightInd/>
        <w:snapToGrid/>
        <w:spacing w:line="540" w:lineRule="exact"/>
        <w:ind w:firstLine="646"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1.九江市基础研究计划项目申报书；2.项目可行性研究报告；3.申报单位法人营业执照；4.其他相关附件材料。</w:t>
      </w:r>
    </w:p>
    <w:p>
      <w:pPr>
        <w:keepNext w:val="0"/>
        <w:keepLines w:val="0"/>
        <w:pageBreakBefore w:val="0"/>
        <w:widowControl w:val="0"/>
        <w:kinsoku/>
        <w:wordWrap/>
        <w:overflowPunct/>
        <w:topLinePunct w:val="0"/>
        <w:bidi w:val="0"/>
        <w:adjustRightInd/>
        <w:snapToGrid/>
        <w:spacing w:line="540" w:lineRule="exact"/>
        <w:ind w:firstLine="646"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楷体_GB2312" w:hAnsi="仿宋_GB2312" w:eastAsia="楷体_GB2312" w:cs="仿宋_GB2312"/>
          <w:b/>
          <w:color w:val="000000" w:themeColor="text1"/>
          <w:szCs w:val="32"/>
          <w14:textFill>
            <w14:solidFill>
              <w14:schemeClr w14:val="tx1"/>
            </w14:solidFill>
          </w14:textFill>
        </w:rPr>
        <w:t xml:space="preserve">（四）牵头科室  </w:t>
      </w:r>
      <w:r>
        <w:rPr>
          <w:rFonts w:hint="eastAsia" w:ascii="仿宋_GB2312" w:hAnsi="仿宋_GB2312" w:eastAsia="楷体_GB2312" w:cs="仿宋_GB2312"/>
          <w:color w:val="000000" w:themeColor="text1"/>
          <w:szCs w:val="32"/>
          <w14:textFill>
            <w14:solidFill>
              <w14:schemeClr w14:val="tx1"/>
            </w14:solidFill>
          </w14:textFill>
        </w:rPr>
        <w:t>规划</w:t>
      </w:r>
      <w:r>
        <w:rPr>
          <w:rFonts w:hint="eastAsia" w:ascii="仿宋_GB2312" w:hAnsi="仿宋_GB2312" w:cs="仿宋_GB2312"/>
          <w:color w:val="000000" w:themeColor="text1"/>
          <w:szCs w:val="32"/>
          <w14:textFill>
            <w14:solidFill>
              <w14:schemeClr w14:val="tx1"/>
            </w14:solidFill>
          </w14:textFill>
        </w:rPr>
        <w:t>科。</w:t>
      </w:r>
    </w:p>
    <w:p>
      <w:pPr>
        <w:keepNext w:val="0"/>
        <w:keepLines w:val="0"/>
        <w:pageBreakBefore w:val="0"/>
        <w:widowControl w:val="0"/>
        <w:kinsoku/>
        <w:wordWrap/>
        <w:overflowPunct/>
        <w:topLinePunct w:val="0"/>
        <w:bidi w:val="0"/>
        <w:adjustRightInd/>
        <w:snapToGrid/>
        <w:spacing w:line="540" w:lineRule="exact"/>
        <w:ind w:firstLine="646" w:firstLineChars="200"/>
        <w:textAlignment w:val="auto"/>
        <w:rPr>
          <w:rFonts w:ascii="黑体" w:hAnsi="黑体" w:eastAsia="黑体" w:cs="黑体"/>
          <w:bCs/>
          <w:color w:val="000000" w:themeColor="text1"/>
          <w:szCs w:val="32"/>
          <w14:textFill>
            <w14:solidFill>
              <w14:schemeClr w14:val="tx1"/>
            </w14:solidFill>
          </w14:textFill>
        </w:rPr>
      </w:pPr>
      <w:r>
        <w:rPr>
          <w:rFonts w:hint="eastAsia" w:ascii="黑体" w:hAnsi="黑体" w:eastAsia="黑体" w:cs="黑体"/>
          <w:bCs/>
          <w:color w:val="000000" w:themeColor="text1"/>
          <w:szCs w:val="32"/>
          <w:lang w:val="zh-CN"/>
          <w14:textFill>
            <w14:solidFill>
              <w14:schemeClr w14:val="tx1"/>
            </w14:solidFill>
          </w14:textFill>
        </w:rPr>
        <w:t>三、重点研发</w:t>
      </w:r>
      <w:r>
        <w:rPr>
          <w:rFonts w:hint="eastAsia" w:ascii="黑体" w:hAnsi="黑体" w:eastAsia="黑体" w:cs="黑体"/>
          <w:bCs/>
          <w:color w:val="000000" w:themeColor="text1"/>
          <w:szCs w:val="32"/>
          <w14:textFill>
            <w14:solidFill>
              <w14:schemeClr w14:val="tx1"/>
            </w14:solidFill>
          </w14:textFill>
        </w:rPr>
        <w:t>计划</w:t>
      </w:r>
    </w:p>
    <w:p>
      <w:pPr>
        <w:keepNext w:val="0"/>
        <w:keepLines w:val="0"/>
        <w:pageBreakBefore w:val="0"/>
        <w:widowControl w:val="0"/>
        <w:kinsoku/>
        <w:wordWrap/>
        <w:overflowPunct/>
        <w:topLinePunct w:val="0"/>
        <w:bidi w:val="0"/>
        <w:adjustRightInd/>
        <w:snapToGrid/>
        <w:spacing w:line="540" w:lineRule="exact"/>
        <w:ind w:firstLine="646" w:firstLineChars="200"/>
        <w:textAlignment w:val="auto"/>
        <w:rPr>
          <w:rFonts w:ascii="楷体_GB2312" w:hAnsi="楷体_GB2312" w:eastAsia="楷体_GB2312" w:cs="楷体_GB2312"/>
          <w:b/>
          <w:color w:val="000000" w:themeColor="text1"/>
          <w:szCs w:val="32"/>
          <w14:textFill>
            <w14:solidFill>
              <w14:schemeClr w14:val="tx1"/>
            </w14:solidFill>
          </w14:textFill>
        </w:rPr>
      </w:pPr>
      <w:r>
        <w:rPr>
          <w:rFonts w:hint="eastAsia" w:ascii="楷体_GB2312" w:hAnsi="楷体_GB2312" w:eastAsia="楷体_GB2312" w:cs="楷体_GB2312"/>
          <w:b/>
          <w:color w:val="000000" w:themeColor="text1"/>
          <w:szCs w:val="32"/>
          <w14:textFill>
            <w14:solidFill>
              <w14:schemeClr w14:val="tx1"/>
            </w14:solidFill>
          </w14:textFill>
        </w:rPr>
        <w:t>（一）申报条件</w:t>
      </w:r>
    </w:p>
    <w:p>
      <w:pPr>
        <w:keepNext w:val="0"/>
        <w:keepLines w:val="0"/>
        <w:pageBreakBefore w:val="0"/>
        <w:widowControl w:val="0"/>
        <w:kinsoku/>
        <w:wordWrap/>
        <w:overflowPunct/>
        <w:topLinePunct w:val="0"/>
        <w:bidi w:val="0"/>
        <w:adjustRightInd/>
        <w:snapToGrid/>
        <w:spacing w:line="540" w:lineRule="exact"/>
        <w:ind w:firstLine="646"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（1）申报项目须为我市经济社会发展及重点产业领域内需解决的关键技术难题。</w:t>
      </w:r>
    </w:p>
    <w:p>
      <w:pPr>
        <w:keepNext w:val="0"/>
        <w:keepLines w:val="0"/>
        <w:pageBreakBefore w:val="0"/>
        <w:widowControl w:val="0"/>
        <w:kinsoku/>
        <w:wordWrap/>
        <w:overflowPunct/>
        <w:topLinePunct w:val="0"/>
        <w:bidi w:val="0"/>
        <w:adjustRightInd/>
        <w:snapToGrid/>
        <w:spacing w:line="540" w:lineRule="exact"/>
        <w:ind w:firstLine="646"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（2）申报项目须目标明确、边界清晰，具有明确的产业化前景，合作类项目申报单位须与合作机构正式签署有关项目合作协议或合作意向书。</w:t>
      </w:r>
    </w:p>
    <w:p>
      <w:pPr>
        <w:keepNext w:val="0"/>
        <w:keepLines w:val="0"/>
        <w:pageBreakBefore w:val="0"/>
        <w:widowControl w:val="0"/>
        <w:kinsoku/>
        <w:wordWrap/>
        <w:overflowPunct/>
        <w:topLinePunct w:val="0"/>
        <w:bidi w:val="0"/>
        <w:adjustRightInd/>
        <w:snapToGrid/>
        <w:spacing w:line="540" w:lineRule="exact"/>
        <w:ind w:firstLine="646"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（3）申请单位应具有较好的技术研发和产业化条件，有较强的科研团队，有良好的资信基础和较强的资金筹措能力。</w:t>
      </w:r>
    </w:p>
    <w:p>
      <w:pPr>
        <w:keepNext w:val="0"/>
        <w:keepLines w:val="0"/>
        <w:pageBreakBefore w:val="0"/>
        <w:widowControl w:val="0"/>
        <w:kinsoku/>
        <w:wordWrap/>
        <w:overflowPunct/>
        <w:topLinePunct w:val="0"/>
        <w:bidi w:val="0"/>
        <w:adjustRightInd/>
        <w:snapToGrid/>
        <w:spacing w:line="540" w:lineRule="exact"/>
        <w:ind w:firstLine="646"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（4）多个单位联合申报的，各方须签订联合申报合作协议，明确约定课题申报单位及参与单位承担的研究任务、考核指标、专项经费比例和知识产权归属等，并作为申报书的附件。</w:t>
      </w:r>
    </w:p>
    <w:p>
      <w:pPr>
        <w:keepNext w:val="0"/>
        <w:keepLines w:val="0"/>
        <w:pageBreakBefore w:val="0"/>
        <w:widowControl w:val="0"/>
        <w:kinsoku/>
        <w:wordWrap/>
        <w:overflowPunct/>
        <w:topLinePunct w:val="0"/>
        <w:bidi w:val="0"/>
        <w:adjustRightInd/>
        <w:snapToGrid/>
        <w:spacing w:line="540" w:lineRule="exact"/>
        <w:ind w:firstLine="646" w:firstLineChars="200"/>
        <w:textAlignment w:val="auto"/>
        <w:rPr>
          <w:rFonts w:ascii="楷体_GB2312" w:hAnsi="楷体_GB2312" w:eastAsia="楷体_GB2312" w:cs="楷体_GB2312"/>
          <w:b/>
          <w:color w:val="000000" w:themeColor="text1"/>
          <w:szCs w:val="32"/>
          <w14:textFill>
            <w14:solidFill>
              <w14:schemeClr w14:val="tx1"/>
            </w14:solidFill>
          </w14:textFill>
        </w:rPr>
      </w:pPr>
      <w:r>
        <w:rPr>
          <w:rFonts w:hint="eastAsia" w:ascii="楷体_GB2312" w:hAnsi="楷体_GB2312" w:eastAsia="楷体_GB2312" w:cs="楷体_GB2312"/>
          <w:b/>
          <w:color w:val="000000" w:themeColor="text1"/>
          <w:szCs w:val="32"/>
          <w14:textFill>
            <w14:solidFill>
              <w14:schemeClr w14:val="tx1"/>
            </w14:solidFill>
          </w14:textFill>
        </w:rPr>
        <w:t>（二）重点支持领域</w:t>
      </w:r>
    </w:p>
    <w:p>
      <w:pPr>
        <w:pStyle w:val="6"/>
        <w:keepNext w:val="0"/>
        <w:keepLines w:val="0"/>
        <w:pageBreakBefore w:val="0"/>
        <w:widowControl w:val="0"/>
        <w:kinsoku/>
        <w:wordWrap/>
        <w:overflowPunct/>
        <w:topLinePunct w:val="0"/>
        <w:bidi w:val="0"/>
        <w:adjustRightInd/>
        <w:snapToGrid/>
        <w:spacing w:line="540" w:lineRule="exact"/>
        <w:ind w:firstLine="646"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1.制造业“9610”行动支撑计划</w:t>
      </w:r>
    </w:p>
    <w:p>
      <w:pPr>
        <w:spacing w:line="560" w:lineRule="exact"/>
        <w:ind w:firstLine="646"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（1）石化化工领域。加工劣质原油和提高成品油收率技术、清洁油品生产技术、节能环保技术、储运技术、安全技术等研究开发；化工纳米材料，高分子减水剂和乳化剂、高性能隔膜</w:t>
      </w:r>
      <w:r>
        <w:rPr>
          <w:rFonts w:hint="eastAsia"/>
          <w:color w:val="000000" w:themeColor="text1"/>
          <w:szCs w:val="32"/>
          <w14:textFill>
            <w14:solidFill>
              <w14:schemeClr w14:val="tx1"/>
            </w14:solidFill>
          </w14:textFill>
        </w:rPr>
        <w:t>材料，太阳能电池材料、新型医药（农药）中间体、新型环</w:t>
      </w:r>
      <w:r>
        <w:rPr>
          <w:rFonts w:hint="eastAsia" w:ascii="仿宋_GB2312" w:hAnsi="仿宋_GB2312" w:cs="仿宋_GB2312"/>
          <w:color w:val="000000" w:themeColor="text1"/>
          <w:szCs w:val="32"/>
          <w14:textFill>
            <w14:solidFill>
              <w14:schemeClr w14:val="tx1"/>
            </w14:solidFill>
          </w14:textFill>
        </w:rPr>
        <w:t>保染料及其</w:t>
      </w:r>
      <w:r>
        <w:rPr>
          <w:rFonts w:hint="eastAsia" w:ascii="仿宋_GB2312" w:cs="仿宋_GB2312"/>
          <w:color w:val="000000" w:themeColor="text1"/>
          <w:kern w:val="0"/>
          <w:szCs w:val="32"/>
          <w14:textFill>
            <w14:solidFill>
              <w14:schemeClr w14:val="tx1"/>
            </w14:solidFill>
          </w14:textFill>
        </w:rPr>
        <w:t>中间体、精细化工产品、特种工程塑料、聚乳酸新材料、水性环保涂料、新型胶粘剂</w:t>
      </w:r>
      <w:r>
        <w:rPr>
          <w:rFonts w:hint="eastAsia"/>
          <w:color w:val="000000" w:themeColor="text1"/>
          <w:szCs w:val="32"/>
          <w14:textFill>
            <w14:solidFill>
              <w14:schemeClr w14:val="tx1"/>
            </w14:solidFill>
          </w14:textFill>
        </w:rPr>
        <w:t>等开发与应用</w:t>
      </w:r>
      <w:r>
        <w:rPr>
          <w:rFonts w:hint="eastAsia" w:ascii="仿宋_GB2312" w:hAnsi="仿宋_GB2312" w:cs="仿宋_GB2312"/>
          <w:color w:val="000000" w:themeColor="text1"/>
          <w:szCs w:val="32"/>
          <w14:textFill>
            <w14:solidFill>
              <w14:schemeClr w14:val="tx1"/>
            </w14:solidFill>
          </w14:textFill>
        </w:rPr>
        <w:t>。</w:t>
      </w:r>
    </w:p>
    <w:p>
      <w:pPr>
        <w:spacing w:line="560" w:lineRule="exact"/>
        <w:ind w:firstLine="646" w:firstLineChars="200"/>
        <w:rPr>
          <w:color w:val="000000" w:themeColor="text1"/>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电子信息领域。新型电子器件、柔性电子、集成电路新器件、新工艺、新方法的技术研究；特种电子铜箔、高导热陶瓷基板、高端覆铜板及湿电子化学品等制备与性能优化技术研究；基于机器视觉的产品缺陷智能检测与识别算法、智能制造核心装备的研发；Mini/Micro LED显示驱动与封装技术、功率半导体封装技术、半导体在照明与电源中的应用技术、光电转换与高效储能系统的研发；嵌入式和应用软件开发。</w:t>
      </w:r>
    </w:p>
    <w:p>
      <w:pPr>
        <w:spacing w:line="560" w:lineRule="exact"/>
        <w:ind w:firstLine="646" w:firstLineChars="200"/>
        <w:rPr>
          <w:rFonts w:ascii="仿宋_GB2312" w:cs="仿宋_GB2312"/>
          <w:color w:val="000000" w:themeColor="text1"/>
          <w:spacing w:val="-6"/>
          <w:kern w:val="0"/>
          <w:sz w:val="32"/>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（3）新能源领域。</w:t>
      </w:r>
      <w:r>
        <w:rPr>
          <w:rFonts w:hint="eastAsia"/>
          <w:color w:val="000000" w:themeColor="text1"/>
          <w:szCs w:val="32"/>
          <w14:textFill>
            <w14:solidFill>
              <w14:schemeClr w14:val="tx1"/>
            </w14:solidFill>
          </w14:textFill>
        </w:rPr>
        <w:t>太阳能</w:t>
      </w:r>
      <w:r>
        <w:rPr>
          <w:rFonts w:hint="eastAsia"/>
          <w:bCs/>
          <w:color w:val="000000" w:themeColor="text1"/>
          <w:szCs w:val="32"/>
          <w14:textFill>
            <w14:solidFill>
              <w14:schemeClr w14:val="tx1"/>
            </w14:solidFill>
          </w14:textFill>
        </w:rPr>
        <w:t>光伏、太阳</w:t>
      </w:r>
      <w:r>
        <w:rPr>
          <w:rFonts w:hint="eastAsia" w:ascii="仿宋_GB2312" w:cs="仿宋_GB2312"/>
          <w:color w:val="000000" w:themeColor="text1"/>
          <w:kern w:val="0"/>
          <w:szCs w:val="32"/>
          <w14:textFill>
            <w14:solidFill>
              <w14:schemeClr w14:val="tx1"/>
            </w14:solidFill>
          </w14:textFill>
        </w:rPr>
        <w:t>热、风电、热电转换、氢能、生物质能、储能等清洁能源或二次能源等各种新能源材料、器件和应用技术，页岩油、气开采及辅助技术，新型车用/建筑用隔热薄膜、隔</w:t>
      </w:r>
      <w:r>
        <w:rPr>
          <w:rFonts w:hint="eastAsia" w:ascii="仿宋_GB2312" w:cs="仿宋_GB2312"/>
          <w:color w:val="000000" w:themeColor="text1"/>
          <w:spacing w:val="-6"/>
          <w:kern w:val="0"/>
          <w:sz w:val="32"/>
          <w:szCs w:val="32"/>
          <w14:textFill>
            <w14:solidFill>
              <w14:schemeClr w14:val="tx1"/>
            </w14:solidFill>
          </w14:textFill>
        </w:rPr>
        <w:t>热玻璃等节能技术，大容量长寿命储能器件和应用技术，大规模储能系统技术和LED节能照明技术等技术研发，锂离子电池、固态电池、新型储能电池相关技术的研发。</w:t>
      </w:r>
    </w:p>
    <w:p>
      <w:pPr>
        <w:spacing w:line="560" w:lineRule="exact"/>
        <w:ind w:firstLine="646"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装备制造领域。大型装备专用智能化控制装置，工业自动化控制系统与精密、智能化仪器仪表等重大技术装备系统；低能耗低污染汽车和制造技术，汽车零部件柔性加工技术，船舶设计技术，船舶舾装配套技术，环保技术，船舶精密电子、元器件制造技术，先进设备制造技术和汽车船舶技术等的研发。</w:t>
      </w:r>
    </w:p>
    <w:p>
      <w:pPr>
        <w:spacing w:line="560" w:lineRule="exact"/>
        <w:ind w:firstLine="646"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（5）纺织服装领域。差别化及功能性纤维材料技术，新型纺纱、织造与非织造关键技术，高新染整技术，产业用纺织品加工技术，羽绒服装等现代服装技术，新型纺织机械及信息化、数智化技术</w:t>
      </w:r>
      <w:r>
        <w:rPr>
          <w:rFonts w:hint="eastAsia" w:ascii="仿宋_GB2312" w:hAnsi="仿宋_GB2312" w:cs="仿宋_GB2312"/>
          <w:color w:val="000000" w:themeColor="text1"/>
          <w:kern w:val="0"/>
          <w:szCs w:val="32"/>
          <w14:textFill>
            <w14:solidFill>
              <w14:schemeClr w14:val="tx1"/>
            </w14:solidFill>
          </w14:textFill>
        </w:rPr>
        <w:t>，功能性过滤材料、新型医用纺织品等功能性纺织品加工技术等的研发。</w:t>
      </w:r>
    </w:p>
    <w:p>
      <w:pPr>
        <w:spacing w:line="560" w:lineRule="exact"/>
        <w:ind w:firstLine="646"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6）新材料领域。新型复合材料、高分子材料、新型超细、高纯度、非金属纳米材料、新型功能陶瓷材料、新型绿色建材、新型光电材料、新型热电转换材料、电子化学品、再生PET切片、生物基可降解医用材料、有机硅副产物的制备与应用研究；高强度热塑性树脂基及其碳纤维复合材料、特种焊接材料、玻璃和玻纤新材料、生物质纤维新材料、有机硅及下游产品的开发与应用；石墨烯材料、增材制造材料、超导材料等前沿新材料技术研究；装配式建筑与纳米材料及其器件开发等技术研发。</w:t>
      </w:r>
    </w:p>
    <w:p>
      <w:pPr>
        <w:spacing w:line="560" w:lineRule="exact"/>
        <w:ind w:firstLine="646" w:firstLineChars="200"/>
        <w:rPr>
          <w:rFonts w:ascii="仿宋_GB2312" w:hAnsi="仿宋_GB2312" w:cs="仿宋_GB2312"/>
          <w:b/>
          <w:bCs/>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7）钢铁、有色金属领域。废钢在钢铁新材料、新品种开发中的应用技术，优特钢材、高强钢筋等新型钢铁材料的开发及转化技术，稀有金属特色资源高效开发利用技术，稀有、稀土金属及合金生产过程连续化、自动化、无害化、工艺标准化及自适应技术的研发；钢铁企业能源综合平衡、高效利用、绿色生产新技术、新工艺、新方法的研究；硬质合金、特种钢材、桥梁缆索超高强度镀锌钢绞线开发研究；稀土有色矿产资源高效、清洁化开发利用新技术新工艺研究；金属冶炼工艺技术的优化、升级研究；稀土发光材料及其应用领域开发研究；新型稀土掺杂金属合金新品种、新工艺开发与应用研究；高性能钨合金材料等有色金属的开发利用。</w:t>
      </w:r>
    </w:p>
    <w:p>
      <w:pPr>
        <w:keepNext w:val="0"/>
        <w:keepLines w:val="0"/>
        <w:pageBreakBefore w:val="0"/>
        <w:widowControl w:val="0"/>
        <w:kinsoku/>
        <w:wordWrap/>
        <w:overflowPunct/>
        <w:topLinePunct w:val="0"/>
        <w:bidi w:val="0"/>
        <w:adjustRightInd/>
        <w:snapToGrid/>
        <w:spacing w:line="590" w:lineRule="exact"/>
        <w:ind w:firstLine="646"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8）数字经济领域。新一代信息技术、新一代移动互联网技术、网络安全技术、5G/6G移动通信技术、卫星互联网技术、量子信息技术的研发；计算机及网络、物联网、云计算、大数据、人工智能、区块链、高端软件、虚拟现实和增强现实等关键技术研究与应用。</w:t>
      </w:r>
    </w:p>
    <w:p>
      <w:pPr>
        <w:keepNext w:val="0"/>
        <w:keepLines w:val="0"/>
        <w:pageBreakBefore w:val="0"/>
        <w:widowControl w:val="0"/>
        <w:kinsoku/>
        <w:wordWrap/>
        <w:overflowPunct/>
        <w:topLinePunct w:val="0"/>
        <w:bidi w:val="0"/>
        <w:adjustRightInd/>
        <w:snapToGrid/>
        <w:spacing w:line="590" w:lineRule="exact"/>
        <w:ind w:firstLine="646" w:firstLineChars="200"/>
        <w:textAlignment w:val="auto"/>
        <w:rPr>
          <w:color w:val="000000" w:themeColor="text1"/>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9）未来产业领域。重点支持智能制造、生物制造、纳米制造、激光制造、循环制造、新一代时空信息技术等关键核心技术研究；高性能碳纤维、先进半导体等关键战略材料和超导材料等前沿新材料的技术研究；载人航天、探月探火、卫星导航、深海潜水器、深海智能无人平合等高端装备的研制和创新应用；主控芯片、航空级碳纤维机体、高温合金等低空经济领域核心零部件和关键材料的研制应用及eVTOL、飞行汽车、微型无人驾驶航空器等低空经济领域相关技术和装备的研制</w:t>
      </w:r>
      <w:r>
        <w:rPr>
          <w:rFonts w:hint="eastAsia" w:ascii="仿宋_GB2312" w:hAnsi="仿宋_GB2312" w:cs="仿宋_GB2312"/>
          <w:color w:val="000000" w:themeColor="text1"/>
          <w:szCs w:val="32"/>
          <w:lang w:eastAsia="zh-CN"/>
          <w14:textFill>
            <w14:solidFill>
              <w14:schemeClr w14:val="tx1"/>
            </w14:solidFill>
          </w14:textFill>
        </w:rPr>
        <w:t>；核医疗装备、同位素制备技术、核探测与辐射防护装备、加速器及反应堆配套系统等关键核心技术研发。</w:t>
      </w:r>
    </w:p>
    <w:p>
      <w:pPr>
        <w:pStyle w:val="6"/>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2.农业领域重点支持计划</w:t>
      </w:r>
    </w:p>
    <w:p>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ascii="仿宋_GB2312" w:hAnsi="仿宋_GB2312" w:cs="仿宋_GB2312"/>
          <w:b/>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（1）农、林、畜牧、水产养殖优质育种技术研究。</w:t>
      </w:r>
      <w:r>
        <w:rPr>
          <w:rFonts w:hint="eastAsia" w:ascii="仿宋_GB2312" w:hAnsi="仿宋_GB2312" w:cs="仿宋_GB2312"/>
          <w:b w:val="0"/>
          <w:bCs/>
          <w:color w:val="000000" w:themeColor="text1"/>
          <w:szCs w:val="32"/>
          <w:lang w:eastAsia="zh-CN"/>
          <w14:textFill>
            <w14:solidFill>
              <w14:schemeClr w14:val="tx1"/>
            </w14:solidFill>
          </w14:textFill>
        </w:rPr>
        <w:t>优先支持市农业产业化“四大攻坚”行动项目，</w:t>
      </w:r>
      <w:r>
        <w:rPr>
          <w:rFonts w:hint="eastAsia"/>
          <w:color w:val="000000" w:themeColor="text1"/>
          <w:szCs w:val="32"/>
          <w14:textFill>
            <w14:solidFill>
              <w14:schemeClr w14:val="tx1"/>
            </w14:solidFill>
          </w14:textFill>
        </w:rPr>
        <w:t>选育优质、多抗、高效、适宜机械化生产或设施栽培的农作物新品种，研</w:t>
      </w:r>
      <w:r>
        <w:rPr>
          <w:rFonts w:hint="eastAsia" w:ascii="仿宋_GB2312" w:hAnsi="仿宋_GB2312" w:cs="仿宋_GB2312"/>
          <w:color w:val="000000" w:themeColor="text1"/>
          <w:szCs w:val="32"/>
          <w14:textFill>
            <w14:solidFill>
              <w14:schemeClr w14:val="tx1"/>
            </w14:solidFill>
          </w14:textFill>
        </w:rPr>
        <w:t>究轻简化、机械化良种繁育、制种、育苗和连作障碍克服技术；研究标准化池塘常规鱼类养殖、稻渔共生养殖等规模化健康养殖技术与模式；培育具有高产、节粮、抗病、优质等优异特性的优良畜禽新品种（系）的培育。</w:t>
      </w:r>
    </w:p>
    <w:p>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农产品绿色精深加工及质量安全技术研究。研发农产品(含油茶、茶叶等）及其副产物绿色有机高值化加工与综合利用关键技术及产品，研发绿色保鲜、贮藏与冷链物流关键技术及产品。开展农产品高效生产、加工、流通等全流程质量安全信息采集与监控技术、检验监测技术研究，研发质量溯源、安全监管等系统；开展主要和特色农产品质量安全检测技术及产品开发与应用。</w:t>
      </w:r>
    </w:p>
    <w:p>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3）重要农机装备和信息化智慧化农业技术研究。筛选与研制轻简化、机械化农机装备，开展茶叶、中药材等智能加工技术研究及应用，开展农业物联网数据标准建设、数据融合处理与分析、多感知传感器与系统集成、智能感知等关键技术与装备研究，开展面向动植物本体及环境信息的数据分析及精准调控技术研究。</w:t>
      </w:r>
    </w:p>
    <w:p>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（4）生态循环农业技术研究。开展农</w:t>
      </w:r>
      <w:r>
        <w:rPr>
          <w:rFonts w:hint="eastAsia"/>
          <w:color w:val="000000" w:themeColor="text1"/>
          <w:szCs w:val="32"/>
          <w14:textFill>
            <w14:solidFill>
              <w14:schemeClr w14:val="tx1"/>
            </w14:solidFill>
          </w14:textFill>
        </w:rPr>
        <w:t>村垃圾、农业废弃物处理及资源化利用技术与设备研发；研究粮食主产区农田保育、中低产田改良等技术；研发绿色植保技术、绿色高效安全新型生物农药；开展林下经济、农业生态系统修复、综合治理等研究。</w:t>
      </w:r>
    </w:p>
    <w:p>
      <w:pPr>
        <w:keepNext w:val="0"/>
        <w:keepLines w:val="0"/>
        <w:pageBreakBefore w:val="0"/>
        <w:widowControl w:val="0"/>
        <w:kinsoku/>
        <w:wordWrap/>
        <w:overflowPunct/>
        <w:topLinePunct w:val="0"/>
        <w:autoSpaceDE/>
        <w:autoSpaceDN/>
        <w:bidi w:val="0"/>
        <w:adjustRightInd/>
        <w:snapToGrid/>
        <w:spacing w:line="590" w:lineRule="exact"/>
        <w:ind w:firstLine="646" w:firstLineChars="200"/>
        <w:textAlignment w:val="auto"/>
        <w:rPr>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（5）</w:t>
      </w:r>
      <w:r>
        <w:rPr>
          <w:rFonts w:hint="eastAsia"/>
          <w:color w:val="000000" w:themeColor="text1"/>
          <w:szCs w:val="32"/>
          <w14:textFill>
            <w14:solidFill>
              <w14:schemeClr w14:val="tx1"/>
            </w14:solidFill>
          </w14:textFill>
        </w:rPr>
        <w:t>食品产业领域。开展粮食精深加工、畜禽加工、食用植物油加工、特香型酒酿造、果蔬深加工、水产品、茶油及副产品加工、营养和保健食品制造。</w:t>
      </w:r>
    </w:p>
    <w:p>
      <w:pPr>
        <w:pStyle w:val="6"/>
        <w:keepNext w:val="0"/>
        <w:keepLines w:val="0"/>
        <w:pageBreakBefore w:val="0"/>
        <w:widowControl w:val="0"/>
        <w:kinsoku/>
        <w:wordWrap/>
        <w:overflowPunct/>
        <w:topLinePunct w:val="0"/>
        <w:bidi w:val="0"/>
        <w:adjustRightInd/>
        <w:snapToGrid/>
        <w:spacing w:line="590" w:lineRule="exact"/>
        <w:ind w:firstLine="646"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3.社会发展领域重点支持计划</w:t>
      </w:r>
    </w:p>
    <w:p>
      <w:pPr>
        <w:keepNext w:val="0"/>
        <w:keepLines w:val="0"/>
        <w:pageBreakBefore w:val="0"/>
        <w:widowControl w:val="0"/>
        <w:kinsoku/>
        <w:wordWrap/>
        <w:overflowPunct/>
        <w:topLinePunct w:val="0"/>
        <w:bidi w:val="0"/>
        <w:adjustRightInd/>
        <w:snapToGrid/>
        <w:spacing w:line="590" w:lineRule="exact"/>
        <w:ind w:firstLine="646"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中医药现化代及热敏灸技术领域。中医药提取技术、分离技术、纯化技术、干燥技术及包合技术、中药饮片规范化炮制和中药配方颗粒、重要标准提取物研究现代化等关键技术产业化应用研究，高品质道地中药材、艾草等规模化种植（养殖）示范研究，热敏灸应用技术，研究艾草精油提取及香疗功能开发等。</w:t>
      </w:r>
    </w:p>
    <w:p>
      <w:pPr>
        <w:keepNext w:val="0"/>
        <w:keepLines w:val="0"/>
        <w:widowControl/>
        <w:suppressLineNumbers w:val="0"/>
        <w:ind w:firstLine="646" w:firstLineChars="200"/>
        <w:jc w:val="left"/>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生物医疗与公共卫生技术研究。常见、多发重大慢性疾病评估及预警技术研究；快速检测与诊断试剂、干细胞治疗、肿瘤治疗、口腔医疗3D打印增材技术及设备、口腔医疗器械一体化平台、中西医结合、传染病防治、高端医疗设备、营养与健康、疾病防治与监测、社会心理健康等公</w:t>
      </w:r>
      <w:r>
        <w:rPr>
          <w:rFonts w:hint="eastAsia" w:ascii="仿宋_GB2312" w:hAnsi="仿宋_GB2312" w:cs="仿宋_GB2312"/>
          <w:color w:val="000000" w:themeColor="text1"/>
          <w:kern w:val="0"/>
          <w:szCs w:val="32"/>
          <w14:textFill>
            <w14:solidFill>
              <w14:schemeClr w14:val="tx1"/>
            </w14:solidFill>
          </w14:textFill>
        </w:rPr>
        <w:t>共卫生领域临床</w:t>
      </w:r>
      <w:r>
        <w:rPr>
          <w:rFonts w:hint="eastAsia" w:ascii="仿宋_GB2312" w:hAnsi="仿宋_GB2312" w:cs="仿宋_GB2312"/>
          <w:color w:val="000000" w:themeColor="text1"/>
          <w:szCs w:val="32"/>
          <w14:textFill>
            <w14:solidFill>
              <w14:schemeClr w14:val="tx1"/>
            </w14:solidFill>
          </w14:textFill>
        </w:rPr>
        <w:t>应用技术研发</w:t>
      </w:r>
      <w:r>
        <w:rPr>
          <w:rFonts w:hint="eastAsia" w:ascii="仿宋_GB2312" w:hAnsi="仿宋_GB2312" w:cs="仿宋_GB2312"/>
          <w:color w:val="000000" w:themeColor="text1"/>
          <w:szCs w:val="32"/>
          <w:lang w:eastAsia="zh-CN"/>
          <w14:textFill>
            <w14:solidFill>
              <w14:schemeClr w14:val="tx1"/>
            </w14:solidFill>
          </w14:textFill>
        </w:rPr>
        <w:t>；</w:t>
      </w:r>
      <w:r>
        <w:rPr>
          <w:rFonts w:hint="eastAsia" w:ascii="仿宋_GB2312" w:hAnsi="仿宋_GB2312" w:cs="仿宋_GB2312"/>
          <w:color w:val="000000" w:themeColor="text1"/>
          <w:szCs w:val="32"/>
          <w:lang w:val="en-US" w:eastAsia="zh-CN"/>
          <w14:textFill>
            <w14:solidFill>
              <w14:schemeClr w14:val="tx1"/>
            </w14:solidFill>
          </w14:textFill>
        </w:rPr>
        <w:t>放射性药物创制、核医学诊疗一体化、临床转化应用等关键技术研究；脑机接口技术在神经康复、功能替代、认知增强等医疗健康领域的应用研究</w:t>
      </w:r>
      <w:r>
        <w:rPr>
          <w:rFonts w:hint="eastAsia" w:ascii="仿宋_GB2312" w:hAnsi="仿宋_GB2312" w:cs="仿宋_GB2312"/>
          <w:color w:val="000000" w:themeColor="text1"/>
          <w:szCs w:val="32"/>
          <w14:textFill>
            <w14:solidFill>
              <w14:schemeClr w14:val="tx1"/>
            </w14:solidFill>
          </w14:textFill>
        </w:rPr>
        <w:t>等。</w:t>
      </w:r>
    </w:p>
    <w:p>
      <w:pPr>
        <w:keepNext w:val="0"/>
        <w:keepLines w:val="0"/>
        <w:pageBreakBefore w:val="0"/>
        <w:widowControl w:val="0"/>
        <w:kinsoku/>
        <w:wordWrap/>
        <w:overflowPunct/>
        <w:topLinePunct w:val="0"/>
        <w:bidi w:val="0"/>
        <w:adjustRightInd/>
        <w:snapToGrid/>
        <w:spacing w:line="590" w:lineRule="exact"/>
        <w:ind w:firstLine="646"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3）安全生产领域。安全监管“机器换人”的智慧监管技术及生产、加工、运输、储藏和流通安全控制技术等安全生产关键技术攻关，食品、药品智能化快速检测、追溯系统及设备研发，矿山地质灾害防治、安全开采、事故应急救援等矿山安全关键技术，</w:t>
      </w:r>
      <w:r>
        <w:rPr>
          <w:rFonts w:hint="eastAsia"/>
          <w:color w:val="000000" w:themeColor="text1"/>
          <w:szCs w:val="32"/>
          <w:lang w:eastAsia="zh-CN"/>
          <w14:textFill>
            <w14:solidFill>
              <w14:schemeClr w14:val="tx1"/>
            </w14:solidFill>
          </w14:textFill>
        </w:rPr>
        <w:t>地震预测、救援及相关技术，</w:t>
      </w:r>
      <w:r>
        <w:rPr>
          <w:rFonts w:hint="eastAsia" w:ascii="仿宋_GB2312" w:hAnsi="仿宋_GB2312" w:cs="仿宋_GB2312"/>
          <w:color w:val="000000" w:themeColor="text1"/>
          <w:szCs w:val="32"/>
          <w14:textFill>
            <w14:solidFill>
              <w14:schemeClr w14:val="tx1"/>
            </w14:solidFill>
          </w14:textFill>
        </w:rPr>
        <w:t>火灾预防与探测报警技术等火灾消防工程技术，防灾减灾新材料、新产品、新装备关键技术，危险化学品安全应用基础研究和关键技术攻关，城市公共安全基础研究和关键技术攻关等。</w:t>
      </w:r>
    </w:p>
    <w:p>
      <w:pPr>
        <w:keepNext w:val="0"/>
        <w:keepLines w:val="0"/>
        <w:pageBreakBefore w:val="0"/>
        <w:widowControl w:val="0"/>
        <w:kinsoku/>
        <w:wordWrap/>
        <w:overflowPunct/>
        <w:topLinePunct w:val="0"/>
        <w:bidi w:val="0"/>
        <w:adjustRightInd/>
        <w:snapToGrid/>
        <w:spacing w:line="590" w:lineRule="exact"/>
        <w:ind w:firstLine="646"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资源高效开发与污染防治技术领域。能源高效利用与节能环保技术，高效节能建筑新材料、新型墙体材料技术等建筑节能技术；水资源综合调控与高效利用技术，工矿企业及工业聚集区污水防治及监测技术研究；城市黑臭水体、农村分散污水、畜禽养殖污水、生活污水、工业废水等水污染高效节能处理技术，工业生产和能源应用等领域温室气体减排、工业烟气脱硫脱硝等大气污染综合防治关键技术，支持绿色包装、可循环和可降解材料、生物降解高分子材料等关键核心技术及装备研发。</w:t>
      </w:r>
    </w:p>
    <w:p>
      <w:pPr>
        <w:keepNext w:val="0"/>
        <w:keepLines w:val="0"/>
        <w:pageBreakBefore w:val="0"/>
        <w:widowControl w:val="0"/>
        <w:kinsoku/>
        <w:wordWrap/>
        <w:overflowPunct/>
        <w:topLinePunct w:val="0"/>
        <w:bidi w:val="0"/>
        <w:adjustRightInd/>
        <w:snapToGrid/>
        <w:spacing w:line="590" w:lineRule="exact"/>
        <w:ind w:firstLine="646"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（5）生态保护与修复技术领域。生物多样性保护与自然保护单元建设技术研究，水土流失防护技术，河湖岸线综合整治与生态修复技术、湖泊生态环境监测关键技术，</w:t>
      </w:r>
      <w:r>
        <w:rPr>
          <w:rFonts w:hint="eastAsia"/>
          <w:color w:val="000000" w:themeColor="text1"/>
          <w:szCs w:val="32"/>
          <w:lang w:eastAsia="zh-CN"/>
          <w14:textFill>
            <w14:solidFill>
              <w14:schemeClr w14:val="tx1"/>
            </w14:solidFill>
          </w14:textFill>
        </w:rPr>
        <w:t>鄱阳湖主要珍稀水生生物资源保护、</w:t>
      </w:r>
      <w:r>
        <w:rPr>
          <w:rFonts w:hint="eastAsia" w:ascii="仿宋_GB2312" w:hAnsi="仿宋_GB2312" w:cs="仿宋_GB2312"/>
          <w:color w:val="000000" w:themeColor="text1"/>
          <w:szCs w:val="32"/>
          <w14:textFill>
            <w14:solidFill>
              <w14:schemeClr w14:val="tx1"/>
            </w14:solidFill>
          </w14:textFill>
        </w:rPr>
        <w:t>鄱阳湖流域湿地生态安全评价及生态修复技术等。</w:t>
      </w:r>
    </w:p>
    <w:p>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6）“科技兴警”领域。信息深度合成犯罪应对技术研究；无人机管控技术研究；反电信网络诈骗技术研究；新型网络空间安全治理技术研究；物证全息勘验技术研究；视频图像智能应用和安全技术研究；公共安全大数据预测预警技术研究；多维生物特征融合应用技术研究；智能警用装备技术研究；公安数字孪生技术研究；公安禁毒技术研究；全市关键信息基础设施安全技术研究；网络可信身份认证技术研究；公安政务服务协同联动技术研究；语义认知推理技术研究；非常规形态动物识别鉴定应用技术研究；反恐技术研究。</w:t>
      </w:r>
    </w:p>
    <w:p>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ascii="仿宋_GB2312" w:hAnsi="仿宋_GB2312" w:cs="仿宋_GB2312"/>
          <w:b/>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（7）文化旅游科技领域。网络文化、文化旅游、文化科技服务等领域系统集成技术及装备，以及动漫游戏与虚拟仿真等技术研发。</w:t>
      </w:r>
    </w:p>
    <w:p>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ascii="楷体_GB2312" w:hAnsi="仿宋_GB2312" w:eastAsia="楷体_GB2312" w:cs="仿宋_GB2312"/>
          <w:b/>
          <w:color w:val="000000" w:themeColor="text1"/>
          <w:szCs w:val="32"/>
          <w14:textFill>
            <w14:solidFill>
              <w14:schemeClr w14:val="tx1"/>
            </w14:solidFill>
          </w14:textFill>
        </w:rPr>
      </w:pPr>
      <w:r>
        <w:rPr>
          <w:rFonts w:hint="eastAsia" w:ascii="楷体_GB2312" w:hAnsi="仿宋_GB2312" w:eastAsia="楷体_GB2312" w:cs="仿宋_GB2312"/>
          <w:b/>
          <w:color w:val="000000" w:themeColor="text1"/>
          <w:szCs w:val="32"/>
          <w14:textFill>
            <w14:solidFill>
              <w14:schemeClr w14:val="tx1"/>
            </w14:solidFill>
          </w14:textFill>
        </w:rPr>
        <w:t>（三）申报材料</w:t>
      </w:r>
    </w:p>
    <w:p>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（1）重点研发计划项目申报书；（2）项目可行性研究报告；（3）企业法人营业执照；（4）上年度企业研发辅助帐及研发投入情况；（5）科技型企业证书等其他相关附件材料。</w:t>
      </w:r>
    </w:p>
    <w:p>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ascii="楷体_GB2312" w:hAnsi="仿宋_GB2312" w:eastAsia="楷体_GB2312" w:cs="仿宋_GB2312"/>
          <w:b/>
          <w:color w:val="000000" w:themeColor="text1"/>
          <w:szCs w:val="32"/>
          <w14:textFill>
            <w14:solidFill>
              <w14:schemeClr w14:val="tx1"/>
            </w14:solidFill>
          </w14:textFill>
        </w:rPr>
      </w:pPr>
      <w:r>
        <w:rPr>
          <w:rFonts w:hint="eastAsia" w:ascii="楷体_GB2312" w:hAnsi="仿宋_GB2312" w:eastAsia="楷体_GB2312" w:cs="仿宋_GB2312"/>
          <w:b/>
          <w:color w:val="000000" w:themeColor="text1"/>
          <w:szCs w:val="32"/>
          <w14:textFill>
            <w14:solidFill>
              <w14:schemeClr w14:val="tx1"/>
            </w14:solidFill>
          </w14:textFill>
        </w:rPr>
        <w:t>（四）牵头科室</w:t>
      </w:r>
    </w:p>
    <w:p>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高新科：制造业“9610”行动支撑计划。</w:t>
      </w:r>
    </w:p>
    <w:p>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农社科：农业领域支撑计划、社会发展领域支撑计划。</w:t>
      </w:r>
    </w:p>
    <w:p>
      <w:pPr>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ascii="仿宋_GB2312" w:hAnsi="仿宋_GB2312" w:cs="仿宋_GB2312"/>
          <w:bCs/>
          <w:color w:val="000000" w:themeColor="text1"/>
          <w:szCs w:val="32"/>
          <w14:textFill>
            <w14:solidFill>
              <w14:schemeClr w14:val="tx1"/>
            </w14:solidFill>
          </w14:textFill>
        </w:rPr>
      </w:pPr>
      <w:r>
        <w:rPr>
          <w:rFonts w:hint="eastAsia" w:ascii="黑体" w:hAnsi="黑体" w:eastAsia="黑体" w:cs="黑体"/>
          <w:bCs/>
          <w:color w:val="000000" w:themeColor="text1"/>
          <w:szCs w:val="32"/>
          <w:lang w:val="zh-CN"/>
          <w14:textFill>
            <w14:solidFill>
              <w14:schemeClr w14:val="tx1"/>
            </w14:solidFill>
          </w14:textFill>
        </w:rPr>
        <w:t>四、</w:t>
      </w:r>
      <w:r>
        <w:rPr>
          <w:rFonts w:hint="eastAsia" w:ascii="黑体" w:hAnsi="黑体" w:eastAsia="黑体" w:cs="仿宋_GB2312"/>
          <w:bCs/>
          <w:color w:val="000000" w:themeColor="text1"/>
          <w:szCs w:val="32"/>
          <w:lang w:val="zh-CN"/>
          <w14:textFill>
            <w14:solidFill>
              <w14:schemeClr w14:val="tx1"/>
            </w14:solidFill>
          </w14:textFill>
        </w:rPr>
        <w:t>成果熟化项目计划</w:t>
      </w:r>
    </w:p>
    <w:p>
      <w:pPr>
        <w:pStyle w:val="3"/>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ascii="楷体_GB2312" w:hAnsi="仿宋_GB2312" w:eastAsia="楷体_GB2312" w:cs="仿宋_GB2312"/>
          <w:b/>
          <w:color w:val="000000" w:themeColor="text1"/>
          <w:szCs w:val="32"/>
          <w:lang w:val="zh-CN"/>
          <w14:textFill>
            <w14:solidFill>
              <w14:schemeClr w14:val="tx1"/>
            </w14:solidFill>
          </w14:textFill>
        </w:rPr>
      </w:pPr>
      <w:r>
        <w:rPr>
          <w:rFonts w:hint="eastAsia" w:ascii="楷体_GB2312" w:hAnsi="仿宋_GB2312" w:eastAsia="楷体_GB2312" w:cs="仿宋_GB2312"/>
          <w:b/>
          <w:color w:val="000000" w:themeColor="text1"/>
          <w:szCs w:val="32"/>
          <w14:textFill>
            <w14:solidFill>
              <w14:schemeClr w14:val="tx1"/>
            </w14:solidFill>
          </w14:textFill>
        </w:rPr>
        <w:t>（一）</w:t>
      </w:r>
      <w:r>
        <w:rPr>
          <w:rFonts w:hint="eastAsia" w:ascii="楷体_GB2312" w:hAnsi="仿宋_GB2312" w:eastAsia="楷体_GB2312" w:cs="仿宋_GB2312"/>
          <w:b/>
          <w:color w:val="000000" w:themeColor="text1"/>
          <w:szCs w:val="32"/>
          <w:lang w:val="zh-CN"/>
          <w14:textFill>
            <w14:solidFill>
              <w14:schemeClr w14:val="tx1"/>
            </w14:solidFill>
          </w14:textFill>
        </w:rPr>
        <w:t>申报条件</w:t>
      </w:r>
    </w:p>
    <w:p>
      <w:pPr>
        <w:pStyle w:val="3"/>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ascii="仿宋_GB2312" w:hAnsi="仿宋_GB2312" w:eastAsia="仿宋_GB2312" w:cs="仿宋_GB2312"/>
          <w:b/>
          <w:color w:val="000000" w:themeColor="text1"/>
          <w:szCs w:val="32"/>
          <w14:textFill>
            <w14:solidFill>
              <w14:schemeClr w14:val="tx1"/>
            </w14:solidFill>
          </w14:textFill>
        </w:rPr>
      </w:pPr>
      <w:r>
        <w:rPr>
          <w:rFonts w:hint="eastAsia" w:ascii="仿宋_GB2312" w:hAnsi="仿宋_GB2312" w:eastAsia="仿宋_GB2312" w:cs="仿宋_GB2312"/>
          <w:b/>
          <w:color w:val="000000" w:themeColor="text1"/>
          <w:szCs w:val="32"/>
          <w14:textFill>
            <w14:solidFill>
              <w14:schemeClr w14:val="tx1"/>
            </w14:solidFill>
          </w14:textFill>
        </w:rPr>
        <w:t>1.科技成果条件</w:t>
      </w:r>
    </w:p>
    <w:p>
      <w:pPr>
        <w:pStyle w:val="3"/>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1）项目实施的科技成果属于九江市重点产业发展关键核心技术，具有自主知识产权，产权归属明晰，技术水平达到市内领先或省内先进以上，科技成果可来源于市内外，包括原始创新、集成创新、引进消化吸收再创新等科技成果；</w:t>
      </w:r>
    </w:p>
    <w:p>
      <w:pPr>
        <w:pStyle w:val="3"/>
        <w:keepNext w:val="0"/>
        <w:keepLines w:val="0"/>
        <w:pageBreakBefore w:val="0"/>
        <w:widowControl w:val="0"/>
        <w:kinsoku/>
        <w:wordWrap/>
        <w:overflowPunct/>
        <w:topLinePunct w:val="0"/>
        <w:bidi w:val="0"/>
        <w:adjustRightInd/>
        <w:snapToGrid/>
        <w:spacing w:line="560" w:lineRule="exact"/>
        <w:ind w:firstLine="646"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2）项目实施的科技成果具有很强的创新性、先进性、实用性，技术成熟度较高，具备转化应用前期基础和条件，处于中试熟化阶段，预期市场需求较大，商品化及产业化前景好，有利于提升企业竞争力和创新发展能力。</w:t>
      </w:r>
    </w:p>
    <w:p>
      <w:pPr>
        <w:pStyle w:val="3"/>
        <w:keepNext w:val="0"/>
        <w:keepLines w:val="0"/>
        <w:pageBreakBefore w:val="0"/>
        <w:widowControl w:val="0"/>
        <w:kinsoku/>
        <w:wordWrap/>
        <w:overflowPunct/>
        <w:topLinePunct w:val="0"/>
        <w:bidi w:val="0"/>
        <w:adjustRightInd/>
        <w:snapToGrid/>
        <w:spacing w:line="560" w:lineRule="exact"/>
        <w:ind w:firstLine="646" w:firstLineChars="200"/>
        <w:textAlignment w:val="auto"/>
        <w:rPr>
          <w:rFonts w:ascii="仿宋_GB2312" w:hAnsi="仿宋_GB2312" w:eastAsia="仿宋_GB2312" w:cs="仿宋_GB2312"/>
          <w:b/>
          <w:color w:val="000000" w:themeColor="text1"/>
          <w:szCs w:val="32"/>
          <w14:textFill>
            <w14:solidFill>
              <w14:schemeClr w14:val="tx1"/>
            </w14:solidFill>
          </w14:textFill>
        </w:rPr>
      </w:pPr>
      <w:r>
        <w:rPr>
          <w:rFonts w:hint="eastAsia" w:ascii="仿宋_GB2312" w:hAnsi="仿宋_GB2312" w:eastAsia="仿宋_GB2312" w:cs="仿宋_GB2312"/>
          <w:b/>
          <w:color w:val="000000" w:themeColor="text1"/>
          <w:szCs w:val="32"/>
          <w14:textFill>
            <w14:solidFill>
              <w14:schemeClr w14:val="tx1"/>
            </w14:solidFill>
          </w14:textFill>
        </w:rPr>
        <w:t>2.项目实施条件</w:t>
      </w:r>
    </w:p>
    <w:p>
      <w:pPr>
        <w:pStyle w:val="3"/>
        <w:keepNext w:val="0"/>
        <w:keepLines w:val="0"/>
        <w:pageBreakBefore w:val="0"/>
        <w:widowControl w:val="0"/>
        <w:kinsoku/>
        <w:wordWrap/>
        <w:overflowPunct/>
        <w:topLinePunct w:val="0"/>
        <w:bidi w:val="0"/>
        <w:adjustRightInd/>
        <w:snapToGrid/>
        <w:spacing w:line="560" w:lineRule="exact"/>
        <w:ind w:firstLine="646"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（1）项目实施应符合九江市产业发展政策，实施期为2年，项目实施及后期的转化应用应在九江市内；</w:t>
      </w:r>
    </w:p>
    <w:p>
      <w:pPr>
        <w:pStyle w:val="3"/>
        <w:keepNext w:val="0"/>
        <w:keepLines w:val="0"/>
        <w:pageBreakBefore w:val="0"/>
        <w:widowControl w:val="0"/>
        <w:kinsoku/>
        <w:wordWrap/>
        <w:overflowPunct/>
        <w:topLinePunct w:val="0"/>
        <w:bidi w:val="0"/>
        <w:adjustRightInd/>
        <w:snapToGrid/>
        <w:spacing w:line="560" w:lineRule="exact"/>
        <w:ind w:firstLine="646"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2）项目实施方案合理可行，符合节能、环保、安全等要求。通过实施技术开发、工业设计、产品验证、市场应用研究、商业规划等中试熟化及工程化工作，预期可形成新技术、新工艺、新材料、新产品，实现产品小批量试制、工程样机生产等；</w:t>
      </w:r>
    </w:p>
    <w:p>
      <w:pPr>
        <w:pStyle w:val="3"/>
        <w:keepNext w:val="0"/>
        <w:keepLines w:val="0"/>
        <w:pageBreakBefore w:val="0"/>
        <w:widowControl w:val="0"/>
        <w:kinsoku/>
        <w:wordWrap/>
        <w:overflowPunct/>
        <w:topLinePunct w:val="0"/>
        <w:bidi w:val="0"/>
        <w:adjustRightInd/>
        <w:snapToGrid/>
        <w:spacing w:line="560" w:lineRule="exact"/>
        <w:ind w:firstLine="646" w:firstLineChars="200"/>
        <w:textAlignment w:val="auto"/>
        <w:rPr>
          <w:rFonts w:ascii="仿宋_GB2312" w:hAnsi="仿宋_GB2312" w:eastAsia="仿宋_GB2312" w:cs="仿宋_GB2312"/>
          <w:b/>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（3）项目实施如属于医药、农药、化肥、添加剂、特种设备等国家专卖、专控及特殊行业的，须获得相应主管部门的批准许可。</w:t>
      </w:r>
    </w:p>
    <w:p>
      <w:pPr>
        <w:pStyle w:val="3"/>
        <w:keepNext w:val="0"/>
        <w:keepLines w:val="0"/>
        <w:pageBreakBefore w:val="0"/>
        <w:widowControl w:val="0"/>
        <w:kinsoku/>
        <w:wordWrap/>
        <w:overflowPunct/>
        <w:topLinePunct w:val="0"/>
        <w:bidi w:val="0"/>
        <w:adjustRightInd/>
        <w:snapToGrid/>
        <w:spacing w:line="560" w:lineRule="exact"/>
        <w:ind w:firstLine="646" w:firstLineChars="200"/>
        <w:textAlignment w:val="auto"/>
        <w:rPr>
          <w:rFonts w:ascii="仿宋_GB2312" w:hAnsi="仿宋_GB2312" w:eastAsia="仿宋_GB2312" w:cs="仿宋_GB2312"/>
          <w:b/>
          <w:color w:val="000000" w:themeColor="text1"/>
          <w:szCs w:val="32"/>
          <w14:textFill>
            <w14:solidFill>
              <w14:schemeClr w14:val="tx1"/>
            </w14:solidFill>
          </w14:textFill>
        </w:rPr>
      </w:pPr>
      <w:r>
        <w:rPr>
          <w:rFonts w:hint="eastAsia" w:ascii="仿宋_GB2312" w:hAnsi="仿宋_GB2312" w:eastAsia="仿宋_GB2312" w:cs="仿宋_GB2312"/>
          <w:b/>
          <w:color w:val="000000" w:themeColor="text1"/>
          <w:szCs w:val="32"/>
          <w14:textFill>
            <w14:solidFill>
              <w14:schemeClr w14:val="tx1"/>
            </w14:solidFill>
          </w14:textFill>
        </w:rPr>
        <w:t>3.申报单位条件</w:t>
      </w:r>
    </w:p>
    <w:p>
      <w:pPr>
        <w:pStyle w:val="3"/>
        <w:keepNext w:val="0"/>
        <w:keepLines w:val="0"/>
        <w:pageBreakBefore w:val="0"/>
        <w:widowControl w:val="0"/>
        <w:kinsoku/>
        <w:wordWrap/>
        <w:overflowPunct/>
        <w:topLinePunct w:val="0"/>
        <w:bidi w:val="0"/>
        <w:adjustRightInd/>
        <w:snapToGrid/>
        <w:spacing w:line="560" w:lineRule="exact"/>
        <w:ind w:firstLine="646"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1）申报单位应为九江市内区域注册的法人组织，拥有一定数量和层级的固定研究队伍，具有较强的项目实施能力、工程化建设组织管理能力，具有从试验研究、中试熟化到生产过程所需的仪器、设备等硬件基础条件；</w:t>
      </w:r>
    </w:p>
    <w:p>
      <w:pPr>
        <w:pStyle w:val="3"/>
        <w:keepNext w:val="0"/>
        <w:keepLines w:val="0"/>
        <w:pageBreakBefore w:val="0"/>
        <w:widowControl w:val="0"/>
        <w:kinsoku/>
        <w:wordWrap/>
        <w:overflowPunct/>
        <w:topLinePunct w:val="0"/>
        <w:bidi w:val="0"/>
        <w:adjustRightInd/>
        <w:snapToGrid/>
        <w:spacing w:line="560" w:lineRule="exact"/>
        <w:ind w:firstLine="646"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（2）申报单位原则上以成果需求方（成果承接落地企业）为主体，根据需要可选择有关科研机构联合申报；以成果供给方（高校、科研机构）牵头实施的，必须明确成果承接落地企业，并与该企业联合申报；</w:t>
      </w:r>
    </w:p>
    <w:p>
      <w:pPr>
        <w:pStyle w:val="3"/>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3）①申报单位为成立一年以上的企业，上一年度研发投入应超过80万元，主营业务收入应超过1500万元，资产负债率不应超过60%。②申报单位为高校、科研机构的，对财务资产数据不作要求。③申报单位为依托该项目新建孵化的企业，不受该条第①款条件限制，其依托单位或合作单位应具备试验场所、科研设备、技术人员等保障条件；</w:t>
      </w:r>
    </w:p>
    <w:p>
      <w:pPr>
        <w:pStyle w:val="3"/>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4）申报单位应具有健全的科研、财务管理制度，以及良好的科研诚信和社会信誉，三年之内无违背科研诚信要求的行为记录及科研部门实施联合惩戒的社会失信行为记录，未发生由行政执法监督机关确认的违法、违规行为。</w:t>
      </w:r>
    </w:p>
    <w:p>
      <w:pPr>
        <w:pStyle w:val="3"/>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ascii="仿宋_GB2312" w:hAnsi="仿宋_GB2312" w:eastAsia="仿宋_GB2312" w:cs="仿宋_GB2312"/>
          <w:b/>
          <w:color w:val="000000" w:themeColor="text1"/>
          <w:szCs w:val="32"/>
          <w14:textFill>
            <w14:solidFill>
              <w14:schemeClr w14:val="tx1"/>
            </w14:solidFill>
          </w14:textFill>
        </w:rPr>
      </w:pPr>
      <w:r>
        <w:rPr>
          <w:rFonts w:hint="eastAsia" w:ascii="仿宋_GB2312" w:hAnsi="仿宋_GB2312" w:eastAsia="仿宋_GB2312" w:cs="仿宋_GB2312"/>
          <w:b/>
          <w:color w:val="000000" w:themeColor="text1"/>
          <w:szCs w:val="32"/>
          <w14:textFill>
            <w14:solidFill>
              <w14:schemeClr w14:val="tx1"/>
            </w14:solidFill>
          </w14:textFill>
        </w:rPr>
        <w:t>4.项目负责人要求</w:t>
      </w:r>
    </w:p>
    <w:p>
      <w:pPr>
        <w:pStyle w:val="3"/>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（1）项目负责人应为实际主持研究工作的人员，不得有到期未验收的省、市级科技计划项目，不得有科研诚信失信记录；</w:t>
      </w:r>
    </w:p>
    <w:p>
      <w:pPr>
        <w:pStyle w:val="3"/>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（2）项目负责人的年龄不超过58周岁（196</w:t>
      </w:r>
      <w:r>
        <w:rPr>
          <w:rFonts w:hint="eastAsia" w:ascii="仿宋_GB2312" w:hAnsi="仿宋_GB2312" w:eastAsia="仿宋_GB2312" w:cs="仿宋_GB2312"/>
          <w:bCs/>
          <w:color w:val="000000" w:themeColor="text1"/>
          <w:szCs w:val="32"/>
          <w:lang w:val="en-US" w:eastAsia="zh-CN"/>
          <w14:textFill>
            <w14:solidFill>
              <w14:schemeClr w14:val="tx1"/>
            </w14:solidFill>
          </w14:textFill>
        </w:rPr>
        <w:t>8</w:t>
      </w:r>
      <w:r>
        <w:rPr>
          <w:rFonts w:hint="eastAsia" w:ascii="仿宋_GB2312" w:hAnsi="仿宋_GB2312" w:eastAsia="仿宋_GB2312" w:cs="仿宋_GB2312"/>
          <w:bCs/>
          <w:color w:val="000000" w:themeColor="text1"/>
          <w:szCs w:val="32"/>
          <w14:textFill>
            <w14:solidFill>
              <w14:schemeClr w14:val="tx1"/>
            </w14:solidFill>
          </w14:textFill>
        </w:rPr>
        <w:t>年1月1日以后出生）；</w:t>
      </w:r>
    </w:p>
    <w:p>
      <w:pPr>
        <w:pStyle w:val="3"/>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ascii="仿宋_GB2312" w:hAnsi="仿宋_GB2312" w:eastAsia="仿宋_GB2312" w:cs="仿宋_GB2312"/>
          <w:b/>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（3）国家机关在职的工作人员（含参照《公务员法》管理的单位）不得作为项目负责人。</w:t>
      </w:r>
    </w:p>
    <w:p>
      <w:pPr>
        <w:pStyle w:val="3"/>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ascii="仿宋_GB2312" w:hAnsi="仿宋_GB2312" w:eastAsia="仿宋_GB2312" w:cs="仿宋_GB2312"/>
          <w:b/>
          <w:color w:val="000000" w:themeColor="text1"/>
          <w:szCs w:val="32"/>
          <w14:textFill>
            <w14:solidFill>
              <w14:schemeClr w14:val="tx1"/>
            </w14:solidFill>
          </w14:textFill>
        </w:rPr>
      </w:pPr>
      <w:r>
        <w:rPr>
          <w:rFonts w:hint="eastAsia" w:ascii="仿宋_GB2312" w:hAnsi="仿宋_GB2312" w:eastAsia="仿宋_GB2312" w:cs="仿宋_GB2312"/>
          <w:b/>
          <w:color w:val="000000" w:themeColor="text1"/>
          <w:szCs w:val="32"/>
          <w14:textFill>
            <w14:solidFill>
              <w14:schemeClr w14:val="tx1"/>
            </w14:solidFill>
          </w14:textFill>
        </w:rPr>
        <w:t>5.其他要求</w:t>
      </w:r>
    </w:p>
    <w:p>
      <w:pPr>
        <w:pStyle w:val="3"/>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（1）多个单位联合申报的，各方须签订联合申报合作协议，明确约定项目申报单位、参与单位承担的研究任务、考核指标、专项经费比例和知识产权归属等，并作为申请书的附件提交；</w:t>
      </w:r>
    </w:p>
    <w:p>
      <w:pPr>
        <w:pStyle w:val="3"/>
        <w:keepNext w:val="0"/>
        <w:keepLines w:val="0"/>
        <w:pageBreakBefore w:val="0"/>
        <w:widowControl w:val="0"/>
        <w:kinsoku/>
        <w:wordWrap/>
        <w:overflowPunct/>
        <w:topLinePunct w:val="0"/>
        <w:autoSpaceDE/>
        <w:autoSpaceDN/>
        <w:bidi w:val="0"/>
        <w:adjustRightInd/>
        <w:snapToGrid/>
        <w:spacing w:line="560" w:lineRule="exact"/>
        <w:ind w:firstLine="646" w:firstLineChars="200"/>
        <w:textAlignment w:val="auto"/>
        <w:rPr>
          <w:rFonts w:ascii="仿宋_GB2312" w:hAnsi="仿宋_GB2312" w:eastAsia="仿宋_GB2312" w:cs="仿宋_GB2312"/>
          <w:b/>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（2）项目申报材料和相关证明材料不得包含法律禁止公开的秘密内容或申报人要求保密的内容，如涉密需脱密后提交。</w:t>
      </w:r>
    </w:p>
    <w:p>
      <w:pPr>
        <w:pStyle w:val="3"/>
        <w:keepNext w:val="0"/>
        <w:keepLines w:val="0"/>
        <w:pageBreakBefore w:val="0"/>
        <w:widowControl w:val="0"/>
        <w:kinsoku/>
        <w:wordWrap/>
        <w:overflowPunct/>
        <w:topLinePunct w:val="0"/>
        <w:bidi w:val="0"/>
        <w:adjustRightInd/>
        <w:snapToGrid/>
        <w:spacing w:line="560" w:lineRule="exact"/>
        <w:ind w:firstLine="646" w:firstLineChars="200"/>
        <w:textAlignment w:val="auto"/>
        <w:rPr>
          <w:rFonts w:ascii="楷体_GB2312" w:hAnsi="仿宋_GB2312" w:eastAsia="楷体_GB2312" w:cs="仿宋_GB2312"/>
          <w:b/>
          <w:color w:val="000000" w:themeColor="text1"/>
          <w:szCs w:val="32"/>
          <w:lang w:val="zh-CN"/>
          <w14:textFill>
            <w14:solidFill>
              <w14:schemeClr w14:val="tx1"/>
            </w14:solidFill>
          </w14:textFill>
        </w:rPr>
      </w:pPr>
      <w:r>
        <w:rPr>
          <w:rFonts w:hint="eastAsia" w:ascii="楷体_GB2312" w:hAnsi="仿宋_GB2312" w:eastAsia="楷体_GB2312" w:cs="仿宋_GB2312"/>
          <w:b/>
          <w:color w:val="000000" w:themeColor="text1"/>
          <w:szCs w:val="32"/>
          <w14:textFill>
            <w14:solidFill>
              <w14:schemeClr w14:val="tx1"/>
            </w14:solidFill>
          </w14:textFill>
        </w:rPr>
        <w:t>（二）</w:t>
      </w:r>
      <w:r>
        <w:rPr>
          <w:rFonts w:hint="eastAsia" w:ascii="楷体_GB2312" w:hAnsi="仿宋_GB2312" w:eastAsia="楷体_GB2312" w:cs="仿宋_GB2312"/>
          <w:b/>
          <w:color w:val="000000" w:themeColor="text1"/>
          <w:szCs w:val="32"/>
          <w:lang w:val="zh-CN"/>
          <w14:textFill>
            <w14:solidFill>
              <w14:schemeClr w14:val="tx1"/>
            </w14:solidFill>
          </w14:textFill>
        </w:rPr>
        <w:t>申报材料</w:t>
      </w:r>
    </w:p>
    <w:p>
      <w:pPr>
        <w:pStyle w:val="3"/>
        <w:keepNext w:val="0"/>
        <w:keepLines w:val="0"/>
        <w:pageBreakBefore w:val="0"/>
        <w:widowControl w:val="0"/>
        <w:kinsoku/>
        <w:wordWrap/>
        <w:overflowPunct/>
        <w:topLinePunct w:val="0"/>
        <w:bidi w:val="0"/>
        <w:adjustRightInd/>
        <w:snapToGrid/>
        <w:spacing w:line="560" w:lineRule="exact"/>
        <w:ind w:firstLine="646" w:firstLineChars="200"/>
        <w:textAlignment w:val="auto"/>
        <w:rPr>
          <w:rFonts w:ascii="仿宋_GB2312" w:hAnsi="仿宋_GB2312" w:eastAsia="仿宋_GB2312" w:cs="仿宋_GB2312"/>
          <w:bCs/>
          <w:color w:val="000000" w:themeColor="text1"/>
          <w:szCs w:val="32"/>
          <w:lang w:val="zh-CN"/>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1.九江市重大科技成果熟化与工程化研究项目申报书；2.学位、职称证明；3.企业法人营业执照；4.上年度财务报表及研发辅助帐、研发投入情况；5.项目申报单位在该研究方向的前期任务承担及综合绩效评价（验收）情况、相关研究成果等其他相关证明材料。</w:t>
      </w:r>
    </w:p>
    <w:p>
      <w:pPr>
        <w:keepNext w:val="0"/>
        <w:keepLines w:val="0"/>
        <w:pageBreakBefore w:val="0"/>
        <w:widowControl w:val="0"/>
        <w:kinsoku/>
        <w:wordWrap/>
        <w:overflowPunct/>
        <w:topLinePunct w:val="0"/>
        <w:bidi w:val="0"/>
        <w:adjustRightInd/>
        <w:snapToGrid/>
        <w:spacing w:line="560" w:lineRule="exact"/>
        <w:ind w:firstLine="646" w:firstLineChars="200"/>
        <w:textAlignment w:val="auto"/>
        <w:rPr>
          <w:rFonts w:ascii="楷体_GB2312" w:hAnsi="仿宋_GB2312" w:eastAsia="楷体_GB2312" w:cs="仿宋_GB2312"/>
          <w:b/>
          <w:color w:val="000000" w:themeColor="text1"/>
          <w:szCs w:val="32"/>
          <w14:textFill>
            <w14:solidFill>
              <w14:schemeClr w14:val="tx1"/>
            </w14:solidFill>
          </w14:textFill>
        </w:rPr>
      </w:pPr>
      <w:r>
        <w:rPr>
          <w:rFonts w:hint="eastAsia" w:ascii="楷体_GB2312" w:hAnsi="仿宋_GB2312" w:eastAsia="楷体_GB2312" w:cs="仿宋_GB2312"/>
          <w:b/>
          <w:color w:val="000000" w:themeColor="text1"/>
          <w:szCs w:val="32"/>
          <w14:textFill>
            <w14:solidFill>
              <w14:schemeClr w14:val="tx1"/>
            </w14:solidFill>
          </w14:textFill>
        </w:rPr>
        <w:t>（三）牵头科室</w:t>
      </w:r>
    </w:p>
    <w:p>
      <w:pPr>
        <w:keepNext w:val="0"/>
        <w:keepLines w:val="0"/>
        <w:pageBreakBefore w:val="0"/>
        <w:widowControl w:val="0"/>
        <w:kinsoku/>
        <w:wordWrap/>
        <w:overflowPunct/>
        <w:topLinePunct w:val="0"/>
        <w:bidi w:val="0"/>
        <w:adjustRightInd/>
        <w:snapToGrid/>
        <w:spacing w:line="560" w:lineRule="exact"/>
        <w:ind w:firstLine="646" w:firstLineChars="200"/>
        <w:textAlignment w:val="auto"/>
        <w:rPr>
          <w:color w:val="000000" w:themeColor="text1"/>
          <w14:textFill>
            <w14:solidFill>
              <w14:schemeClr w14:val="tx1"/>
            </w14:solidFill>
          </w14:textFill>
        </w:rPr>
      </w:pPr>
      <w:r>
        <w:rPr>
          <w:rFonts w:hint="eastAsia" w:ascii="仿宋_GB2312" w:hAnsi="仿宋_GB2312" w:cs="仿宋_GB2312"/>
          <w:bCs/>
          <w:color w:val="000000" w:themeColor="text1"/>
          <w:szCs w:val="32"/>
          <w14:textFill>
            <w14:solidFill>
              <w14:schemeClr w14:val="tx1"/>
            </w14:solidFill>
          </w14:textFill>
        </w:rPr>
        <w:t>科监科。</w:t>
      </w:r>
    </w:p>
    <w:p>
      <w:pPr>
        <w:keepNext w:val="0"/>
        <w:keepLines w:val="0"/>
        <w:pageBreakBefore w:val="0"/>
        <w:widowControl w:val="0"/>
        <w:tabs>
          <w:tab w:val="center" w:pos="4394"/>
          <w:tab w:val="left" w:pos="5620"/>
        </w:tabs>
        <w:kinsoku/>
        <w:wordWrap/>
        <w:overflowPunct/>
        <w:topLinePunct w:val="0"/>
        <w:autoSpaceDE w:val="0"/>
        <w:autoSpaceDN w:val="0"/>
        <w:bidi w:val="0"/>
        <w:adjustRightInd/>
        <w:snapToGrid/>
        <w:spacing w:line="560" w:lineRule="exact"/>
        <w:ind w:firstLine="646" w:firstLineChars="200"/>
        <w:textAlignment w:val="auto"/>
        <w:rPr>
          <w:rFonts w:ascii="黑体" w:hAnsi="黑体" w:eastAsia="黑体" w:cs="仿宋_GB2312"/>
          <w:bCs/>
          <w:color w:val="000000" w:themeColor="text1"/>
          <w:szCs w:val="32"/>
          <w:lang w:val="zh-CN"/>
          <w14:textFill>
            <w14:solidFill>
              <w14:schemeClr w14:val="tx1"/>
            </w14:solidFill>
          </w14:textFill>
        </w:rPr>
      </w:pPr>
      <w:r>
        <w:rPr>
          <w:rFonts w:hint="eastAsia" w:ascii="黑体" w:hAnsi="黑体" w:eastAsia="黑体" w:cs="仿宋_GB2312"/>
          <w:bCs/>
          <w:color w:val="000000" w:themeColor="text1"/>
          <w:szCs w:val="32"/>
          <w:lang w:val="zh-CN"/>
          <w14:textFill>
            <w14:solidFill>
              <w14:schemeClr w14:val="tx1"/>
            </w14:solidFill>
          </w14:textFill>
        </w:rPr>
        <w:t>五、九江市临床医学研究中心建设（专项）</w:t>
      </w:r>
    </w:p>
    <w:p>
      <w:pPr>
        <w:keepNext w:val="0"/>
        <w:keepLines w:val="0"/>
        <w:pageBreakBefore w:val="0"/>
        <w:widowControl w:val="0"/>
        <w:kinsoku/>
        <w:wordWrap/>
        <w:overflowPunct/>
        <w:topLinePunct w:val="0"/>
        <w:bidi w:val="0"/>
        <w:adjustRightInd/>
        <w:snapToGrid/>
        <w:spacing w:line="560" w:lineRule="exact"/>
        <w:ind w:firstLine="646" w:firstLineChars="200"/>
        <w:textAlignment w:val="auto"/>
        <w:rPr>
          <w:rFonts w:ascii="楷体_GB2312" w:hAnsi="仿宋_GB2312" w:eastAsia="楷体_GB2312" w:cs="仿宋_GB2312"/>
          <w:b/>
          <w:color w:val="000000" w:themeColor="text1"/>
          <w:szCs w:val="32"/>
          <w14:textFill>
            <w14:solidFill>
              <w14:schemeClr w14:val="tx1"/>
            </w14:solidFill>
          </w14:textFill>
        </w:rPr>
      </w:pPr>
      <w:r>
        <w:rPr>
          <w:rFonts w:hint="eastAsia" w:ascii="楷体_GB2312" w:hAnsi="仿宋_GB2312" w:eastAsia="楷体_GB2312" w:cs="仿宋_GB2312"/>
          <w:b/>
          <w:color w:val="000000" w:themeColor="text1"/>
          <w:szCs w:val="32"/>
          <w14:textFill>
            <w14:solidFill>
              <w14:schemeClr w14:val="tx1"/>
            </w14:solidFill>
          </w14:textFill>
        </w:rPr>
        <w:t>（一）申报条件</w:t>
      </w:r>
    </w:p>
    <w:p>
      <w:pPr>
        <w:pStyle w:val="3"/>
        <w:keepNext w:val="0"/>
        <w:keepLines w:val="0"/>
        <w:pageBreakBefore w:val="0"/>
        <w:widowControl w:val="0"/>
        <w:kinsoku/>
        <w:wordWrap/>
        <w:overflowPunct/>
        <w:topLinePunct w:val="0"/>
        <w:bidi w:val="0"/>
        <w:adjustRightInd/>
        <w:snapToGrid/>
        <w:spacing w:line="560" w:lineRule="exact"/>
        <w:ind w:firstLine="646"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1.</w:t>
      </w:r>
      <w:r>
        <w:rPr>
          <w:rFonts w:ascii="仿宋_GB2312" w:hAnsi="仿宋_GB2312" w:eastAsia="仿宋_GB2312" w:cs="仿宋_GB2312"/>
          <w:bCs/>
          <w:color w:val="000000" w:themeColor="text1"/>
          <w:szCs w:val="32"/>
          <w14:textFill>
            <w14:solidFill>
              <w14:schemeClr w14:val="tx1"/>
            </w14:solidFill>
          </w14:textFill>
        </w:rPr>
        <w:t xml:space="preserve">三级甲等医院法人单位； </w:t>
      </w:r>
    </w:p>
    <w:p>
      <w:pPr>
        <w:pStyle w:val="3"/>
        <w:keepNext w:val="0"/>
        <w:keepLines w:val="0"/>
        <w:pageBreakBefore w:val="0"/>
        <w:widowControl w:val="0"/>
        <w:kinsoku/>
        <w:wordWrap/>
        <w:overflowPunct/>
        <w:topLinePunct w:val="0"/>
        <w:bidi w:val="0"/>
        <w:adjustRightInd/>
        <w:snapToGrid/>
        <w:spacing w:line="560" w:lineRule="exact"/>
        <w:ind w:firstLine="646"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2.</w:t>
      </w:r>
      <w:r>
        <w:rPr>
          <w:rFonts w:ascii="仿宋_GB2312" w:hAnsi="仿宋_GB2312" w:eastAsia="仿宋_GB2312" w:cs="仿宋_GB2312"/>
          <w:bCs/>
          <w:color w:val="000000" w:themeColor="text1"/>
          <w:szCs w:val="32"/>
          <w14:textFill>
            <w14:solidFill>
              <w14:schemeClr w14:val="tx1"/>
            </w14:solidFill>
          </w14:textFill>
        </w:rPr>
        <w:t xml:space="preserve">在申报领域的临床技术水平省内领先； </w:t>
      </w:r>
    </w:p>
    <w:p>
      <w:pPr>
        <w:pStyle w:val="3"/>
        <w:keepNext w:val="0"/>
        <w:keepLines w:val="0"/>
        <w:pageBreakBefore w:val="0"/>
        <w:widowControl w:val="0"/>
        <w:kinsoku/>
        <w:wordWrap/>
        <w:overflowPunct/>
        <w:topLinePunct w:val="0"/>
        <w:bidi w:val="0"/>
        <w:adjustRightInd/>
        <w:snapToGrid/>
        <w:spacing w:line="560" w:lineRule="exact"/>
        <w:ind w:firstLine="646"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3.</w:t>
      </w:r>
      <w:r>
        <w:rPr>
          <w:rFonts w:ascii="仿宋_GB2312" w:hAnsi="仿宋_GB2312" w:eastAsia="仿宋_GB2312" w:cs="仿宋_GB2312"/>
          <w:bCs/>
          <w:color w:val="000000" w:themeColor="text1"/>
          <w:szCs w:val="32"/>
          <w14:textFill>
            <w14:solidFill>
              <w14:schemeClr w14:val="tx1"/>
            </w14:solidFill>
          </w14:textFill>
        </w:rPr>
        <w:t xml:space="preserve">临床医学和转化研究能力突出，申报前五年内，在申报领域牵头主持过省、市级重大、重点临床研究项目，领军人才和创新团队优势明显； </w:t>
      </w:r>
    </w:p>
    <w:p>
      <w:pPr>
        <w:pStyle w:val="3"/>
        <w:keepNext w:val="0"/>
        <w:keepLines w:val="0"/>
        <w:pageBreakBefore w:val="0"/>
        <w:widowControl w:val="0"/>
        <w:kinsoku/>
        <w:wordWrap/>
        <w:overflowPunct/>
        <w:topLinePunct w:val="0"/>
        <w:bidi w:val="0"/>
        <w:adjustRightInd/>
        <w:snapToGrid/>
        <w:spacing w:line="560" w:lineRule="exact"/>
        <w:ind w:firstLine="646"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4.</w:t>
      </w:r>
      <w:r>
        <w:rPr>
          <w:rFonts w:ascii="仿宋_GB2312" w:hAnsi="仿宋_GB2312" w:eastAsia="仿宋_GB2312" w:cs="仿宋_GB2312"/>
          <w:bCs/>
          <w:color w:val="000000" w:themeColor="text1"/>
          <w:szCs w:val="32"/>
          <w14:textFill>
            <w14:solidFill>
              <w14:schemeClr w14:val="tx1"/>
            </w14:solidFill>
          </w14:textFill>
        </w:rPr>
        <w:t>能够对拟申报的中心建设提供相应的条件保障。</w:t>
      </w:r>
    </w:p>
    <w:p>
      <w:pPr>
        <w:keepNext w:val="0"/>
        <w:keepLines w:val="0"/>
        <w:pageBreakBefore w:val="0"/>
        <w:widowControl w:val="0"/>
        <w:kinsoku/>
        <w:wordWrap/>
        <w:overflowPunct/>
        <w:topLinePunct w:val="0"/>
        <w:bidi w:val="0"/>
        <w:adjustRightInd/>
        <w:snapToGrid/>
        <w:spacing w:line="560" w:lineRule="exact"/>
        <w:ind w:firstLine="646" w:firstLineChars="200"/>
        <w:textAlignment w:val="auto"/>
        <w:rPr>
          <w:rFonts w:ascii="楷体_GB2312" w:hAnsi="仿宋_GB2312" w:eastAsia="楷体_GB2312" w:cs="仿宋_GB2312"/>
          <w:b/>
          <w:color w:val="000000" w:themeColor="text1"/>
          <w:szCs w:val="32"/>
          <w14:textFill>
            <w14:solidFill>
              <w14:schemeClr w14:val="tx1"/>
            </w14:solidFill>
          </w14:textFill>
        </w:rPr>
      </w:pPr>
      <w:r>
        <w:rPr>
          <w:rFonts w:hint="eastAsia" w:ascii="楷体_GB2312" w:hAnsi="仿宋_GB2312" w:eastAsia="楷体_GB2312" w:cs="仿宋_GB2312"/>
          <w:b/>
          <w:color w:val="000000" w:themeColor="text1"/>
          <w:szCs w:val="32"/>
          <w14:textFill>
            <w14:solidFill>
              <w14:schemeClr w14:val="tx1"/>
            </w14:solidFill>
          </w14:textFill>
        </w:rPr>
        <w:t>（二）申报材料</w:t>
      </w:r>
    </w:p>
    <w:p>
      <w:pPr>
        <w:pStyle w:val="3"/>
        <w:keepNext w:val="0"/>
        <w:keepLines w:val="0"/>
        <w:pageBreakBefore w:val="0"/>
        <w:widowControl w:val="0"/>
        <w:kinsoku/>
        <w:wordWrap/>
        <w:overflowPunct/>
        <w:topLinePunct w:val="0"/>
        <w:bidi w:val="0"/>
        <w:adjustRightInd/>
        <w:snapToGrid/>
        <w:spacing w:line="560" w:lineRule="exact"/>
        <w:ind w:firstLine="646"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1.</w:t>
      </w:r>
      <w:r>
        <w:rPr>
          <w:rFonts w:ascii="仿宋_GB2312" w:hAnsi="仿宋_GB2312" w:eastAsia="仿宋_GB2312" w:cs="仿宋_GB2312"/>
          <w:bCs/>
          <w:color w:val="000000" w:themeColor="text1"/>
          <w:szCs w:val="32"/>
          <w14:textFill>
            <w14:solidFill>
              <w14:schemeClr w14:val="tx1"/>
            </w14:solidFill>
          </w14:textFill>
        </w:rPr>
        <w:t>九江市临床医学研究中心申报书</w:t>
      </w:r>
      <w:r>
        <w:rPr>
          <w:rFonts w:hint="eastAsia" w:ascii="仿宋_GB2312" w:hAnsi="仿宋_GB2312" w:eastAsia="仿宋_GB2312" w:cs="仿宋_GB2312"/>
          <w:bCs/>
          <w:color w:val="000000" w:themeColor="text1"/>
          <w:szCs w:val="32"/>
          <w14:textFill>
            <w14:solidFill>
              <w14:schemeClr w14:val="tx1"/>
            </w14:solidFill>
          </w14:textFill>
        </w:rPr>
        <w:t>；2.九</w:t>
      </w:r>
      <w:r>
        <w:rPr>
          <w:rFonts w:ascii="仿宋_GB2312" w:hAnsi="仿宋_GB2312" w:eastAsia="仿宋_GB2312" w:cs="仿宋_GB2312"/>
          <w:bCs/>
          <w:color w:val="000000" w:themeColor="text1"/>
          <w:szCs w:val="32"/>
          <w14:textFill>
            <w14:solidFill>
              <w14:schemeClr w14:val="tx1"/>
            </w14:solidFill>
          </w14:textFill>
        </w:rPr>
        <w:t>江市临床医学研究中心建设方案</w:t>
      </w:r>
      <w:r>
        <w:rPr>
          <w:rFonts w:hint="eastAsia" w:ascii="仿宋_GB2312" w:hAnsi="仿宋_GB2312" w:eastAsia="仿宋_GB2312" w:cs="仿宋_GB2312"/>
          <w:bCs/>
          <w:color w:val="000000" w:themeColor="text1"/>
          <w:szCs w:val="32"/>
          <w14:textFill>
            <w14:solidFill>
              <w14:schemeClr w14:val="tx1"/>
            </w14:solidFill>
          </w14:textFill>
        </w:rPr>
        <w:t>；3.其他附件。</w:t>
      </w:r>
    </w:p>
    <w:p>
      <w:pPr>
        <w:keepNext w:val="0"/>
        <w:keepLines w:val="0"/>
        <w:pageBreakBefore w:val="0"/>
        <w:widowControl w:val="0"/>
        <w:kinsoku/>
        <w:wordWrap/>
        <w:overflowPunct/>
        <w:topLinePunct w:val="0"/>
        <w:bidi w:val="0"/>
        <w:adjustRightInd/>
        <w:snapToGrid/>
        <w:spacing w:line="560" w:lineRule="exact"/>
        <w:ind w:firstLine="646" w:firstLineChars="200"/>
        <w:textAlignment w:val="auto"/>
        <w:rPr>
          <w:rFonts w:ascii="楷体_GB2312" w:hAnsi="仿宋_GB2312" w:eastAsia="楷体_GB2312" w:cs="仿宋_GB2312"/>
          <w:b/>
          <w:color w:val="000000" w:themeColor="text1"/>
          <w:szCs w:val="32"/>
          <w14:textFill>
            <w14:solidFill>
              <w14:schemeClr w14:val="tx1"/>
            </w14:solidFill>
          </w14:textFill>
        </w:rPr>
      </w:pPr>
      <w:r>
        <w:rPr>
          <w:rFonts w:hint="eastAsia" w:ascii="楷体_GB2312" w:hAnsi="仿宋_GB2312" w:eastAsia="楷体_GB2312" w:cs="仿宋_GB2312"/>
          <w:b/>
          <w:color w:val="000000" w:themeColor="text1"/>
          <w:szCs w:val="32"/>
          <w14:textFill>
            <w14:solidFill>
              <w14:schemeClr w14:val="tx1"/>
            </w14:solidFill>
          </w14:textFill>
        </w:rPr>
        <w:t>（三）牵头科室</w:t>
      </w:r>
    </w:p>
    <w:p>
      <w:pPr>
        <w:pStyle w:val="3"/>
        <w:keepNext w:val="0"/>
        <w:keepLines w:val="0"/>
        <w:pageBreakBefore w:val="0"/>
        <w:widowControl w:val="0"/>
        <w:kinsoku/>
        <w:wordWrap/>
        <w:overflowPunct/>
        <w:topLinePunct w:val="0"/>
        <w:bidi w:val="0"/>
        <w:adjustRightInd/>
        <w:snapToGrid/>
        <w:spacing w:line="560" w:lineRule="exact"/>
        <w:ind w:firstLine="646"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农社科。</w:t>
      </w:r>
    </w:p>
    <w:p>
      <w:pPr>
        <w:pStyle w:val="10"/>
        <w:ind w:firstLine="0" w:firstLineChars="0"/>
        <w:rPr>
          <w:rFonts w:ascii="黑体" w:hAnsi="黑体" w:eastAsia="黑体" w:cs="黑体"/>
          <w:color w:val="000000" w:themeColor="text1"/>
          <w:szCs w:val="32"/>
          <w14:textFill>
            <w14:solidFill>
              <w14:schemeClr w14:val="tx1"/>
            </w14:solidFill>
          </w14:textFill>
        </w:rPr>
        <w:sectPr>
          <w:footerReference r:id="rId3" w:type="default"/>
          <w:footerReference r:id="rId4" w:type="even"/>
          <w:pgSz w:w="11906" w:h="16838"/>
          <w:pgMar w:top="2154" w:right="1587" w:bottom="1701" w:left="1587" w:header="851" w:footer="992" w:gutter="0"/>
          <w:pgNumType w:fmt="numberInDash"/>
          <w:cols w:space="0" w:num="1"/>
          <w:docGrid w:type="linesAndChars" w:linePitch="579" w:charSpace="697"/>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Noto Sans Ethiopic">
    <w:panose1 w:val="020B0502040504020204"/>
    <w:charset w:val="00"/>
    <w:family w:val="auto"/>
    <w:pitch w:val="default"/>
    <w:sig w:usb0="00000000" w:usb1="00000000" w:usb2="000008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9669627"/>
    </w:sdtPr>
    <w:sdtEndPr>
      <w:rPr>
        <w:rFonts w:hint="eastAsia" w:asciiTheme="majorEastAsia" w:hAnsiTheme="majorEastAsia" w:eastAsiaTheme="majorEastAsia" w:cstheme="majorEastAsia"/>
        <w:sz w:val="28"/>
        <w:szCs w:val="28"/>
      </w:rPr>
    </w:sdtEndPr>
    <w:sdtContent>
      <w:p>
        <w:pPr>
          <w:pStyle w:val="5"/>
          <w:jc w:val="righ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lang w:val="zh-CN"/>
          </w:rPr>
          <w:t>-</w:t>
        </w:r>
        <w:r>
          <w:rPr>
            <w:rFonts w:asciiTheme="majorEastAsia" w:hAnsiTheme="majorEastAsia" w:eastAsiaTheme="majorEastAsia" w:cstheme="majorEastAsia"/>
            <w:sz w:val="28"/>
            <w:szCs w:val="28"/>
          </w:rPr>
          <w:t xml:space="preserve"> 27 -</w:t>
        </w:r>
        <w:r>
          <w:rPr>
            <w:rFonts w:hint="eastAsia" w:asciiTheme="majorEastAsia" w:hAnsiTheme="majorEastAsia" w:eastAsiaTheme="majorEastAsia" w:cs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Theme="majorEastAsia" w:hAnsiTheme="majorEastAsia" w:eastAsiaTheme="majorEastAsia" w:cstheme="majorEastAsia"/>
        <w:sz w:val="28"/>
        <w:szCs w:val="28"/>
      </w:rPr>
      <w:id w:val="259669631"/>
    </w:sdtPr>
    <w:sdtEndPr>
      <w:rPr>
        <w:rFonts w:hint="eastAsia" w:asciiTheme="minorEastAsia" w:hAnsiTheme="minorEastAsia" w:eastAsiaTheme="minorEastAsia" w:cstheme="majorEastAsia"/>
        <w:sz w:val="24"/>
        <w:szCs w:val="24"/>
      </w:rPr>
    </w:sdtEndPr>
    <w:sdtContent>
      <w:p>
        <w:pPr>
          <w:pStyle w:val="5"/>
          <w:rPr>
            <w:rFonts w:asciiTheme="minorEastAsia" w:hAnsiTheme="minorEastAsia" w:eastAsiaTheme="minorEastAsia"/>
            <w:sz w:val="24"/>
            <w:szCs w:val="24"/>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lang w:val="zh-CN"/>
          </w:rPr>
          <w:t>-</w:t>
        </w:r>
        <w:r>
          <w:rPr>
            <w:rFonts w:asciiTheme="majorEastAsia" w:hAnsiTheme="majorEastAsia" w:eastAsiaTheme="majorEastAsia" w:cstheme="majorEastAsia"/>
            <w:sz w:val="28"/>
            <w:szCs w:val="28"/>
          </w:rPr>
          <w:t xml:space="preserve"> 28 -</w:t>
        </w:r>
        <w:r>
          <w:rPr>
            <w:rFonts w:hint="eastAsia" w:asciiTheme="majorEastAsia" w:hAnsiTheme="majorEastAsia" w:eastAsiaTheme="majorEastAsia" w:cstheme="maj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F3679"/>
    <w:rsid w:val="669F3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next w:val="4"/>
    <w:qFormat/>
    <w:uiPriority w:val="0"/>
    <w:rPr>
      <w:rFonts w:ascii="Calibri" w:hAnsi="Calibri" w:eastAsia="宋体"/>
    </w:rPr>
  </w:style>
  <w:style w:type="paragraph" w:styleId="4">
    <w:name w:val="Body Text 2"/>
    <w:basedOn w:val="1"/>
    <w:unhideWhenUsed/>
    <w:qFormat/>
    <w:uiPriority w:val="99"/>
    <w:pPr>
      <w:spacing w:after="120" w:line="480" w:lineRule="auto"/>
    </w:pPr>
    <w:rPr>
      <w:rFonts w:ascii="Calibri" w:hAnsi="Calibri" w:eastAsia="宋体" w:cs="Times New Roman"/>
      <w:szCs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footnote text"/>
    <w:basedOn w:val="1"/>
    <w:qFormat/>
    <w:uiPriority w:val="0"/>
    <w:pPr>
      <w:snapToGrid w:val="0"/>
      <w:jc w:val="left"/>
    </w:pPr>
    <w:rPr>
      <w:rFonts w:eastAsia="宋体"/>
      <w:sz w:val="18"/>
      <w:szCs w:val="18"/>
    </w:rPr>
  </w:style>
  <w:style w:type="paragraph" w:customStyle="1" w:styleId="9">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paragraph" w:customStyle="1" w:styleId="10">
    <w:name w:val="正文缩进1"/>
    <w:basedOn w:val="1"/>
    <w:qFormat/>
    <w:uiPriority w:val="0"/>
    <w:pPr>
      <w:ind w:firstLine="420" w:firstLineChars="200"/>
    </w:pPr>
    <w:rPr>
      <w:rFonts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2026-03-31T14:38:00Z</dcterms:created>
  <dc:creator>曹圣彬</dc:creator>
  <cp:lastModifiedBy>曹圣彬</cp:lastModifiedBy>
  <dcterms:modified xsi:type="dcterms:W3CDTF">2026-03-31T14:39:28Z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3385900740E65D35DF6BCB695F48109A</vt:lpwstr>
  </property>
</Properties>
</file>