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8DCC9">
      <w:pPr>
        <w:jc w:val="center"/>
        <w:rPr>
          <w:rFonts w:ascii="黑体" w:hAnsi="黑体" w:eastAsia="黑体" w:cs="黑体"/>
          <w:sz w:val="44"/>
          <w:szCs w:val="44"/>
          <w:highlight w:val="none"/>
        </w:rPr>
      </w:pPr>
      <w:bookmarkStart w:id="0" w:name="_GoBack"/>
      <w:r>
        <w:rPr>
          <w:rFonts w:hint="eastAsia" w:ascii="黑体" w:hAnsi="黑体" w:eastAsia="黑体" w:cs="黑体"/>
          <w:sz w:val="36"/>
          <w:szCs w:val="36"/>
          <w:highlight w:val="none"/>
        </w:rPr>
        <w:t>第</w:t>
      </w:r>
      <w:r>
        <w:rPr>
          <w:rFonts w:hint="eastAsia" w:ascii="黑体" w:hAnsi="黑体" w:eastAsia="黑体" w:cs="黑体"/>
          <w:sz w:val="36"/>
          <w:szCs w:val="36"/>
          <w:highlight w:val="none"/>
          <w:lang w:eastAsia="zh-CN"/>
        </w:rPr>
        <w:t>九</w:t>
      </w:r>
      <w:r>
        <w:rPr>
          <w:rFonts w:hint="eastAsia" w:ascii="黑体" w:hAnsi="黑体" w:eastAsia="黑体" w:cs="黑体"/>
          <w:sz w:val="36"/>
          <w:szCs w:val="36"/>
          <w:highlight w:val="none"/>
        </w:rPr>
        <w:t>章  交通建设市场监督管理</w:t>
      </w:r>
    </w:p>
    <w:bookmarkEnd w:id="0"/>
    <w:tbl>
      <w:tblPr>
        <w:tblStyle w:val="11"/>
        <w:tblW w:w="16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39"/>
        <w:gridCol w:w="989"/>
        <w:gridCol w:w="3586"/>
        <w:gridCol w:w="4181"/>
        <w:gridCol w:w="738"/>
        <w:gridCol w:w="3305"/>
        <w:gridCol w:w="713"/>
        <w:gridCol w:w="39"/>
        <w:gridCol w:w="2231"/>
      </w:tblGrid>
      <w:tr w14:paraId="52D7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2" w:hRule="atLeast"/>
          <w:tblHeader/>
          <w:jc w:val="center"/>
        </w:trPr>
        <w:tc>
          <w:tcPr>
            <w:tcW w:w="539" w:type="dxa"/>
            <w:shd w:val="clear" w:color="auto" w:fill="FFFFFF"/>
            <w:vAlign w:val="center"/>
          </w:tcPr>
          <w:p w14:paraId="43B0BBFE">
            <w:pPr>
              <w:spacing w:line="240" w:lineRule="exact"/>
              <w:jc w:val="center"/>
              <w:rPr>
                <w:rFonts w:ascii="宋体" w:hAnsi="宋体" w:cs="宋体"/>
                <w:b/>
                <w:kern w:val="0"/>
                <w:szCs w:val="21"/>
              </w:rPr>
            </w:pPr>
            <w:r>
              <w:rPr>
                <w:rFonts w:hint="eastAsia" w:ascii="宋体" w:hAnsi="宋体" w:cs="宋体"/>
                <w:b/>
                <w:kern w:val="0"/>
                <w:szCs w:val="21"/>
              </w:rPr>
              <w:t>序号</w:t>
            </w:r>
          </w:p>
        </w:tc>
        <w:tc>
          <w:tcPr>
            <w:tcW w:w="989" w:type="dxa"/>
            <w:shd w:val="clear" w:color="auto" w:fill="FFFFFF"/>
            <w:vAlign w:val="center"/>
          </w:tcPr>
          <w:p w14:paraId="10457E6E">
            <w:pPr>
              <w:spacing w:line="240" w:lineRule="exact"/>
              <w:jc w:val="center"/>
              <w:rPr>
                <w:rFonts w:ascii="宋体" w:hAnsi="宋体" w:cs="宋体"/>
                <w:b/>
                <w:kern w:val="0"/>
                <w:szCs w:val="21"/>
              </w:rPr>
            </w:pPr>
            <w:r>
              <w:rPr>
                <w:rFonts w:hint="eastAsia" w:ascii="宋体" w:hAnsi="宋体" w:cs="宋体"/>
                <w:b/>
                <w:kern w:val="0"/>
                <w:szCs w:val="21"/>
              </w:rPr>
              <w:t>违法</w:t>
            </w:r>
          </w:p>
          <w:p w14:paraId="23C60AAE">
            <w:pPr>
              <w:spacing w:line="240" w:lineRule="exact"/>
              <w:jc w:val="center"/>
              <w:rPr>
                <w:rFonts w:ascii="宋体" w:hAnsi="宋体" w:cs="宋体"/>
                <w:b/>
                <w:kern w:val="0"/>
                <w:szCs w:val="21"/>
              </w:rPr>
            </w:pPr>
            <w:r>
              <w:rPr>
                <w:rFonts w:hint="eastAsia" w:ascii="宋体" w:hAnsi="宋体" w:cs="宋体"/>
                <w:b/>
                <w:kern w:val="0"/>
                <w:szCs w:val="21"/>
              </w:rPr>
              <w:t>行为</w:t>
            </w:r>
          </w:p>
        </w:tc>
        <w:tc>
          <w:tcPr>
            <w:tcW w:w="3586" w:type="dxa"/>
            <w:shd w:val="clear" w:color="auto" w:fill="FFFFFF"/>
            <w:vAlign w:val="center"/>
          </w:tcPr>
          <w:p w14:paraId="7EBEB30B">
            <w:pPr>
              <w:spacing w:line="240" w:lineRule="exact"/>
              <w:jc w:val="center"/>
              <w:rPr>
                <w:rFonts w:ascii="宋体" w:hAnsi="宋体" w:cs="宋体"/>
                <w:b/>
                <w:kern w:val="0"/>
                <w:szCs w:val="21"/>
              </w:rPr>
            </w:pPr>
            <w:r>
              <w:rPr>
                <w:rFonts w:hint="eastAsia" w:ascii="宋体" w:hAnsi="宋体" w:cs="宋体"/>
                <w:b/>
                <w:kern w:val="0"/>
                <w:szCs w:val="21"/>
              </w:rPr>
              <w:t>违反条款</w:t>
            </w:r>
          </w:p>
        </w:tc>
        <w:tc>
          <w:tcPr>
            <w:tcW w:w="4181" w:type="dxa"/>
            <w:shd w:val="clear" w:color="auto" w:fill="FFFFFF"/>
            <w:vAlign w:val="center"/>
          </w:tcPr>
          <w:p w14:paraId="06F544F7">
            <w:pPr>
              <w:spacing w:line="240" w:lineRule="exact"/>
              <w:jc w:val="center"/>
              <w:rPr>
                <w:rFonts w:ascii="宋体" w:hAnsi="宋体" w:cs="宋体"/>
                <w:b/>
                <w:kern w:val="0"/>
                <w:szCs w:val="21"/>
              </w:rPr>
            </w:pPr>
            <w:r>
              <w:rPr>
                <w:rFonts w:hint="eastAsia" w:ascii="宋体" w:hAnsi="宋体" w:cs="宋体"/>
                <w:b/>
                <w:kern w:val="0"/>
                <w:szCs w:val="21"/>
              </w:rPr>
              <w:t>处罚依据</w:t>
            </w:r>
          </w:p>
        </w:tc>
        <w:tc>
          <w:tcPr>
            <w:tcW w:w="738" w:type="dxa"/>
            <w:shd w:val="clear" w:color="auto" w:fill="FFFFFF"/>
            <w:vAlign w:val="center"/>
          </w:tcPr>
          <w:p w14:paraId="507E6C31">
            <w:pPr>
              <w:spacing w:line="240" w:lineRule="exact"/>
              <w:jc w:val="center"/>
              <w:rPr>
                <w:rFonts w:ascii="宋体" w:hAnsi="宋体" w:cs="宋体"/>
                <w:b/>
                <w:kern w:val="0"/>
                <w:szCs w:val="21"/>
              </w:rPr>
            </w:pPr>
            <w:r>
              <w:rPr>
                <w:rFonts w:hint="eastAsia" w:ascii="宋体" w:hAnsi="宋体" w:cs="宋体"/>
                <w:b/>
                <w:kern w:val="0"/>
                <w:szCs w:val="21"/>
              </w:rPr>
              <w:t>违法</w:t>
            </w:r>
          </w:p>
          <w:p w14:paraId="6EF98D41">
            <w:pPr>
              <w:spacing w:line="240" w:lineRule="exact"/>
              <w:jc w:val="center"/>
              <w:rPr>
                <w:rFonts w:ascii="宋体" w:hAnsi="宋体" w:cs="宋体"/>
                <w:b/>
                <w:kern w:val="0"/>
                <w:szCs w:val="21"/>
              </w:rPr>
            </w:pPr>
            <w:r>
              <w:rPr>
                <w:rFonts w:hint="eastAsia" w:ascii="宋体" w:hAnsi="宋体" w:cs="宋体"/>
                <w:b/>
                <w:kern w:val="0"/>
                <w:szCs w:val="21"/>
              </w:rPr>
              <w:t>程度</w:t>
            </w:r>
          </w:p>
        </w:tc>
        <w:tc>
          <w:tcPr>
            <w:tcW w:w="3305" w:type="dxa"/>
            <w:shd w:val="clear" w:color="auto" w:fill="FFFFFF"/>
            <w:vAlign w:val="center"/>
          </w:tcPr>
          <w:p w14:paraId="62470F92">
            <w:pPr>
              <w:spacing w:line="240" w:lineRule="exact"/>
              <w:jc w:val="center"/>
              <w:rPr>
                <w:rFonts w:ascii="宋体" w:hAnsi="宋体" w:cs="宋体"/>
                <w:b/>
                <w:kern w:val="0"/>
                <w:szCs w:val="21"/>
              </w:rPr>
            </w:pPr>
            <w:r>
              <w:rPr>
                <w:rFonts w:hint="eastAsia" w:ascii="宋体" w:hAnsi="宋体" w:cs="宋体"/>
                <w:b/>
                <w:kern w:val="0"/>
                <w:szCs w:val="21"/>
              </w:rPr>
              <w:t>情节及后果</w:t>
            </w:r>
          </w:p>
        </w:tc>
        <w:tc>
          <w:tcPr>
            <w:tcW w:w="2983" w:type="dxa"/>
            <w:gridSpan w:val="3"/>
            <w:shd w:val="clear" w:color="auto" w:fill="FFFFFF"/>
            <w:vAlign w:val="center"/>
          </w:tcPr>
          <w:p w14:paraId="5071E5A6">
            <w:pPr>
              <w:spacing w:line="240" w:lineRule="exact"/>
              <w:jc w:val="center"/>
              <w:rPr>
                <w:rFonts w:ascii="宋体" w:hAnsi="宋体" w:cs="宋体"/>
                <w:b/>
                <w:kern w:val="0"/>
                <w:szCs w:val="21"/>
              </w:rPr>
            </w:pPr>
            <w:r>
              <w:rPr>
                <w:rFonts w:hint="eastAsia" w:ascii="宋体" w:hAnsi="宋体" w:cs="宋体"/>
                <w:b/>
                <w:szCs w:val="21"/>
              </w:rPr>
              <w:t>裁量</w:t>
            </w:r>
            <w:r>
              <w:rPr>
                <w:rFonts w:hint="eastAsia" w:ascii="宋体" w:hAnsi="宋体" w:cs="宋体"/>
                <w:b/>
                <w:kern w:val="0"/>
                <w:szCs w:val="21"/>
              </w:rPr>
              <w:t>标准</w:t>
            </w:r>
          </w:p>
        </w:tc>
      </w:tr>
      <w:tr w14:paraId="1E3B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99" w:hRule="atLeast"/>
          <w:jc w:val="center"/>
        </w:trPr>
        <w:tc>
          <w:tcPr>
            <w:tcW w:w="539" w:type="dxa"/>
            <w:vMerge w:val="restart"/>
            <w:shd w:val="clear" w:color="auto" w:fill="FFFFFF"/>
            <w:vAlign w:val="center"/>
          </w:tcPr>
          <w:p w14:paraId="101A3AC9">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438</w:t>
            </w:r>
          </w:p>
        </w:tc>
        <w:tc>
          <w:tcPr>
            <w:tcW w:w="989" w:type="dxa"/>
            <w:vMerge w:val="restart"/>
            <w:shd w:val="clear" w:color="auto" w:fill="FFFFFF"/>
            <w:vAlign w:val="center"/>
          </w:tcPr>
          <w:p w14:paraId="721CC285">
            <w:pPr>
              <w:spacing w:line="240" w:lineRule="exact"/>
              <w:rPr>
                <w:rFonts w:ascii="宋体" w:hAnsi="宋体" w:cs="宋体"/>
                <w:bCs/>
                <w:kern w:val="0"/>
                <w:szCs w:val="21"/>
              </w:rPr>
            </w:pPr>
            <w:r>
              <w:rPr>
                <w:rFonts w:hint="eastAsia" w:ascii="宋体" w:hAnsi="宋体" w:cs="宋体"/>
                <w:color w:val="000000"/>
                <w:kern w:val="0"/>
                <w:szCs w:val="21"/>
              </w:rPr>
              <w:t>招标人无正当理由不发出中标通知书的处罚</w:t>
            </w:r>
          </w:p>
        </w:tc>
        <w:tc>
          <w:tcPr>
            <w:tcW w:w="3586" w:type="dxa"/>
            <w:vMerge w:val="restart"/>
            <w:shd w:val="clear" w:color="auto" w:fill="FFFFFF"/>
            <w:vAlign w:val="center"/>
          </w:tcPr>
          <w:p w14:paraId="509B75E3">
            <w:pPr>
              <w:widowControl/>
              <w:textAlignment w:val="center"/>
              <w:rPr>
                <w:rFonts w:ascii="宋体" w:hAnsi="宋体" w:cs="宋体"/>
                <w:color w:val="000000"/>
                <w:kern w:val="0"/>
                <w:szCs w:val="21"/>
              </w:rPr>
            </w:pPr>
            <w:r>
              <w:rPr>
                <w:rFonts w:hint="eastAsia" w:ascii="宋体" w:hAnsi="宋体" w:cs="宋体"/>
                <w:color w:val="000000"/>
                <w:kern w:val="0"/>
                <w:szCs w:val="21"/>
              </w:rPr>
              <w:t>1.《中华人民共和国招标投标法》第四十五条  中标人确定后，招标人应当向中标人发出中标通知书，并同时将中标结果通知所有未中标的投标人。</w:t>
            </w:r>
          </w:p>
          <w:p w14:paraId="2029575A">
            <w:pPr>
              <w:widowControl/>
              <w:textAlignment w:val="center"/>
              <w:rPr>
                <w:rFonts w:ascii="宋体" w:hAnsi="宋体" w:cs="宋体"/>
                <w:color w:val="000000"/>
                <w:kern w:val="0"/>
                <w:szCs w:val="21"/>
              </w:rPr>
            </w:pPr>
            <w:r>
              <w:rPr>
                <w:rFonts w:hint="eastAsia" w:ascii="宋体" w:hAnsi="宋体" w:cs="宋体"/>
                <w:color w:val="000000"/>
                <w:kern w:val="0"/>
                <w:szCs w:val="21"/>
              </w:rPr>
              <w:t>中标通知书对招标人和中标人具有法律效力。中标通知书发出后，招标人改变中标结果的，或者中标人放弃中标项目的，应当依法承担法律责任。</w:t>
            </w:r>
          </w:p>
          <w:p w14:paraId="7CB53121">
            <w:pPr>
              <w:widowControl/>
              <w:textAlignment w:val="center"/>
              <w:rPr>
                <w:rFonts w:ascii="宋体" w:hAnsi="宋体" w:cs="宋体"/>
                <w:bCs/>
                <w:kern w:val="0"/>
                <w:szCs w:val="21"/>
              </w:rPr>
            </w:pPr>
            <w:r>
              <w:rPr>
                <w:rFonts w:hint="eastAsia" w:ascii="宋体" w:hAnsi="宋体" w:cs="宋体"/>
                <w:color w:val="000000"/>
                <w:kern w:val="0"/>
                <w:szCs w:val="21"/>
              </w:rPr>
              <w:t>2.《中华人民共和国招标投标法实施条例》第五十四条第一款 依法必须进行招标的项目，招标人应当自收到评标报告之日起3日内公示中标候选人，公示期不得少于3日。</w:t>
            </w:r>
          </w:p>
        </w:tc>
        <w:tc>
          <w:tcPr>
            <w:tcW w:w="4181" w:type="dxa"/>
            <w:vMerge w:val="restart"/>
            <w:shd w:val="clear" w:color="auto" w:fill="FFFFFF"/>
            <w:vAlign w:val="center"/>
          </w:tcPr>
          <w:p w14:paraId="018921AE">
            <w:pPr>
              <w:widowControl/>
              <w:textAlignment w:val="center"/>
              <w:rPr>
                <w:rFonts w:ascii="宋体" w:hAnsi="宋体" w:cs="宋体"/>
                <w:bCs/>
                <w:kern w:val="0"/>
                <w:szCs w:val="21"/>
              </w:rPr>
            </w:pPr>
            <w:r>
              <w:rPr>
                <w:rFonts w:hint="eastAsia" w:ascii="宋体" w:hAnsi="宋体" w:cs="宋体"/>
                <w:color w:val="000000"/>
                <w:kern w:val="0"/>
                <w:szCs w:val="21"/>
              </w:rPr>
              <w:t>《中华人民共和国招标投标法实施条例》第七十三条第（一）项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w:t>
            </w:r>
          </w:p>
        </w:tc>
        <w:tc>
          <w:tcPr>
            <w:tcW w:w="738" w:type="dxa"/>
            <w:shd w:val="clear" w:color="auto" w:fill="FFFFFF"/>
            <w:vAlign w:val="center"/>
          </w:tcPr>
          <w:p w14:paraId="56B28817">
            <w:pPr>
              <w:spacing w:line="240" w:lineRule="exact"/>
              <w:jc w:val="center"/>
              <w:rPr>
                <w:rFonts w:ascii="宋体" w:hAnsi="宋体" w:cs="宋体"/>
                <w:bCs/>
                <w:kern w:val="0"/>
                <w:szCs w:val="21"/>
              </w:rPr>
            </w:pPr>
            <w:r>
              <w:rPr>
                <w:rFonts w:hint="eastAsia" w:ascii="宋体" w:hAnsi="宋体" w:cs="宋体"/>
                <w:bCs/>
                <w:kern w:val="0"/>
                <w:szCs w:val="21"/>
              </w:rPr>
              <w:t>轻微</w:t>
            </w:r>
          </w:p>
        </w:tc>
        <w:tc>
          <w:tcPr>
            <w:tcW w:w="3305" w:type="dxa"/>
            <w:shd w:val="clear" w:color="auto" w:fill="FFFFFF"/>
            <w:vAlign w:val="center"/>
          </w:tcPr>
          <w:p w14:paraId="35649391">
            <w:pPr>
              <w:textAlignment w:val="center"/>
              <w:rPr>
                <w:rFonts w:ascii="宋体" w:hAnsi="宋体" w:cs="宋体"/>
                <w:bCs/>
                <w:kern w:val="0"/>
                <w:szCs w:val="21"/>
              </w:rPr>
            </w:pPr>
            <w:r>
              <w:rPr>
                <w:rFonts w:hint="eastAsia" w:ascii="宋体" w:hAnsi="宋体" w:cs="宋体"/>
                <w:color w:val="000000"/>
                <w:szCs w:val="21"/>
              </w:rPr>
              <w:t>超过期限（投标有效期截止30日前，下同）未发出中标通知书，但在投标有效期内完成合同签订的</w:t>
            </w:r>
          </w:p>
        </w:tc>
        <w:tc>
          <w:tcPr>
            <w:tcW w:w="2983" w:type="dxa"/>
            <w:gridSpan w:val="3"/>
            <w:shd w:val="clear" w:color="auto" w:fill="FFFFFF"/>
            <w:vAlign w:val="center"/>
          </w:tcPr>
          <w:p w14:paraId="6F5847D8">
            <w:pPr>
              <w:spacing w:line="240" w:lineRule="exact"/>
              <w:rPr>
                <w:rFonts w:ascii="宋体" w:hAnsi="宋体" w:cs="宋体"/>
                <w:bCs/>
                <w:kern w:val="0"/>
                <w:szCs w:val="21"/>
              </w:rPr>
            </w:pPr>
            <w:r>
              <w:rPr>
                <w:rFonts w:hint="eastAsia" w:ascii="宋体" w:hAnsi="宋体" w:cs="宋体"/>
                <w:bCs/>
                <w:kern w:val="0"/>
                <w:szCs w:val="21"/>
              </w:rPr>
              <w:t>责令改正，可不予行政处罚。</w:t>
            </w:r>
          </w:p>
        </w:tc>
      </w:tr>
      <w:tr w14:paraId="35F1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39" w:type="dxa"/>
            <w:vMerge w:val="continue"/>
            <w:shd w:val="clear" w:color="auto" w:fill="FFFFFF"/>
            <w:vAlign w:val="center"/>
          </w:tcPr>
          <w:p w14:paraId="0A758C68">
            <w:pPr>
              <w:spacing w:line="240" w:lineRule="exact"/>
              <w:jc w:val="center"/>
              <w:rPr>
                <w:rFonts w:ascii="宋体" w:hAnsi="宋体" w:cs="宋体"/>
                <w:bCs/>
                <w:kern w:val="0"/>
                <w:szCs w:val="21"/>
              </w:rPr>
            </w:pPr>
          </w:p>
        </w:tc>
        <w:tc>
          <w:tcPr>
            <w:tcW w:w="989" w:type="dxa"/>
            <w:vMerge w:val="continue"/>
            <w:shd w:val="clear" w:color="auto" w:fill="FFFFFF"/>
            <w:vAlign w:val="center"/>
          </w:tcPr>
          <w:p w14:paraId="3325CBE1">
            <w:pPr>
              <w:spacing w:line="240" w:lineRule="exact"/>
              <w:rPr>
                <w:rFonts w:ascii="宋体" w:hAnsi="宋体" w:cs="宋体"/>
                <w:bCs/>
                <w:kern w:val="0"/>
                <w:szCs w:val="21"/>
              </w:rPr>
            </w:pPr>
          </w:p>
        </w:tc>
        <w:tc>
          <w:tcPr>
            <w:tcW w:w="3586" w:type="dxa"/>
            <w:vMerge w:val="continue"/>
            <w:shd w:val="clear" w:color="auto" w:fill="FFFFFF"/>
            <w:vAlign w:val="center"/>
          </w:tcPr>
          <w:p w14:paraId="2536C779">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68C35671">
            <w:pPr>
              <w:spacing w:line="240" w:lineRule="exact"/>
              <w:ind w:firstLine="420" w:firstLineChars="200"/>
              <w:rPr>
                <w:rFonts w:ascii="宋体" w:hAnsi="宋体" w:cs="宋体"/>
                <w:bCs/>
                <w:kern w:val="0"/>
                <w:szCs w:val="21"/>
              </w:rPr>
            </w:pPr>
          </w:p>
        </w:tc>
        <w:tc>
          <w:tcPr>
            <w:tcW w:w="738" w:type="dxa"/>
            <w:shd w:val="clear" w:color="auto" w:fill="FFFFFF"/>
            <w:vAlign w:val="center"/>
          </w:tcPr>
          <w:p w14:paraId="4812E875">
            <w:pPr>
              <w:spacing w:line="240" w:lineRule="exact"/>
              <w:jc w:val="center"/>
              <w:rPr>
                <w:rFonts w:ascii="宋体" w:hAnsi="宋体" w:cs="宋体"/>
                <w:bCs/>
                <w:kern w:val="0"/>
                <w:szCs w:val="21"/>
              </w:rPr>
            </w:pPr>
            <w:r>
              <w:rPr>
                <w:rFonts w:hint="eastAsia" w:ascii="宋体" w:hAnsi="宋体" w:cs="宋体"/>
                <w:bCs/>
                <w:kern w:val="0"/>
                <w:szCs w:val="21"/>
              </w:rPr>
              <w:t>一般</w:t>
            </w:r>
          </w:p>
        </w:tc>
        <w:tc>
          <w:tcPr>
            <w:tcW w:w="3305" w:type="dxa"/>
            <w:shd w:val="clear" w:color="auto" w:fill="FFFFFF"/>
            <w:vAlign w:val="center"/>
          </w:tcPr>
          <w:p w14:paraId="1C0E8041">
            <w:pPr>
              <w:textAlignment w:val="center"/>
              <w:rPr>
                <w:rFonts w:ascii="宋体" w:hAnsi="宋体" w:cs="宋体"/>
                <w:bCs/>
                <w:kern w:val="0"/>
                <w:szCs w:val="21"/>
              </w:rPr>
            </w:pPr>
            <w:r>
              <w:rPr>
                <w:rFonts w:hint="eastAsia" w:ascii="宋体" w:hAnsi="宋体" w:cs="宋体"/>
                <w:color w:val="000000"/>
                <w:szCs w:val="21"/>
              </w:rPr>
              <w:t>超过期限未发出中标通知书，造成未在投标有效期内签订合同的</w:t>
            </w:r>
          </w:p>
        </w:tc>
        <w:tc>
          <w:tcPr>
            <w:tcW w:w="2983" w:type="dxa"/>
            <w:gridSpan w:val="3"/>
            <w:shd w:val="clear" w:color="auto" w:fill="FFFFFF"/>
            <w:vAlign w:val="center"/>
          </w:tcPr>
          <w:p w14:paraId="15CCEC68">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处中标项目金额2‰罚款</w:t>
            </w:r>
          </w:p>
        </w:tc>
      </w:tr>
      <w:tr w14:paraId="2B2A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96" w:hRule="atLeast"/>
          <w:jc w:val="center"/>
        </w:trPr>
        <w:tc>
          <w:tcPr>
            <w:tcW w:w="539" w:type="dxa"/>
            <w:vMerge w:val="continue"/>
            <w:shd w:val="clear" w:color="auto" w:fill="FFFFFF"/>
            <w:vAlign w:val="center"/>
          </w:tcPr>
          <w:p w14:paraId="22241BF2">
            <w:pPr>
              <w:spacing w:line="240" w:lineRule="exact"/>
              <w:jc w:val="center"/>
              <w:rPr>
                <w:rFonts w:ascii="宋体" w:hAnsi="宋体" w:cs="宋体"/>
                <w:bCs/>
                <w:kern w:val="0"/>
                <w:szCs w:val="21"/>
              </w:rPr>
            </w:pPr>
          </w:p>
        </w:tc>
        <w:tc>
          <w:tcPr>
            <w:tcW w:w="989" w:type="dxa"/>
            <w:vMerge w:val="continue"/>
            <w:shd w:val="clear" w:color="auto" w:fill="FFFFFF"/>
            <w:vAlign w:val="center"/>
          </w:tcPr>
          <w:p w14:paraId="0709AD54">
            <w:pPr>
              <w:spacing w:line="240" w:lineRule="exact"/>
              <w:rPr>
                <w:rFonts w:ascii="宋体" w:hAnsi="宋体" w:cs="宋体"/>
                <w:bCs/>
                <w:kern w:val="0"/>
                <w:szCs w:val="21"/>
              </w:rPr>
            </w:pPr>
          </w:p>
        </w:tc>
        <w:tc>
          <w:tcPr>
            <w:tcW w:w="3586" w:type="dxa"/>
            <w:vMerge w:val="continue"/>
            <w:shd w:val="clear" w:color="auto" w:fill="FFFFFF"/>
            <w:vAlign w:val="center"/>
          </w:tcPr>
          <w:p w14:paraId="3A1DEA41">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7781D662">
            <w:pPr>
              <w:spacing w:line="240" w:lineRule="exact"/>
              <w:ind w:firstLine="420" w:firstLineChars="200"/>
              <w:rPr>
                <w:rFonts w:ascii="宋体" w:hAnsi="宋体" w:cs="宋体"/>
                <w:bCs/>
                <w:kern w:val="0"/>
                <w:szCs w:val="21"/>
              </w:rPr>
            </w:pPr>
          </w:p>
        </w:tc>
        <w:tc>
          <w:tcPr>
            <w:tcW w:w="738" w:type="dxa"/>
            <w:shd w:val="clear" w:color="auto" w:fill="FFFFFF"/>
            <w:vAlign w:val="center"/>
          </w:tcPr>
          <w:p w14:paraId="6915A75E">
            <w:pPr>
              <w:spacing w:line="240" w:lineRule="exact"/>
              <w:jc w:val="center"/>
              <w:rPr>
                <w:rFonts w:ascii="宋体" w:hAnsi="宋体" w:cs="宋体"/>
                <w:bCs/>
                <w:kern w:val="0"/>
                <w:szCs w:val="21"/>
              </w:rPr>
            </w:pPr>
            <w:r>
              <w:rPr>
                <w:rFonts w:hint="eastAsia" w:ascii="宋体" w:hAnsi="宋体" w:cs="宋体"/>
                <w:bCs/>
                <w:kern w:val="0"/>
                <w:szCs w:val="21"/>
              </w:rPr>
              <w:t>严重</w:t>
            </w:r>
          </w:p>
        </w:tc>
        <w:tc>
          <w:tcPr>
            <w:tcW w:w="3305" w:type="dxa"/>
            <w:shd w:val="clear" w:color="auto" w:fill="FFFFFF"/>
            <w:vAlign w:val="center"/>
          </w:tcPr>
          <w:p w14:paraId="3400D73D">
            <w:pPr>
              <w:textAlignment w:val="center"/>
              <w:rPr>
                <w:rFonts w:ascii="宋体" w:hAnsi="宋体" w:cs="宋体"/>
                <w:bCs/>
                <w:kern w:val="0"/>
                <w:szCs w:val="21"/>
              </w:rPr>
            </w:pPr>
            <w:r>
              <w:rPr>
                <w:rFonts w:hint="eastAsia" w:ascii="宋体" w:hAnsi="宋体" w:cs="宋体"/>
                <w:color w:val="000000"/>
                <w:szCs w:val="21"/>
              </w:rPr>
              <w:t>超过期限未发出中标通知书，造成未在投标有效期内签订合同且造成较大不良影响的</w:t>
            </w:r>
          </w:p>
        </w:tc>
        <w:tc>
          <w:tcPr>
            <w:tcW w:w="2983" w:type="dxa"/>
            <w:gridSpan w:val="3"/>
            <w:shd w:val="clear" w:color="auto" w:fill="FFFFFF"/>
            <w:vAlign w:val="center"/>
          </w:tcPr>
          <w:p w14:paraId="19E2F87F">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处中标项目金额10‰罚款。</w:t>
            </w:r>
          </w:p>
        </w:tc>
      </w:tr>
      <w:tr w14:paraId="52E8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96" w:hRule="atLeast"/>
          <w:jc w:val="center"/>
        </w:trPr>
        <w:tc>
          <w:tcPr>
            <w:tcW w:w="539" w:type="dxa"/>
            <w:vMerge w:val="restart"/>
            <w:shd w:val="clear" w:color="auto" w:fill="FFFFFF"/>
            <w:vAlign w:val="center"/>
          </w:tcPr>
          <w:p w14:paraId="67F04FA3">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439</w:t>
            </w:r>
          </w:p>
        </w:tc>
        <w:tc>
          <w:tcPr>
            <w:tcW w:w="989" w:type="dxa"/>
            <w:vMerge w:val="restart"/>
            <w:shd w:val="clear" w:color="auto" w:fill="FFFFFF"/>
            <w:vAlign w:val="center"/>
          </w:tcPr>
          <w:p w14:paraId="07AD38C7">
            <w:pPr>
              <w:spacing w:line="240" w:lineRule="exact"/>
              <w:rPr>
                <w:rFonts w:ascii="宋体" w:hAnsi="宋体" w:cs="宋体"/>
                <w:bCs/>
                <w:kern w:val="0"/>
                <w:szCs w:val="21"/>
              </w:rPr>
            </w:pPr>
            <w:r>
              <w:rPr>
                <w:rFonts w:hint="eastAsia" w:ascii="宋体" w:hAnsi="宋体" w:cs="宋体"/>
                <w:bCs/>
                <w:kern w:val="0"/>
                <w:szCs w:val="21"/>
              </w:rPr>
              <w:t>招标人不按照规定确定中标人</w:t>
            </w:r>
          </w:p>
        </w:tc>
        <w:tc>
          <w:tcPr>
            <w:tcW w:w="3586" w:type="dxa"/>
            <w:vMerge w:val="restart"/>
            <w:shd w:val="clear" w:color="auto" w:fill="FFFFFF"/>
            <w:vAlign w:val="center"/>
          </w:tcPr>
          <w:p w14:paraId="40D02DCF">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《中华人民共和国招标投标法实施条例》第五十五条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c>
          <w:tcPr>
            <w:tcW w:w="4181" w:type="dxa"/>
            <w:vMerge w:val="restart"/>
            <w:shd w:val="clear" w:color="auto" w:fill="FFFFFF"/>
            <w:vAlign w:val="center"/>
          </w:tcPr>
          <w:p w14:paraId="6FDD5F34">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《中华人民共和国招标投标法实施条例》第七十三条第（二）项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二）不按照规定确定中标人。</w:t>
            </w:r>
          </w:p>
        </w:tc>
        <w:tc>
          <w:tcPr>
            <w:tcW w:w="738" w:type="dxa"/>
            <w:shd w:val="clear" w:color="auto" w:fill="FFFFFF"/>
            <w:vAlign w:val="center"/>
          </w:tcPr>
          <w:p w14:paraId="2842CDD6">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7D3FF5E0">
            <w:pPr>
              <w:textAlignment w:val="center"/>
              <w:rPr>
                <w:rFonts w:ascii="宋体" w:hAnsi="宋体" w:cs="宋体"/>
                <w:bCs/>
                <w:kern w:val="0"/>
                <w:szCs w:val="21"/>
              </w:rPr>
            </w:pPr>
            <w:r>
              <w:rPr>
                <w:rFonts w:hint="eastAsia" w:ascii="宋体" w:hAnsi="宋体" w:cs="宋体"/>
                <w:color w:val="000000"/>
                <w:kern w:val="0"/>
                <w:szCs w:val="21"/>
              </w:rPr>
              <w:t>招标人不按照规定确定中标人但经责令改正后及时改正的</w:t>
            </w:r>
          </w:p>
        </w:tc>
        <w:tc>
          <w:tcPr>
            <w:tcW w:w="2983" w:type="dxa"/>
            <w:gridSpan w:val="3"/>
            <w:shd w:val="clear" w:color="auto" w:fill="FFFFFF"/>
            <w:vAlign w:val="center"/>
          </w:tcPr>
          <w:p w14:paraId="59888E90">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处中标项目金额2‰罚款。</w:t>
            </w:r>
          </w:p>
        </w:tc>
      </w:tr>
      <w:tr w14:paraId="7181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40" w:hRule="atLeast"/>
          <w:jc w:val="center"/>
        </w:trPr>
        <w:tc>
          <w:tcPr>
            <w:tcW w:w="539" w:type="dxa"/>
            <w:vMerge w:val="continue"/>
            <w:shd w:val="clear" w:color="auto" w:fill="FFFFFF"/>
            <w:vAlign w:val="center"/>
          </w:tcPr>
          <w:p w14:paraId="3499AC11">
            <w:pPr>
              <w:spacing w:line="240" w:lineRule="exact"/>
              <w:jc w:val="left"/>
              <w:rPr>
                <w:rFonts w:ascii="宋体" w:hAnsi="宋体" w:cs="宋体"/>
                <w:bCs/>
                <w:kern w:val="0"/>
                <w:szCs w:val="21"/>
              </w:rPr>
            </w:pPr>
          </w:p>
        </w:tc>
        <w:tc>
          <w:tcPr>
            <w:tcW w:w="989" w:type="dxa"/>
            <w:vMerge w:val="continue"/>
            <w:shd w:val="clear" w:color="auto" w:fill="FFFFFF"/>
            <w:vAlign w:val="center"/>
          </w:tcPr>
          <w:p w14:paraId="11808A75">
            <w:pPr>
              <w:spacing w:line="240" w:lineRule="exact"/>
              <w:rPr>
                <w:rFonts w:ascii="宋体" w:hAnsi="宋体" w:cs="宋体"/>
                <w:bCs/>
                <w:kern w:val="0"/>
                <w:szCs w:val="21"/>
              </w:rPr>
            </w:pPr>
          </w:p>
        </w:tc>
        <w:tc>
          <w:tcPr>
            <w:tcW w:w="3586" w:type="dxa"/>
            <w:vMerge w:val="continue"/>
            <w:shd w:val="clear" w:color="auto" w:fill="FFFFFF"/>
            <w:vAlign w:val="center"/>
          </w:tcPr>
          <w:p w14:paraId="16724B87">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53F29C5A">
            <w:pPr>
              <w:spacing w:line="240" w:lineRule="exact"/>
              <w:ind w:firstLine="420" w:firstLineChars="200"/>
              <w:rPr>
                <w:rFonts w:ascii="宋体" w:hAnsi="宋体" w:cs="宋体"/>
                <w:bCs/>
                <w:kern w:val="0"/>
                <w:szCs w:val="21"/>
              </w:rPr>
            </w:pPr>
          </w:p>
        </w:tc>
        <w:tc>
          <w:tcPr>
            <w:tcW w:w="738" w:type="dxa"/>
            <w:shd w:val="clear" w:color="auto" w:fill="FFFFFF"/>
            <w:vAlign w:val="center"/>
          </w:tcPr>
          <w:p w14:paraId="61FBEA1D">
            <w:pPr>
              <w:widowControl/>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7D6E27DF">
            <w:pPr>
              <w:widowControl/>
              <w:textAlignment w:val="center"/>
              <w:rPr>
                <w:rFonts w:ascii="宋体" w:hAnsi="宋体" w:cs="宋体"/>
                <w:bCs/>
                <w:kern w:val="0"/>
                <w:szCs w:val="21"/>
              </w:rPr>
            </w:pPr>
            <w:r>
              <w:rPr>
                <w:rFonts w:hint="eastAsia" w:ascii="宋体" w:hAnsi="宋体" w:cs="宋体"/>
                <w:color w:val="000000"/>
                <w:kern w:val="0"/>
                <w:szCs w:val="21"/>
              </w:rPr>
              <w:t>招标人不按照规定确定中标人且无法改正的</w:t>
            </w:r>
          </w:p>
        </w:tc>
        <w:tc>
          <w:tcPr>
            <w:tcW w:w="2983" w:type="dxa"/>
            <w:gridSpan w:val="3"/>
            <w:shd w:val="clear" w:color="auto" w:fill="FFFFFF"/>
            <w:vAlign w:val="center"/>
          </w:tcPr>
          <w:p w14:paraId="694B3A9B">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处中标项目金额10‰罚款。</w:t>
            </w:r>
          </w:p>
        </w:tc>
      </w:tr>
      <w:tr w14:paraId="1376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539" w:type="dxa"/>
            <w:vMerge w:val="restart"/>
            <w:shd w:val="clear" w:color="auto" w:fill="FFFFFF"/>
            <w:vAlign w:val="center"/>
          </w:tcPr>
          <w:p w14:paraId="0736179D">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440</w:t>
            </w:r>
          </w:p>
        </w:tc>
        <w:tc>
          <w:tcPr>
            <w:tcW w:w="989" w:type="dxa"/>
            <w:vMerge w:val="restart"/>
            <w:shd w:val="clear" w:color="auto" w:fill="FFFFFF"/>
            <w:vAlign w:val="center"/>
          </w:tcPr>
          <w:p w14:paraId="623B1A92">
            <w:pPr>
              <w:spacing w:line="240" w:lineRule="exact"/>
              <w:rPr>
                <w:rFonts w:ascii="宋体" w:hAnsi="宋体" w:cs="宋体"/>
                <w:bCs/>
                <w:kern w:val="0"/>
                <w:szCs w:val="21"/>
              </w:rPr>
            </w:pPr>
            <w:r>
              <w:rPr>
                <w:rFonts w:hint="eastAsia" w:ascii="宋体" w:hAnsi="宋体" w:cs="宋体"/>
                <w:bCs/>
                <w:kern w:val="0"/>
                <w:szCs w:val="21"/>
              </w:rPr>
              <w:t>招标人中标通知书发出后无正当理由改变中标结果</w:t>
            </w:r>
          </w:p>
        </w:tc>
        <w:tc>
          <w:tcPr>
            <w:tcW w:w="3586" w:type="dxa"/>
            <w:vMerge w:val="restart"/>
            <w:shd w:val="clear" w:color="auto" w:fill="FFFFFF"/>
            <w:vAlign w:val="center"/>
          </w:tcPr>
          <w:p w14:paraId="78C56CF6">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《中华人民共和国招标投标法实施条例》第五十六条 中标候选人的经营、财务状况发生较大变化或者存在违法行为，招标人认为可能影响其履约能力的，应当在发出中标通知书前由原评标委员会按照招标文件规定的标准和方法审查确认。</w:t>
            </w:r>
          </w:p>
        </w:tc>
        <w:tc>
          <w:tcPr>
            <w:tcW w:w="4181" w:type="dxa"/>
            <w:vMerge w:val="restart"/>
            <w:shd w:val="clear" w:color="auto" w:fill="FFFFFF"/>
            <w:vAlign w:val="center"/>
          </w:tcPr>
          <w:p w14:paraId="3EA237E1">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《中华人民共和国招标投标法实施条例》第七十三条第（三）项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三）中标通知书发出后无正当理由改变中标结果。</w:t>
            </w:r>
          </w:p>
        </w:tc>
        <w:tc>
          <w:tcPr>
            <w:tcW w:w="738" w:type="dxa"/>
            <w:shd w:val="clear" w:color="auto" w:fill="FFFFFF"/>
            <w:vAlign w:val="center"/>
          </w:tcPr>
          <w:p w14:paraId="613A175B">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33E34407">
            <w:pPr>
              <w:textAlignment w:val="center"/>
              <w:rPr>
                <w:rFonts w:ascii="宋体" w:hAnsi="宋体" w:cs="宋体"/>
                <w:bCs/>
                <w:kern w:val="0"/>
                <w:szCs w:val="21"/>
              </w:rPr>
            </w:pPr>
            <w:r>
              <w:rPr>
                <w:rFonts w:hint="eastAsia" w:ascii="宋体" w:hAnsi="宋体" w:cs="宋体"/>
                <w:color w:val="000000"/>
                <w:szCs w:val="21"/>
              </w:rPr>
              <w:t>事后经</w:t>
            </w:r>
            <w:r>
              <w:rPr>
                <w:rFonts w:hint="eastAsia" w:ascii="宋体" w:hAnsi="宋体" w:cs="宋体"/>
                <w:color w:val="000000"/>
                <w:kern w:val="0"/>
                <w:szCs w:val="21"/>
              </w:rPr>
              <w:t>原评标委员会审查确认，中标候选人确实存在经营、财务状况发生较大变化或者存在违法行为，可能影响其履约能力的</w:t>
            </w:r>
          </w:p>
        </w:tc>
        <w:tc>
          <w:tcPr>
            <w:tcW w:w="2983" w:type="dxa"/>
            <w:gridSpan w:val="3"/>
            <w:shd w:val="clear" w:color="auto" w:fill="FFFFFF"/>
            <w:vAlign w:val="center"/>
          </w:tcPr>
          <w:p w14:paraId="5E2B6F88">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处中标项目金额2‰罚款。</w:t>
            </w:r>
          </w:p>
        </w:tc>
      </w:tr>
      <w:tr w14:paraId="66F7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71" w:hRule="atLeast"/>
          <w:jc w:val="center"/>
        </w:trPr>
        <w:tc>
          <w:tcPr>
            <w:tcW w:w="539" w:type="dxa"/>
            <w:vMerge w:val="continue"/>
            <w:shd w:val="clear" w:color="auto" w:fill="FFFFFF"/>
            <w:vAlign w:val="center"/>
          </w:tcPr>
          <w:p w14:paraId="4EF6D6AD">
            <w:pPr>
              <w:spacing w:line="240" w:lineRule="exact"/>
              <w:jc w:val="center"/>
              <w:rPr>
                <w:rFonts w:ascii="宋体" w:hAnsi="宋体" w:cs="宋体"/>
                <w:bCs/>
                <w:kern w:val="0"/>
                <w:szCs w:val="21"/>
              </w:rPr>
            </w:pPr>
          </w:p>
        </w:tc>
        <w:tc>
          <w:tcPr>
            <w:tcW w:w="989" w:type="dxa"/>
            <w:vMerge w:val="continue"/>
            <w:shd w:val="clear" w:color="auto" w:fill="FFFFFF"/>
            <w:vAlign w:val="center"/>
          </w:tcPr>
          <w:p w14:paraId="22F0208A">
            <w:pPr>
              <w:spacing w:line="240" w:lineRule="exact"/>
              <w:ind w:firstLine="420" w:firstLineChars="200"/>
              <w:rPr>
                <w:rFonts w:ascii="宋体" w:hAnsi="宋体" w:cs="宋体"/>
                <w:bCs/>
                <w:kern w:val="0"/>
                <w:szCs w:val="21"/>
              </w:rPr>
            </w:pPr>
          </w:p>
        </w:tc>
        <w:tc>
          <w:tcPr>
            <w:tcW w:w="3586" w:type="dxa"/>
            <w:vMerge w:val="continue"/>
            <w:shd w:val="clear" w:color="auto" w:fill="FFFFFF"/>
            <w:vAlign w:val="center"/>
          </w:tcPr>
          <w:p w14:paraId="12F1DDCA">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456A67B1">
            <w:pPr>
              <w:spacing w:line="240" w:lineRule="exact"/>
              <w:ind w:firstLine="420" w:firstLineChars="200"/>
              <w:rPr>
                <w:rFonts w:ascii="宋体" w:hAnsi="宋体" w:cs="宋体"/>
                <w:bCs/>
                <w:kern w:val="0"/>
                <w:szCs w:val="21"/>
              </w:rPr>
            </w:pPr>
          </w:p>
        </w:tc>
        <w:tc>
          <w:tcPr>
            <w:tcW w:w="738" w:type="dxa"/>
            <w:shd w:val="clear" w:color="auto" w:fill="FFFFFF"/>
            <w:vAlign w:val="center"/>
          </w:tcPr>
          <w:p w14:paraId="65CE9077">
            <w:pPr>
              <w:widowControl/>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1952EFB8">
            <w:pPr>
              <w:textAlignment w:val="center"/>
              <w:rPr>
                <w:rFonts w:ascii="宋体" w:hAnsi="宋体" w:cs="宋体"/>
                <w:bCs/>
                <w:kern w:val="0"/>
                <w:szCs w:val="21"/>
              </w:rPr>
            </w:pPr>
            <w:r>
              <w:rPr>
                <w:rFonts w:hint="eastAsia" w:ascii="宋体" w:hAnsi="宋体" w:cs="宋体"/>
                <w:color w:val="000000"/>
                <w:kern w:val="0"/>
                <w:szCs w:val="21"/>
              </w:rPr>
              <w:t>中标候选人不存在经营、财务状况发生较大变化或者存在违法行为，可能影响其履约能力的情形；或者事后原评标委员会审查确认不存在或者无法确定存在改变中标结果理由的</w:t>
            </w:r>
          </w:p>
        </w:tc>
        <w:tc>
          <w:tcPr>
            <w:tcW w:w="2983" w:type="dxa"/>
            <w:gridSpan w:val="3"/>
            <w:shd w:val="clear" w:color="auto" w:fill="FFFFFF"/>
            <w:vAlign w:val="center"/>
          </w:tcPr>
          <w:p w14:paraId="23832542">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处中标项目金额10‰罚款。</w:t>
            </w:r>
          </w:p>
        </w:tc>
      </w:tr>
      <w:tr w14:paraId="6C02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539" w:type="dxa"/>
            <w:vMerge w:val="restart"/>
            <w:shd w:val="clear" w:color="auto" w:fill="FFFFFF"/>
            <w:vAlign w:val="center"/>
          </w:tcPr>
          <w:p w14:paraId="57E226CE">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441</w:t>
            </w:r>
          </w:p>
        </w:tc>
        <w:tc>
          <w:tcPr>
            <w:tcW w:w="989" w:type="dxa"/>
            <w:vMerge w:val="restart"/>
            <w:shd w:val="clear" w:color="auto" w:fill="FFFFFF"/>
            <w:vAlign w:val="center"/>
          </w:tcPr>
          <w:p w14:paraId="08AEC661">
            <w:pPr>
              <w:spacing w:line="240" w:lineRule="exact"/>
              <w:rPr>
                <w:rFonts w:ascii="宋体" w:hAnsi="宋体" w:cs="宋体"/>
                <w:bCs/>
                <w:kern w:val="0"/>
                <w:szCs w:val="21"/>
              </w:rPr>
            </w:pPr>
            <w:r>
              <w:rPr>
                <w:rFonts w:hint="eastAsia" w:ascii="宋体" w:hAnsi="宋体" w:cs="宋体"/>
                <w:bCs/>
                <w:kern w:val="0"/>
                <w:szCs w:val="21"/>
              </w:rPr>
              <w:t>招标人无正当理由不与中标人订立合同</w:t>
            </w:r>
          </w:p>
        </w:tc>
        <w:tc>
          <w:tcPr>
            <w:tcW w:w="3586" w:type="dxa"/>
            <w:vMerge w:val="restart"/>
            <w:shd w:val="clear" w:color="auto" w:fill="FFFFFF"/>
            <w:vAlign w:val="center"/>
          </w:tcPr>
          <w:p w14:paraId="58FD4C92">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《中华人民共和国招标投标法实施条例》第五十七条第一款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4181" w:type="dxa"/>
            <w:vMerge w:val="restart"/>
            <w:shd w:val="clear" w:color="auto" w:fill="FFFFFF"/>
            <w:vAlign w:val="center"/>
          </w:tcPr>
          <w:p w14:paraId="559386E5">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《中华人民共和国招标投标法实施条例》第七十三条第（四）项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四）无正当理由不与中标人订立合同。</w:t>
            </w:r>
          </w:p>
        </w:tc>
        <w:tc>
          <w:tcPr>
            <w:tcW w:w="738" w:type="dxa"/>
            <w:shd w:val="clear" w:color="auto" w:fill="FFFFFF"/>
            <w:vAlign w:val="center"/>
          </w:tcPr>
          <w:p w14:paraId="05656429">
            <w:pPr>
              <w:spacing w:line="240" w:lineRule="exact"/>
              <w:jc w:val="center"/>
              <w:rPr>
                <w:rFonts w:ascii="宋体" w:hAnsi="宋体" w:cs="宋体"/>
                <w:bCs/>
                <w:kern w:val="0"/>
                <w:szCs w:val="21"/>
              </w:rPr>
            </w:pPr>
            <w:r>
              <w:rPr>
                <w:rFonts w:hint="eastAsia" w:ascii="宋体" w:hAnsi="宋体" w:cs="宋体"/>
                <w:bCs/>
                <w:kern w:val="0"/>
                <w:szCs w:val="21"/>
              </w:rPr>
              <w:t>轻微</w:t>
            </w:r>
          </w:p>
        </w:tc>
        <w:tc>
          <w:tcPr>
            <w:tcW w:w="3305" w:type="dxa"/>
            <w:shd w:val="clear" w:color="auto" w:fill="FFFFFF"/>
            <w:vAlign w:val="center"/>
          </w:tcPr>
          <w:p w14:paraId="7CE5106A">
            <w:pPr>
              <w:spacing w:line="240" w:lineRule="exact"/>
              <w:rPr>
                <w:rFonts w:ascii="宋体" w:hAnsi="宋体" w:cs="宋体"/>
                <w:bCs/>
                <w:kern w:val="0"/>
                <w:szCs w:val="21"/>
              </w:rPr>
            </w:pPr>
            <w:r>
              <w:rPr>
                <w:rFonts w:hint="eastAsia" w:ascii="宋体" w:hAnsi="宋体" w:cs="宋体"/>
                <w:bCs/>
                <w:kern w:val="0"/>
                <w:szCs w:val="21"/>
              </w:rPr>
              <w:t>经责令改正后，在投标有效期内签订合同的</w:t>
            </w:r>
          </w:p>
        </w:tc>
        <w:tc>
          <w:tcPr>
            <w:tcW w:w="2983" w:type="dxa"/>
            <w:gridSpan w:val="3"/>
            <w:shd w:val="clear" w:color="auto" w:fill="FFFFFF"/>
            <w:vAlign w:val="center"/>
          </w:tcPr>
          <w:p w14:paraId="3B759EEC">
            <w:pPr>
              <w:spacing w:line="240" w:lineRule="exact"/>
              <w:rPr>
                <w:rFonts w:ascii="宋体" w:hAnsi="宋体" w:cs="宋体"/>
                <w:bCs/>
                <w:kern w:val="0"/>
                <w:szCs w:val="21"/>
              </w:rPr>
            </w:pPr>
            <w:r>
              <w:rPr>
                <w:rFonts w:hint="eastAsia" w:ascii="宋体" w:hAnsi="宋体" w:cs="宋体"/>
                <w:bCs/>
                <w:kern w:val="0"/>
                <w:szCs w:val="21"/>
              </w:rPr>
              <w:t>责令改正，可不予行政处罚。</w:t>
            </w:r>
          </w:p>
        </w:tc>
      </w:tr>
      <w:tr w14:paraId="7FDC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539" w:type="dxa"/>
            <w:vMerge w:val="continue"/>
            <w:shd w:val="clear" w:color="auto" w:fill="FFFFFF"/>
            <w:vAlign w:val="center"/>
          </w:tcPr>
          <w:p w14:paraId="52F24EE4">
            <w:pPr>
              <w:spacing w:line="240" w:lineRule="exact"/>
              <w:jc w:val="center"/>
              <w:rPr>
                <w:rFonts w:ascii="宋体" w:hAnsi="宋体" w:cs="宋体"/>
                <w:bCs/>
                <w:kern w:val="0"/>
                <w:szCs w:val="21"/>
              </w:rPr>
            </w:pPr>
          </w:p>
        </w:tc>
        <w:tc>
          <w:tcPr>
            <w:tcW w:w="989" w:type="dxa"/>
            <w:vMerge w:val="continue"/>
            <w:shd w:val="clear" w:color="auto" w:fill="FFFFFF"/>
            <w:vAlign w:val="center"/>
          </w:tcPr>
          <w:p w14:paraId="162668C0">
            <w:pPr>
              <w:spacing w:line="240" w:lineRule="exact"/>
              <w:rPr>
                <w:rFonts w:ascii="宋体" w:hAnsi="宋体" w:cs="宋体"/>
                <w:bCs/>
                <w:kern w:val="0"/>
                <w:szCs w:val="21"/>
              </w:rPr>
            </w:pPr>
          </w:p>
        </w:tc>
        <w:tc>
          <w:tcPr>
            <w:tcW w:w="3586" w:type="dxa"/>
            <w:vMerge w:val="continue"/>
            <w:shd w:val="clear" w:color="auto" w:fill="FFFFFF"/>
            <w:vAlign w:val="center"/>
          </w:tcPr>
          <w:p w14:paraId="23A5B2C0">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6081D8DB">
            <w:pPr>
              <w:spacing w:line="240" w:lineRule="exact"/>
              <w:ind w:firstLine="420" w:firstLineChars="200"/>
              <w:rPr>
                <w:rFonts w:ascii="宋体" w:hAnsi="宋体" w:cs="宋体"/>
                <w:bCs/>
                <w:kern w:val="0"/>
                <w:szCs w:val="21"/>
              </w:rPr>
            </w:pPr>
          </w:p>
        </w:tc>
        <w:tc>
          <w:tcPr>
            <w:tcW w:w="738" w:type="dxa"/>
            <w:shd w:val="clear" w:color="auto" w:fill="FFFFFF"/>
            <w:vAlign w:val="center"/>
          </w:tcPr>
          <w:p w14:paraId="78AF7C14">
            <w:pPr>
              <w:spacing w:line="240" w:lineRule="exact"/>
              <w:jc w:val="center"/>
              <w:rPr>
                <w:rFonts w:ascii="宋体" w:hAnsi="宋体" w:cs="宋体"/>
                <w:bCs/>
                <w:kern w:val="0"/>
                <w:szCs w:val="21"/>
              </w:rPr>
            </w:pPr>
            <w:r>
              <w:rPr>
                <w:rFonts w:hint="eastAsia" w:ascii="宋体" w:hAnsi="宋体" w:cs="宋体"/>
                <w:bCs/>
                <w:kern w:val="0"/>
                <w:szCs w:val="21"/>
              </w:rPr>
              <w:t>一般</w:t>
            </w:r>
          </w:p>
        </w:tc>
        <w:tc>
          <w:tcPr>
            <w:tcW w:w="3305" w:type="dxa"/>
            <w:shd w:val="clear" w:color="auto" w:fill="FFFFFF"/>
            <w:vAlign w:val="center"/>
          </w:tcPr>
          <w:p w14:paraId="2E29A842">
            <w:pPr>
              <w:spacing w:line="240" w:lineRule="exact"/>
              <w:rPr>
                <w:rFonts w:ascii="宋体" w:hAnsi="宋体" w:cs="宋体"/>
                <w:bCs/>
                <w:kern w:val="0"/>
                <w:szCs w:val="21"/>
              </w:rPr>
            </w:pPr>
            <w:r>
              <w:rPr>
                <w:rFonts w:hint="eastAsia" w:ascii="宋体" w:hAnsi="宋体" w:cs="宋体"/>
                <w:bCs/>
                <w:kern w:val="0"/>
                <w:szCs w:val="21"/>
              </w:rPr>
              <w:t>未在投标有效期内签订合同的</w:t>
            </w:r>
          </w:p>
        </w:tc>
        <w:tc>
          <w:tcPr>
            <w:tcW w:w="2983" w:type="dxa"/>
            <w:gridSpan w:val="3"/>
            <w:shd w:val="clear" w:color="auto" w:fill="FFFFFF"/>
            <w:vAlign w:val="center"/>
          </w:tcPr>
          <w:p w14:paraId="5A9B7356">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处中标项目金额2‰罚款。</w:t>
            </w:r>
          </w:p>
        </w:tc>
      </w:tr>
      <w:tr w14:paraId="46E4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539" w:type="dxa"/>
            <w:vMerge w:val="continue"/>
            <w:shd w:val="clear" w:color="auto" w:fill="FFFFFF"/>
            <w:vAlign w:val="center"/>
          </w:tcPr>
          <w:p w14:paraId="0B74B84F">
            <w:pPr>
              <w:spacing w:line="240" w:lineRule="exact"/>
              <w:jc w:val="center"/>
              <w:rPr>
                <w:rFonts w:ascii="宋体" w:hAnsi="宋体" w:cs="宋体"/>
                <w:bCs/>
                <w:kern w:val="0"/>
                <w:szCs w:val="21"/>
              </w:rPr>
            </w:pPr>
          </w:p>
        </w:tc>
        <w:tc>
          <w:tcPr>
            <w:tcW w:w="989" w:type="dxa"/>
            <w:vMerge w:val="continue"/>
            <w:shd w:val="clear" w:color="auto" w:fill="FFFFFF"/>
            <w:vAlign w:val="center"/>
          </w:tcPr>
          <w:p w14:paraId="3E49CFA2">
            <w:pPr>
              <w:spacing w:line="240" w:lineRule="exact"/>
              <w:rPr>
                <w:rFonts w:ascii="宋体" w:hAnsi="宋体" w:cs="宋体"/>
                <w:bCs/>
                <w:kern w:val="0"/>
                <w:szCs w:val="21"/>
              </w:rPr>
            </w:pPr>
          </w:p>
        </w:tc>
        <w:tc>
          <w:tcPr>
            <w:tcW w:w="3586" w:type="dxa"/>
            <w:vMerge w:val="continue"/>
            <w:shd w:val="clear" w:color="auto" w:fill="FFFFFF"/>
            <w:vAlign w:val="center"/>
          </w:tcPr>
          <w:p w14:paraId="4E9DA05C">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5E016DFA">
            <w:pPr>
              <w:spacing w:line="240" w:lineRule="exact"/>
              <w:ind w:firstLine="420" w:firstLineChars="200"/>
              <w:rPr>
                <w:rFonts w:ascii="宋体" w:hAnsi="宋体" w:cs="宋体"/>
                <w:bCs/>
                <w:kern w:val="0"/>
                <w:szCs w:val="21"/>
              </w:rPr>
            </w:pPr>
          </w:p>
        </w:tc>
        <w:tc>
          <w:tcPr>
            <w:tcW w:w="738" w:type="dxa"/>
            <w:shd w:val="clear" w:color="auto" w:fill="FFFFFF"/>
            <w:vAlign w:val="center"/>
          </w:tcPr>
          <w:p w14:paraId="5853303D">
            <w:pPr>
              <w:spacing w:line="240" w:lineRule="exact"/>
              <w:jc w:val="center"/>
              <w:rPr>
                <w:rFonts w:ascii="宋体" w:hAnsi="宋体" w:cs="宋体"/>
                <w:bCs/>
                <w:kern w:val="0"/>
                <w:szCs w:val="21"/>
              </w:rPr>
            </w:pPr>
            <w:r>
              <w:rPr>
                <w:rFonts w:hint="eastAsia" w:ascii="宋体" w:hAnsi="宋体" w:cs="宋体"/>
                <w:bCs/>
                <w:kern w:val="0"/>
                <w:szCs w:val="21"/>
              </w:rPr>
              <w:t>严重</w:t>
            </w:r>
          </w:p>
        </w:tc>
        <w:tc>
          <w:tcPr>
            <w:tcW w:w="3305" w:type="dxa"/>
            <w:shd w:val="clear" w:color="auto" w:fill="FFFFFF"/>
            <w:vAlign w:val="center"/>
          </w:tcPr>
          <w:p w14:paraId="2845D13C">
            <w:pPr>
              <w:spacing w:line="240" w:lineRule="exact"/>
              <w:rPr>
                <w:rFonts w:ascii="宋体" w:hAnsi="宋体" w:cs="宋体"/>
                <w:bCs/>
                <w:kern w:val="0"/>
                <w:szCs w:val="21"/>
              </w:rPr>
            </w:pPr>
            <w:r>
              <w:rPr>
                <w:rFonts w:hint="eastAsia" w:ascii="宋体" w:hAnsi="宋体" w:cs="宋体"/>
                <w:bCs/>
                <w:kern w:val="0"/>
                <w:szCs w:val="21"/>
              </w:rPr>
              <w:t>未在投标有效期内签订合同且造成较大不良影响的</w:t>
            </w:r>
          </w:p>
        </w:tc>
        <w:tc>
          <w:tcPr>
            <w:tcW w:w="2983" w:type="dxa"/>
            <w:gridSpan w:val="3"/>
            <w:shd w:val="clear" w:color="auto" w:fill="FFFFFF"/>
            <w:vAlign w:val="center"/>
          </w:tcPr>
          <w:p w14:paraId="42FF7251">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处中标项目金额10‰罚款。</w:t>
            </w:r>
          </w:p>
        </w:tc>
      </w:tr>
      <w:tr w14:paraId="4521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restart"/>
            <w:shd w:val="clear" w:color="auto" w:fill="FFFFFF"/>
            <w:vAlign w:val="center"/>
          </w:tcPr>
          <w:p w14:paraId="5384E4BD">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442</w:t>
            </w:r>
          </w:p>
        </w:tc>
        <w:tc>
          <w:tcPr>
            <w:tcW w:w="989" w:type="dxa"/>
            <w:vMerge w:val="restart"/>
            <w:shd w:val="clear" w:color="auto" w:fill="FFFFFF"/>
            <w:vAlign w:val="center"/>
          </w:tcPr>
          <w:p w14:paraId="47BC9EE5">
            <w:pPr>
              <w:spacing w:line="240" w:lineRule="exact"/>
              <w:rPr>
                <w:rFonts w:ascii="宋体" w:hAnsi="宋体" w:cs="宋体"/>
                <w:bCs/>
                <w:kern w:val="0"/>
                <w:szCs w:val="21"/>
              </w:rPr>
            </w:pPr>
            <w:r>
              <w:rPr>
                <w:rFonts w:hint="eastAsia" w:ascii="宋体" w:hAnsi="宋体" w:cs="宋体"/>
                <w:bCs/>
                <w:kern w:val="0"/>
                <w:szCs w:val="21"/>
              </w:rPr>
              <w:t>招标人在订立合同时向中标人提出附加条件</w:t>
            </w:r>
          </w:p>
        </w:tc>
        <w:tc>
          <w:tcPr>
            <w:tcW w:w="3586" w:type="dxa"/>
            <w:vMerge w:val="restart"/>
            <w:shd w:val="clear" w:color="auto" w:fill="FFFFFF"/>
            <w:vAlign w:val="center"/>
          </w:tcPr>
          <w:p w14:paraId="21954356">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《中华人民共和国招标投标法实施条例》第五十七条第一款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4181" w:type="dxa"/>
            <w:vMerge w:val="restart"/>
            <w:shd w:val="clear" w:color="auto" w:fill="FFFFFF"/>
            <w:vAlign w:val="center"/>
          </w:tcPr>
          <w:p w14:paraId="3B4EF063">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《中华人民共和国招标投标法实施条例》第七十三条第（五）项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五）在订立合同时向中标人提出附加条件。</w:t>
            </w:r>
          </w:p>
        </w:tc>
        <w:tc>
          <w:tcPr>
            <w:tcW w:w="738" w:type="dxa"/>
            <w:shd w:val="clear" w:color="auto" w:fill="FFFFFF"/>
            <w:vAlign w:val="center"/>
          </w:tcPr>
          <w:p w14:paraId="0572CBC0">
            <w:pPr>
              <w:spacing w:line="240" w:lineRule="exact"/>
              <w:jc w:val="center"/>
              <w:rPr>
                <w:rFonts w:ascii="宋体" w:hAnsi="宋体" w:cs="宋体"/>
                <w:bCs/>
                <w:kern w:val="0"/>
                <w:szCs w:val="21"/>
              </w:rPr>
            </w:pPr>
            <w:r>
              <w:rPr>
                <w:rFonts w:hint="eastAsia" w:ascii="宋体" w:hAnsi="宋体" w:cs="宋体"/>
                <w:bCs/>
                <w:kern w:val="0"/>
                <w:szCs w:val="21"/>
              </w:rPr>
              <w:t>轻微</w:t>
            </w:r>
          </w:p>
        </w:tc>
        <w:tc>
          <w:tcPr>
            <w:tcW w:w="3305" w:type="dxa"/>
            <w:shd w:val="clear" w:color="auto" w:fill="FFFFFF"/>
            <w:vAlign w:val="center"/>
          </w:tcPr>
          <w:p w14:paraId="62E6095C">
            <w:pPr>
              <w:spacing w:line="240" w:lineRule="exact"/>
              <w:rPr>
                <w:rFonts w:ascii="宋体" w:hAnsi="宋体" w:cs="宋体"/>
                <w:bCs/>
                <w:kern w:val="0"/>
                <w:szCs w:val="21"/>
              </w:rPr>
            </w:pPr>
            <w:r>
              <w:rPr>
                <w:rFonts w:hint="eastAsia" w:ascii="宋体" w:hAnsi="宋体" w:cs="宋体"/>
                <w:bCs/>
                <w:kern w:val="0"/>
                <w:szCs w:val="21"/>
              </w:rPr>
              <w:t>招标人在订立合同时向中标人提出附加条件，经责令改正后及时改正的；或提出的附加条件为提高有关主要条款标准，并取得中标人同意的</w:t>
            </w:r>
          </w:p>
        </w:tc>
        <w:tc>
          <w:tcPr>
            <w:tcW w:w="2983" w:type="dxa"/>
            <w:gridSpan w:val="3"/>
            <w:shd w:val="clear" w:color="auto" w:fill="FFFFFF"/>
            <w:vAlign w:val="center"/>
          </w:tcPr>
          <w:p w14:paraId="04895148">
            <w:pPr>
              <w:spacing w:line="240" w:lineRule="exact"/>
              <w:rPr>
                <w:rFonts w:ascii="宋体" w:hAnsi="宋体" w:cs="宋体"/>
                <w:bCs/>
                <w:kern w:val="0"/>
                <w:szCs w:val="21"/>
              </w:rPr>
            </w:pPr>
            <w:r>
              <w:rPr>
                <w:rFonts w:hint="eastAsia" w:ascii="宋体" w:hAnsi="宋体" w:cs="宋体"/>
                <w:bCs/>
                <w:kern w:val="0"/>
                <w:szCs w:val="21"/>
              </w:rPr>
              <w:t>责令改正，可不予行政处罚。</w:t>
            </w:r>
          </w:p>
        </w:tc>
      </w:tr>
      <w:tr w14:paraId="52EE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continue"/>
            <w:shd w:val="clear" w:color="auto" w:fill="FFFFFF"/>
            <w:vAlign w:val="center"/>
          </w:tcPr>
          <w:p w14:paraId="56950BFE">
            <w:pPr>
              <w:spacing w:line="240" w:lineRule="exact"/>
              <w:jc w:val="center"/>
              <w:rPr>
                <w:rFonts w:ascii="宋体" w:hAnsi="宋体" w:cs="宋体"/>
                <w:bCs/>
                <w:kern w:val="0"/>
                <w:szCs w:val="21"/>
              </w:rPr>
            </w:pPr>
          </w:p>
        </w:tc>
        <w:tc>
          <w:tcPr>
            <w:tcW w:w="989" w:type="dxa"/>
            <w:vMerge w:val="continue"/>
            <w:shd w:val="clear" w:color="auto" w:fill="FFFFFF"/>
            <w:vAlign w:val="center"/>
          </w:tcPr>
          <w:p w14:paraId="1C25BCBA">
            <w:pPr>
              <w:spacing w:line="240" w:lineRule="exact"/>
              <w:rPr>
                <w:rFonts w:ascii="宋体" w:hAnsi="宋体" w:cs="宋体"/>
                <w:bCs/>
                <w:kern w:val="0"/>
                <w:szCs w:val="21"/>
              </w:rPr>
            </w:pPr>
          </w:p>
        </w:tc>
        <w:tc>
          <w:tcPr>
            <w:tcW w:w="3586" w:type="dxa"/>
            <w:vMerge w:val="continue"/>
            <w:shd w:val="clear" w:color="auto" w:fill="FFFFFF"/>
            <w:vAlign w:val="center"/>
          </w:tcPr>
          <w:p w14:paraId="05DDC7F1">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2DF2886A">
            <w:pPr>
              <w:spacing w:line="240" w:lineRule="exact"/>
              <w:ind w:firstLine="420" w:firstLineChars="200"/>
              <w:rPr>
                <w:rFonts w:ascii="宋体" w:hAnsi="宋体" w:cs="宋体"/>
                <w:bCs/>
                <w:kern w:val="0"/>
                <w:szCs w:val="21"/>
              </w:rPr>
            </w:pPr>
          </w:p>
        </w:tc>
        <w:tc>
          <w:tcPr>
            <w:tcW w:w="738" w:type="dxa"/>
            <w:shd w:val="clear" w:color="auto" w:fill="FFFFFF"/>
            <w:vAlign w:val="center"/>
          </w:tcPr>
          <w:p w14:paraId="3A99BD09">
            <w:pPr>
              <w:spacing w:line="240" w:lineRule="exact"/>
              <w:jc w:val="center"/>
              <w:rPr>
                <w:rFonts w:ascii="宋体" w:hAnsi="宋体" w:cs="宋体"/>
                <w:bCs/>
                <w:kern w:val="0"/>
                <w:szCs w:val="21"/>
              </w:rPr>
            </w:pPr>
            <w:r>
              <w:rPr>
                <w:rFonts w:hint="eastAsia" w:ascii="宋体" w:hAnsi="宋体" w:cs="宋体"/>
                <w:bCs/>
                <w:kern w:val="0"/>
                <w:szCs w:val="21"/>
              </w:rPr>
              <w:t>严重</w:t>
            </w:r>
          </w:p>
        </w:tc>
        <w:tc>
          <w:tcPr>
            <w:tcW w:w="3305" w:type="dxa"/>
            <w:shd w:val="clear" w:color="auto" w:fill="FFFFFF"/>
            <w:vAlign w:val="center"/>
          </w:tcPr>
          <w:p w14:paraId="3EA1B225">
            <w:pPr>
              <w:spacing w:line="240" w:lineRule="exact"/>
              <w:rPr>
                <w:rFonts w:ascii="宋体" w:hAnsi="宋体" w:cs="宋体"/>
                <w:bCs/>
                <w:kern w:val="0"/>
                <w:szCs w:val="21"/>
              </w:rPr>
            </w:pPr>
            <w:r>
              <w:rPr>
                <w:rFonts w:hint="eastAsia" w:ascii="宋体" w:hAnsi="宋体" w:cs="宋体"/>
                <w:bCs/>
                <w:kern w:val="0"/>
                <w:szCs w:val="21"/>
              </w:rPr>
              <w:t>招标人在订立合同时向中标人提出附加条件，且提出的附加条件为降低有关主要条款标准的</w:t>
            </w:r>
          </w:p>
        </w:tc>
        <w:tc>
          <w:tcPr>
            <w:tcW w:w="2983" w:type="dxa"/>
            <w:gridSpan w:val="3"/>
            <w:shd w:val="clear" w:color="auto" w:fill="FFFFFF"/>
            <w:vAlign w:val="center"/>
          </w:tcPr>
          <w:p w14:paraId="69FCF716">
            <w:pPr>
              <w:spacing w:line="240" w:lineRule="exact"/>
              <w:rPr>
                <w:rFonts w:ascii="宋体" w:hAnsi="宋体" w:cs="宋体"/>
                <w:bCs/>
                <w:kern w:val="0"/>
                <w:szCs w:val="21"/>
              </w:rPr>
            </w:pPr>
            <w:r>
              <w:rPr>
                <w:rFonts w:hint="eastAsia" w:ascii="宋体" w:hAnsi="宋体" w:cs="宋体"/>
                <w:bCs/>
                <w:kern w:val="0"/>
                <w:szCs w:val="21"/>
              </w:rPr>
              <w:t>责令改正，</w:t>
            </w:r>
            <w:r>
              <w:rPr>
                <w:rFonts w:hint="eastAsia" w:ascii="宋体" w:hAnsi="宋体" w:cs="宋体"/>
                <w:color w:val="000000"/>
                <w:kern w:val="0"/>
                <w:szCs w:val="21"/>
              </w:rPr>
              <w:t>处中标项目金额10‰罚款。</w:t>
            </w:r>
          </w:p>
        </w:tc>
      </w:tr>
      <w:tr w14:paraId="6536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3" w:hRule="atLeast"/>
          <w:jc w:val="center"/>
        </w:trPr>
        <w:tc>
          <w:tcPr>
            <w:tcW w:w="539" w:type="dxa"/>
            <w:vMerge w:val="restart"/>
            <w:shd w:val="clear" w:color="auto" w:fill="FFFFFF"/>
            <w:vAlign w:val="center"/>
          </w:tcPr>
          <w:p w14:paraId="031256CB">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443</w:t>
            </w:r>
          </w:p>
        </w:tc>
        <w:tc>
          <w:tcPr>
            <w:tcW w:w="989" w:type="dxa"/>
            <w:vMerge w:val="restart"/>
            <w:shd w:val="clear" w:color="auto" w:fill="FFFFFF"/>
            <w:vAlign w:val="center"/>
          </w:tcPr>
          <w:p w14:paraId="1EFF09D6">
            <w:pPr>
              <w:spacing w:line="240" w:lineRule="exact"/>
              <w:rPr>
                <w:rFonts w:ascii="宋体" w:hAnsi="宋体" w:cs="宋体"/>
                <w:bCs/>
                <w:kern w:val="0"/>
                <w:szCs w:val="21"/>
              </w:rPr>
            </w:pPr>
            <w:r>
              <w:rPr>
                <w:rFonts w:hint="eastAsia" w:ascii="宋体" w:hAnsi="宋体" w:cs="宋体"/>
                <w:bCs/>
                <w:kern w:val="0"/>
                <w:szCs w:val="21"/>
              </w:rPr>
              <w:t>必须招标项目不招标或者规避招标</w:t>
            </w:r>
          </w:p>
        </w:tc>
        <w:tc>
          <w:tcPr>
            <w:tcW w:w="3586" w:type="dxa"/>
            <w:vMerge w:val="restart"/>
            <w:shd w:val="clear" w:color="auto" w:fill="FFFFFF"/>
            <w:vAlign w:val="center"/>
          </w:tcPr>
          <w:p w14:paraId="44E72A42">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1.《中华人民共和国招标投标法》第四条  任何单位和个人不得将依法必须进行招标的项目化整为零或者以其他任何方式规避招标。第十六条 招标人采用公开招标方式的，应当发布招标公告。依法必须进行招标的项目的招标公告，应当通过国家指定的报刊、信息网络或者其他媒介发布。招标公告应当载明招标人的名称和地址、招标项目的性质、数量、实施地点和时间以及获取招标文件的办法等事项。</w:t>
            </w:r>
          </w:p>
          <w:p w14:paraId="1A71B0E7">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2.《中华人民共和国招标投标法实施条例》第九条  除招标投标法第六十六条规定的可以不进行招标的特殊情况外，有下列情形之一的，可以不进行招标：（一）需要采用不可替代的专利或者专有技术；（二）采购人依法能够自行建设、生产或者提供； （三）已通过招标方式选定的特许经营项目投资人依法能够自行建设、生产或者提供； （四）需要向原中标人采购工程、货物或者服务，否则将影响施工或者功能配套要求； （五）国家规定的其他特殊情形。招标人为适用前款规定弄虚作假的，属于招标投标法第四条规定的规避招标。第十五条公开招标的项目，应当依照招标投标法和本条例的规定发布招标公告、编制招标文件。招标人采用资格预审办法对潜在投标人进行资格审查的，应当发布资格预审公告、编制资格预审文件。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编制依法必须进行招标的项目的资格预审文件和招标文件，应当使用国务院发展改革部门会同有关行政监督部门制定的标准文本。</w:t>
            </w:r>
          </w:p>
        </w:tc>
        <w:tc>
          <w:tcPr>
            <w:tcW w:w="4181" w:type="dxa"/>
            <w:vMerge w:val="restart"/>
            <w:shd w:val="clear" w:color="auto" w:fill="FFFFFF"/>
            <w:vAlign w:val="center"/>
          </w:tcPr>
          <w:p w14:paraId="4F01FA56">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1DEE7D7A">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2.《中华人民共和国招标投标法实施条例》第六十三条第二款  依法必须进行招标的项目的招标人不按照规定发布资格预审公告或者招标公告，构成规避招标的，依照招标投标法第四十九条的规定处罚。</w:t>
            </w:r>
          </w:p>
        </w:tc>
        <w:tc>
          <w:tcPr>
            <w:tcW w:w="738" w:type="dxa"/>
            <w:shd w:val="clear" w:color="auto" w:fill="FFFFFF"/>
            <w:vAlign w:val="center"/>
          </w:tcPr>
          <w:p w14:paraId="66B7A0A9">
            <w:pPr>
              <w:widowControl/>
              <w:jc w:val="center"/>
              <w:textAlignment w:val="center"/>
              <w:rPr>
                <w:rFonts w:ascii="宋体" w:hAnsi="宋体" w:cs="宋体"/>
                <w:bCs/>
                <w:kern w:val="0"/>
                <w:szCs w:val="21"/>
              </w:rPr>
            </w:pPr>
            <w:r>
              <w:rPr>
                <w:rFonts w:hint="eastAsia" w:ascii="宋体" w:hAnsi="宋体" w:cs="宋体"/>
                <w:color w:val="000000"/>
                <w:szCs w:val="21"/>
              </w:rPr>
              <w:t>一般</w:t>
            </w:r>
          </w:p>
        </w:tc>
        <w:tc>
          <w:tcPr>
            <w:tcW w:w="3305" w:type="dxa"/>
            <w:shd w:val="clear" w:color="auto" w:fill="FFFFFF"/>
            <w:vAlign w:val="center"/>
          </w:tcPr>
          <w:p w14:paraId="7A054399">
            <w:pPr>
              <w:textAlignment w:val="center"/>
              <w:rPr>
                <w:rFonts w:ascii="宋体" w:hAnsi="宋体" w:cs="宋体"/>
                <w:bCs/>
                <w:kern w:val="0"/>
                <w:szCs w:val="21"/>
              </w:rPr>
            </w:pPr>
            <w:r>
              <w:rPr>
                <w:rFonts w:hint="eastAsia" w:ascii="宋体" w:hAnsi="宋体" w:cs="宋体"/>
                <w:color w:val="000000"/>
                <w:kern w:val="0"/>
                <w:szCs w:val="21"/>
              </w:rPr>
              <w:t>未造成严重后果，尚可重新组织招标；或者已经签订项目协议，经有关单位批准，准予变更招标方式的</w:t>
            </w:r>
          </w:p>
        </w:tc>
        <w:tc>
          <w:tcPr>
            <w:tcW w:w="2983" w:type="dxa"/>
            <w:gridSpan w:val="3"/>
            <w:shd w:val="clear" w:color="auto" w:fill="FFFFFF"/>
            <w:vAlign w:val="center"/>
          </w:tcPr>
          <w:p w14:paraId="54BC294F">
            <w:pPr>
              <w:spacing w:line="240" w:lineRule="exact"/>
              <w:rPr>
                <w:rFonts w:ascii="宋体" w:hAnsi="宋体" w:cs="宋体"/>
                <w:bCs/>
                <w:kern w:val="0"/>
                <w:szCs w:val="21"/>
              </w:rPr>
            </w:pPr>
            <w:r>
              <w:rPr>
                <w:rFonts w:hint="eastAsia" w:ascii="宋体" w:hAnsi="宋体" w:cs="宋体"/>
                <w:bCs/>
                <w:kern w:val="0"/>
                <w:szCs w:val="21"/>
              </w:rPr>
              <w:t>责令限期改正，处项目合同金额5‰的罚款；对使用国有资金的项目，可以暂停项目执行或者暂停资金拨付。</w:t>
            </w:r>
          </w:p>
        </w:tc>
      </w:tr>
      <w:tr w14:paraId="6B3A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539" w:type="dxa"/>
            <w:vMerge w:val="continue"/>
            <w:shd w:val="clear" w:color="auto" w:fill="FFFFFF"/>
            <w:vAlign w:val="center"/>
          </w:tcPr>
          <w:p w14:paraId="056CE4A1">
            <w:pPr>
              <w:spacing w:line="240" w:lineRule="exact"/>
              <w:jc w:val="center"/>
              <w:rPr>
                <w:rFonts w:ascii="宋体" w:hAnsi="宋体" w:cs="宋体"/>
                <w:bCs/>
                <w:kern w:val="0"/>
                <w:szCs w:val="21"/>
              </w:rPr>
            </w:pPr>
          </w:p>
        </w:tc>
        <w:tc>
          <w:tcPr>
            <w:tcW w:w="989" w:type="dxa"/>
            <w:vMerge w:val="continue"/>
            <w:shd w:val="clear" w:color="auto" w:fill="FFFFFF"/>
            <w:vAlign w:val="center"/>
          </w:tcPr>
          <w:p w14:paraId="261CB0AE">
            <w:pPr>
              <w:spacing w:line="240" w:lineRule="exact"/>
              <w:rPr>
                <w:rFonts w:ascii="宋体" w:hAnsi="宋体" w:cs="宋体"/>
                <w:bCs/>
                <w:kern w:val="0"/>
                <w:szCs w:val="21"/>
              </w:rPr>
            </w:pPr>
          </w:p>
        </w:tc>
        <w:tc>
          <w:tcPr>
            <w:tcW w:w="3586" w:type="dxa"/>
            <w:vMerge w:val="continue"/>
            <w:shd w:val="clear" w:color="auto" w:fill="FFFFFF"/>
            <w:vAlign w:val="center"/>
          </w:tcPr>
          <w:p w14:paraId="3937E141">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657CF0FC">
            <w:pPr>
              <w:spacing w:line="240" w:lineRule="exact"/>
              <w:ind w:firstLine="420" w:firstLineChars="200"/>
              <w:rPr>
                <w:rFonts w:ascii="宋体" w:hAnsi="宋体" w:cs="宋体"/>
                <w:bCs/>
                <w:kern w:val="0"/>
                <w:szCs w:val="21"/>
              </w:rPr>
            </w:pPr>
          </w:p>
        </w:tc>
        <w:tc>
          <w:tcPr>
            <w:tcW w:w="738" w:type="dxa"/>
            <w:shd w:val="clear" w:color="auto" w:fill="FFFFFF"/>
            <w:vAlign w:val="center"/>
          </w:tcPr>
          <w:p w14:paraId="1DC8673F">
            <w:pPr>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54AE9821">
            <w:pPr>
              <w:textAlignment w:val="center"/>
              <w:rPr>
                <w:rFonts w:ascii="宋体" w:hAnsi="宋体" w:cs="宋体"/>
                <w:bCs/>
                <w:kern w:val="0"/>
                <w:szCs w:val="21"/>
              </w:rPr>
            </w:pPr>
            <w:r>
              <w:rPr>
                <w:rFonts w:hint="eastAsia" w:ascii="宋体" w:hAnsi="宋体" w:cs="宋体"/>
                <w:color w:val="000000"/>
                <w:kern w:val="0"/>
                <w:szCs w:val="21"/>
              </w:rPr>
              <w:t>已经签订合同并实施，且造成严重后果或有其他严重情形的</w:t>
            </w:r>
          </w:p>
        </w:tc>
        <w:tc>
          <w:tcPr>
            <w:tcW w:w="2983" w:type="dxa"/>
            <w:gridSpan w:val="3"/>
            <w:shd w:val="clear" w:color="auto" w:fill="FFFFFF"/>
            <w:vAlign w:val="center"/>
          </w:tcPr>
          <w:p w14:paraId="20471DD7">
            <w:pPr>
              <w:spacing w:line="240" w:lineRule="exact"/>
              <w:rPr>
                <w:rFonts w:ascii="宋体" w:hAnsi="宋体" w:cs="宋体"/>
                <w:bCs/>
                <w:kern w:val="0"/>
                <w:szCs w:val="21"/>
              </w:rPr>
            </w:pPr>
            <w:r>
              <w:rPr>
                <w:rFonts w:hint="eastAsia" w:ascii="宋体" w:hAnsi="宋体" w:cs="宋体"/>
                <w:bCs/>
                <w:kern w:val="0"/>
                <w:szCs w:val="21"/>
              </w:rPr>
              <w:t>责令限期改正，处项目合同金额10‰的罚款；对使用国有资金的项目，可以暂停项目执行或者暂停资金拨付。</w:t>
            </w:r>
          </w:p>
        </w:tc>
      </w:tr>
      <w:tr w14:paraId="0EEE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83" w:hRule="atLeast"/>
          <w:jc w:val="center"/>
        </w:trPr>
        <w:tc>
          <w:tcPr>
            <w:tcW w:w="539" w:type="dxa"/>
            <w:vMerge w:val="restart"/>
            <w:shd w:val="clear" w:color="auto" w:fill="FFFFFF"/>
            <w:vAlign w:val="center"/>
          </w:tcPr>
          <w:p w14:paraId="0F4EAD48">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444</w:t>
            </w:r>
          </w:p>
        </w:tc>
        <w:tc>
          <w:tcPr>
            <w:tcW w:w="989" w:type="dxa"/>
            <w:vMerge w:val="restart"/>
            <w:shd w:val="clear" w:color="auto" w:fill="FFFFFF"/>
            <w:vAlign w:val="center"/>
          </w:tcPr>
          <w:p w14:paraId="18BB7840">
            <w:pPr>
              <w:spacing w:line="240" w:lineRule="exact"/>
              <w:rPr>
                <w:rFonts w:ascii="宋体" w:hAnsi="宋体" w:cs="宋体"/>
                <w:bCs/>
                <w:kern w:val="0"/>
                <w:szCs w:val="21"/>
              </w:rPr>
            </w:pPr>
            <w:r>
              <w:rPr>
                <w:rFonts w:hint="eastAsia" w:ascii="宋体" w:hAnsi="宋体" w:cs="宋体"/>
                <w:bCs/>
                <w:kern w:val="0"/>
                <w:szCs w:val="21"/>
              </w:rPr>
              <w:t>招标代理机构与招标人、投标人串通损害国家利益、社会公共利益或者他人合法权益</w:t>
            </w:r>
          </w:p>
        </w:tc>
        <w:tc>
          <w:tcPr>
            <w:tcW w:w="3586" w:type="dxa"/>
            <w:vMerge w:val="restart"/>
            <w:shd w:val="clear" w:color="auto" w:fill="FFFFFF"/>
            <w:vAlign w:val="center"/>
          </w:tcPr>
          <w:p w14:paraId="4AC3440F">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1.《中华人民共和国招标投标法》第十五条 招标代理机构应当在招标人委托的范围内办理招标事宜，并遵守本法关于招标人的规定。</w:t>
            </w:r>
          </w:p>
          <w:p w14:paraId="6D953E43">
            <w:pPr>
              <w:spacing w:line="240" w:lineRule="exact"/>
              <w:ind w:firstLine="420" w:firstLineChars="200"/>
              <w:rPr>
                <w:rFonts w:ascii="宋体" w:hAnsi="宋体" w:cs="宋体"/>
                <w:bCs/>
                <w:kern w:val="0"/>
                <w:szCs w:val="21"/>
              </w:rPr>
            </w:pPr>
            <w:r>
              <w:rPr>
                <w:rFonts w:hint="eastAsia" w:ascii="宋体" w:hAnsi="宋体" w:cs="宋体"/>
                <w:bCs/>
                <w:kern w:val="0"/>
                <w:szCs w:val="21"/>
              </w:rPr>
              <w:t>第三十二条第二款 投标人不得与招标人串通投标，损害国家利益、社会公共利益或者他人的合法权益。</w:t>
            </w:r>
          </w:p>
          <w:p w14:paraId="7C4ACE42">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2.《中华人民共和国招标投标法实施条例》第十三条第二款 招标代理机构代理招标业务，应当遵守招标投标法和本条例关于招标人的规定。招标代理机构不得在所代理的招标项目中投标或者代理投标，也不得为所代理的招标项目的投标人提供咨询。</w:t>
            </w:r>
          </w:p>
        </w:tc>
        <w:tc>
          <w:tcPr>
            <w:tcW w:w="4181" w:type="dxa"/>
            <w:vMerge w:val="restart"/>
            <w:shd w:val="clear" w:color="auto" w:fill="FFFFFF"/>
            <w:vAlign w:val="center"/>
          </w:tcPr>
          <w:p w14:paraId="7F80C392">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p w14:paraId="3B958CE0">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738" w:type="dxa"/>
            <w:vMerge w:val="restart"/>
            <w:shd w:val="clear" w:color="auto" w:fill="FFFFFF"/>
            <w:vAlign w:val="center"/>
          </w:tcPr>
          <w:p w14:paraId="4430CE3A">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vMerge w:val="restart"/>
            <w:shd w:val="clear" w:color="auto" w:fill="FFFFFF"/>
            <w:vAlign w:val="center"/>
          </w:tcPr>
          <w:p w14:paraId="29F1415F">
            <w:pPr>
              <w:widowControl/>
              <w:textAlignment w:val="center"/>
              <w:rPr>
                <w:rFonts w:ascii="宋体" w:hAnsi="宋体" w:cs="宋体"/>
                <w:color w:val="000000"/>
                <w:kern w:val="0"/>
                <w:szCs w:val="21"/>
              </w:rPr>
            </w:pPr>
            <w:r>
              <w:rPr>
                <w:rFonts w:hint="eastAsia" w:ascii="宋体" w:hAnsi="宋体" w:cs="宋体"/>
                <w:color w:val="000000"/>
                <w:kern w:val="0"/>
                <w:szCs w:val="21"/>
              </w:rPr>
              <w:t>存在下列情形之一的：</w:t>
            </w:r>
          </w:p>
          <w:p w14:paraId="21FCDE9A">
            <w:pPr>
              <w:widowControl/>
              <w:textAlignment w:val="center"/>
              <w:rPr>
                <w:rFonts w:ascii="宋体" w:hAnsi="宋体" w:cs="宋体"/>
                <w:color w:val="000000"/>
                <w:kern w:val="0"/>
                <w:szCs w:val="21"/>
              </w:rPr>
            </w:pPr>
            <w:r>
              <w:rPr>
                <w:rFonts w:hint="eastAsia" w:ascii="宋体" w:hAnsi="宋体" w:cs="宋体"/>
                <w:color w:val="000000"/>
                <w:kern w:val="0"/>
                <w:szCs w:val="21"/>
              </w:rPr>
              <w:t>1.违反规定，泄露应当保密的与招标投标活动有关的情况和资料的，或者与招标人、投标人串通损害国家利益、社会公共利益或者他人合法权益的；</w:t>
            </w:r>
          </w:p>
          <w:p w14:paraId="755ACD62">
            <w:pPr>
              <w:widowControl/>
              <w:textAlignment w:val="center"/>
              <w:rPr>
                <w:rFonts w:ascii="宋体" w:hAnsi="宋体" w:cs="宋体"/>
                <w:bCs/>
                <w:kern w:val="0"/>
                <w:szCs w:val="21"/>
              </w:rPr>
            </w:pPr>
            <w:r>
              <w:rPr>
                <w:rFonts w:hint="eastAsia" w:ascii="宋体" w:hAnsi="宋体" w:cs="宋体"/>
                <w:color w:val="000000"/>
                <w:szCs w:val="21"/>
              </w:rPr>
              <w:t>2.</w:t>
            </w:r>
            <w:r>
              <w:rPr>
                <w:rFonts w:hint="eastAsia" w:ascii="宋体" w:hAnsi="宋体" w:cs="宋体"/>
                <w:color w:val="000000"/>
                <w:kern w:val="0"/>
                <w:szCs w:val="21"/>
              </w:rPr>
              <w:t>在所代理的招标项目中投标、代理投标或者向该项目投标人提供咨询的，接受委托编制标底的中介机构参加受托编制标底项目的投标或者为该项目的投标人编制投标文件、提供咨询的</w:t>
            </w:r>
          </w:p>
        </w:tc>
        <w:tc>
          <w:tcPr>
            <w:tcW w:w="713" w:type="dxa"/>
            <w:shd w:val="clear" w:color="auto" w:fill="FFFFFF"/>
            <w:vAlign w:val="center"/>
          </w:tcPr>
          <w:p w14:paraId="540223F7">
            <w:pPr>
              <w:spacing w:line="240" w:lineRule="exact"/>
              <w:jc w:val="center"/>
              <w:rPr>
                <w:rFonts w:ascii="宋体" w:hAnsi="宋体" w:cs="宋体"/>
                <w:bCs/>
                <w:kern w:val="0"/>
                <w:szCs w:val="21"/>
              </w:rPr>
            </w:pPr>
            <w:r>
              <w:rPr>
                <w:rFonts w:hint="eastAsia" w:ascii="宋体" w:hAnsi="宋体" w:cs="宋体"/>
                <w:bCs/>
                <w:kern w:val="0"/>
                <w:szCs w:val="21"/>
              </w:rPr>
              <w:t>单位</w:t>
            </w:r>
          </w:p>
        </w:tc>
        <w:tc>
          <w:tcPr>
            <w:tcW w:w="2270" w:type="dxa"/>
            <w:gridSpan w:val="2"/>
            <w:shd w:val="clear" w:color="auto" w:fill="FFFFFF"/>
            <w:vAlign w:val="center"/>
          </w:tcPr>
          <w:p w14:paraId="03E29E74">
            <w:pPr>
              <w:spacing w:line="240" w:lineRule="exact"/>
              <w:rPr>
                <w:rFonts w:ascii="宋体" w:hAnsi="宋体" w:cs="宋体"/>
                <w:bCs/>
                <w:kern w:val="0"/>
                <w:szCs w:val="21"/>
              </w:rPr>
            </w:pPr>
            <w:r>
              <w:rPr>
                <w:rFonts w:hint="eastAsia" w:ascii="宋体" w:hAnsi="宋体" w:cs="宋体"/>
                <w:bCs/>
                <w:kern w:val="0"/>
                <w:szCs w:val="21"/>
              </w:rPr>
              <w:t>1.责令改正，处5万元的罚款；</w:t>
            </w:r>
          </w:p>
          <w:p w14:paraId="6F5E4A76">
            <w:pPr>
              <w:spacing w:line="240" w:lineRule="exact"/>
              <w:rPr>
                <w:rFonts w:ascii="宋体" w:hAnsi="宋体" w:cs="宋体"/>
                <w:bCs/>
                <w:kern w:val="0"/>
                <w:szCs w:val="21"/>
              </w:rPr>
            </w:pPr>
            <w:r>
              <w:rPr>
                <w:rFonts w:hint="eastAsia" w:ascii="宋体" w:hAnsi="宋体" w:cs="宋体"/>
                <w:bCs/>
                <w:kern w:val="0"/>
                <w:szCs w:val="21"/>
              </w:rPr>
              <w:t>2.有违法所得的，并处没收违法所得；</w:t>
            </w:r>
          </w:p>
          <w:p w14:paraId="0975502D">
            <w:pPr>
              <w:spacing w:line="240" w:lineRule="exact"/>
              <w:rPr>
                <w:rFonts w:ascii="宋体" w:hAnsi="宋体" w:cs="宋体"/>
                <w:bCs/>
                <w:kern w:val="0"/>
                <w:szCs w:val="21"/>
              </w:rPr>
            </w:pPr>
            <w:r>
              <w:rPr>
                <w:rFonts w:hint="eastAsia" w:ascii="宋体" w:hAnsi="宋体" w:cs="宋体"/>
                <w:bCs/>
                <w:kern w:val="0"/>
                <w:szCs w:val="21"/>
              </w:rPr>
              <w:t>3.影响中标结果的，中标无效；</w:t>
            </w:r>
          </w:p>
          <w:p w14:paraId="30088586">
            <w:pPr>
              <w:spacing w:line="240" w:lineRule="exact"/>
              <w:rPr>
                <w:rFonts w:ascii="宋体" w:hAnsi="宋体" w:cs="宋体"/>
                <w:bCs/>
                <w:kern w:val="0"/>
                <w:szCs w:val="21"/>
              </w:rPr>
            </w:pPr>
            <w:r>
              <w:rPr>
                <w:rFonts w:hint="eastAsia" w:ascii="宋体" w:hAnsi="宋体" w:cs="宋体"/>
                <w:bCs/>
                <w:kern w:val="0"/>
                <w:szCs w:val="21"/>
              </w:rPr>
              <w:t>4.构成犯罪的，依法追究刑事责任。给他人造成损失的，依法承担赔偿责任。</w:t>
            </w:r>
          </w:p>
        </w:tc>
      </w:tr>
      <w:tr w14:paraId="2BB5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79" w:hRule="atLeast"/>
          <w:jc w:val="center"/>
        </w:trPr>
        <w:tc>
          <w:tcPr>
            <w:tcW w:w="539" w:type="dxa"/>
            <w:vMerge w:val="continue"/>
            <w:shd w:val="clear" w:color="auto" w:fill="FFFFFF"/>
            <w:vAlign w:val="center"/>
          </w:tcPr>
          <w:p w14:paraId="148F96E9">
            <w:pPr>
              <w:spacing w:line="240" w:lineRule="exact"/>
              <w:rPr>
                <w:rFonts w:ascii="宋体" w:hAnsi="宋体" w:cs="宋体"/>
                <w:szCs w:val="21"/>
              </w:rPr>
            </w:pPr>
          </w:p>
        </w:tc>
        <w:tc>
          <w:tcPr>
            <w:tcW w:w="989" w:type="dxa"/>
            <w:vMerge w:val="continue"/>
            <w:shd w:val="clear" w:color="auto" w:fill="FFFFFF"/>
            <w:vAlign w:val="center"/>
          </w:tcPr>
          <w:p w14:paraId="2EA4FCB0">
            <w:pPr>
              <w:spacing w:line="240" w:lineRule="exact"/>
              <w:rPr>
                <w:rFonts w:ascii="宋体" w:hAnsi="宋体" w:cs="宋体"/>
                <w:szCs w:val="21"/>
              </w:rPr>
            </w:pPr>
          </w:p>
        </w:tc>
        <w:tc>
          <w:tcPr>
            <w:tcW w:w="3586" w:type="dxa"/>
            <w:vMerge w:val="continue"/>
            <w:shd w:val="clear" w:color="auto" w:fill="FFFFFF"/>
            <w:vAlign w:val="center"/>
          </w:tcPr>
          <w:p w14:paraId="27F97871">
            <w:pPr>
              <w:spacing w:line="240" w:lineRule="exact"/>
              <w:rPr>
                <w:rFonts w:ascii="宋体" w:hAnsi="宋体" w:cs="宋体"/>
                <w:szCs w:val="21"/>
              </w:rPr>
            </w:pPr>
          </w:p>
        </w:tc>
        <w:tc>
          <w:tcPr>
            <w:tcW w:w="4181" w:type="dxa"/>
            <w:vMerge w:val="continue"/>
            <w:shd w:val="clear" w:color="auto" w:fill="FFFFFF"/>
            <w:vAlign w:val="center"/>
          </w:tcPr>
          <w:p w14:paraId="01686D3C">
            <w:pPr>
              <w:spacing w:line="240" w:lineRule="exact"/>
              <w:rPr>
                <w:rFonts w:ascii="宋体" w:hAnsi="宋体" w:cs="宋体"/>
                <w:szCs w:val="21"/>
              </w:rPr>
            </w:pPr>
          </w:p>
        </w:tc>
        <w:tc>
          <w:tcPr>
            <w:tcW w:w="738" w:type="dxa"/>
            <w:vMerge w:val="continue"/>
            <w:shd w:val="clear" w:color="auto" w:fill="FFFFFF"/>
            <w:vAlign w:val="center"/>
          </w:tcPr>
          <w:p w14:paraId="4929D604">
            <w:pPr>
              <w:spacing w:line="240" w:lineRule="exact"/>
              <w:rPr>
                <w:rFonts w:ascii="宋体" w:hAnsi="宋体" w:cs="宋体"/>
                <w:szCs w:val="21"/>
              </w:rPr>
            </w:pPr>
          </w:p>
        </w:tc>
        <w:tc>
          <w:tcPr>
            <w:tcW w:w="3305" w:type="dxa"/>
            <w:vMerge w:val="continue"/>
            <w:shd w:val="clear" w:color="auto" w:fill="FFFFFF"/>
            <w:vAlign w:val="center"/>
          </w:tcPr>
          <w:p w14:paraId="31D26125">
            <w:pPr>
              <w:spacing w:line="240" w:lineRule="exact"/>
              <w:rPr>
                <w:rFonts w:ascii="宋体" w:hAnsi="宋体" w:cs="宋体"/>
                <w:szCs w:val="21"/>
              </w:rPr>
            </w:pPr>
          </w:p>
        </w:tc>
        <w:tc>
          <w:tcPr>
            <w:tcW w:w="713" w:type="dxa"/>
            <w:shd w:val="clear" w:color="auto" w:fill="FFFFFF"/>
            <w:vAlign w:val="center"/>
          </w:tcPr>
          <w:p w14:paraId="66B516D8">
            <w:pPr>
              <w:spacing w:line="240" w:lineRule="exact"/>
              <w:jc w:val="center"/>
              <w:rPr>
                <w:rFonts w:ascii="宋体" w:hAnsi="宋体" w:cs="宋体"/>
                <w:szCs w:val="21"/>
              </w:rPr>
            </w:pPr>
            <w:r>
              <w:rPr>
                <w:rFonts w:hint="eastAsia" w:ascii="宋体" w:hAnsi="宋体" w:cs="宋体"/>
                <w:szCs w:val="21"/>
              </w:rPr>
              <w:t>个人</w:t>
            </w:r>
          </w:p>
        </w:tc>
        <w:tc>
          <w:tcPr>
            <w:tcW w:w="2270" w:type="dxa"/>
            <w:gridSpan w:val="2"/>
            <w:shd w:val="clear" w:color="auto" w:fill="FFFFFF"/>
            <w:vAlign w:val="center"/>
          </w:tcPr>
          <w:p w14:paraId="693A66E6">
            <w:pPr>
              <w:spacing w:line="240" w:lineRule="exact"/>
              <w:rPr>
                <w:rFonts w:ascii="宋体" w:hAnsi="宋体" w:cs="宋体"/>
                <w:szCs w:val="21"/>
              </w:rPr>
            </w:pPr>
            <w:r>
              <w:rPr>
                <w:rFonts w:hint="eastAsia" w:ascii="宋体" w:hAnsi="宋体" w:cs="宋体"/>
                <w:szCs w:val="21"/>
              </w:rPr>
              <w:t>对单位直接负责的主管人员和其他直接责任人员：</w:t>
            </w:r>
          </w:p>
          <w:p w14:paraId="5D69E720">
            <w:pPr>
              <w:spacing w:line="240" w:lineRule="exact"/>
              <w:rPr>
                <w:rFonts w:ascii="宋体" w:hAnsi="宋体" w:cs="宋体"/>
                <w:szCs w:val="21"/>
              </w:rPr>
            </w:pPr>
            <w:r>
              <w:rPr>
                <w:rFonts w:hint="eastAsia" w:ascii="宋体" w:hAnsi="宋体" w:cs="宋体"/>
                <w:szCs w:val="21"/>
              </w:rPr>
              <w:t>1.</w:t>
            </w:r>
            <w:r>
              <w:rPr>
                <w:rFonts w:hint="eastAsia" w:ascii="宋体" w:hAnsi="宋体" w:cs="宋体"/>
                <w:bCs/>
                <w:kern w:val="0"/>
                <w:szCs w:val="21"/>
              </w:rPr>
              <w:t>责令改正，</w:t>
            </w:r>
            <w:r>
              <w:rPr>
                <w:rFonts w:hint="eastAsia" w:ascii="宋体" w:hAnsi="宋体" w:cs="宋体"/>
                <w:szCs w:val="21"/>
              </w:rPr>
              <w:t>处单位罚款数额5%的罚款；</w:t>
            </w:r>
          </w:p>
          <w:p w14:paraId="44B231E6">
            <w:pPr>
              <w:spacing w:line="240" w:lineRule="exact"/>
              <w:rPr>
                <w:rFonts w:ascii="宋体" w:hAnsi="宋体" w:cs="宋体"/>
                <w:szCs w:val="21"/>
              </w:rPr>
            </w:pPr>
            <w:r>
              <w:rPr>
                <w:rFonts w:hint="eastAsia" w:ascii="宋体" w:hAnsi="宋体" w:cs="宋体"/>
                <w:szCs w:val="21"/>
              </w:rPr>
              <w:t>2.有违法所得的，并处没收违法所得；</w:t>
            </w:r>
          </w:p>
          <w:p w14:paraId="54585AB4">
            <w:pPr>
              <w:spacing w:line="240" w:lineRule="exact"/>
              <w:rPr>
                <w:rFonts w:ascii="宋体" w:hAnsi="宋体" w:cs="宋体"/>
                <w:bCs/>
                <w:kern w:val="0"/>
                <w:szCs w:val="21"/>
              </w:rPr>
            </w:pPr>
            <w:r>
              <w:rPr>
                <w:rFonts w:hint="eastAsia" w:ascii="宋体" w:hAnsi="宋体" w:cs="宋体"/>
                <w:bCs/>
                <w:kern w:val="0"/>
                <w:szCs w:val="21"/>
              </w:rPr>
              <w:t>3.影响中标结果的，中标无效；</w:t>
            </w:r>
          </w:p>
          <w:p w14:paraId="025AC039">
            <w:pPr>
              <w:spacing w:line="240" w:lineRule="exact"/>
              <w:rPr>
                <w:rFonts w:ascii="宋体" w:hAnsi="宋体" w:cs="宋体"/>
                <w:szCs w:val="21"/>
              </w:rPr>
            </w:pPr>
            <w:r>
              <w:rPr>
                <w:rFonts w:hint="eastAsia" w:ascii="宋体" w:hAnsi="宋体" w:cs="宋体"/>
                <w:bCs/>
                <w:kern w:val="0"/>
                <w:szCs w:val="21"/>
              </w:rPr>
              <w:t>4.构成犯罪的，依法追究刑事责任。给他人造成损失的，依法承担赔偿责任。</w:t>
            </w:r>
          </w:p>
        </w:tc>
      </w:tr>
      <w:tr w14:paraId="0F96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3" w:hRule="atLeast"/>
          <w:jc w:val="center"/>
        </w:trPr>
        <w:tc>
          <w:tcPr>
            <w:tcW w:w="539" w:type="dxa"/>
            <w:vMerge w:val="continue"/>
            <w:shd w:val="clear" w:color="auto" w:fill="FFFFFF"/>
            <w:vAlign w:val="center"/>
          </w:tcPr>
          <w:p w14:paraId="6EB91C13">
            <w:pPr>
              <w:spacing w:line="240" w:lineRule="exact"/>
              <w:jc w:val="center"/>
              <w:rPr>
                <w:rFonts w:ascii="宋体" w:hAnsi="宋体" w:cs="宋体"/>
                <w:bCs/>
                <w:kern w:val="0"/>
                <w:szCs w:val="21"/>
              </w:rPr>
            </w:pPr>
          </w:p>
        </w:tc>
        <w:tc>
          <w:tcPr>
            <w:tcW w:w="989" w:type="dxa"/>
            <w:vMerge w:val="continue"/>
            <w:shd w:val="clear" w:color="auto" w:fill="FFFFFF"/>
            <w:vAlign w:val="center"/>
          </w:tcPr>
          <w:p w14:paraId="444D614F">
            <w:pPr>
              <w:spacing w:line="240" w:lineRule="exact"/>
              <w:rPr>
                <w:rFonts w:ascii="宋体" w:hAnsi="宋体" w:cs="宋体"/>
                <w:bCs/>
                <w:kern w:val="0"/>
                <w:szCs w:val="21"/>
              </w:rPr>
            </w:pPr>
          </w:p>
        </w:tc>
        <w:tc>
          <w:tcPr>
            <w:tcW w:w="3586" w:type="dxa"/>
            <w:vMerge w:val="continue"/>
            <w:shd w:val="clear" w:color="auto" w:fill="FFFFFF"/>
            <w:vAlign w:val="center"/>
          </w:tcPr>
          <w:p w14:paraId="3A630752">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62B97675">
            <w:pPr>
              <w:spacing w:line="240" w:lineRule="exact"/>
              <w:ind w:firstLine="420" w:firstLineChars="200"/>
              <w:rPr>
                <w:rFonts w:ascii="宋体" w:hAnsi="宋体" w:cs="宋体"/>
                <w:bCs/>
                <w:kern w:val="0"/>
                <w:szCs w:val="21"/>
              </w:rPr>
            </w:pPr>
          </w:p>
        </w:tc>
        <w:tc>
          <w:tcPr>
            <w:tcW w:w="738" w:type="dxa"/>
            <w:vMerge w:val="restart"/>
            <w:shd w:val="clear" w:color="auto" w:fill="FFFFFF"/>
            <w:vAlign w:val="center"/>
          </w:tcPr>
          <w:p w14:paraId="6EB97E5F">
            <w:pPr>
              <w:widowControl/>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vMerge w:val="restart"/>
            <w:shd w:val="clear" w:color="auto" w:fill="FFFFFF"/>
            <w:vAlign w:val="center"/>
          </w:tcPr>
          <w:p w14:paraId="60901DF1">
            <w:pPr>
              <w:widowControl/>
              <w:textAlignment w:val="center"/>
              <w:rPr>
                <w:rFonts w:ascii="宋体" w:hAnsi="宋体" w:cs="宋体"/>
                <w:bCs/>
                <w:kern w:val="0"/>
                <w:szCs w:val="21"/>
              </w:rPr>
            </w:pPr>
            <w:r>
              <w:rPr>
                <w:rFonts w:hint="eastAsia" w:ascii="宋体" w:hAnsi="宋体" w:cs="宋体"/>
                <w:color w:val="000000"/>
                <w:kern w:val="0"/>
                <w:szCs w:val="21"/>
              </w:rPr>
              <w:t>与招标人、投标人串通损害国家利益、社会公共利益或者他人合法权益，造成不良影响的</w:t>
            </w:r>
          </w:p>
        </w:tc>
        <w:tc>
          <w:tcPr>
            <w:tcW w:w="713" w:type="dxa"/>
            <w:shd w:val="clear" w:color="auto" w:fill="FFFFFF"/>
            <w:vAlign w:val="center"/>
          </w:tcPr>
          <w:p w14:paraId="4A1140A0">
            <w:pPr>
              <w:spacing w:line="240" w:lineRule="exact"/>
              <w:jc w:val="center"/>
              <w:rPr>
                <w:rFonts w:ascii="宋体" w:hAnsi="宋体" w:cs="宋体"/>
                <w:bCs/>
                <w:kern w:val="0"/>
                <w:szCs w:val="21"/>
              </w:rPr>
            </w:pPr>
            <w:r>
              <w:rPr>
                <w:rFonts w:hint="eastAsia" w:ascii="宋体" w:hAnsi="宋体" w:cs="宋体"/>
                <w:bCs/>
                <w:kern w:val="0"/>
                <w:szCs w:val="21"/>
              </w:rPr>
              <w:t>单位</w:t>
            </w:r>
          </w:p>
        </w:tc>
        <w:tc>
          <w:tcPr>
            <w:tcW w:w="2270" w:type="dxa"/>
            <w:gridSpan w:val="2"/>
            <w:shd w:val="clear" w:color="auto" w:fill="FFFFFF"/>
            <w:vAlign w:val="center"/>
          </w:tcPr>
          <w:p w14:paraId="14454BE8">
            <w:pPr>
              <w:spacing w:line="240" w:lineRule="exact"/>
              <w:rPr>
                <w:rFonts w:ascii="宋体" w:hAnsi="宋体" w:cs="宋体"/>
                <w:bCs/>
                <w:kern w:val="0"/>
                <w:szCs w:val="21"/>
              </w:rPr>
            </w:pPr>
            <w:r>
              <w:rPr>
                <w:rFonts w:hint="eastAsia" w:ascii="宋体" w:hAnsi="宋体" w:cs="宋体"/>
                <w:bCs/>
                <w:kern w:val="0"/>
                <w:szCs w:val="21"/>
              </w:rPr>
              <w:t>1.责令改正，处25万元的罚款；</w:t>
            </w:r>
          </w:p>
          <w:p w14:paraId="31ED4E1E">
            <w:pPr>
              <w:spacing w:line="240" w:lineRule="exact"/>
              <w:rPr>
                <w:rFonts w:ascii="宋体" w:hAnsi="宋体" w:cs="宋体"/>
                <w:bCs/>
                <w:kern w:val="0"/>
                <w:szCs w:val="21"/>
              </w:rPr>
            </w:pPr>
            <w:r>
              <w:rPr>
                <w:rFonts w:hint="eastAsia" w:ascii="宋体" w:hAnsi="宋体" w:cs="宋体"/>
                <w:bCs/>
                <w:kern w:val="0"/>
                <w:szCs w:val="21"/>
              </w:rPr>
              <w:t>2.有违法所得的，并处没收违法所得；</w:t>
            </w:r>
          </w:p>
          <w:p w14:paraId="140ED958">
            <w:pPr>
              <w:spacing w:line="240" w:lineRule="exact"/>
              <w:rPr>
                <w:rFonts w:ascii="宋体" w:hAnsi="宋体" w:cs="宋体"/>
                <w:bCs/>
                <w:kern w:val="0"/>
                <w:szCs w:val="21"/>
              </w:rPr>
            </w:pPr>
            <w:r>
              <w:rPr>
                <w:rFonts w:hint="eastAsia" w:ascii="宋体" w:hAnsi="宋体" w:cs="宋体"/>
                <w:bCs/>
                <w:kern w:val="0"/>
                <w:szCs w:val="21"/>
              </w:rPr>
              <w:t>3.影响中标结果的，中标无效；</w:t>
            </w:r>
          </w:p>
          <w:p w14:paraId="0FC43155">
            <w:pPr>
              <w:spacing w:line="240" w:lineRule="exact"/>
              <w:rPr>
                <w:rFonts w:ascii="宋体" w:hAnsi="宋体" w:cs="宋体"/>
                <w:bCs/>
                <w:kern w:val="0"/>
                <w:szCs w:val="21"/>
              </w:rPr>
            </w:pPr>
            <w:r>
              <w:rPr>
                <w:rFonts w:hint="eastAsia" w:ascii="宋体" w:hAnsi="宋体" w:cs="宋体"/>
                <w:bCs/>
                <w:kern w:val="0"/>
                <w:szCs w:val="21"/>
              </w:rPr>
              <w:t>4.构成犯罪的，依法追究刑事责任。给他人造成损失的，依法承担赔偿责任。</w:t>
            </w:r>
          </w:p>
        </w:tc>
      </w:tr>
      <w:tr w14:paraId="1564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5" w:hRule="atLeast"/>
          <w:jc w:val="center"/>
        </w:trPr>
        <w:tc>
          <w:tcPr>
            <w:tcW w:w="539" w:type="dxa"/>
            <w:vMerge w:val="continue"/>
            <w:shd w:val="clear" w:color="auto" w:fill="FFFFFF"/>
            <w:vAlign w:val="center"/>
          </w:tcPr>
          <w:p w14:paraId="69B93460">
            <w:pPr>
              <w:spacing w:line="240" w:lineRule="exact"/>
              <w:rPr>
                <w:rFonts w:ascii="宋体" w:hAnsi="宋体" w:cs="宋体"/>
                <w:szCs w:val="21"/>
              </w:rPr>
            </w:pPr>
          </w:p>
        </w:tc>
        <w:tc>
          <w:tcPr>
            <w:tcW w:w="989" w:type="dxa"/>
            <w:vMerge w:val="continue"/>
            <w:shd w:val="clear" w:color="auto" w:fill="FFFFFF"/>
            <w:vAlign w:val="center"/>
          </w:tcPr>
          <w:p w14:paraId="3B70E63B">
            <w:pPr>
              <w:spacing w:line="240" w:lineRule="exact"/>
              <w:rPr>
                <w:rFonts w:ascii="宋体" w:hAnsi="宋体" w:cs="宋体"/>
                <w:szCs w:val="21"/>
              </w:rPr>
            </w:pPr>
          </w:p>
        </w:tc>
        <w:tc>
          <w:tcPr>
            <w:tcW w:w="3586" w:type="dxa"/>
            <w:vMerge w:val="continue"/>
            <w:shd w:val="clear" w:color="auto" w:fill="FFFFFF"/>
            <w:vAlign w:val="center"/>
          </w:tcPr>
          <w:p w14:paraId="2BA5728C">
            <w:pPr>
              <w:spacing w:line="240" w:lineRule="exact"/>
              <w:rPr>
                <w:rFonts w:ascii="宋体" w:hAnsi="宋体" w:cs="宋体"/>
                <w:szCs w:val="21"/>
              </w:rPr>
            </w:pPr>
          </w:p>
        </w:tc>
        <w:tc>
          <w:tcPr>
            <w:tcW w:w="4181" w:type="dxa"/>
            <w:vMerge w:val="continue"/>
            <w:shd w:val="clear" w:color="auto" w:fill="FFFFFF"/>
            <w:vAlign w:val="center"/>
          </w:tcPr>
          <w:p w14:paraId="0D16B21B">
            <w:pPr>
              <w:spacing w:line="240" w:lineRule="exact"/>
              <w:rPr>
                <w:rFonts w:ascii="宋体" w:hAnsi="宋体" w:cs="宋体"/>
                <w:szCs w:val="21"/>
              </w:rPr>
            </w:pPr>
          </w:p>
        </w:tc>
        <w:tc>
          <w:tcPr>
            <w:tcW w:w="738" w:type="dxa"/>
            <w:vMerge w:val="continue"/>
            <w:shd w:val="clear" w:color="auto" w:fill="FFFFFF"/>
            <w:vAlign w:val="center"/>
          </w:tcPr>
          <w:p w14:paraId="45A50DB9">
            <w:pPr>
              <w:spacing w:line="240" w:lineRule="exact"/>
              <w:rPr>
                <w:rFonts w:ascii="宋体" w:hAnsi="宋体" w:cs="宋体"/>
                <w:szCs w:val="21"/>
              </w:rPr>
            </w:pPr>
          </w:p>
        </w:tc>
        <w:tc>
          <w:tcPr>
            <w:tcW w:w="3305" w:type="dxa"/>
            <w:vMerge w:val="continue"/>
            <w:shd w:val="clear" w:color="auto" w:fill="FFFFFF"/>
            <w:vAlign w:val="center"/>
          </w:tcPr>
          <w:p w14:paraId="3EAA689B">
            <w:pPr>
              <w:spacing w:line="240" w:lineRule="exact"/>
              <w:rPr>
                <w:rFonts w:ascii="宋体" w:hAnsi="宋体" w:cs="宋体"/>
                <w:szCs w:val="21"/>
              </w:rPr>
            </w:pPr>
          </w:p>
        </w:tc>
        <w:tc>
          <w:tcPr>
            <w:tcW w:w="713" w:type="dxa"/>
            <w:shd w:val="clear" w:color="auto" w:fill="FFFFFF"/>
            <w:vAlign w:val="center"/>
          </w:tcPr>
          <w:p w14:paraId="21093CE2">
            <w:pPr>
              <w:spacing w:line="240" w:lineRule="exact"/>
              <w:jc w:val="center"/>
              <w:rPr>
                <w:rFonts w:ascii="宋体" w:hAnsi="宋体" w:cs="宋体"/>
                <w:szCs w:val="21"/>
              </w:rPr>
            </w:pPr>
            <w:r>
              <w:rPr>
                <w:rFonts w:hint="eastAsia" w:ascii="宋体" w:hAnsi="宋体" w:cs="宋体"/>
                <w:szCs w:val="21"/>
              </w:rPr>
              <w:t>个人</w:t>
            </w:r>
          </w:p>
        </w:tc>
        <w:tc>
          <w:tcPr>
            <w:tcW w:w="2270" w:type="dxa"/>
            <w:gridSpan w:val="2"/>
            <w:shd w:val="clear" w:color="auto" w:fill="FFFFFF"/>
            <w:vAlign w:val="center"/>
          </w:tcPr>
          <w:p w14:paraId="541BF549">
            <w:pPr>
              <w:spacing w:line="240" w:lineRule="exact"/>
              <w:rPr>
                <w:rFonts w:ascii="宋体" w:hAnsi="宋体" w:cs="宋体"/>
                <w:szCs w:val="21"/>
              </w:rPr>
            </w:pPr>
            <w:r>
              <w:rPr>
                <w:rFonts w:hint="eastAsia" w:ascii="宋体" w:hAnsi="宋体" w:cs="宋体"/>
                <w:szCs w:val="21"/>
              </w:rPr>
              <w:t>对单位直接负责的主管人员和其他直接责任人员：</w:t>
            </w:r>
          </w:p>
          <w:p w14:paraId="76CE15D2">
            <w:pPr>
              <w:spacing w:line="240" w:lineRule="exact"/>
              <w:rPr>
                <w:rFonts w:ascii="宋体" w:hAnsi="宋体" w:cs="宋体"/>
                <w:szCs w:val="21"/>
              </w:rPr>
            </w:pPr>
            <w:r>
              <w:rPr>
                <w:rFonts w:hint="eastAsia" w:ascii="宋体" w:hAnsi="宋体" w:cs="宋体"/>
                <w:szCs w:val="21"/>
              </w:rPr>
              <w:t>1.</w:t>
            </w:r>
            <w:r>
              <w:rPr>
                <w:rFonts w:hint="eastAsia" w:ascii="宋体" w:hAnsi="宋体" w:cs="宋体"/>
                <w:bCs/>
                <w:kern w:val="0"/>
                <w:szCs w:val="21"/>
              </w:rPr>
              <w:t>责令改正，</w:t>
            </w:r>
            <w:r>
              <w:rPr>
                <w:rFonts w:hint="eastAsia" w:ascii="宋体" w:hAnsi="宋体" w:cs="宋体"/>
                <w:szCs w:val="21"/>
              </w:rPr>
              <w:t>处单位罚款数额10%的罚款；</w:t>
            </w:r>
          </w:p>
          <w:p w14:paraId="1F06F85E">
            <w:pPr>
              <w:spacing w:line="240" w:lineRule="exact"/>
              <w:rPr>
                <w:rFonts w:ascii="宋体" w:hAnsi="宋体" w:cs="宋体"/>
                <w:szCs w:val="21"/>
              </w:rPr>
            </w:pPr>
            <w:r>
              <w:rPr>
                <w:rFonts w:hint="eastAsia" w:ascii="宋体" w:hAnsi="宋体" w:cs="宋体"/>
                <w:szCs w:val="21"/>
              </w:rPr>
              <w:t>2.有违法所得的，并处没收违法所得；</w:t>
            </w:r>
          </w:p>
          <w:p w14:paraId="2680A118">
            <w:pPr>
              <w:spacing w:line="240" w:lineRule="exact"/>
              <w:rPr>
                <w:rFonts w:ascii="宋体" w:hAnsi="宋体" w:cs="宋体"/>
                <w:bCs/>
                <w:kern w:val="0"/>
                <w:szCs w:val="21"/>
              </w:rPr>
            </w:pPr>
            <w:r>
              <w:rPr>
                <w:rFonts w:hint="eastAsia" w:ascii="宋体" w:hAnsi="宋体" w:cs="宋体"/>
                <w:bCs/>
                <w:kern w:val="0"/>
                <w:szCs w:val="21"/>
              </w:rPr>
              <w:t>3.影响中标结果的，中标无效；</w:t>
            </w:r>
          </w:p>
          <w:p w14:paraId="4F825598">
            <w:pPr>
              <w:spacing w:line="240" w:lineRule="exact"/>
              <w:rPr>
                <w:rFonts w:ascii="宋体" w:hAnsi="宋体" w:cs="宋体"/>
                <w:bCs/>
                <w:kern w:val="0"/>
                <w:szCs w:val="21"/>
              </w:rPr>
            </w:pPr>
            <w:r>
              <w:rPr>
                <w:rFonts w:hint="eastAsia" w:ascii="宋体" w:hAnsi="宋体" w:cs="宋体"/>
                <w:szCs w:val="21"/>
              </w:rPr>
              <w:t>4.</w:t>
            </w:r>
            <w:r>
              <w:rPr>
                <w:rFonts w:hint="eastAsia" w:ascii="宋体" w:hAnsi="宋体" w:cs="宋体"/>
                <w:bCs/>
                <w:kern w:val="0"/>
                <w:szCs w:val="21"/>
              </w:rPr>
              <w:t>构成犯罪的，依法追究刑事责任。给他人造成损失的，依法承担赔偿责任。</w:t>
            </w:r>
          </w:p>
        </w:tc>
      </w:tr>
      <w:tr w14:paraId="7DB7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71" w:hRule="atLeast"/>
          <w:jc w:val="center"/>
        </w:trPr>
        <w:tc>
          <w:tcPr>
            <w:tcW w:w="539" w:type="dxa"/>
            <w:vMerge w:val="restart"/>
            <w:shd w:val="clear" w:color="auto" w:fill="FFFFFF"/>
            <w:vAlign w:val="center"/>
          </w:tcPr>
          <w:p w14:paraId="5712B594">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445</w:t>
            </w:r>
          </w:p>
        </w:tc>
        <w:tc>
          <w:tcPr>
            <w:tcW w:w="989" w:type="dxa"/>
            <w:vMerge w:val="restart"/>
            <w:shd w:val="clear" w:color="auto" w:fill="FFFFFF"/>
            <w:vAlign w:val="center"/>
          </w:tcPr>
          <w:p w14:paraId="3E307001">
            <w:pPr>
              <w:spacing w:line="240" w:lineRule="exact"/>
              <w:rPr>
                <w:rFonts w:ascii="宋体" w:hAnsi="宋体" w:cs="宋体"/>
                <w:bCs/>
                <w:kern w:val="0"/>
                <w:szCs w:val="21"/>
              </w:rPr>
            </w:pPr>
            <w:r>
              <w:rPr>
                <w:rFonts w:hint="eastAsia" w:ascii="宋体" w:hAnsi="宋体" w:cs="宋体"/>
                <w:bCs/>
                <w:kern w:val="0"/>
                <w:szCs w:val="21"/>
              </w:rPr>
              <w:t>招标人以不合理的条件限制或者排斥潜在投标人，对潜在投标人实行歧视待遇的，强制要求投标人组成联合体共同投标的，或者限制投标人之间竞争</w:t>
            </w:r>
          </w:p>
        </w:tc>
        <w:tc>
          <w:tcPr>
            <w:tcW w:w="3586" w:type="dxa"/>
            <w:vMerge w:val="restart"/>
            <w:shd w:val="clear" w:color="auto" w:fill="FFFFFF"/>
            <w:vAlign w:val="center"/>
          </w:tcPr>
          <w:p w14:paraId="31651290">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1.《中华人民共和国招标投标法》第六条 依法必须进行招标的项目，其招标投标活动不受地区或者部门的限制。任何单位和个人不得违法限制或者排斥本地区、本系统以外的法人或者其他组织参加投标，不得以任何方式非法干涉招标投标活动。</w:t>
            </w:r>
          </w:p>
          <w:p w14:paraId="62478CDA">
            <w:pPr>
              <w:spacing w:line="240" w:lineRule="exact"/>
              <w:ind w:firstLine="420" w:firstLineChars="200"/>
              <w:rPr>
                <w:rFonts w:ascii="宋体" w:hAnsi="宋体" w:cs="宋体"/>
                <w:bCs/>
                <w:kern w:val="0"/>
                <w:szCs w:val="21"/>
              </w:rPr>
            </w:pPr>
            <w:r>
              <w:rPr>
                <w:rFonts w:hint="eastAsia" w:ascii="宋体" w:hAnsi="宋体" w:cs="宋体"/>
                <w:bCs/>
                <w:kern w:val="0"/>
                <w:szCs w:val="21"/>
              </w:rPr>
              <w:t>第十八条第二款  招标人不得以不合理的条件限制或者排斥潜在投标人，不得对潜在投标人实行歧视待遇。</w:t>
            </w:r>
          </w:p>
          <w:p w14:paraId="4FA77C7E">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2.《中华人民共和国招标投标法实施条例》第十五条第一款 公开招标的项目，应当依照招标投标法和本条例的规定发布招标公告、编制招标文件。</w:t>
            </w:r>
          </w:p>
          <w:p w14:paraId="73C2F7BE">
            <w:pPr>
              <w:spacing w:line="240" w:lineRule="exact"/>
              <w:ind w:firstLine="420" w:firstLineChars="200"/>
              <w:rPr>
                <w:rFonts w:ascii="宋体" w:hAnsi="宋体" w:cs="宋体"/>
                <w:bCs/>
                <w:kern w:val="0"/>
                <w:szCs w:val="21"/>
              </w:rPr>
            </w:pPr>
            <w:r>
              <w:rPr>
                <w:rFonts w:hint="eastAsia" w:ascii="宋体" w:hAnsi="宋体" w:cs="宋体"/>
                <w:bCs/>
                <w:kern w:val="0"/>
                <w:szCs w:val="21"/>
              </w:rPr>
              <w:t>第二十四条 招标人对招标项目划分标段的，应当遵守招标投标法的有关规定，不得利用划分标段限制或者排斥潜在投标人。依法必须进行招标的项目的招标人不得利用划分标段规避招标。</w:t>
            </w:r>
          </w:p>
          <w:p w14:paraId="07A9EE8B">
            <w:pPr>
              <w:spacing w:line="240" w:lineRule="exact"/>
              <w:ind w:firstLine="420" w:firstLineChars="200"/>
              <w:rPr>
                <w:rFonts w:ascii="宋体" w:hAnsi="宋体" w:cs="宋体"/>
                <w:bCs/>
                <w:kern w:val="0"/>
                <w:szCs w:val="21"/>
              </w:rPr>
            </w:pPr>
            <w:r>
              <w:rPr>
                <w:rFonts w:hint="eastAsia" w:ascii="宋体" w:hAnsi="宋体" w:cs="宋体"/>
                <w:bCs/>
                <w:kern w:val="0"/>
                <w:szCs w:val="21"/>
              </w:rPr>
              <w:t>第三十二条 招标人不得以不合理的条件限制、排斥潜在投标人或者投标人。招标人有下列行为之一的，属于以不合理条件限制、排斥潜在投标人或者投标人：（一）就同一招标项目向潜在投标人或者投标人提供有差别的项目信息；（二）设定的资格、技术、商务条件与招标项目的具体特点和实际需要不相适应或者与合同履行无关；（三）依法必须进行招标的项目以特定行政区域或者特定行业的业绩、奖项作为加分条件或者中标条件；（四）对潜在投标人或者投标人采取不同的资格审查或者评标标准；（五）限定或者指定特定的专利、商标、品牌、原产地或者供应商；（六）依法必须进行招标的项目非法限定潜在投标人或者投标人的所有制形式或者组织形式；（七）以其他不合理条件限制、排斥潜在投标人或者投标人。</w:t>
            </w:r>
          </w:p>
        </w:tc>
        <w:tc>
          <w:tcPr>
            <w:tcW w:w="4181" w:type="dxa"/>
            <w:vMerge w:val="restart"/>
            <w:shd w:val="clear" w:color="auto" w:fill="FFFFFF"/>
            <w:vAlign w:val="center"/>
          </w:tcPr>
          <w:p w14:paraId="00AC2B80">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14:paraId="039ECBE6">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2.《中华人民共和国招标投标法实施条例》第六十三条第一款  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p>
        </w:tc>
        <w:tc>
          <w:tcPr>
            <w:tcW w:w="738" w:type="dxa"/>
            <w:shd w:val="clear" w:color="auto" w:fill="FFFFFF"/>
            <w:vAlign w:val="center"/>
          </w:tcPr>
          <w:p w14:paraId="2C5DE3A6">
            <w:pPr>
              <w:widowControl/>
              <w:jc w:val="center"/>
              <w:textAlignment w:val="center"/>
              <w:rPr>
                <w:rFonts w:ascii="宋体" w:hAnsi="宋体" w:cs="宋体"/>
                <w:bCs/>
                <w:kern w:val="0"/>
                <w:szCs w:val="21"/>
              </w:rPr>
            </w:pPr>
            <w:r>
              <w:rPr>
                <w:rFonts w:hint="eastAsia" w:ascii="宋体" w:hAnsi="宋体" w:cs="宋体"/>
                <w:color w:val="000000"/>
                <w:kern w:val="0"/>
                <w:szCs w:val="21"/>
              </w:rPr>
              <w:t>轻微</w:t>
            </w:r>
          </w:p>
        </w:tc>
        <w:tc>
          <w:tcPr>
            <w:tcW w:w="3305" w:type="dxa"/>
            <w:shd w:val="clear" w:color="auto" w:fill="FFFFFF"/>
            <w:vAlign w:val="center"/>
          </w:tcPr>
          <w:p w14:paraId="13B0AD5A">
            <w:pPr>
              <w:widowControl/>
              <w:textAlignment w:val="center"/>
              <w:rPr>
                <w:rFonts w:ascii="宋体" w:hAnsi="宋体" w:cs="宋体"/>
                <w:bCs/>
                <w:kern w:val="0"/>
                <w:szCs w:val="21"/>
              </w:rPr>
            </w:pPr>
            <w:r>
              <w:rPr>
                <w:rFonts w:hint="eastAsia" w:ascii="宋体" w:hAnsi="宋体" w:cs="宋体"/>
                <w:color w:val="000000"/>
                <w:kern w:val="0"/>
                <w:szCs w:val="21"/>
              </w:rPr>
              <w:t>招标人以不合理的条件限制或者排斥潜在投标人，对潜在投标人实行歧视待遇的，强制要求投标人组成联合体共同投标的，或者限制投标人之间竞争，经责令改正后及时改正的</w:t>
            </w:r>
          </w:p>
        </w:tc>
        <w:tc>
          <w:tcPr>
            <w:tcW w:w="2983" w:type="dxa"/>
            <w:gridSpan w:val="3"/>
            <w:shd w:val="clear" w:color="auto" w:fill="FFFFFF"/>
            <w:vAlign w:val="center"/>
          </w:tcPr>
          <w:p w14:paraId="558EEF47">
            <w:pPr>
              <w:spacing w:line="240" w:lineRule="exact"/>
              <w:rPr>
                <w:rFonts w:ascii="宋体" w:hAnsi="宋体" w:cs="宋体"/>
                <w:bCs/>
                <w:kern w:val="0"/>
                <w:szCs w:val="21"/>
              </w:rPr>
            </w:pPr>
            <w:r>
              <w:rPr>
                <w:rFonts w:hint="eastAsia" w:ascii="宋体" w:hAnsi="宋体" w:cs="宋体"/>
                <w:bCs/>
                <w:kern w:val="0"/>
                <w:szCs w:val="21"/>
              </w:rPr>
              <w:t>责令改正，可不予行政处罚，构成规避招标的，按照“交通建设工程建设单位将必须进行招标的交通建设工程项目化整为零或者以其他任何方式规避招标”事项处罚。</w:t>
            </w:r>
          </w:p>
        </w:tc>
      </w:tr>
      <w:tr w14:paraId="2697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53" w:hRule="atLeast"/>
          <w:jc w:val="center"/>
        </w:trPr>
        <w:tc>
          <w:tcPr>
            <w:tcW w:w="539" w:type="dxa"/>
            <w:vMerge w:val="continue"/>
            <w:shd w:val="clear" w:color="auto" w:fill="FFFFFF"/>
            <w:vAlign w:val="center"/>
          </w:tcPr>
          <w:p w14:paraId="699C2AB8">
            <w:pPr>
              <w:spacing w:line="240" w:lineRule="exact"/>
              <w:jc w:val="center"/>
              <w:rPr>
                <w:rFonts w:ascii="宋体" w:hAnsi="宋体" w:cs="宋体"/>
                <w:bCs/>
                <w:kern w:val="0"/>
                <w:szCs w:val="21"/>
              </w:rPr>
            </w:pPr>
          </w:p>
        </w:tc>
        <w:tc>
          <w:tcPr>
            <w:tcW w:w="989" w:type="dxa"/>
            <w:vMerge w:val="continue"/>
            <w:shd w:val="clear" w:color="auto" w:fill="FFFFFF"/>
            <w:vAlign w:val="center"/>
          </w:tcPr>
          <w:p w14:paraId="0D44E69B">
            <w:pPr>
              <w:spacing w:line="240" w:lineRule="exact"/>
              <w:rPr>
                <w:rFonts w:ascii="宋体" w:hAnsi="宋体" w:cs="宋体"/>
                <w:bCs/>
                <w:kern w:val="0"/>
                <w:szCs w:val="21"/>
              </w:rPr>
            </w:pPr>
          </w:p>
        </w:tc>
        <w:tc>
          <w:tcPr>
            <w:tcW w:w="3586" w:type="dxa"/>
            <w:vMerge w:val="continue"/>
            <w:shd w:val="clear" w:color="auto" w:fill="FFFFFF"/>
            <w:vAlign w:val="center"/>
          </w:tcPr>
          <w:p w14:paraId="7AB00A3F">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4865CDBC">
            <w:pPr>
              <w:spacing w:line="240" w:lineRule="exact"/>
              <w:ind w:firstLine="420" w:firstLineChars="200"/>
              <w:rPr>
                <w:rFonts w:ascii="宋体" w:hAnsi="宋体" w:cs="宋体"/>
                <w:bCs/>
                <w:kern w:val="0"/>
                <w:szCs w:val="21"/>
              </w:rPr>
            </w:pPr>
          </w:p>
        </w:tc>
        <w:tc>
          <w:tcPr>
            <w:tcW w:w="738" w:type="dxa"/>
            <w:shd w:val="clear" w:color="auto" w:fill="FFFFFF"/>
            <w:vAlign w:val="center"/>
          </w:tcPr>
          <w:p w14:paraId="2E352F4B">
            <w:pPr>
              <w:widowControl/>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608A333D">
            <w:pPr>
              <w:widowControl/>
              <w:textAlignment w:val="center"/>
              <w:rPr>
                <w:rFonts w:ascii="宋体" w:hAnsi="宋体" w:cs="宋体"/>
                <w:bCs/>
                <w:kern w:val="0"/>
                <w:szCs w:val="21"/>
              </w:rPr>
            </w:pPr>
            <w:r>
              <w:rPr>
                <w:rFonts w:hint="eastAsia" w:ascii="宋体" w:hAnsi="宋体" w:cs="宋体"/>
                <w:color w:val="000000"/>
                <w:kern w:val="0"/>
                <w:szCs w:val="21"/>
              </w:rPr>
              <w:t>招标人以不合理的条件限制或者排斥潜在投标人，对潜在投标人实行歧视待遇的，强制要求投标人组成联合体共同投标的，或者限制投标人之间竞争，且无法改正的</w:t>
            </w:r>
          </w:p>
        </w:tc>
        <w:tc>
          <w:tcPr>
            <w:tcW w:w="2983" w:type="dxa"/>
            <w:gridSpan w:val="3"/>
            <w:shd w:val="clear" w:color="auto" w:fill="FFFFFF"/>
            <w:vAlign w:val="center"/>
          </w:tcPr>
          <w:p w14:paraId="52485016">
            <w:pPr>
              <w:spacing w:line="240" w:lineRule="exact"/>
              <w:rPr>
                <w:rFonts w:ascii="宋体" w:hAnsi="宋体" w:cs="宋体"/>
                <w:bCs/>
                <w:kern w:val="0"/>
                <w:szCs w:val="21"/>
              </w:rPr>
            </w:pPr>
            <w:r>
              <w:rPr>
                <w:rFonts w:hint="eastAsia" w:ascii="宋体" w:hAnsi="宋体" w:cs="宋体"/>
                <w:bCs/>
                <w:kern w:val="0"/>
                <w:szCs w:val="21"/>
              </w:rPr>
              <w:t>责令改正，处5万元的罚款，构成规避招标的，按照“交通建设工程建设单位将必须进行招标的交通建设工程项目化整为零或者以其他任何方式规避招标”事项处罚。</w:t>
            </w:r>
          </w:p>
        </w:tc>
      </w:tr>
      <w:tr w14:paraId="147B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5E185862">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446</w:t>
            </w:r>
          </w:p>
        </w:tc>
        <w:tc>
          <w:tcPr>
            <w:tcW w:w="989" w:type="dxa"/>
            <w:vMerge w:val="restart"/>
            <w:shd w:val="clear" w:color="auto" w:fill="FFFFFF"/>
            <w:vAlign w:val="center"/>
          </w:tcPr>
          <w:p w14:paraId="6D559B47">
            <w:pPr>
              <w:spacing w:line="240" w:lineRule="exact"/>
              <w:rPr>
                <w:rFonts w:ascii="宋体" w:hAnsi="宋体" w:cs="宋体"/>
                <w:bCs/>
                <w:kern w:val="0"/>
                <w:szCs w:val="21"/>
              </w:rPr>
            </w:pPr>
            <w:r>
              <w:rPr>
                <w:rFonts w:hint="eastAsia" w:ascii="宋体" w:hAnsi="宋体" w:cs="宋体"/>
                <w:bCs/>
                <w:kern w:val="0"/>
                <w:szCs w:val="21"/>
              </w:rPr>
              <w:t>招标人向他人透露可能影响公平竞争的有关招标投标情况或者泄露标底</w:t>
            </w:r>
          </w:p>
        </w:tc>
        <w:tc>
          <w:tcPr>
            <w:tcW w:w="3586" w:type="dxa"/>
            <w:vMerge w:val="restart"/>
            <w:shd w:val="clear" w:color="auto" w:fill="FFFFFF"/>
            <w:vAlign w:val="center"/>
          </w:tcPr>
          <w:p w14:paraId="4ABB8A27">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《中华人民共和国招标投标法》第二十二条 招标人不得向他人透露已获取招标文件的潜在投标人的名称、数量以及可能影响公平竞争的有关招标投标的其他情况。</w:t>
            </w:r>
          </w:p>
          <w:p w14:paraId="24A955DE">
            <w:pPr>
              <w:spacing w:line="240" w:lineRule="exact"/>
              <w:ind w:firstLine="420" w:firstLineChars="200"/>
              <w:rPr>
                <w:rFonts w:ascii="宋体" w:hAnsi="宋体" w:cs="宋体"/>
                <w:bCs/>
                <w:kern w:val="0"/>
                <w:szCs w:val="21"/>
              </w:rPr>
            </w:pPr>
            <w:r>
              <w:rPr>
                <w:rFonts w:hint="eastAsia" w:ascii="宋体" w:hAnsi="宋体" w:cs="宋体"/>
                <w:bCs/>
                <w:kern w:val="0"/>
                <w:szCs w:val="21"/>
              </w:rPr>
              <w:t>招标人设有标底的，标底必须保密。</w:t>
            </w:r>
          </w:p>
        </w:tc>
        <w:tc>
          <w:tcPr>
            <w:tcW w:w="4181" w:type="dxa"/>
            <w:vMerge w:val="restart"/>
            <w:shd w:val="clear" w:color="auto" w:fill="FFFFFF"/>
            <w:vAlign w:val="center"/>
          </w:tcPr>
          <w:p w14:paraId="0D027B0B">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738" w:type="dxa"/>
            <w:shd w:val="clear" w:color="auto" w:fill="FFFFFF"/>
            <w:vAlign w:val="center"/>
          </w:tcPr>
          <w:p w14:paraId="51114663">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6C1F1111">
            <w:pPr>
              <w:widowControl/>
              <w:textAlignment w:val="center"/>
              <w:rPr>
                <w:rFonts w:ascii="宋体" w:hAnsi="宋体" w:cs="宋体"/>
                <w:bCs/>
                <w:kern w:val="0"/>
                <w:szCs w:val="21"/>
              </w:rPr>
            </w:pPr>
            <w:r>
              <w:rPr>
                <w:rFonts w:hint="eastAsia" w:ascii="宋体" w:hAnsi="宋体" w:cs="宋体"/>
                <w:color w:val="000000"/>
                <w:kern w:val="0"/>
                <w:szCs w:val="21"/>
              </w:rPr>
              <w:t>透露、泄露的信息可能影响中标结果，但相关人实际未中标的</w:t>
            </w:r>
          </w:p>
        </w:tc>
        <w:tc>
          <w:tcPr>
            <w:tcW w:w="2983" w:type="dxa"/>
            <w:gridSpan w:val="3"/>
            <w:shd w:val="clear" w:color="auto" w:fill="FFFFFF"/>
            <w:vAlign w:val="center"/>
          </w:tcPr>
          <w:p w14:paraId="097D7011">
            <w:pPr>
              <w:spacing w:line="240" w:lineRule="exact"/>
              <w:rPr>
                <w:rFonts w:ascii="宋体" w:hAnsi="宋体" w:cs="宋体"/>
                <w:bCs/>
                <w:kern w:val="0"/>
                <w:szCs w:val="21"/>
              </w:rPr>
            </w:pPr>
            <w:r>
              <w:rPr>
                <w:rFonts w:hint="eastAsia" w:ascii="宋体" w:hAnsi="宋体" w:cs="宋体"/>
                <w:bCs/>
                <w:kern w:val="0"/>
                <w:szCs w:val="21"/>
              </w:rPr>
              <w:t>1.给予警告；</w:t>
            </w:r>
          </w:p>
          <w:p w14:paraId="0881E555">
            <w:pPr>
              <w:spacing w:line="240" w:lineRule="exact"/>
              <w:rPr>
                <w:rFonts w:ascii="宋体" w:hAnsi="宋体" w:cs="宋体"/>
                <w:bCs/>
                <w:kern w:val="0"/>
                <w:szCs w:val="21"/>
              </w:rPr>
            </w:pPr>
            <w:r>
              <w:rPr>
                <w:rFonts w:hint="eastAsia" w:ascii="宋体" w:hAnsi="宋体" w:cs="宋体"/>
                <w:bCs/>
                <w:kern w:val="0"/>
                <w:szCs w:val="21"/>
              </w:rPr>
              <w:t>2.</w:t>
            </w:r>
            <w:r>
              <w:rPr>
                <w:rFonts w:hint="eastAsia" w:ascii="宋体" w:hAnsi="宋体" w:cs="宋体"/>
                <w:color w:val="000000"/>
                <w:kern w:val="0"/>
                <w:szCs w:val="21"/>
              </w:rPr>
              <w:t>责令改正，</w:t>
            </w:r>
            <w:r>
              <w:rPr>
                <w:rFonts w:hint="eastAsia" w:ascii="宋体" w:hAnsi="宋体" w:cs="宋体"/>
                <w:bCs/>
                <w:kern w:val="0"/>
                <w:szCs w:val="21"/>
              </w:rPr>
              <w:t>并处5万元的罚款；</w:t>
            </w:r>
          </w:p>
          <w:p w14:paraId="18004217">
            <w:pPr>
              <w:spacing w:line="240" w:lineRule="exact"/>
              <w:rPr>
                <w:rFonts w:ascii="宋体" w:hAnsi="宋体" w:cs="宋体"/>
                <w:bCs/>
                <w:kern w:val="0"/>
                <w:szCs w:val="21"/>
              </w:rPr>
            </w:pPr>
            <w:r>
              <w:rPr>
                <w:rFonts w:hint="eastAsia" w:ascii="宋体" w:hAnsi="宋体" w:cs="宋体"/>
                <w:bCs/>
                <w:kern w:val="0"/>
                <w:szCs w:val="21"/>
              </w:rPr>
              <w:t>3.构成犯罪的，依法追究刑事责任。</w:t>
            </w:r>
          </w:p>
        </w:tc>
      </w:tr>
      <w:tr w14:paraId="4129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295C3257">
            <w:pPr>
              <w:spacing w:line="240" w:lineRule="exact"/>
              <w:jc w:val="center"/>
              <w:rPr>
                <w:rFonts w:ascii="宋体" w:hAnsi="宋体" w:cs="宋体"/>
                <w:bCs/>
                <w:kern w:val="0"/>
                <w:szCs w:val="21"/>
              </w:rPr>
            </w:pPr>
          </w:p>
        </w:tc>
        <w:tc>
          <w:tcPr>
            <w:tcW w:w="989" w:type="dxa"/>
            <w:vMerge w:val="continue"/>
            <w:shd w:val="clear" w:color="auto" w:fill="FFFFFF"/>
            <w:vAlign w:val="center"/>
          </w:tcPr>
          <w:p w14:paraId="0DF273E8">
            <w:pPr>
              <w:spacing w:line="240" w:lineRule="exact"/>
              <w:rPr>
                <w:rFonts w:ascii="宋体" w:hAnsi="宋体" w:cs="宋体"/>
                <w:bCs/>
                <w:kern w:val="0"/>
                <w:szCs w:val="21"/>
              </w:rPr>
            </w:pPr>
          </w:p>
        </w:tc>
        <w:tc>
          <w:tcPr>
            <w:tcW w:w="3586" w:type="dxa"/>
            <w:vMerge w:val="continue"/>
            <w:shd w:val="clear" w:color="auto" w:fill="FFFFFF"/>
            <w:vAlign w:val="center"/>
          </w:tcPr>
          <w:p w14:paraId="18E8DD9E">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0E081F2E">
            <w:pPr>
              <w:spacing w:line="240" w:lineRule="exact"/>
              <w:ind w:firstLine="420" w:firstLineChars="200"/>
              <w:rPr>
                <w:rFonts w:ascii="宋体" w:hAnsi="宋体" w:cs="宋体"/>
                <w:bCs/>
                <w:kern w:val="0"/>
                <w:szCs w:val="21"/>
              </w:rPr>
            </w:pPr>
          </w:p>
        </w:tc>
        <w:tc>
          <w:tcPr>
            <w:tcW w:w="738" w:type="dxa"/>
            <w:shd w:val="clear" w:color="auto" w:fill="FFFFFF"/>
            <w:vAlign w:val="center"/>
          </w:tcPr>
          <w:p w14:paraId="35F5D420">
            <w:pPr>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54A477EE">
            <w:pPr>
              <w:textAlignment w:val="center"/>
              <w:rPr>
                <w:rFonts w:ascii="宋体" w:hAnsi="宋体" w:cs="宋体"/>
                <w:bCs/>
                <w:kern w:val="0"/>
                <w:szCs w:val="21"/>
              </w:rPr>
            </w:pPr>
            <w:r>
              <w:rPr>
                <w:rFonts w:hint="eastAsia" w:ascii="宋体" w:hAnsi="宋体" w:cs="宋体"/>
                <w:color w:val="000000"/>
                <w:kern w:val="0"/>
                <w:szCs w:val="21"/>
              </w:rPr>
              <w:t>因透露、泄露的信息实际影响中标结果；或者虽没中标但造成恶劣影响的</w:t>
            </w:r>
          </w:p>
        </w:tc>
        <w:tc>
          <w:tcPr>
            <w:tcW w:w="2983" w:type="dxa"/>
            <w:gridSpan w:val="3"/>
            <w:shd w:val="clear" w:color="auto" w:fill="FFFFFF"/>
            <w:vAlign w:val="center"/>
          </w:tcPr>
          <w:p w14:paraId="5C117347">
            <w:pPr>
              <w:spacing w:line="240" w:lineRule="exact"/>
              <w:rPr>
                <w:rFonts w:ascii="宋体" w:hAnsi="宋体" w:cs="宋体"/>
                <w:bCs/>
                <w:kern w:val="0"/>
                <w:szCs w:val="21"/>
              </w:rPr>
            </w:pPr>
            <w:r>
              <w:rPr>
                <w:rFonts w:hint="eastAsia" w:ascii="宋体" w:hAnsi="宋体" w:cs="宋体"/>
                <w:bCs/>
                <w:kern w:val="0"/>
                <w:szCs w:val="21"/>
              </w:rPr>
              <w:t>1.给予警告；</w:t>
            </w:r>
          </w:p>
          <w:p w14:paraId="43A164C3">
            <w:pPr>
              <w:spacing w:line="240" w:lineRule="exact"/>
              <w:rPr>
                <w:rFonts w:ascii="宋体" w:hAnsi="宋体" w:cs="宋体"/>
                <w:bCs/>
                <w:kern w:val="0"/>
                <w:szCs w:val="21"/>
              </w:rPr>
            </w:pPr>
            <w:r>
              <w:rPr>
                <w:rFonts w:hint="eastAsia" w:ascii="宋体" w:hAnsi="宋体" w:cs="宋体"/>
                <w:bCs/>
                <w:kern w:val="0"/>
                <w:szCs w:val="21"/>
              </w:rPr>
              <w:t>2.</w:t>
            </w:r>
            <w:r>
              <w:rPr>
                <w:rFonts w:hint="eastAsia" w:ascii="宋体" w:hAnsi="宋体" w:cs="宋体"/>
                <w:color w:val="000000"/>
                <w:kern w:val="0"/>
                <w:szCs w:val="21"/>
              </w:rPr>
              <w:t>责令改正，10万元</w:t>
            </w:r>
            <w:r>
              <w:rPr>
                <w:rFonts w:hint="eastAsia" w:ascii="宋体" w:hAnsi="宋体" w:cs="宋体"/>
                <w:bCs/>
                <w:kern w:val="0"/>
                <w:szCs w:val="21"/>
              </w:rPr>
              <w:t>的罚款；</w:t>
            </w:r>
          </w:p>
          <w:p w14:paraId="48632D34">
            <w:pPr>
              <w:spacing w:line="240" w:lineRule="exact"/>
              <w:rPr>
                <w:rFonts w:ascii="宋体" w:hAnsi="宋体" w:cs="宋体"/>
                <w:bCs/>
                <w:kern w:val="0"/>
                <w:szCs w:val="21"/>
              </w:rPr>
            </w:pPr>
            <w:r>
              <w:rPr>
                <w:rFonts w:hint="eastAsia" w:ascii="宋体" w:hAnsi="宋体" w:cs="宋体"/>
                <w:bCs/>
                <w:kern w:val="0"/>
                <w:szCs w:val="21"/>
              </w:rPr>
              <w:t>3.影响中标结果的，中标无效；</w:t>
            </w:r>
          </w:p>
          <w:p w14:paraId="28C8275F">
            <w:pPr>
              <w:spacing w:line="240" w:lineRule="exact"/>
              <w:rPr>
                <w:rFonts w:ascii="宋体" w:hAnsi="宋体" w:cs="宋体"/>
                <w:bCs/>
                <w:kern w:val="0"/>
                <w:szCs w:val="21"/>
              </w:rPr>
            </w:pPr>
            <w:r>
              <w:rPr>
                <w:rFonts w:hint="eastAsia" w:ascii="宋体" w:hAnsi="宋体" w:cs="宋体"/>
                <w:bCs/>
                <w:kern w:val="0"/>
                <w:szCs w:val="21"/>
              </w:rPr>
              <w:t>4.构成犯罪的，依法追究刑事责任。</w:t>
            </w:r>
          </w:p>
        </w:tc>
      </w:tr>
      <w:tr w14:paraId="74F3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0" w:hRule="atLeast"/>
          <w:jc w:val="center"/>
        </w:trPr>
        <w:tc>
          <w:tcPr>
            <w:tcW w:w="539" w:type="dxa"/>
            <w:vMerge w:val="restart"/>
            <w:shd w:val="clear" w:color="auto" w:fill="FFFFFF"/>
            <w:vAlign w:val="center"/>
          </w:tcPr>
          <w:p w14:paraId="6D8229D9">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447</w:t>
            </w:r>
          </w:p>
        </w:tc>
        <w:tc>
          <w:tcPr>
            <w:tcW w:w="989" w:type="dxa"/>
            <w:vMerge w:val="restart"/>
            <w:shd w:val="clear" w:color="auto" w:fill="FFFFFF"/>
            <w:vAlign w:val="center"/>
          </w:tcPr>
          <w:p w14:paraId="007B3CAF">
            <w:pPr>
              <w:spacing w:line="240" w:lineRule="exact"/>
              <w:rPr>
                <w:rFonts w:ascii="宋体" w:hAnsi="宋体" w:cs="宋体"/>
                <w:bCs/>
                <w:kern w:val="0"/>
                <w:szCs w:val="21"/>
              </w:rPr>
            </w:pPr>
            <w:r>
              <w:rPr>
                <w:rFonts w:hint="eastAsia" w:ascii="宋体" w:hAnsi="宋体" w:cs="宋体"/>
                <w:color w:val="000000"/>
                <w:kern w:val="0"/>
                <w:szCs w:val="21"/>
              </w:rPr>
              <w:t>投标人相互串通投标或者与招标人串通投标，或者向招标人或者评标委员会成员行贿谋取中标</w:t>
            </w:r>
          </w:p>
        </w:tc>
        <w:tc>
          <w:tcPr>
            <w:tcW w:w="3586" w:type="dxa"/>
            <w:vMerge w:val="restart"/>
            <w:shd w:val="clear" w:color="auto" w:fill="FFFFFF"/>
            <w:vAlign w:val="center"/>
          </w:tcPr>
          <w:p w14:paraId="74CFF27A">
            <w:pPr>
              <w:widowControl/>
              <w:textAlignment w:val="center"/>
              <w:rPr>
                <w:rFonts w:ascii="宋体" w:hAnsi="宋体" w:cs="宋体"/>
                <w:color w:val="000000"/>
                <w:kern w:val="0"/>
                <w:szCs w:val="21"/>
              </w:rPr>
            </w:pPr>
            <w:r>
              <w:rPr>
                <w:rFonts w:hint="eastAsia" w:ascii="宋体" w:hAnsi="宋体" w:cs="宋体"/>
                <w:color w:val="000000"/>
                <w:kern w:val="0"/>
                <w:szCs w:val="21"/>
              </w:rPr>
              <w:t>1.《中华人民共和国招标投标法》第三十二条  投标人不得相互串通投标报价，不得排挤其他投标人的公平竞争，损害招标人或者其他投标人的合法权益。</w:t>
            </w:r>
          </w:p>
          <w:p w14:paraId="1FCEF80B">
            <w:pPr>
              <w:widowControl/>
              <w:textAlignment w:val="center"/>
              <w:rPr>
                <w:rFonts w:ascii="宋体" w:hAnsi="宋体" w:cs="宋体"/>
                <w:color w:val="000000"/>
                <w:kern w:val="0"/>
                <w:szCs w:val="21"/>
              </w:rPr>
            </w:pPr>
            <w:r>
              <w:rPr>
                <w:rFonts w:hint="eastAsia" w:ascii="宋体" w:hAnsi="宋体" w:cs="宋体"/>
                <w:color w:val="000000"/>
                <w:kern w:val="0"/>
                <w:szCs w:val="21"/>
              </w:rPr>
              <w:t>投标人不得与招标人串通投标，损害国家利益、社会公共利益或者他人的合法权益。</w:t>
            </w:r>
          </w:p>
          <w:p w14:paraId="631A16AD">
            <w:pPr>
              <w:widowControl/>
              <w:textAlignment w:val="center"/>
              <w:rPr>
                <w:rFonts w:ascii="宋体" w:hAnsi="宋体" w:cs="宋体"/>
                <w:color w:val="000000"/>
                <w:kern w:val="0"/>
                <w:szCs w:val="21"/>
              </w:rPr>
            </w:pPr>
            <w:r>
              <w:rPr>
                <w:rFonts w:hint="eastAsia" w:ascii="宋体" w:hAnsi="宋体" w:cs="宋体"/>
                <w:color w:val="000000"/>
                <w:kern w:val="0"/>
                <w:szCs w:val="21"/>
              </w:rPr>
              <w:t>禁止投标人以向招标人或者评标委员会成员行贿的手段谋取中标。</w:t>
            </w:r>
          </w:p>
          <w:p w14:paraId="283B1C99">
            <w:pPr>
              <w:widowControl/>
              <w:textAlignment w:val="center"/>
              <w:rPr>
                <w:rFonts w:ascii="宋体" w:hAnsi="宋体" w:cs="宋体"/>
                <w:color w:val="000000"/>
                <w:kern w:val="0"/>
                <w:szCs w:val="21"/>
              </w:rPr>
            </w:pPr>
            <w:r>
              <w:rPr>
                <w:rFonts w:hint="eastAsia" w:ascii="宋体" w:hAnsi="宋体" w:cs="宋体"/>
                <w:color w:val="000000"/>
                <w:kern w:val="0"/>
                <w:szCs w:val="21"/>
              </w:rPr>
              <w:t>2.《中华人民共和国招标投标法实施条例》第三十九条 禁止投标人相互串通投标。有下列情形之一的，属于投标人相互串通投标：（一）投标人之间协商投标报价等投标文件的实质性内容；（二）投标人之间约定中标人；（三）投标人之间约定部分投标人放弃投标或者中标；（四）属于同一集团、协会、商会等组织成员的投标人按照该组织要求协同投标；（五）投标人之间为谋取中标或者排斥特定投标人而采取的其他联合行动。</w:t>
            </w:r>
          </w:p>
          <w:p w14:paraId="4158E3FA">
            <w:pPr>
              <w:widowControl/>
              <w:textAlignment w:val="center"/>
              <w:rPr>
                <w:rFonts w:ascii="宋体" w:hAnsi="宋体" w:cs="宋体"/>
                <w:color w:val="000000"/>
                <w:kern w:val="0"/>
                <w:szCs w:val="21"/>
              </w:rPr>
            </w:pPr>
            <w:r>
              <w:rPr>
                <w:rFonts w:hint="eastAsia" w:ascii="宋体" w:hAnsi="宋体" w:cs="宋体"/>
                <w:color w:val="000000"/>
                <w:kern w:val="0"/>
                <w:szCs w:val="21"/>
              </w:rPr>
              <w:t>第四十条有下列情形之一的，视为投标人相互串通投标：（一）不同投标人的投标文件由同一单位或者个人编制；（二）不同投标人委托同一单位或者个人办理投标事宜；（三）不同投标人的投标文件载明的项目管理成员为同一人；（四）不同投标人的投标文件异常一致或者投标报价呈规律性差异；（五）不同投标人的投标文件相互混装；（六）不同投标人的投标保证金从同一单位或者个人的账户转出。</w:t>
            </w:r>
          </w:p>
          <w:p w14:paraId="23C6E3EF">
            <w:pPr>
              <w:spacing w:line="240" w:lineRule="exact"/>
              <w:ind w:firstLine="420" w:firstLineChars="200"/>
              <w:rPr>
                <w:rFonts w:ascii="宋体" w:hAnsi="宋体" w:cs="宋体"/>
                <w:bCs/>
                <w:kern w:val="0"/>
                <w:szCs w:val="21"/>
              </w:rPr>
            </w:pPr>
            <w:r>
              <w:rPr>
                <w:rFonts w:hint="eastAsia" w:ascii="宋体" w:hAnsi="宋体" w:cs="宋体"/>
                <w:color w:val="000000"/>
                <w:kern w:val="0"/>
                <w:szCs w:val="21"/>
              </w:rPr>
              <w:t>第四十一条禁止招标人与投标人串通投标。有下列情形之一的，属于招标人与投标人串通投标：（一）招标人在开标前开启投标文件并将有关信息泄露给其他投标人；（二）招标人直接或者间接向投标人泄露标底、评标委员会成员等信息；（三）招标人明示或者暗示投标人压低或者抬高投标报价；（四）招标人授意投标人撤换、修改投标文件；（五）招标人明示或者暗示投标人为特定投标人中标提供方便；（六）招标人与投标人为谋求特定投标人中标而采取的其他串通行为。</w:t>
            </w:r>
          </w:p>
        </w:tc>
        <w:tc>
          <w:tcPr>
            <w:tcW w:w="4181" w:type="dxa"/>
            <w:vMerge w:val="restart"/>
            <w:shd w:val="clear" w:color="auto" w:fill="FFFFFF"/>
            <w:vAlign w:val="center"/>
          </w:tcPr>
          <w:p w14:paraId="3778826F">
            <w:pPr>
              <w:widowControl/>
              <w:textAlignment w:val="center"/>
              <w:rPr>
                <w:rFonts w:ascii="宋体" w:hAnsi="宋体" w:cs="宋体"/>
                <w:color w:val="000000"/>
                <w:kern w:val="0"/>
                <w:szCs w:val="21"/>
              </w:rPr>
            </w:pPr>
            <w:r>
              <w:rPr>
                <w:rFonts w:hint="eastAsia" w:ascii="宋体" w:hAnsi="宋体" w:cs="宋体"/>
                <w:color w:val="000000"/>
                <w:kern w:val="0"/>
                <w:szCs w:val="21"/>
              </w:rPr>
              <w:t>1.《中华人民共和国招标投标法》第五十三条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0F1E352D">
            <w:pPr>
              <w:widowControl/>
              <w:textAlignment w:val="center"/>
              <w:rPr>
                <w:rFonts w:ascii="宋体" w:hAnsi="宋体" w:cs="宋体"/>
                <w:color w:val="000000"/>
                <w:kern w:val="0"/>
                <w:szCs w:val="21"/>
              </w:rPr>
            </w:pPr>
            <w:r>
              <w:rPr>
                <w:rFonts w:hint="eastAsia" w:ascii="宋体" w:hAnsi="宋体" w:cs="宋体"/>
                <w:color w:val="000000"/>
                <w:kern w:val="0"/>
                <w:szCs w:val="21"/>
              </w:rPr>
              <w:t>2.《中华人民共和国招标投标法实施条例》第六十七条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 依照招标投标法规定的比例计算。</w:t>
            </w:r>
          </w:p>
          <w:p w14:paraId="705AC9A8">
            <w:pPr>
              <w:widowControl/>
              <w:textAlignment w:val="center"/>
              <w:rPr>
                <w:rFonts w:ascii="宋体" w:hAnsi="宋体" w:cs="宋体"/>
                <w:color w:val="000000"/>
                <w:kern w:val="0"/>
                <w:szCs w:val="21"/>
              </w:rPr>
            </w:pPr>
            <w:r>
              <w:rPr>
                <w:rFonts w:hint="eastAsia" w:ascii="宋体" w:hAnsi="宋体" w:cs="宋体"/>
                <w:color w:val="000000"/>
                <w:kern w:val="0"/>
                <w:szCs w:val="21"/>
              </w:rPr>
              <w:t>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w:t>
            </w:r>
          </w:p>
          <w:p w14:paraId="541F5E9F">
            <w:pPr>
              <w:widowControl/>
              <w:textAlignment w:val="center"/>
              <w:rPr>
                <w:rFonts w:ascii="宋体" w:hAnsi="宋体" w:cs="宋体"/>
                <w:color w:val="000000"/>
                <w:kern w:val="0"/>
                <w:szCs w:val="21"/>
              </w:rPr>
            </w:pPr>
            <w:r>
              <w:rPr>
                <w:rFonts w:hint="eastAsia" w:ascii="宋体" w:hAnsi="宋体" w:cs="宋体"/>
                <w:color w:val="000000"/>
                <w:kern w:val="0"/>
                <w:szCs w:val="21"/>
              </w:rPr>
              <w:t>投标人自本条第二款规定的处罚执行期限届满之日起3年内又有该款所列违法行为之一的，或者串通投标、以行贿谋取中标情节特别严重的，由工商行政管理机关吊销营业执照。</w:t>
            </w:r>
          </w:p>
          <w:p w14:paraId="4F5F4AFF">
            <w:pPr>
              <w:spacing w:line="240" w:lineRule="exact"/>
              <w:ind w:firstLine="420" w:firstLineChars="200"/>
              <w:rPr>
                <w:rFonts w:ascii="宋体" w:hAnsi="宋体" w:cs="宋体"/>
                <w:bCs/>
                <w:kern w:val="0"/>
                <w:szCs w:val="21"/>
              </w:rPr>
            </w:pPr>
            <w:r>
              <w:rPr>
                <w:rFonts w:hint="eastAsia" w:ascii="宋体" w:hAnsi="宋体" w:cs="宋体"/>
                <w:color w:val="000000"/>
                <w:kern w:val="0"/>
                <w:szCs w:val="21"/>
              </w:rPr>
              <w:t>法律、行政法规对串通投标报价行为的处罚另有规定的，从其规定。</w:t>
            </w:r>
          </w:p>
        </w:tc>
        <w:tc>
          <w:tcPr>
            <w:tcW w:w="738" w:type="dxa"/>
            <w:vMerge w:val="restart"/>
            <w:shd w:val="clear" w:color="auto" w:fill="FFFFFF"/>
            <w:vAlign w:val="center"/>
          </w:tcPr>
          <w:p w14:paraId="6934FBFA">
            <w:pPr>
              <w:widowControl/>
              <w:jc w:val="center"/>
              <w:textAlignment w:val="center"/>
              <w:rPr>
                <w:rFonts w:ascii="宋体" w:hAnsi="宋体" w:cs="宋体"/>
                <w:color w:val="000000"/>
                <w:szCs w:val="21"/>
              </w:rPr>
            </w:pPr>
            <w:r>
              <w:rPr>
                <w:rFonts w:hint="eastAsia" w:ascii="宋体" w:hAnsi="宋体" w:cs="宋体"/>
                <w:color w:val="000000"/>
                <w:szCs w:val="21"/>
              </w:rPr>
              <w:t>一般</w:t>
            </w:r>
          </w:p>
        </w:tc>
        <w:tc>
          <w:tcPr>
            <w:tcW w:w="3305" w:type="dxa"/>
            <w:vMerge w:val="restart"/>
            <w:shd w:val="clear" w:color="auto" w:fill="FFFFFF"/>
            <w:vAlign w:val="center"/>
          </w:tcPr>
          <w:p w14:paraId="50A7E40A">
            <w:pPr>
              <w:widowControl/>
              <w:textAlignment w:val="center"/>
              <w:rPr>
                <w:rFonts w:ascii="宋体" w:hAnsi="宋体" w:cs="宋体"/>
                <w:color w:val="000000"/>
                <w:kern w:val="0"/>
                <w:szCs w:val="21"/>
              </w:rPr>
            </w:pPr>
            <w:r>
              <w:rPr>
                <w:rFonts w:hint="eastAsia" w:ascii="宋体" w:hAnsi="宋体" w:cs="宋体"/>
                <w:color w:val="000000"/>
                <w:kern w:val="0"/>
                <w:szCs w:val="21"/>
              </w:rPr>
              <w:t>投标人相互串通投标或与招标人串通投标</w:t>
            </w:r>
          </w:p>
        </w:tc>
        <w:tc>
          <w:tcPr>
            <w:tcW w:w="752" w:type="dxa"/>
            <w:gridSpan w:val="2"/>
            <w:shd w:val="clear" w:color="auto" w:fill="FFFFFF"/>
            <w:vAlign w:val="center"/>
          </w:tcPr>
          <w:p w14:paraId="4BCE8862">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2231" w:type="dxa"/>
            <w:shd w:val="clear" w:color="auto" w:fill="FFFFFF"/>
            <w:vAlign w:val="center"/>
          </w:tcPr>
          <w:p w14:paraId="190AC481">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0605CB8D">
            <w:pPr>
              <w:spacing w:line="240" w:lineRule="exact"/>
              <w:rPr>
                <w:rFonts w:ascii="宋体" w:hAnsi="宋体" w:cs="宋体"/>
                <w:color w:val="000000"/>
                <w:kern w:val="0"/>
                <w:szCs w:val="21"/>
              </w:rPr>
            </w:pPr>
            <w:r>
              <w:rPr>
                <w:rFonts w:hint="eastAsia" w:ascii="宋体" w:hAnsi="宋体" w:cs="宋体"/>
                <w:color w:val="000000"/>
                <w:kern w:val="0"/>
                <w:szCs w:val="21"/>
              </w:rPr>
              <w:t>2.处中标项目金额5‰的罚款；</w:t>
            </w:r>
          </w:p>
          <w:p w14:paraId="3ACB1C05">
            <w:pPr>
              <w:spacing w:line="240" w:lineRule="exact"/>
              <w:rPr>
                <w:rFonts w:ascii="宋体" w:hAnsi="宋体" w:cs="宋体"/>
                <w:color w:val="000000"/>
                <w:kern w:val="0"/>
                <w:szCs w:val="21"/>
              </w:rPr>
            </w:pPr>
            <w:r>
              <w:rPr>
                <w:rFonts w:hint="eastAsia" w:ascii="宋体" w:hAnsi="宋体" w:cs="宋体"/>
                <w:color w:val="000000"/>
                <w:kern w:val="0"/>
                <w:szCs w:val="21"/>
              </w:rPr>
              <w:t>3.构成犯罪的，依法追究刑事责任。给他人造成损失的，依法承担赔偿责任；</w:t>
            </w:r>
          </w:p>
          <w:p w14:paraId="39CDE75B">
            <w:pPr>
              <w:spacing w:line="240" w:lineRule="exact"/>
              <w:rPr>
                <w:rFonts w:ascii="宋体" w:hAnsi="宋体" w:cs="宋体"/>
                <w:color w:val="000000"/>
                <w:szCs w:val="21"/>
              </w:rPr>
            </w:pPr>
            <w:r>
              <w:rPr>
                <w:rFonts w:hint="eastAsia" w:ascii="宋体" w:hAnsi="宋体" w:cs="宋体"/>
                <w:color w:val="000000"/>
                <w:kern w:val="0"/>
                <w:szCs w:val="21"/>
              </w:rPr>
              <w:t>4.</w:t>
            </w:r>
            <w:r>
              <w:rPr>
                <w:rFonts w:hint="eastAsia" w:ascii="宋体" w:hAnsi="宋体" w:cs="宋体"/>
                <w:color w:val="000000"/>
                <w:szCs w:val="21"/>
              </w:rPr>
              <w:t>注意串通投标犯罪刑事立案标准，移送公安，出具不构成刑事犯罪文书的，再由行政机关处理；</w:t>
            </w:r>
          </w:p>
          <w:p w14:paraId="2E3E2EA8">
            <w:pPr>
              <w:spacing w:line="240" w:lineRule="exact"/>
              <w:rPr>
                <w:rFonts w:ascii="宋体" w:hAnsi="宋体" w:cs="宋体"/>
                <w:bCs/>
                <w:kern w:val="0"/>
                <w:szCs w:val="21"/>
              </w:rPr>
            </w:pPr>
            <w:r>
              <w:rPr>
                <w:rFonts w:hint="eastAsia" w:ascii="宋体" w:hAnsi="宋体" w:cs="宋体"/>
                <w:color w:val="000000"/>
                <w:szCs w:val="21"/>
              </w:rPr>
              <w:t>5.</w:t>
            </w:r>
            <w:r>
              <w:rPr>
                <w:rFonts w:hint="eastAsia" w:ascii="宋体" w:hAnsi="宋体" w:cs="宋体"/>
                <w:bCs/>
                <w:kern w:val="0"/>
                <w:szCs w:val="21"/>
              </w:rPr>
              <w:t>中标无效。</w:t>
            </w:r>
          </w:p>
        </w:tc>
      </w:tr>
      <w:tr w14:paraId="117E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0" w:hRule="atLeast"/>
          <w:jc w:val="center"/>
        </w:trPr>
        <w:tc>
          <w:tcPr>
            <w:tcW w:w="539" w:type="dxa"/>
            <w:vMerge w:val="continue"/>
            <w:shd w:val="clear" w:color="auto" w:fill="FFFFFF"/>
            <w:vAlign w:val="center"/>
          </w:tcPr>
          <w:p w14:paraId="51B9B4C6">
            <w:pPr>
              <w:spacing w:line="240" w:lineRule="exact"/>
              <w:rPr>
                <w:rFonts w:ascii="宋体" w:hAnsi="宋体" w:cs="宋体"/>
                <w:szCs w:val="21"/>
              </w:rPr>
            </w:pPr>
          </w:p>
        </w:tc>
        <w:tc>
          <w:tcPr>
            <w:tcW w:w="989" w:type="dxa"/>
            <w:vMerge w:val="continue"/>
            <w:shd w:val="clear" w:color="auto" w:fill="FFFFFF"/>
            <w:vAlign w:val="center"/>
          </w:tcPr>
          <w:p w14:paraId="5536DDBF">
            <w:pPr>
              <w:spacing w:line="240" w:lineRule="exact"/>
              <w:rPr>
                <w:rFonts w:ascii="宋体" w:hAnsi="宋体" w:cs="宋体"/>
                <w:szCs w:val="21"/>
              </w:rPr>
            </w:pPr>
          </w:p>
        </w:tc>
        <w:tc>
          <w:tcPr>
            <w:tcW w:w="3586" w:type="dxa"/>
            <w:vMerge w:val="continue"/>
            <w:shd w:val="clear" w:color="auto" w:fill="FFFFFF"/>
            <w:vAlign w:val="center"/>
          </w:tcPr>
          <w:p w14:paraId="1E9D9C7D">
            <w:pPr>
              <w:spacing w:line="240" w:lineRule="exact"/>
              <w:rPr>
                <w:rFonts w:ascii="宋体" w:hAnsi="宋体" w:cs="宋体"/>
                <w:szCs w:val="21"/>
              </w:rPr>
            </w:pPr>
          </w:p>
        </w:tc>
        <w:tc>
          <w:tcPr>
            <w:tcW w:w="4181" w:type="dxa"/>
            <w:vMerge w:val="continue"/>
            <w:shd w:val="clear" w:color="auto" w:fill="FFFFFF"/>
            <w:vAlign w:val="center"/>
          </w:tcPr>
          <w:p w14:paraId="2E86E6A1">
            <w:pPr>
              <w:spacing w:line="240" w:lineRule="exact"/>
              <w:rPr>
                <w:rFonts w:ascii="宋体" w:hAnsi="宋体" w:cs="宋体"/>
                <w:szCs w:val="21"/>
              </w:rPr>
            </w:pPr>
          </w:p>
        </w:tc>
        <w:tc>
          <w:tcPr>
            <w:tcW w:w="738" w:type="dxa"/>
            <w:vMerge w:val="continue"/>
            <w:shd w:val="clear" w:color="auto" w:fill="FFFFFF"/>
            <w:vAlign w:val="center"/>
          </w:tcPr>
          <w:p w14:paraId="5440D112">
            <w:pPr>
              <w:spacing w:line="240" w:lineRule="exact"/>
              <w:rPr>
                <w:rFonts w:ascii="宋体" w:hAnsi="宋体" w:cs="宋体"/>
                <w:szCs w:val="21"/>
              </w:rPr>
            </w:pPr>
          </w:p>
        </w:tc>
        <w:tc>
          <w:tcPr>
            <w:tcW w:w="3305" w:type="dxa"/>
            <w:vMerge w:val="continue"/>
            <w:shd w:val="clear" w:color="auto" w:fill="FFFFFF"/>
            <w:vAlign w:val="center"/>
          </w:tcPr>
          <w:p w14:paraId="1A42EE34">
            <w:pPr>
              <w:spacing w:line="240" w:lineRule="exact"/>
              <w:rPr>
                <w:rFonts w:ascii="宋体" w:hAnsi="宋体" w:cs="宋体"/>
                <w:szCs w:val="21"/>
              </w:rPr>
            </w:pPr>
          </w:p>
        </w:tc>
        <w:tc>
          <w:tcPr>
            <w:tcW w:w="752" w:type="dxa"/>
            <w:gridSpan w:val="2"/>
            <w:shd w:val="clear" w:color="auto" w:fill="FFFFFF"/>
            <w:vAlign w:val="center"/>
          </w:tcPr>
          <w:p w14:paraId="7DCE25B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个人</w:t>
            </w:r>
          </w:p>
        </w:tc>
        <w:tc>
          <w:tcPr>
            <w:tcW w:w="2231" w:type="dxa"/>
            <w:shd w:val="clear" w:color="auto" w:fill="FFFFFF"/>
            <w:vAlign w:val="center"/>
          </w:tcPr>
          <w:p w14:paraId="77A7EDF9">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57C3BBF7">
            <w:pPr>
              <w:spacing w:line="240" w:lineRule="exact"/>
              <w:rPr>
                <w:rFonts w:ascii="宋体" w:hAnsi="宋体" w:cs="宋体"/>
                <w:color w:val="000000"/>
                <w:kern w:val="0"/>
                <w:szCs w:val="21"/>
              </w:rPr>
            </w:pPr>
            <w:r>
              <w:rPr>
                <w:rFonts w:hint="eastAsia" w:ascii="宋体" w:hAnsi="宋体" w:cs="宋体"/>
                <w:color w:val="000000"/>
                <w:kern w:val="0"/>
                <w:szCs w:val="21"/>
              </w:rPr>
              <w:t>2.对单位直接负责的主管人员和其他直接责任人员处单位罚款数额5%的罚款；</w:t>
            </w:r>
          </w:p>
          <w:p w14:paraId="1E7AEF72">
            <w:pPr>
              <w:spacing w:line="240" w:lineRule="exact"/>
              <w:rPr>
                <w:rFonts w:ascii="宋体" w:hAnsi="宋体" w:cs="宋体"/>
                <w:color w:val="000000"/>
                <w:kern w:val="0"/>
                <w:szCs w:val="21"/>
              </w:rPr>
            </w:pPr>
            <w:r>
              <w:rPr>
                <w:rFonts w:hint="eastAsia" w:ascii="宋体" w:hAnsi="宋体" w:cs="宋体"/>
                <w:color w:val="000000"/>
                <w:kern w:val="0"/>
                <w:szCs w:val="21"/>
              </w:rPr>
              <w:t>3.构成犯罪的，依法追究刑事责任。给他人造成损失的，依法承担赔偿责任；</w:t>
            </w:r>
          </w:p>
          <w:p w14:paraId="68D7E3D3">
            <w:pPr>
              <w:spacing w:line="240" w:lineRule="exact"/>
              <w:rPr>
                <w:rFonts w:ascii="宋体" w:hAnsi="宋体" w:cs="宋体"/>
                <w:szCs w:val="21"/>
              </w:rPr>
            </w:pPr>
            <w:r>
              <w:rPr>
                <w:rFonts w:hint="eastAsia" w:ascii="宋体" w:hAnsi="宋体" w:cs="宋体"/>
                <w:color w:val="000000"/>
                <w:kern w:val="0"/>
                <w:szCs w:val="21"/>
              </w:rPr>
              <w:t>4.</w:t>
            </w:r>
            <w:r>
              <w:rPr>
                <w:rFonts w:hint="eastAsia" w:ascii="宋体" w:hAnsi="宋体" w:cs="宋体"/>
                <w:color w:val="000000"/>
                <w:szCs w:val="21"/>
              </w:rPr>
              <w:t>注意串通投标犯罪刑事立案标准，移送公安，出具不构成刑事犯罪文书的，再由行政机关处理</w:t>
            </w:r>
            <w:r>
              <w:rPr>
                <w:rFonts w:hint="eastAsia" w:ascii="宋体" w:hAnsi="宋体" w:cs="宋体"/>
                <w:bCs/>
                <w:kern w:val="0"/>
                <w:szCs w:val="21"/>
              </w:rPr>
              <w:t>。</w:t>
            </w:r>
          </w:p>
        </w:tc>
      </w:tr>
      <w:tr w14:paraId="6AE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7" w:hRule="atLeast"/>
          <w:jc w:val="center"/>
        </w:trPr>
        <w:tc>
          <w:tcPr>
            <w:tcW w:w="539" w:type="dxa"/>
            <w:vMerge w:val="continue"/>
            <w:shd w:val="clear" w:color="auto" w:fill="FFFFFF"/>
            <w:vAlign w:val="center"/>
          </w:tcPr>
          <w:p w14:paraId="2F248EC9">
            <w:pPr>
              <w:spacing w:line="240" w:lineRule="exact"/>
              <w:jc w:val="center"/>
              <w:rPr>
                <w:rFonts w:ascii="宋体" w:hAnsi="宋体" w:cs="宋体"/>
                <w:bCs/>
                <w:kern w:val="0"/>
                <w:szCs w:val="21"/>
              </w:rPr>
            </w:pPr>
          </w:p>
        </w:tc>
        <w:tc>
          <w:tcPr>
            <w:tcW w:w="989" w:type="dxa"/>
            <w:vMerge w:val="continue"/>
            <w:shd w:val="clear" w:color="auto" w:fill="FFFFFF"/>
            <w:vAlign w:val="center"/>
          </w:tcPr>
          <w:p w14:paraId="369C86A8">
            <w:pPr>
              <w:spacing w:line="240" w:lineRule="exact"/>
              <w:rPr>
                <w:rFonts w:ascii="宋体" w:hAnsi="宋体" w:cs="宋体"/>
                <w:bCs/>
                <w:kern w:val="0"/>
                <w:szCs w:val="21"/>
              </w:rPr>
            </w:pPr>
          </w:p>
        </w:tc>
        <w:tc>
          <w:tcPr>
            <w:tcW w:w="3586" w:type="dxa"/>
            <w:vMerge w:val="continue"/>
            <w:shd w:val="clear" w:color="auto" w:fill="FFFFFF"/>
            <w:vAlign w:val="center"/>
          </w:tcPr>
          <w:p w14:paraId="61BAA69C">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4630632F">
            <w:pPr>
              <w:spacing w:line="240" w:lineRule="exact"/>
              <w:ind w:firstLine="420" w:firstLineChars="200"/>
              <w:rPr>
                <w:rFonts w:ascii="宋体" w:hAnsi="宋体" w:cs="宋体"/>
                <w:bCs/>
                <w:kern w:val="0"/>
                <w:szCs w:val="21"/>
              </w:rPr>
            </w:pPr>
          </w:p>
        </w:tc>
        <w:tc>
          <w:tcPr>
            <w:tcW w:w="738" w:type="dxa"/>
            <w:vMerge w:val="restart"/>
            <w:shd w:val="clear" w:color="auto" w:fill="FFFFFF"/>
            <w:vAlign w:val="center"/>
          </w:tcPr>
          <w:p w14:paraId="2651C811">
            <w:pPr>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305" w:type="dxa"/>
            <w:vMerge w:val="restart"/>
            <w:shd w:val="clear" w:color="auto" w:fill="FFFFFF"/>
            <w:vAlign w:val="center"/>
          </w:tcPr>
          <w:p w14:paraId="220CF182">
            <w:pPr>
              <w:textAlignment w:val="center"/>
              <w:rPr>
                <w:rFonts w:ascii="宋体" w:hAnsi="宋体" w:cs="宋体"/>
                <w:color w:val="000000"/>
                <w:kern w:val="0"/>
                <w:szCs w:val="21"/>
              </w:rPr>
            </w:pPr>
            <w:r>
              <w:rPr>
                <w:rFonts w:hint="eastAsia" w:ascii="宋体" w:hAnsi="宋体" w:cs="宋体"/>
                <w:color w:val="000000"/>
                <w:kern w:val="0"/>
                <w:szCs w:val="21"/>
              </w:rPr>
              <w:t>有下列情形之一的：</w:t>
            </w:r>
          </w:p>
          <w:p w14:paraId="01EDE200">
            <w:pPr>
              <w:textAlignment w:val="center"/>
              <w:rPr>
                <w:rFonts w:ascii="宋体" w:hAnsi="宋体" w:cs="宋体"/>
                <w:color w:val="000000"/>
                <w:kern w:val="0"/>
                <w:szCs w:val="21"/>
              </w:rPr>
            </w:pPr>
            <w:r>
              <w:rPr>
                <w:rFonts w:hint="eastAsia" w:ascii="宋体" w:hAnsi="宋体" w:cs="宋体"/>
                <w:color w:val="000000"/>
                <w:kern w:val="0"/>
                <w:szCs w:val="21"/>
              </w:rPr>
              <w:t>1以行贿谋取中标；</w:t>
            </w:r>
          </w:p>
          <w:p w14:paraId="5984FE48">
            <w:pPr>
              <w:textAlignment w:val="center"/>
              <w:rPr>
                <w:rFonts w:ascii="宋体" w:hAnsi="宋体" w:cs="宋体"/>
                <w:color w:val="000000"/>
                <w:kern w:val="0"/>
                <w:szCs w:val="21"/>
              </w:rPr>
            </w:pPr>
            <w:r>
              <w:rPr>
                <w:rFonts w:hint="eastAsia" w:ascii="宋体" w:hAnsi="宋体" w:cs="宋体"/>
                <w:color w:val="000000"/>
                <w:kern w:val="0"/>
                <w:szCs w:val="21"/>
              </w:rPr>
              <w:t>2.三年内二次以上串通投标；</w:t>
            </w:r>
          </w:p>
          <w:p w14:paraId="74DE5FDE">
            <w:pPr>
              <w:textAlignment w:val="center"/>
              <w:rPr>
                <w:rFonts w:ascii="宋体" w:hAnsi="宋体" w:cs="宋体"/>
                <w:color w:val="000000"/>
                <w:kern w:val="0"/>
                <w:szCs w:val="21"/>
              </w:rPr>
            </w:pPr>
            <w:r>
              <w:rPr>
                <w:rFonts w:hint="eastAsia" w:ascii="宋体" w:hAnsi="宋体" w:cs="宋体"/>
                <w:color w:val="000000"/>
                <w:kern w:val="0"/>
                <w:szCs w:val="21"/>
              </w:rPr>
              <w:t>3.串通投标行为损害招标人、其他投标人或者国家、集体、公民的合法利益，造成直接经济损失30万元以上；</w:t>
            </w:r>
          </w:p>
          <w:p w14:paraId="00779297">
            <w:pPr>
              <w:textAlignment w:val="center"/>
              <w:rPr>
                <w:rFonts w:ascii="宋体" w:hAnsi="宋体" w:cs="宋体"/>
                <w:color w:val="000000"/>
                <w:kern w:val="0"/>
                <w:szCs w:val="21"/>
              </w:rPr>
            </w:pPr>
            <w:r>
              <w:rPr>
                <w:rFonts w:hint="eastAsia" w:ascii="宋体" w:hAnsi="宋体" w:cs="宋体"/>
                <w:color w:val="000000"/>
                <w:kern w:val="0"/>
                <w:szCs w:val="21"/>
              </w:rPr>
              <w:t>4.其他串通投标情节严重的行为</w:t>
            </w:r>
          </w:p>
        </w:tc>
        <w:tc>
          <w:tcPr>
            <w:tcW w:w="752" w:type="dxa"/>
            <w:gridSpan w:val="2"/>
            <w:shd w:val="clear" w:color="auto" w:fill="FFFFFF"/>
            <w:vAlign w:val="center"/>
          </w:tcPr>
          <w:p w14:paraId="59AFF12D">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2231" w:type="dxa"/>
            <w:shd w:val="clear" w:color="auto" w:fill="FFFFFF"/>
            <w:vAlign w:val="center"/>
          </w:tcPr>
          <w:p w14:paraId="4A9EDD9F">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0CE96001">
            <w:pPr>
              <w:spacing w:line="240" w:lineRule="exact"/>
              <w:rPr>
                <w:rFonts w:ascii="宋体" w:hAnsi="宋体" w:cs="宋体"/>
                <w:color w:val="000000"/>
                <w:kern w:val="0"/>
                <w:szCs w:val="21"/>
              </w:rPr>
            </w:pPr>
            <w:r>
              <w:rPr>
                <w:rFonts w:hint="eastAsia" w:ascii="宋体" w:hAnsi="宋体" w:cs="宋体"/>
                <w:color w:val="000000"/>
                <w:kern w:val="0"/>
                <w:szCs w:val="21"/>
              </w:rPr>
              <w:t>2.处中标项目金额10‰的罚款；</w:t>
            </w:r>
          </w:p>
          <w:p w14:paraId="6518CDD4">
            <w:pPr>
              <w:spacing w:line="240" w:lineRule="exact"/>
              <w:rPr>
                <w:rFonts w:ascii="宋体" w:hAnsi="宋体" w:cs="宋体"/>
                <w:color w:val="000000"/>
                <w:kern w:val="0"/>
                <w:szCs w:val="21"/>
              </w:rPr>
            </w:pPr>
            <w:r>
              <w:rPr>
                <w:rFonts w:hint="eastAsia" w:ascii="宋体" w:hAnsi="宋体" w:cs="宋体"/>
                <w:color w:val="000000"/>
                <w:kern w:val="0"/>
                <w:szCs w:val="21"/>
              </w:rPr>
              <w:t>3.取消其一年至二年内参加依法必须进行招标的项目的投标资格并予以公告；</w:t>
            </w:r>
          </w:p>
          <w:p w14:paraId="51A5AD2E">
            <w:pPr>
              <w:spacing w:line="240" w:lineRule="exact"/>
              <w:rPr>
                <w:rFonts w:ascii="宋体" w:hAnsi="宋体" w:cs="宋体"/>
                <w:color w:val="000000"/>
                <w:kern w:val="0"/>
                <w:szCs w:val="21"/>
              </w:rPr>
            </w:pPr>
            <w:r>
              <w:rPr>
                <w:rFonts w:hint="eastAsia" w:ascii="宋体" w:hAnsi="宋体" w:cs="宋体"/>
                <w:color w:val="000000"/>
                <w:kern w:val="0"/>
                <w:szCs w:val="21"/>
              </w:rPr>
              <w:t>4.构成犯罪的，依法追究刑事责任。给他人造成损失的，依法承担赔偿责任；</w:t>
            </w:r>
          </w:p>
          <w:p w14:paraId="36118881">
            <w:pPr>
              <w:spacing w:line="240" w:lineRule="exact"/>
              <w:rPr>
                <w:rFonts w:ascii="宋体" w:hAnsi="宋体" w:cs="宋体"/>
                <w:color w:val="000000"/>
                <w:szCs w:val="21"/>
              </w:rPr>
            </w:pPr>
            <w:r>
              <w:rPr>
                <w:rFonts w:hint="eastAsia" w:ascii="宋体" w:hAnsi="宋体" w:cs="宋体"/>
                <w:color w:val="000000"/>
                <w:kern w:val="0"/>
                <w:szCs w:val="21"/>
              </w:rPr>
              <w:t>5.</w:t>
            </w:r>
            <w:r>
              <w:rPr>
                <w:rFonts w:hint="eastAsia" w:ascii="宋体" w:hAnsi="宋体" w:cs="宋体"/>
                <w:color w:val="000000"/>
                <w:szCs w:val="21"/>
              </w:rPr>
              <w:t>注意串通投标犯罪刑事立案标准，移送公安，出具不构成刑事犯罪文书的，再由行政机关处理；</w:t>
            </w:r>
          </w:p>
          <w:p w14:paraId="71937E32">
            <w:pPr>
              <w:spacing w:line="240" w:lineRule="exact"/>
              <w:rPr>
                <w:rFonts w:ascii="宋体" w:hAnsi="宋体" w:cs="宋体"/>
                <w:bCs/>
                <w:kern w:val="0"/>
                <w:szCs w:val="21"/>
              </w:rPr>
            </w:pPr>
            <w:r>
              <w:rPr>
                <w:rFonts w:hint="eastAsia" w:ascii="宋体" w:hAnsi="宋体" w:cs="宋体"/>
                <w:color w:val="000000"/>
                <w:szCs w:val="21"/>
              </w:rPr>
              <w:t>6.</w:t>
            </w:r>
            <w:r>
              <w:rPr>
                <w:rFonts w:hint="eastAsia" w:ascii="宋体" w:hAnsi="宋体" w:cs="宋体"/>
                <w:bCs/>
                <w:kern w:val="0"/>
                <w:szCs w:val="21"/>
              </w:rPr>
              <w:t>中标无效。</w:t>
            </w:r>
          </w:p>
        </w:tc>
      </w:tr>
      <w:tr w14:paraId="2DB8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7" w:hRule="atLeast"/>
          <w:jc w:val="center"/>
        </w:trPr>
        <w:tc>
          <w:tcPr>
            <w:tcW w:w="539" w:type="dxa"/>
            <w:vMerge w:val="continue"/>
            <w:shd w:val="clear" w:color="auto" w:fill="FFFFFF"/>
            <w:vAlign w:val="center"/>
          </w:tcPr>
          <w:p w14:paraId="70832CC3">
            <w:pPr>
              <w:spacing w:line="240" w:lineRule="exact"/>
              <w:rPr>
                <w:rFonts w:ascii="宋体" w:hAnsi="宋体" w:cs="宋体"/>
                <w:szCs w:val="21"/>
              </w:rPr>
            </w:pPr>
          </w:p>
        </w:tc>
        <w:tc>
          <w:tcPr>
            <w:tcW w:w="989" w:type="dxa"/>
            <w:vMerge w:val="continue"/>
            <w:shd w:val="clear" w:color="auto" w:fill="FFFFFF"/>
            <w:vAlign w:val="center"/>
          </w:tcPr>
          <w:p w14:paraId="6E406AD9">
            <w:pPr>
              <w:spacing w:line="240" w:lineRule="exact"/>
              <w:rPr>
                <w:rFonts w:ascii="宋体" w:hAnsi="宋体" w:cs="宋体"/>
                <w:szCs w:val="21"/>
              </w:rPr>
            </w:pPr>
          </w:p>
        </w:tc>
        <w:tc>
          <w:tcPr>
            <w:tcW w:w="3586" w:type="dxa"/>
            <w:vMerge w:val="continue"/>
            <w:shd w:val="clear" w:color="auto" w:fill="FFFFFF"/>
            <w:vAlign w:val="center"/>
          </w:tcPr>
          <w:p w14:paraId="03422B51">
            <w:pPr>
              <w:spacing w:line="240" w:lineRule="exact"/>
              <w:rPr>
                <w:rFonts w:ascii="宋体" w:hAnsi="宋体" w:cs="宋体"/>
                <w:szCs w:val="21"/>
              </w:rPr>
            </w:pPr>
          </w:p>
        </w:tc>
        <w:tc>
          <w:tcPr>
            <w:tcW w:w="4181" w:type="dxa"/>
            <w:vMerge w:val="continue"/>
            <w:shd w:val="clear" w:color="auto" w:fill="FFFFFF"/>
            <w:vAlign w:val="center"/>
          </w:tcPr>
          <w:p w14:paraId="52381070">
            <w:pPr>
              <w:spacing w:line="240" w:lineRule="exact"/>
              <w:rPr>
                <w:rFonts w:ascii="宋体" w:hAnsi="宋体" w:cs="宋体"/>
                <w:szCs w:val="21"/>
              </w:rPr>
            </w:pPr>
          </w:p>
        </w:tc>
        <w:tc>
          <w:tcPr>
            <w:tcW w:w="738" w:type="dxa"/>
            <w:vMerge w:val="continue"/>
            <w:shd w:val="clear" w:color="auto" w:fill="FFFFFF"/>
            <w:vAlign w:val="center"/>
          </w:tcPr>
          <w:p w14:paraId="7D85BA7B">
            <w:pPr>
              <w:spacing w:line="240" w:lineRule="exact"/>
              <w:rPr>
                <w:rFonts w:ascii="宋体" w:hAnsi="宋体" w:cs="宋体"/>
                <w:szCs w:val="21"/>
              </w:rPr>
            </w:pPr>
          </w:p>
        </w:tc>
        <w:tc>
          <w:tcPr>
            <w:tcW w:w="3305" w:type="dxa"/>
            <w:vMerge w:val="continue"/>
            <w:shd w:val="clear" w:color="auto" w:fill="FFFFFF"/>
            <w:vAlign w:val="center"/>
          </w:tcPr>
          <w:p w14:paraId="6039C6F3">
            <w:pPr>
              <w:spacing w:line="240" w:lineRule="exact"/>
              <w:rPr>
                <w:rFonts w:ascii="宋体" w:hAnsi="宋体" w:cs="宋体"/>
                <w:szCs w:val="21"/>
              </w:rPr>
            </w:pPr>
          </w:p>
        </w:tc>
        <w:tc>
          <w:tcPr>
            <w:tcW w:w="752" w:type="dxa"/>
            <w:gridSpan w:val="2"/>
            <w:shd w:val="clear" w:color="auto" w:fill="FFFFFF"/>
            <w:vAlign w:val="center"/>
          </w:tcPr>
          <w:p w14:paraId="08A0362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个人</w:t>
            </w:r>
          </w:p>
        </w:tc>
        <w:tc>
          <w:tcPr>
            <w:tcW w:w="2231" w:type="dxa"/>
            <w:shd w:val="clear" w:color="auto" w:fill="FFFFFF"/>
            <w:vAlign w:val="center"/>
          </w:tcPr>
          <w:p w14:paraId="5380278C">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3D2B110E">
            <w:pPr>
              <w:spacing w:line="240" w:lineRule="exact"/>
              <w:rPr>
                <w:rFonts w:ascii="宋体" w:hAnsi="宋体" w:cs="宋体"/>
                <w:color w:val="000000"/>
                <w:kern w:val="0"/>
                <w:szCs w:val="21"/>
              </w:rPr>
            </w:pPr>
            <w:r>
              <w:rPr>
                <w:rFonts w:hint="eastAsia" w:ascii="宋体" w:hAnsi="宋体" w:cs="宋体"/>
                <w:color w:val="000000"/>
                <w:kern w:val="0"/>
                <w:szCs w:val="21"/>
              </w:rPr>
              <w:t>2.对单位直接负责的主管人员和其他直接责任人员处单位罚款数额10%的罚款；</w:t>
            </w:r>
          </w:p>
          <w:p w14:paraId="0C6B8B25">
            <w:pPr>
              <w:spacing w:line="240" w:lineRule="exact"/>
              <w:rPr>
                <w:rFonts w:ascii="宋体" w:hAnsi="宋体" w:cs="宋体"/>
                <w:color w:val="000000"/>
                <w:kern w:val="0"/>
                <w:szCs w:val="21"/>
              </w:rPr>
            </w:pPr>
            <w:r>
              <w:rPr>
                <w:rFonts w:hint="eastAsia" w:ascii="宋体" w:hAnsi="宋体" w:cs="宋体"/>
                <w:color w:val="000000"/>
                <w:kern w:val="0"/>
                <w:szCs w:val="21"/>
              </w:rPr>
              <w:t>3.构成犯罪的，依法追究刑事责任。给他人造成损失的，依法承担赔偿责任；</w:t>
            </w:r>
          </w:p>
          <w:p w14:paraId="6001AB3B">
            <w:pPr>
              <w:spacing w:line="240" w:lineRule="exact"/>
              <w:rPr>
                <w:rFonts w:ascii="宋体" w:hAnsi="宋体" w:cs="宋体"/>
                <w:szCs w:val="21"/>
              </w:rPr>
            </w:pPr>
            <w:r>
              <w:rPr>
                <w:rFonts w:hint="eastAsia" w:ascii="宋体" w:hAnsi="宋体" w:cs="宋体"/>
                <w:color w:val="000000"/>
                <w:kern w:val="0"/>
                <w:szCs w:val="21"/>
              </w:rPr>
              <w:t>4.</w:t>
            </w:r>
            <w:r>
              <w:rPr>
                <w:rFonts w:hint="eastAsia" w:ascii="宋体" w:hAnsi="宋体" w:cs="宋体"/>
                <w:color w:val="000000"/>
                <w:szCs w:val="21"/>
              </w:rPr>
              <w:t>注意串通投标犯罪刑事立案标准，移送公安，出具不构成刑事犯罪文书的，再由行政机关处理</w:t>
            </w:r>
            <w:r>
              <w:rPr>
                <w:rFonts w:hint="eastAsia" w:ascii="宋体" w:hAnsi="宋体" w:cs="宋体"/>
                <w:bCs/>
                <w:kern w:val="0"/>
                <w:szCs w:val="21"/>
              </w:rPr>
              <w:t>。</w:t>
            </w:r>
          </w:p>
        </w:tc>
      </w:tr>
      <w:tr w14:paraId="37E4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86" w:hRule="atLeast"/>
          <w:jc w:val="center"/>
        </w:trPr>
        <w:tc>
          <w:tcPr>
            <w:tcW w:w="539" w:type="dxa"/>
            <w:vMerge w:val="continue"/>
            <w:shd w:val="clear" w:color="auto" w:fill="FFFFFF"/>
            <w:vAlign w:val="center"/>
          </w:tcPr>
          <w:p w14:paraId="24C44B94">
            <w:pPr>
              <w:spacing w:line="240" w:lineRule="exact"/>
              <w:jc w:val="center"/>
              <w:rPr>
                <w:rFonts w:ascii="宋体" w:hAnsi="宋体" w:cs="宋体"/>
                <w:bCs/>
                <w:kern w:val="0"/>
                <w:szCs w:val="21"/>
              </w:rPr>
            </w:pPr>
          </w:p>
        </w:tc>
        <w:tc>
          <w:tcPr>
            <w:tcW w:w="989" w:type="dxa"/>
            <w:vMerge w:val="continue"/>
            <w:shd w:val="clear" w:color="auto" w:fill="FFFFFF"/>
            <w:vAlign w:val="center"/>
          </w:tcPr>
          <w:p w14:paraId="58EA8592">
            <w:pPr>
              <w:spacing w:line="240" w:lineRule="exact"/>
              <w:rPr>
                <w:rFonts w:ascii="宋体" w:hAnsi="宋体" w:cs="宋体"/>
                <w:bCs/>
                <w:kern w:val="0"/>
                <w:szCs w:val="21"/>
              </w:rPr>
            </w:pPr>
          </w:p>
        </w:tc>
        <w:tc>
          <w:tcPr>
            <w:tcW w:w="3586" w:type="dxa"/>
            <w:vMerge w:val="continue"/>
            <w:shd w:val="clear" w:color="auto" w:fill="FFFFFF"/>
            <w:vAlign w:val="center"/>
          </w:tcPr>
          <w:p w14:paraId="7B9E65B6">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549AD547">
            <w:pPr>
              <w:spacing w:line="240" w:lineRule="exact"/>
              <w:ind w:firstLine="420" w:firstLineChars="200"/>
              <w:rPr>
                <w:rFonts w:ascii="宋体" w:hAnsi="宋体" w:cs="宋体"/>
                <w:bCs/>
                <w:kern w:val="0"/>
                <w:szCs w:val="21"/>
              </w:rPr>
            </w:pPr>
          </w:p>
        </w:tc>
        <w:tc>
          <w:tcPr>
            <w:tcW w:w="738" w:type="dxa"/>
            <w:vMerge w:val="restart"/>
            <w:shd w:val="clear" w:color="auto" w:fill="FFFFFF"/>
            <w:vAlign w:val="center"/>
          </w:tcPr>
          <w:p w14:paraId="756D900E">
            <w:pPr>
              <w:jc w:val="center"/>
              <w:textAlignment w:val="center"/>
              <w:rPr>
                <w:rFonts w:ascii="宋体" w:hAnsi="宋体" w:cs="宋体"/>
                <w:color w:val="000000"/>
                <w:kern w:val="0"/>
                <w:szCs w:val="21"/>
              </w:rPr>
            </w:pPr>
            <w:r>
              <w:rPr>
                <w:rFonts w:hint="eastAsia" w:ascii="宋体" w:hAnsi="宋体" w:cs="宋体"/>
                <w:color w:val="000000"/>
                <w:kern w:val="0"/>
                <w:szCs w:val="21"/>
              </w:rPr>
              <w:t>特别严重</w:t>
            </w:r>
          </w:p>
        </w:tc>
        <w:tc>
          <w:tcPr>
            <w:tcW w:w="3305" w:type="dxa"/>
            <w:vMerge w:val="restart"/>
            <w:shd w:val="clear" w:color="auto" w:fill="FFFFFF"/>
            <w:vAlign w:val="center"/>
          </w:tcPr>
          <w:p w14:paraId="5D51FD2D">
            <w:pPr>
              <w:textAlignment w:val="center"/>
              <w:rPr>
                <w:rFonts w:ascii="宋体" w:hAnsi="宋体" w:cs="宋体"/>
                <w:color w:val="000000"/>
                <w:kern w:val="0"/>
                <w:szCs w:val="21"/>
              </w:rPr>
            </w:pPr>
            <w:r>
              <w:rPr>
                <w:rFonts w:hint="eastAsia" w:ascii="宋体" w:hAnsi="宋体" w:cs="宋体"/>
                <w:color w:val="000000"/>
                <w:kern w:val="0"/>
                <w:szCs w:val="21"/>
              </w:rPr>
              <w:t>自严重情节处罚执行期限届满之日起3年内同类违法行为的，或者串通投标、以行贿谋取中标情节特别严重的</w:t>
            </w:r>
          </w:p>
        </w:tc>
        <w:tc>
          <w:tcPr>
            <w:tcW w:w="752" w:type="dxa"/>
            <w:gridSpan w:val="2"/>
            <w:shd w:val="clear" w:color="auto" w:fill="FFFFFF"/>
            <w:vAlign w:val="center"/>
          </w:tcPr>
          <w:p w14:paraId="0BE8489F">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2231" w:type="dxa"/>
            <w:shd w:val="clear" w:color="auto" w:fill="FFFFFF"/>
            <w:vAlign w:val="center"/>
          </w:tcPr>
          <w:p w14:paraId="6CFAD2BB">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251A2290">
            <w:pPr>
              <w:spacing w:line="240" w:lineRule="exact"/>
              <w:rPr>
                <w:rFonts w:ascii="宋体" w:hAnsi="宋体" w:cs="宋体"/>
                <w:color w:val="000000"/>
                <w:kern w:val="0"/>
                <w:szCs w:val="21"/>
              </w:rPr>
            </w:pPr>
            <w:r>
              <w:rPr>
                <w:rFonts w:hint="eastAsia" w:ascii="宋体" w:hAnsi="宋体" w:cs="宋体"/>
                <w:color w:val="000000"/>
                <w:kern w:val="0"/>
                <w:szCs w:val="21"/>
              </w:rPr>
              <w:t>2.处中标项目金额10‰的罚款；</w:t>
            </w:r>
          </w:p>
          <w:p w14:paraId="33322495">
            <w:pPr>
              <w:spacing w:line="240" w:lineRule="exact"/>
              <w:rPr>
                <w:rFonts w:ascii="宋体" w:hAnsi="宋体" w:cs="宋体"/>
                <w:color w:val="000000"/>
                <w:kern w:val="0"/>
                <w:szCs w:val="21"/>
              </w:rPr>
            </w:pPr>
            <w:r>
              <w:rPr>
                <w:rFonts w:hint="eastAsia" w:ascii="宋体" w:hAnsi="宋体" w:cs="宋体"/>
                <w:color w:val="000000"/>
                <w:kern w:val="0"/>
                <w:szCs w:val="21"/>
              </w:rPr>
              <w:t>3.移送工商行政管理机关吊销营业执照；</w:t>
            </w:r>
          </w:p>
          <w:p w14:paraId="3A6DD249">
            <w:pPr>
              <w:spacing w:line="240" w:lineRule="exact"/>
              <w:rPr>
                <w:rFonts w:ascii="宋体" w:hAnsi="宋体" w:cs="宋体"/>
                <w:color w:val="000000"/>
                <w:kern w:val="0"/>
                <w:szCs w:val="21"/>
              </w:rPr>
            </w:pPr>
            <w:r>
              <w:rPr>
                <w:rFonts w:hint="eastAsia" w:ascii="宋体" w:hAnsi="宋体" w:cs="宋体"/>
                <w:color w:val="000000"/>
                <w:kern w:val="0"/>
                <w:szCs w:val="21"/>
              </w:rPr>
              <w:t>4.构成犯罪的，依法追究刑事责任。给他人造成损失的，依法承担赔偿责任；</w:t>
            </w:r>
          </w:p>
          <w:p w14:paraId="698FFB9C">
            <w:pPr>
              <w:spacing w:line="240" w:lineRule="exact"/>
              <w:rPr>
                <w:rFonts w:ascii="宋体" w:hAnsi="宋体" w:cs="宋体"/>
                <w:color w:val="000000"/>
                <w:szCs w:val="21"/>
              </w:rPr>
            </w:pPr>
            <w:r>
              <w:rPr>
                <w:rFonts w:hint="eastAsia" w:ascii="宋体" w:hAnsi="宋体" w:cs="宋体"/>
                <w:color w:val="000000"/>
                <w:kern w:val="0"/>
                <w:szCs w:val="21"/>
              </w:rPr>
              <w:t>5.</w:t>
            </w:r>
            <w:r>
              <w:rPr>
                <w:rFonts w:hint="eastAsia" w:ascii="宋体" w:hAnsi="宋体" w:cs="宋体"/>
                <w:color w:val="000000"/>
                <w:szCs w:val="21"/>
              </w:rPr>
              <w:t>注意串通投标犯罪刑事立案标准，移送公安，出具不构成刑事犯罪文书的，再由行政机关处理；</w:t>
            </w:r>
          </w:p>
          <w:p w14:paraId="24D5FB2E">
            <w:pPr>
              <w:spacing w:line="240" w:lineRule="exact"/>
              <w:rPr>
                <w:rFonts w:ascii="宋体" w:hAnsi="宋体" w:cs="宋体"/>
                <w:bCs/>
                <w:kern w:val="0"/>
                <w:szCs w:val="21"/>
              </w:rPr>
            </w:pPr>
            <w:r>
              <w:rPr>
                <w:rFonts w:hint="eastAsia" w:ascii="宋体" w:hAnsi="宋体" w:cs="宋体"/>
                <w:color w:val="000000"/>
                <w:szCs w:val="21"/>
              </w:rPr>
              <w:t>6.</w:t>
            </w:r>
            <w:r>
              <w:rPr>
                <w:rFonts w:hint="eastAsia" w:ascii="宋体" w:hAnsi="宋体" w:cs="宋体"/>
                <w:bCs/>
                <w:kern w:val="0"/>
                <w:szCs w:val="21"/>
              </w:rPr>
              <w:t>中标无效。</w:t>
            </w:r>
          </w:p>
        </w:tc>
      </w:tr>
      <w:tr w14:paraId="251A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86" w:hRule="atLeast"/>
          <w:jc w:val="center"/>
        </w:trPr>
        <w:tc>
          <w:tcPr>
            <w:tcW w:w="539" w:type="dxa"/>
            <w:vMerge w:val="continue"/>
            <w:shd w:val="clear" w:color="auto" w:fill="FFFFFF"/>
            <w:vAlign w:val="center"/>
          </w:tcPr>
          <w:p w14:paraId="2985B14F">
            <w:pPr>
              <w:spacing w:line="240" w:lineRule="exact"/>
              <w:rPr>
                <w:rFonts w:ascii="宋体" w:hAnsi="宋体" w:cs="宋体"/>
                <w:szCs w:val="21"/>
              </w:rPr>
            </w:pPr>
          </w:p>
        </w:tc>
        <w:tc>
          <w:tcPr>
            <w:tcW w:w="989" w:type="dxa"/>
            <w:vMerge w:val="continue"/>
            <w:shd w:val="clear" w:color="auto" w:fill="FFFFFF"/>
            <w:vAlign w:val="center"/>
          </w:tcPr>
          <w:p w14:paraId="14BD24DB">
            <w:pPr>
              <w:spacing w:line="240" w:lineRule="exact"/>
              <w:rPr>
                <w:rFonts w:ascii="宋体" w:hAnsi="宋体" w:cs="宋体"/>
                <w:szCs w:val="21"/>
              </w:rPr>
            </w:pPr>
          </w:p>
        </w:tc>
        <w:tc>
          <w:tcPr>
            <w:tcW w:w="3586" w:type="dxa"/>
            <w:vMerge w:val="continue"/>
            <w:shd w:val="clear" w:color="auto" w:fill="FFFFFF"/>
            <w:vAlign w:val="center"/>
          </w:tcPr>
          <w:p w14:paraId="33513C10">
            <w:pPr>
              <w:spacing w:line="240" w:lineRule="exact"/>
              <w:rPr>
                <w:rFonts w:ascii="宋体" w:hAnsi="宋体" w:cs="宋体"/>
                <w:szCs w:val="21"/>
              </w:rPr>
            </w:pPr>
          </w:p>
        </w:tc>
        <w:tc>
          <w:tcPr>
            <w:tcW w:w="4181" w:type="dxa"/>
            <w:vMerge w:val="continue"/>
            <w:shd w:val="clear" w:color="auto" w:fill="FFFFFF"/>
            <w:vAlign w:val="center"/>
          </w:tcPr>
          <w:p w14:paraId="117A4273">
            <w:pPr>
              <w:spacing w:line="240" w:lineRule="exact"/>
              <w:rPr>
                <w:rFonts w:ascii="宋体" w:hAnsi="宋体" w:cs="宋体"/>
                <w:szCs w:val="21"/>
              </w:rPr>
            </w:pPr>
          </w:p>
        </w:tc>
        <w:tc>
          <w:tcPr>
            <w:tcW w:w="738" w:type="dxa"/>
            <w:vMerge w:val="continue"/>
            <w:shd w:val="clear" w:color="auto" w:fill="FFFFFF"/>
            <w:vAlign w:val="center"/>
          </w:tcPr>
          <w:p w14:paraId="7D04B4F2">
            <w:pPr>
              <w:spacing w:line="240" w:lineRule="exact"/>
              <w:rPr>
                <w:rFonts w:ascii="宋体" w:hAnsi="宋体" w:cs="宋体"/>
                <w:szCs w:val="21"/>
              </w:rPr>
            </w:pPr>
          </w:p>
        </w:tc>
        <w:tc>
          <w:tcPr>
            <w:tcW w:w="3305" w:type="dxa"/>
            <w:vMerge w:val="continue"/>
            <w:shd w:val="clear" w:color="auto" w:fill="FFFFFF"/>
            <w:vAlign w:val="center"/>
          </w:tcPr>
          <w:p w14:paraId="70955DE2">
            <w:pPr>
              <w:spacing w:line="240" w:lineRule="exact"/>
              <w:rPr>
                <w:rFonts w:ascii="宋体" w:hAnsi="宋体" w:cs="宋体"/>
                <w:szCs w:val="21"/>
              </w:rPr>
            </w:pPr>
          </w:p>
        </w:tc>
        <w:tc>
          <w:tcPr>
            <w:tcW w:w="752" w:type="dxa"/>
            <w:gridSpan w:val="2"/>
            <w:shd w:val="clear" w:color="auto" w:fill="FFFFFF"/>
            <w:vAlign w:val="center"/>
          </w:tcPr>
          <w:p w14:paraId="46B83FC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个人</w:t>
            </w:r>
          </w:p>
        </w:tc>
        <w:tc>
          <w:tcPr>
            <w:tcW w:w="2231" w:type="dxa"/>
            <w:shd w:val="clear" w:color="auto" w:fill="FFFFFF"/>
            <w:vAlign w:val="center"/>
          </w:tcPr>
          <w:p w14:paraId="59EFBA8E">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6DEA8190">
            <w:pPr>
              <w:spacing w:line="240" w:lineRule="exact"/>
              <w:rPr>
                <w:rFonts w:ascii="宋体" w:hAnsi="宋体" w:cs="宋体"/>
                <w:color w:val="000000"/>
                <w:kern w:val="0"/>
                <w:szCs w:val="21"/>
              </w:rPr>
            </w:pPr>
            <w:r>
              <w:rPr>
                <w:rFonts w:hint="eastAsia" w:ascii="宋体" w:hAnsi="宋体" w:cs="宋体"/>
                <w:color w:val="000000"/>
                <w:kern w:val="0"/>
                <w:szCs w:val="21"/>
              </w:rPr>
              <w:t>2.对单位直接负责的主管人员和其他直接责任人员处单位罚款数额10%的罚款；</w:t>
            </w:r>
          </w:p>
          <w:p w14:paraId="6DA356F7">
            <w:pPr>
              <w:spacing w:line="240" w:lineRule="exact"/>
              <w:rPr>
                <w:rFonts w:ascii="宋体" w:hAnsi="宋体" w:cs="宋体"/>
                <w:color w:val="000000"/>
                <w:kern w:val="0"/>
                <w:szCs w:val="21"/>
              </w:rPr>
            </w:pPr>
            <w:r>
              <w:rPr>
                <w:rFonts w:hint="eastAsia" w:ascii="宋体" w:hAnsi="宋体" w:cs="宋体"/>
                <w:color w:val="000000"/>
                <w:kern w:val="0"/>
                <w:szCs w:val="21"/>
              </w:rPr>
              <w:t>3.构成犯罪的，依法追究刑事责任。给他人造成损失的，依法承担赔偿责任；</w:t>
            </w:r>
          </w:p>
          <w:p w14:paraId="1164B564">
            <w:pPr>
              <w:spacing w:line="240" w:lineRule="exact"/>
              <w:rPr>
                <w:rFonts w:ascii="宋体" w:hAnsi="宋体" w:cs="宋体"/>
                <w:szCs w:val="21"/>
              </w:rPr>
            </w:pPr>
            <w:r>
              <w:rPr>
                <w:rFonts w:hint="eastAsia" w:ascii="宋体" w:hAnsi="宋体" w:cs="宋体"/>
                <w:color w:val="000000"/>
                <w:kern w:val="0"/>
                <w:szCs w:val="21"/>
              </w:rPr>
              <w:t>4.</w:t>
            </w:r>
            <w:r>
              <w:rPr>
                <w:rFonts w:hint="eastAsia" w:ascii="宋体" w:hAnsi="宋体" w:cs="宋体"/>
                <w:color w:val="000000"/>
                <w:szCs w:val="21"/>
              </w:rPr>
              <w:t>注意串通投标犯罪刑事立案标准，移送公安，出具不构成刑事犯罪文书的，再由行政机关处理</w:t>
            </w:r>
            <w:r>
              <w:rPr>
                <w:rFonts w:hint="eastAsia" w:ascii="宋体" w:hAnsi="宋体" w:cs="宋体"/>
                <w:bCs/>
                <w:kern w:val="0"/>
                <w:szCs w:val="21"/>
              </w:rPr>
              <w:t>。</w:t>
            </w:r>
          </w:p>
        </w:tc>
      </w:tr>
      <w:tr w14:paraId="6C66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539" w:type="dxa"/>
            <w:vMerge w:val="restart"/>
            <w:shd w:val="clear" w:color="auto" w:fill="FFFFFF"/>
            <w:vAlign w:val="center"/>
          </w:tcPr>
          <w:p w14:paraId="52E928E8">
            <w:pPr>
              <w:spacing w:line="240" w:lineRule="exact"/>
              <w:jc w:val="left"/>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448</w:t>
            </w:r>
          </w:p>
        </w:tc>
        <w:tc>
          <w:tcPr>
            <w:tcW w:w="989" w:type="dxa"/>
            <w:vMerge w:val="restart"/>
            <w:shd w:val="clear" w:color="auto" w:fill="FFFFFF"/>
            <w:vAlign w:val="center"/>
          </w:tcPr>
          <w:p w14:paraId="03578B25">
            <w:pPr>
              <w:spacing w:line="240" w:lineRule="exact"/>
              <w:rPr>
                <w:rFonts w:ascii="宋体" w:hAnsi="宋体" w:cs="宋体"/>
                <w:bCs/>
                <w:kern w:val="0"/>
                <w:szCs w:val="21"/>
              </w:rPr>
            </w:pPr>
            <w:r>
              <w:rPr>
                <w:rFonts w:hint="eastAsia" w:ascii="宋体" w:hAnsi="宋体" w:cs="宋体"/>
                <w:color w:val="000000"/>
                <w:kern w:val="0"/>
                <w:szCs w:val="21"/>
              </w:rPr>
              <w:t>投标人以他人名义投标或者以其他方式弄虚作假，骗取中标</w:t>
            </w:r>
          </w:p>
        </w:tc>
        <w:tc>
          <w:tcPr>
            <w:tcW w:w="3586" w:type="dxa"/>
            <w:vMerge w:val="restart"/>
            <w:shd w:val="clear" w:color="auto" w:fill="FFFFFF"/>
            <w:vAlign w:val="center"/>
          </w:tcPr>
          <w:p w14:paraId="25930A52">
            <w:pPr>
              <w:widowControl/>
              <w:textAlignment w:val="center"/>
              <w:rPr>
                <w:rFonts w:ascii="宋体" w:hAnsi="宋体" w:cs="宋体"/>
                <w:bCs/>
                <w:kern w:val="0"/>
                <w:szCs w:val="21"/>
              </w:rPr>
            </w:pPr>
            <w:r>
              <w:rPr>
                <w:rFonts w:hint="eastAsia" w:ascii="宋体" w:hAnsi="宋体" w:cs="宋体"/>
                <w:color w:val="000000"/>
                <w:kern w:val="0"/>
                <w:szCs w:val="21"/>
              </w:rPr>
              <w:t>1.《中华人民共和国招标投标法》第三十三条  投标人不得以低于成本的报价竞标，也不得以他人名义投标或者以其他方式弄虚作假，骗取中标。</w:t>
            </w:r>
          </w:p>
        </w:tc>
        <w:tc>
          <w:tcPr>
            <w:tcW w:w="4181" w:type="dxa"/>
            <w:vMerge w:val="restart"/>
            <w:shd w:val="clear" w:color="auto" w:fill="FFFFFF"/>
            <w:vAlign w:val="center"/>
          </w:tcPr>
          <w:p w14:paraId="4BC12B62">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1.《中华人民共和国招标投标法》第五十四条  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至百分之十以下的罚款；有违法所得的，并处没收违法所得；情节严重的，取消其一年至三年内参加依法必须进行招标的项目的投标资格并予以公告，直至由工商行政管理机关吊销营业执照。</w:t>
            </w:r>
          </w:p>
          <w:p w14:paraId="67058C74">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投标人自本条第二款规定的处罚执行期限届满之日起3年内又有该款所列违法行为之一的，或者弄虚作假骗取中标情节特别严重的，由工商行政管理机关吊销营业执照。</w:t>
            </w:r>
          </w:p>
        </w:tc>
        <w:tc>
          <w:tcPr>
            <w:tcW w:w="738" w:type="dxa"/>
            <w:vMerge w:val="restart"/>
            <w:shd w:val="clear" w:color="auto" w:fill="FFFFFF"/>
            <w:vAlign w:val="center"/>
          </w:tcPr>
          <w:p w14:paraId="3DF7A28F">
            <w:pPr>
              <w:widowControl/>
              <w:jc w:val="center"/>
              <w:textAlignment w:val="center"/>
              <w:rPr>
                <w:rFonts w:ascii="宋体" w:hAnsi="宋体" w:cs="宋体"/>
                <w:bCs/>
                <w:kern w:val="0"/>
                <w:szCs w:val="21"/>
              </w:rPr>
            </w:pPr>
            <w:r>
              <w:rPr>
                <w:rFonts w:hint="eastAsia" w:ascii="宋体" w:hAnsi="宋体" w:cs="宋体"/>
                <w:color w:val="000000"/>
                <w:szCs w:val="21"/>
              </w:rPr>
              <w:t>一般</w:t>
            </w:r>
          </w:p>
        </w:tc>
        <w:tc>
          <w:tcPr>
            <w:tcW w:w="3305" w:type="dxa"/>
            <w:vMerge w:val="restart"/>
            <w:shd w:val="clear" w:color="auto" w:fill="FFFFFF"/>
            <w:vAlign w:val="center"/>
          </w:tcPr>
          <w:p w14:paraId="4D15B8B5">
            <w:pPr>
              <w:widowControl/>
              <w:textAlignment w:val="center"/>
              <w:rPr>
                <w:rFonts w:ascii="宋体" w:hAnsi="宋体" w:cs="宋体"/>
                <w:bCs/>
                <w:kern w:val="0"/>
                <w:szCs w:val="21"/>
              </w:rPr>
            </w:pPr>
            <w:r>
              <w:rPr>
                <w:rFonts w:hint="eastAsia" w:ascii="宋体" w:hAnsi="宋体" w:cs="宋体"/>
                <w:color w:val="000000"/>
                <w:kern w:val="0"/>
                <w:szCs w:val="21"/>
              </w:rPr>
              <w:t>依法必须进行招标的项目，以他人名义投标或以其他方式弄虚作假，骗取中标的</w:t>
            </w:r>
          </w:p>
        </w:tc>
        <w:tc>
          <w:tcPr>
            <w:tcW w:w="752" w:type="dxa"/>
            <w:gridSpan w:val="2"/>
            <w:shd w:val="clear" w:color="auto" w:fill="FFFFFF"/>
            <w:vAlign w:val="center"/>
          </w:tcPr>
          <w:p w14:paraId="63177AB2">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2231" w:type="dxa"/>
            <w:shd w:val="clear" w:color="auto" w:fill="FFFFFF"/>
            <w:vAlign w:val="center"/>
          </w:tcPr>
          <w:p w14:paraId="06457BF4">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783D31E7">
            <w:pPr>
              <w:spacing w:line="240" w:lineRule="exact"/>
              <w:rPr>
                <w:rFonts w:ascii="宋体" w:hAnsi="宋体" w:cs="宋体"/>
                <w:color w:val="000000"/>
                <w:kern w:val="0"/>
                <w:szCs w:val="21"/>
              </w:rPr>
            </w:pPr>
            <w:r>
              <w:rPr>
                <w:rFonts w:hint="eastAsia" w:ascii="宋体" w:hAnsi="宋体" w:cs="宋体"/>
                <w:color w:val="000000"/>
                <w:kern w:val="0"/>
                <w:szCs w:val="21"/>
              </w:rPr>
              <w:t>2.处中标项目金额5‰的罚款；</w:t>
            </w:r>
          </w:p>
          <w:p w14:paraId="22777B7C">
            <w:pPr>
              <w:spacing w:line="240" w:lineRule="exact"/>
              <w:rPr>
                <w:rFonts w:ascii="宋体" w:hAnsi="宋体" w:cs="宋体"/>
                <w:color w:val="000000"/>
                <w:kern w:val="0"/>
                <w:szCs w:val="21"/>
              </w:rPr>
            </w:pPr>
            <w:r>
              <w:rPr>
                <w:rFonts w:hint="eastAsia" w:ascii="宋体" w:hAnsi="宋体" w:cs="宋体"/>
                <w:color w:val="000000"/>
                <w:kern w:val="0"/>
                <w:szCs w:val="21"/>
              </w:rPr>
              <w:t>3.构成犯罪的，依法追究刑事责任。给他人造成损失的，依法承担赔偿责任；</w:t>
            </w:r>
          </w:p>
          <w:p w14:paraId="20632EEC">
            <w:pPr>
              <w:spacing w:line="240" w:lineRule="exact"/>
              <w:rPr>
                <w:rFonts w:ascii="宋体" w:hAnsi="宋体" w:cs="宋体"/>
                <w:bCs/>
                <w:kern w:val="0"/>
                <w:szCs w:val="21"/>
              </w:rPr>
            </w:pPr>
            <w:r>
              <w:rPr>
                <w:rFonts w:hint="eastAsia" w:ascii="宋体" w:hAnsi="宋体" w:cs="宋体"/>
                <w:color w:val="000000"/>
                <w:kern w:val="0"/>
                <w:szCs w:val="21"/>
              </w:rPr>
              <w:t>4.</w:t>
            </w:r>
            <w:r>
              <w:rPr>
                <w:rFonts w:hint="eastAsia" w:ascii="宋体" w:hAnsi="宋体" w:cs="宋体"/>
                <w:bCs/>
                <w:kern w:val="0"/>
                <w:szCs w:val="21"/>
              </w:rPr>
              <w:t>中标无效。</w:t>
            </w:r>
          </w:p>
        </w:tc>
      </w:tr>
      <w:tr w14:paraId="0192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539" w:type="dxa"/>
            <w:vMerge w:val="continue"/>
            <w:shd w:val="clear" w:color="auto" w:fill="FFFFFF"/>
            <w:vAlign w:val="center"/>
          </w:tcPr>
          <w:p w14:paraId="509FBAB4">
            <w:pPr>
              <w:spacing w:line="240" w:lineRule="exact"/>
              <w:rPr>
                <w:rFonts w:ascii="宋体" w:hAnsi="宋体" w:cs="宋体"/>
                <w:szCs w:val="21"/>
              </w:rPr>
            </w:pPr>
          </w:p>
        </w:tc>
        <w:tc>
          <w:tcPr>
            <w:tcW w:w="989" w:type="dxa"/>
            <w:vMerge w:val="continue"/>
            <w:shd w:val="clear" w:color="auto" w:fill="FFFFFF"/>
            <w:vAlign w:val="center"/>
          </w:tcPr>
          <w:p w14:paraId="33F532A0">
            <w:pPr>
              <w:spacing w:line="240" w:lineRule="exact"/>
              <w:rPr>
                <w:rFonts w:ascii="宋体" w:hAnsi="宋体" w:cs="宋体"/>
                <w:szCs w:val="21"/>
              </w:rPr>
            </w:pPr>
          </w:p>
        </w:tc>
        <w:tc>
          <w:tcPr>
            <w:tcW w:w="3586" w:type="dxa"/>
            <w:vMerge w:val="continue"/>
            <w:shd w:val="clear" w:color="auto" w:fill="FFFFFF"/>
            <w:vAlign w:val="center"/>
          </w:tcPr>
          <w:p w14:paraId="69689EA3">
            <w:pPr>
              <w:spacing w:line="240" w:lineRule="exact"/>
              <w:rPr>
                <w:rFonts w:ascii="宋体" w:hAnsi="宋体" w:cs="宋体"/>
                <w:szCs w:val="21"/>
              </w:rPr>
            </w:pPr>
          </w:p>
        </w:tc>
        <w:tc>
          <w:tcPr>
            <w:tcW w:w="4181" w:type="dxa"/>
            <w:vMerge w:val="continue"/>
            <w:shd w:val="clear" w:color="auto" w:fill="FFFFFF"/>
            <w:vAlign w:val="center"/>
          </w:tcPr>
          <w:p w14:paraId="7806195E">
            <w:pPr>
              <w:spacing w:line="240" w:lineRule="exact"/>
              <w:rPr>
                <w:rFonts w:ascii="宋体" w:hAnsi="宋体" w:cs="宋体"/>
                <w:szCs w:val="21"/>
              </w:rPr>
            </w:pPr>
          </w:p>
        </w:tc>
        <w:tc>
          <w:tcPr>
            <w:tcW w:w="738" w:type="dxa"/>
            <w:vMerge w:val="continue"/>
            <w:shd w:val="clear" w:color="auto" w:fill="FFFFFF"/>
            <w:vAlign w:val="center"/>
          </w:tcPr>
          <w:p w14:paraId="25A7E286">
            <w:pPr>
              <w:spacing w:line="240" w:lineRule="exact"/>
              <w:rPr>
                <w:rFonts w:ascii="宋体" w:hAnsi="宋体" w:cs="宋体"/>
                <w:szCs w:val="21"/>
              </w:rPr>
            </w:pPr>
          </w:p>
        </w:tc>
        <w:tc>
          <w:tcPr>
            <w:tcW w:w="3305" w:type="dxa"/>
            <w:vMerge w:val="continue"/>
            <w:shd w:val="clear" w:color="auto" w:fill="FFFFFF"/>
            <w:vAlign w:val="center"/>
          </w:tcPr>
          <w:p w14:paraId="620994BC">
            <w:pPr>
              <w:spacing w:line="240" w:lineRule="exact"/>
              <w:rPr>
                <w:rFonts w:ascii="宋体" w:hAnsi="宋体" w:cs="宋体"/>
                <w:szCs w:val="21"/>
              </w:rPr>
            </w:pPr>
          </w:p>
        </w:tc>
        <w:tc>
          <w:tcPr>
            <w:tcW w:w="752" w:type="dxa"/>
            <w:gridSpan w:val="2"/>
            <w:shd w:val="clear" w:color="auto" w:fill="FFFFFF"/>
            <w:vAlign w:val="center"/>
          </w:tcPr>
          <w:p w14:paraId="5B4D096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个人</w:t>
            </w:r>
          </w:p>
        </w:tc>
        <w:tc>
          <w:tcPr>
            <w:tcW w:w="2231" w:type="dxa"/>
            <w:shd w:val="clear" w:color="auto" w:fill="FFFFFF"/>
            <w:vAlign w:val="center"/>
          </w:tcPr>
          <w:p w14:paraId="5F51677D">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177628F6">
            <w:pPr>
              <w:spacing w:line="240" w:lineRule="exact"/>
              <w:rPr>
                <w:rFonts w:ascii="宋体" w:hAnsi="宋体" w:cs="宋体"/>
                <w:color w:val="000000"/>
                <w:kern w:val="0"/>
                <w:szCs w:val="21"/>
              </w:rPr>
            </w:pPr>
            <w:r>
              <w:rPr>
                <w:rFonts w:hint="eastAsia" w:ascii="宋体" w:hAnsi="宋体" w:cs="宋体"/>
                <w:color w:val="000000"/>
                <w:kern w:val="0"/>
                <w:szCs w:val="21"/>
              </w:rPr>
              <w:t>2.对单位直接负责的主管人员和其他直接责任人员处单位罚款数额5%的罚款；</w:t>
            </w:r>
          </w:p>
          <w:p w14:paraId="5E284915">
            <w:pPr>
              <w:spacing w:line="240" w:lineRule="exact"/>
              <w:rPr>
                <w:rFonts w:ascii="宋体" w:hAnsi="宋体" w:cs="宋体"/>
                <w:szCs w:val="21"/>
              </w:rPr>
            </w:pPr>
            <w:r>
              <w:rPr>
                <w:rFonts w:hint="eastAsia" w:ascii="宋体" w:hAnsi="宋体" w:cs="宋体"/>
                <w:color w:val="000000"/>
                <w:kern w:val="0"/>
                <w:szCs w:val="21"/>
              </w:rPr>
              <w:t>3.构成犯罪的，依法追究刑事责任。给他人造成损失的，依法承担赔偿责任</w:t>
            </w:r>
            <w:r>
              <w:rPr>
                <w:rFonts w:hint="eastAsia" w:ascii="宋体" w:hAnsi="宋体" w:cs="宋体"/>
                <w:bCs/>
                <w:kern w:val="0"/>
                <w:szCs w:val="21"/>
              </w:rPr>
              <w:t>。</w:t>
            </w:r>
          </w:p>
        </w:tc>
      </w:tr>
      <w:tr w14:paraId="0BB9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17" w:hRule="atLeast"/>
          <w:jc w:val="center"/>
        </w:trPr>
        <w:tc>
          <w:tcPr>
            <w:tcW w:w="539" w:type="dxa"/>
            <w:vMerge w:val="continue"/>
            <w:shd w:val="clear" w:color="auto" w:fill="FFFFFF"/>
            <w:vAlign w:val="center"/>
          </w:tcPr>
          <w:p w14:paraId="6E004BC4">
            <w:pPr>
              <w:spacing w:line="240" w:lineRule="exact"/>
              <w:jc w:val="left"/>
              <w:rPr>
                <w:rFonts w:ascii="宋体" w:hAnsi="宋体" w:cs="宋体"/>
                <w:bCs/>
                <w:kern w:val="0"/>
                <w:szCs w:val="21"/>
              </w:rPr>
            </w:pPr>
          </w:p>
        </w:tc>
        <w:tc>
          <w:tcPr>
            <w:tcW w:w="989" w:type="dxa"/>
            <w:vMerge w:val="continue"/>
            <w:shd w:val="clear" w:color="auto" w:fill="FFFFFF"/>
            <w:vAlign w:val="center"/>
          </w:tcPr>
          <w:p w14:paraId="3D4ADA4E">
            <w:pPr>
              <w:spacing w:line="240" w:lineRule="exact"/>
              <w:rPr>
                <w:rFonts w:ascii="宋体" w:hAnsi="宋体" w:cs="宋体"/>
                <w:bCs/>
                <w:kern w:val="0"/>
                <w:szCs w:val="21"/>
              </w:rPr>
            </w:pPr>
          </w:p>
        </w:tc>
        <w:tc>
          <w:tcPr>
            <w:tcW w:w="3586" w:type="dxa"/>
            <w:vMerge w:val="continue"/>
            <w:shd w:val="clear" w:color="auto" w:fill="FFFFFF"/>
            <w:vAlign w:val="center"/>
          </w:tcPr>
          <w:p w14:paraId="5ECB4A76">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4823FF9D">
            <w:pPr>
              <w:spacing w:line="240" w:lineRule="exact"/>
              <w:ind w:firstLine="420" w:firstLineChars="200"/>
              <w:rPr>
                <w:rFonts w:ascii="宋体" w:hAnsi="宋体" w:cs="宋体"/>
                <w:bCs/>
                <w:kern w:val="0"/>
                <w:szCs w:val="21"/>
              </w:rPr>
            </w:pPr>
          </w:p>
        </w:tc>
        <w:tc>
          <w:tcPr>
            <w:tcW w:w="738" w:type="dxa"/>
            <w:vMerge w:val="restart"/>
            <w:shd w:val="clear" w:color="auto" w:fill="FFFFFF"/>
            <w:vAlign w:val="center"/>
          </w:tcPr>
          <w:p w14:paraId="02E6C987">
            <w:pPr>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vMerge w:val="restart"/>
            <w:shd w:val="clear" w:color="auto" w:fill="FFFFFF"/>
            <w:vAlign w:val="center"/>
          </w:tcPr>
          <w:p w14:paraId="1599BAFD">
            <w:pPr>
              <w:widowControl/>
              <w:textAlignment w:val="center"/>
              <w:rPr>
                <w:rFonts w:ascii="宋体" w:hAnsi="宋体" w:cs="宋体"/>
                <w:color w:val="000000"/>
                <w:kern w:val="0"/>
                <w:szCs w:val="21"/>
              </w:rPr>
            </w:pPr>
            <w:r>
              <w:rPr>
                <w:rFonts w:hint="eastAsia" w:ascii="宋体" w:hAnsi="宋体" w:cs="宋体"/>
                <w:color w:val="000000"/>
                <w:kern w:val="0"/>
                <w:szCs w:val="21"/>
              </w:rPr>
              <w:t>存在下列情形之一的：</w:t>
            </w:r>
          </w:p>
          <w:p w14:paraId="5C851302">
            <w:pPr>
              <w:widowControl/>
              <w:textAlignment w:val="center"/>
              <w:rPr>
                <w:rFonts w:ascii="宋体" w:hAnsi="宋体" w:cs="宋体"/>
                <w:color w:val="000000"/>
                <w:kern w:val="0"/>
                <w:szCs w:val="21"/>
              </w:rPr>
            </w:pPr>
            <w:r>
              <w:rPr>
                <w:rFonts w:hint="eastAsia" w:ascii="宋体" w:hAnsi="宋体" w:cs="宋体"/>
                <w:color w:val="000000"/>
                <w:kern w:val="0"/>
                <w:szCs w:val="21"/>
              </w:rPr>
              <w:t>1.伪造、变造资格、资质证书或者其他许可证件骗取中标；</w:t>
            </w:r>
          </w:p>
          <w:p w14:paraId="7CECB1A3">
            <w:pPr>
              <w:widowControl/>
              <w:textAlignment w:val="center"/>
              <w:rPr>
                <w:rFonts w:ascii="宋体" w:hAnsi="宋体" w:cs="宋体"/>
                <w:color w:val="000000"/>
                <w:kern w:val="0"/>
                <w:szCs w:val="21"/>
              </w:rPr>
            </w:pPr>
            <w:r>
              <w:rPr>
                <w:rFonts w:hint="eastAsia" w:ascii="宋体" w:hAnsi="宋体" w:cs="宋体"/>
                <w:color w:val="000000"/>
                <w:kern w:val="0"/>
                <w:szCs w:val="21"/>
              </w:rPr>
              <w:t>2.3年内2次以上使用他人名义投标；</w:t>
            </w:r>
          </w:p>
          <w:p w14:paraId="4A5695F2">
            <w:pPr>
              <w:widowControl/>
              <w:textAlignment w:val="center"/>
              <w:rPr>
                <w:rFonts w:ascii="宋体" w:hAnsi="宋体" w:cs="宋体"/>
                <w:color w:val="000000"/>
                <w:kern w:val="0"/>
                <w:szCs w:val="21"/>
              </w:rPr>
            </w:pPr>
            <w:r>
              <w:rPr>
                <w:rFonts w:hint="eastAsia" w:ascii="宋体" w:hAnsi="宋体" w:cs="宋体"/>
                <w:color w:val="000000"/>
                <w:kern w:val="0"/>
                <w:szCs w:val="21"/>
              </w:rPr>
              <w:t>3.弄虚作假骗取中标给招标人造成直接经济损失30万元以上；</w:t>
            </w:r>
          </w:p>
          <w:p w14:paraId="359C5E24">
            <w:pPr>
              <w:widowControl/>
              <w:textAlignment w:val="center"/>
              <w:rPr>
                <w:rFonts w:ascii="宋体" w:hAnsi="宋体" w:cs="宋体"/>
                <w:bCs/>
                <w:kern w:val="0"/>
                <w:szCs w:val="21"/>
              </w:rPr>
            </w:pPr>
            <w:r>
              <w:rPr>
                <w:rFonts w:hint="eastAsia" w:ascii="宋体" w:hAnsi="宋体" w:cs="宋体"/>
                <w:color w:val="000000"/>
                <w:kern w:val="0"/>
                <w:szCs w:val="21"/>
              </w:rPr>
              <w:t>4.其他弄虚作假骗取中标情节严重的行为</w:t>
            </w:r>
          </w:p>
        </w:tc>
        <w:tc>
          <w:tcPr>
            <w:tcW w:w="752" w:type="dxa"/>
            <w:gridSpan w:val="2"/>
            <w:shd w:val="clear" w:color="auto" w:fill="FFFFFF"/>
            <w:vAlign w:val="center"/>
          </w:tcPr>
          <w:p w14:paraId="3D816234">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2231" w:type="dxa"/>
            <w:shd w:val="clear" w:color="auto" w:fill="FFFFFF"/>
            <w:vAlign w:val="center"/>
          </w:tcPr>
          <w:p w14:paraId="2F24B8D3">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7411E2E9">
            <w:pPr>
              <w:spacing w:line="240" w:lineRule="exact"/>
              <w:rPr>
                <w:rFonts w:ascii="宋体" w:hAnsi="宋体" w:cs="宋体"/>
                <w:color w:val="000000"/>
                <w:kern w:val="0"/>
                <w:szCs w:val="21"/>
              </w:rPr>
            </w:pPr>
            <w:r>
              <w:rPr>
                <w:rFonts w:hint="eastAsia" w:ascii="宋体" w:hAnsi="宋体" w:cs="宋体"/>
                <w:color w:val="000000"/>
                <w:kern w:val="0"/>
                <w:szCs w:val="21"/>
              </w:rPr>
              <w:t>2.处中标项目金额10‰的罚款；</w:t>
            </w:r>
          </w:p>
          <w:p w14:paraId="190981DE">
            <w:pPr>
              <w:spacing w:line="240" w:lineRule="exact"/>
              <w:rPr>
                <w:rFonts w:ascii="宋体" w:hAnsi="宋体" w:cs="宋体"/>
                <w:color w:val="000000"/>
                <w:kern w:val="0"/>
                <w:szCs w:val="21"/>
              </w:rPr>
            </w:pPr>
            <w:r>
              <w:rPr>
                <w:rFonts w:hint="eastAsia" w:ascii="宋体" w:hAnsi="宋体" w:cs="宋体"/>
                <w:color w:val="000000"/>
                <w:kern w:val="0"/>
                <w:szCs w:val="21"/>
              </w:rPr>
              <w:t>3.取消其一年至三年内参加依法必须进行招标的项目的投标资格并予以公告；</w:t>
            </w:r>
          </w:p>
          <w:p w14:paraId="53115F79">
            <w:pPr>
              <w:spacing w:line="240" w:lineRule="exact"/>
              <w:rPr>
                <w:rFonts w:ascii="宋体" w:hAnsi="宋体" w:cs="宋体"/>
                <w:color w:val="000000"/>
                <w:kern w:val="0"/>
                <w:szCs w:val="21"/>
              </w:rPr>
            </w:pPr>
            <w:r>
              <w:rPr>
                <w:rFonts w:hint="eastAsia" w:ascii="宋体" w:hAnsi="宋体" w:cs="宋体"/>
                <w:color w:val="000000"/>
                <w:kern w:val="0"/>
                <w:szCs w:val="21"/>
              </w:rPr>
              <w:t>4.构成犯罪的，依法追究刑事责任。给他人造成损失的，依法承担赔偿责任；</w:t>
            </w:r>
          </w:p>
          <w:p w14:paraId="6F48E948">
            <w:pPr>
              <w:spacing w:line="240" w:lineRule="exact"/>
              <w:rPr>
                <w:rFonts w:ascii="宋体" w:hAnsi="宋体" w:cs="宋体"/>
                <w:bCs/>
                <w:kern w:val="0"/>
                <w:szCs w:val="21"/>
              </w:rPr>
            </w:pPr>
            <w:r>
              <w:rPr>
                <w:rFonts w:hint="eastAsia" w:ascii="宋体" w:hAnsi="宋体" w:cs="宋体"/>
                <w:color w:val="000000"/>
                <w:kern w:val="0"/>
                <w:szCs w:val="21"/>
              </w:rPr>
              <w:t>5.</w:t>
            </w:r>
            <w:r>
              <w:rPr>
                <w:rFonts w:hint="eastAsia" w:ascii="宋体" w:hAnsi="宋体" w:cs="宋体"/>
                <w:bCs/>
                <w:kern w:val="0"/>
                <w:szCs w:val="21"/>
              </w:rPr>
              <w:t>中标无效。</w:t>
            </w:r>
          </w:p>
        </w:tc>
      </w:tr>
      <w:tr w14:paraId="2032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17" w:hRule="atLeast"/>
          <w:jc w:val="center"/>
        </w:trPr>
        <w:tc>
          <w:tcPr>
            <w:tcW w:w="539" w:type="dxa"/>
            <w:vMerge w:val="continue"/>
            <w:shd w:val="clear" w:color="auto" w:fill="FFFFFF"/>
            <w:vAlign w:val="center"/>
          </w:tcPr>
          <w:p w14:paraId="088E849A">
            <w:pPr>
              <w:spacing w:line="240" w:lineRule="exact"/>
              <w:rPr>
                <w:rFonts w:ascii="宋体" w:hAnsi="宋体" w:cs="宋体"/>
                <w:szCs w:val="21"/>
              </w:rPr>
            </w:pPr>
          </w:p>
        </w:tc>
        <w:tc>
          <w:tcPr>
            <w:tcW w:w="989" w:type="dxa"/>
            <w:vMerge w:val="continue"/>
            <w:shd w:val="clear" w:color="auto" w:fill="FFFFFF"/>
            <w:vAlign w:val="center"/>
          </w:tcPr>
          <w:p w14:paraId="04D677E1">
            <w:pPr>
              <w:spacing w:line="240" w:lineRule="exact"/>
              <w:rPr>
                <w:rFonts w:ascii="宋体" w:hAnsi="宋体" w:cs="宋体"/>
                <w:szCs w:val="21"/>
              </w:rPr>
            </w:pPr>
          </w:p>
        </w:tc>
        <w:tc>
          <w:tcPr>
            <w:tcW w:w="3586" w:type="dxa"/>
            <w:vMerge w:val="continue"/>
            <w:shd w:val="clear" w:color="auto" w:fill="FFFFFF"/>
            <w:vAlign w:val="center"/>
          </w:tcPr>
          <w:p w14:paraId="7204F180">
            <w:pPr>
              <w:spacing w:line="240" w:lineRule="exact"/>
              <w:rPr>
                <w:rFonts w:ascii="宋体" w:hAnsi="宋体" w:cs="宋体"/>
                <w:szCs w:val="21"/>
              </w:rPr>
            </w:pPr>
          </w:p>
        </w:tc>
        <w:tc>
          <w:tcPr>
            <w:tcW w:w="4181" w:type="dxa"/>
            <w:vMerge w:val="continue"/>
            <w:shd w:val="clear" w:color="auto" w:fill="FFFFFF"/>
            <w:vAlign w:val="center"/>
          </w:tcPr>
          <w:p w14:paraId="14BB7BFF">
            <w:pPr>
              <w:spacing w:line="240" w:lineRule="exact"/>
              <w:rPr>
                <w:rFonts w:ascii="宋体" w:hAnsi="宋体" w:cs="宋体"/>
                <w:szCs w:val="21"/>
              </w:rPr>
            </w:pPr>
          </w:p>
        </w:tc>
        <w:tc>
          <w:tcPr>
            <w:tcW w:w="738" w:type="dxa"/>
            <w:vMerge w:val="continue"/>
            <w:shd w:val="clear" w:color="auto" w:fill="FFFFFF"/>
            <w:vAlign w:val="center"/>
          </w:tcPr>
          <w:p w14:paraId="4ABC9805">
            <w:pPr>
              <w:spacing w:line="240" w:lineRule="exact"/>
              <w:rPr>
                <w:rFonts w:ascii="宋体" w:hAnsi="宋体" w:cs="宋体"/>
                <w:szCs w:val="21"/>
              </w:rPr>
            </w:pPr>
          </w:p>
        </w:tc>
        <w:tc>
          <w:tcPr>
            <w:tcW w:w="3305" w:type="dxa"/>
            <w:vMerge w:val="continue"/>
            <w:shd w:val="clear" w:color="auto" w:fill="FFFFFF"/>
            <w:vAlign w:val="center"/>
          </w:tcPr>
          <w:p w14:paraId="52BD9E84">
            <w:pPr>
              <w:spacing w:line="240" w:lineRule="exact"/>
              <w:rPr>
                <w:rFonts w:ascii="宋体" w:hAnsi="宋体" w:cs="宋体"/>
                <w:szCs w:val="21"/>
              </w:rPr>
            </w:pPr>
          </w:p>
        </w:tc>
        <w:tc>
          <w:tcPr>
            <w:tcW w:w="752" w:type="dxa"/>
            <w:gridSpan w:val="2"/>
            <w:shd w:val="clear" w:color="auto" w:fill="FFFFFF"/>
            <w:vAlign w:val="center"/>
          </w:tcPr>
          <w:p w14:paraId="6464035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个人</w:t>
            </w:r>
          </w:p>
        </w:tc>
        <w:tc>
          <w:tcPr>
            <w:tcW w:w="2231" w:type="dxa"/>
            <w:shd w:val="clear" w:color="auto" w:fill="FFFFFF"/>
            <w:vAlign w:val="center"/>
          </w:tcPr>
          <w:p w14:paraId="02E2CE7C">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3E501638">
            <w:pPr>
              <w:spacing w:line="240" w:lineRule="exact"/>
              <w:rPr>
                <w:rFonts w:ascii="宋体" w:hAnsi="宋体" w:cs="宋体"/>
                <w:color w:val="000000"/>
                <w:kern w:val="0"/>
                <w:szCs w:val="21"/>
              </w:rPr>
            </w:pPr>
            <w:r>
              <w:rPr>
                <w:rFonts w:hint="eastAsia" w:ascii="宋体" w:hAnsi="宋体" w:cs="宋体"/>
                <w:color w:val="000000"/>
                <w:kern w:val="0"/>
                <w:szCs w:val="21"/>
              </w:rPr>
              <w:t>2.对单位直接负责的主管人员和其他直接责任人员处单位罚款数额10%的罚款；</w:t>
            </w:r>
          </w:p>
          <w:p w14:paraId="72B1A0D3">
            <w:pPr>
              <w:spacing w:line="240" w:lineRule="exact"/>
              <w:rPr>
                <w:rFonts w:ascii="宋体" w:hAnsi="宋体" w:cs="宋体"/>
                <w:szCs w:val="21"/>
              </w:rPr>
            </w:pPr>
            <w:r>
              <w:rPr>
                <w:rFonts w:hint="eastAsia" w:ascii="宋体" w:hAnsi="宋体" w:cs="宋体"/>
                <w:color w:val="000000"/>
                <w:kern w:val="0"/>
                <w:szCs w:val="21"/>
              </w:rPr>
              <w:t>3.构成犯罪的，依法追究刑事责任。给他人造成损失的，依法承担赔偿责任</w:t>
            </w:r>
            <w:r>
              <w:rPr>
                <w:rFonts w:hint="eastAsia" w:ascii="宋体" w:hAnsi="宋体" w:cs="宋体"/>
                <w:bCs/>
                <w:kern w:val="0"/>
                <w:szCs w:val="21"/>
              </w:rPr>
              <w:t>。</w:t>
            </w:r>
          </w:p>
        </w:tc>
      </w:tr>
      <w:tr w14:paraId="1706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6" w:hRule="atLeast"/>
          <w:jc w:val="center"/>
        </w:trPr>
        <w:tc>
          <w:tcPr>
            <w:tcW w:w="539" w:type="dxa"/>
            <w:vMerge w:val="continue"/>
            <w:shd w:val="clear" w:color="auto" w:fill="FFFFFF"/>
            <w:vAlign w:val="center"/>
          </w:tcPr>
          <w:p w14:paraId="19DAD72E">
            <w:pPr>
              <w:spacing w:line="240" w:lineRule="exact"/>
              <w:jc w:val="left"/>
              <w:rPr>
                <w:rFonts w:ascii="宋体" w:hAnsi="宋体" w:cs="宋体"/>
                <w:bCs/>
                <w:kern w:val="0"/>
                <w:szCs w:val="21"/>
              </w:rPr>
            </w:pPr>
          </w:p>
        </w:tc>
        <w:tc>
          <w:tcPr>
            <w:tcW w:w="989" w:type="dxa"/>
            <w:vMerge w:val="continue"/>
            <w:shd w:val="clear" w:color="auto" w:fill="FFFFFF"/>
            <w:vAlign w:val="center"/>
          </w:tcPr>
          <w:p w14:paraId="47CEA009">
            <w:pPr>
              <w:spacing w:line="240" w:lineRule="exact"/>
              <w:rPr>
                <w:rFonts w:ascii="宋体" w:hAnsi="宋体" w:cs="宋体"/>
                <w:bCs/>
                <w:kern w:val="0"/>
                <w:szCs w:val="21"/>
              </w:rPr>
            </w:pPr>
          </w:p>
        </w:tc>
        <w:tc>
          <w:tcPr>
            <w:tcW w:w="3586" w:type="dxa"/>
            <w:vMerge w:val="continue"/>
            <w:shd w:val="clear" w:color="auto" w:fill="FFFFFF"/>
            <w:vAlign w:val="center"/>
          </w:tcPr>
          <w:p w14:paraId="3A9CFC8E">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244F8248">
            <w:pPr>
              <w:spacing w:line="240" w:lineRule="exact"/>
              <w:ind w:firstLine="420" w:firstLineChars="200"/>
              <w:rPr>
                <w:rFonts w:ascii="宋体" w:hAnsi="宋体" w:cs="宋体"/>
                <w:bCs/>
                <w:kern w:val="0"/>
                <w:szCs w:val="21"/>
              </w:rPr>
            </w:pPr>
          </w:p>
        </w:tc>
        <w:tc>
          <w:tcPr>
            <w:tcW w:w="738" w:type="dxa"/>
            <w:vMerge w:val="restart"/>
            <w:shd w:val="clear" w:color="auto" w:fill="FFFFFF"/>
            <w:vAlign w:val="center"/>
          </w:tcPr>
          <w:p w14:paraId="6FDB55D6">
            <w:pPr>
              <w:jc w:val="center"/>
              <w:textAlignment w:val="center"/>
              <w:rPr>
                <w:rFonts w:ascii="宋体" w:hAnsi="宋体" w:cs="宋体"/>
                <w:bCs/>
                <w:kern w:val="0"/>
                <w:szCs w:val="21"/>
              </w:rPr>
            </w:pPr>
            <w:r>
              <w:rPr>
                <w:rFonts w:hint="eastAsia" w:ascii="宋体" w:hAnsi="宋体" w:cs="宋体"/>
                <w:color w:val="000000"/>
                <w:kern w:val="0"/>
                <w:szCs w:val="21"/>
              </w:rPr>
              <w:t>特别严重</w:t>
            </w:r>
          </w:p>
        </w:tc>
        <w:tc>
          <w:tcPr>
            <w:tcW w:w="3305" w:type="dxa"/>
            <w:vMerge w:val="restart"/>
            <w:shd w:val="clear" w:color="auto" w:fill="FFFFFF"/>
            <w:vAlign w:val="center"/>
          </w:tcPr>
          <w:p w14:paraId="3E49A968">
            <w:pPr>
              <w:widowControl/>
              <w:textAlignment w:val="center"/>
              <w:rPr>
                <w:rFonts w:ascii="宋体" w:hAnsi="宋体" w:cs="宋体"/>
                <w:bCs/>
                <w:kern w:val="0"/>
                <w:szCs w:val="21"/>
              </w:rPr>
            </w:pPr>
            <w:r>
              <w:rPr>
                <w:rFonts w:hint="eastAsia" w:ascii="宋体" w:hAnsi="宋体" w:cs="宋体"/>
                <w:color w:val="000000"/>
                <w:kern w:val="0"/>
                <w:szCs w:val="21"/>
              </w:rPr>
              <w:t>处罚执行期限届满之日起3年内又有该款所列违法行为之一的，或者弄虚作假骗取中标情节特别严重的</w:t>
            </w:r>
          </w:p>
        </w:tc>
        <w:tc>
          <w:tcPr>
            <w:tcW w:w="752" w:type="dxa"/>
            <w:gridSpan w:val="2"/>
            <w:shd w:val="clear" w:color="auto" w:fill="FFFFFF"/>
            <w:vAlign w:val="center"/>
          </w:tcPr>
          <w:p w14:paraId="1B87CB44">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2231" w:type="dxa"/>
            <w:shd w:val="clear" w:color="auto" w:fill="FFFFFF"/>
            <w:vAlign w:val="center"/>
          </w:tcPr>
          <w:p w14:paraId="3F8A5738">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700D0E68">
            <w:pPr>
              <w:spacing w:line="240" w:lineRule="exact"/>
              <w:rPr>
                <w:rFonts w:ascii="宋体" w:hAnsi="宋体" w:cs="宋体"/>
                <w:color w:val="000000"/>
                <w:kern w:val="0"/>
                <w:szCs w:val="21"/>
              </w:rPr>
            </w:pPr>
            <w:r>
              <w:rPr>
                <w:rFonts w:hint="eastAsia" w:ascii="宋体" w:hAnsi="宋体" w:cs="宋体"/>
                <w:color w:val="000000"/>
                <w:kern w:val="0"/>
                <w:szCs w:val="21"/>
              </w:rPr>
              <w:t>2.处中标项目金额10‰的罚款；</w:t>
            </w:r>
          </w:p>
          <w:p w14:paraId="32217E3F">
            <w:pPr>
              <w:spacing w:line="240" w:lineRule="exact"/>
              <w:rPr>
                <w:rFonts w:ascii="宋体" w:hAnsi="宋体" w:cs="宋体"/>
                <w:color w:val="000000"/>
                <w:kern w:val="0"/>
                <w:szCs w:val="21"/>
              </w:rPr>
            </w:pPr>
            <w:r>
              <w:rPr>
                <w:rFonts w:hint="eastAsia" w:ascii="宋体" w:hAnsi="宋体" w:cs="宋体"/>
                <w:color w:val="000000"/>
                <w:kern w:val="0"/>
                <w:szCs w:val="21"/>
              </w:rPr>
              <w:t>3.移送工商行政管理机关吊销营业执照；</w:t>
            </w:r>
          </w:p>
          <w:p w14:paraId="63BEBF00">
            <w:pPr>
              <w:spacing w:line="240" w:lineRule="exact"/>
              <w:rPr>
                <w:rFonts w:ascii="宋体" w:hAnsi="宋体" w:cs="宋体"/>
                <w:color w:val="000000"/>
                <w:kern w:val="0"/>
                <w:szCs w:val="21"/>
              </w:rPr>
            </w:pPr>
            <w:r>
              <w:rPr>
                <w:rFonts w:hint="eastAsia" w:ascii="宋体" w:hAnsi="宋体" w:cs="宋体"/>
                <w:color w:val="000000"/>
                <w:kern w:val="0"/>
                <w:szCs w:val="21"/>
              </w:rPr>
              <w:t>4.构成犯罪的，依法追究刑事责任。给他人造成损失的，依法承担赔偿责任；</w:t>
            </w:r>
          </w:p>
          <w:p w14:paraId="7F66F1F8">
            <w:pPr>
              <w:spacing w:line="240" w:lineRule="exact"/>
              <w:rPr>
                <w:rFonts w:ascii="宋体" w:hAnsi="宋体" w:cs="宋体"/>
                <w:bCs/>
                <w:kern w:val="0"/>
                <w:szCs w:val="21"/>
              </w:rPr>
            </w:pPr>
            <w:r>
              <w:rPr>
                <w:rFonts w:hint="eastAsia" w:ascii="宋体" w:hAnsi="宋体" w:cs="宋体"/>
                <w:color w:val="000000"/>
                <w:kern w:val="0"/>
                <w:szCs w:val="21"/>
              </w:rPr>
              <w:t>5.</w:t>
            </w:r>
            <w:r>
              <w:rPr>
                <w:rFonts w:hint="eastAsia" w:ascii="宋体" w:hAnsi="宋体" w:cs="宋体"/>
                <w:bCs/>
                <w:kern w:val="0"/>
                <w:szCs w:val="21"/>
              </w:rPr>
              <w:t>中标无效。</w:t>
            </w:r>
          </w:p>
        </w:tc>
      </w:tr>
      <w:tr w14:paraId="479B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6" w:hRule="atLeast"/>
          <w:jc w:val="center"/>
        </w:trPr>
        <w:tc>
          <w:tcPr>
            <w:tcW w:w="539" w:type="dxa"/>
            <w:vMerge w:val="continue"/>
            <w:shd w:val="clear" w:color="auto" w:fill="FFFFFF"/>
            <w:vAlign w:val="center"/>
          </w:tcPr>
          <w:p w14:paraId="04F34361">
            <w:pPr>
              <w:spacing w:line="240" w:lineRule="exact"/>
              <w:rPr>
                <w:rFonts w:ascii="宋体" w:hAnsi="宋体" w:cs="宋体"/>
                <w:szCs w:val="21"/>
              </w:rPr>
            </w:pPr>
          </w:p>
        </w:tc>
        <w:tc>
          <w:tcPr>
            <w:tcW w:w="989" w:type="dxa"/>
            <w:vMerge w:val="continue"/>
            <w:shd w:val="clear" w:color="auto" w:fill="FFFFFF"/>
            <w:vAlign w:val="center"/>
          </w:tcPr>
          <w:p w14:paraId="0A2367D5">
            <w:pPr>
              <w:spacing w:line="240" w:lineRule="exact"/>
              <w:rPr>
                <w:rFonts w:ascii="宋体" w:hAnsi="宋体" w:cs="宋体"/>
                <w:szCs w:val="21"/>
              </w:rPr>
            </w:pPr>
          </w:p>
        </w:tc>
        <w:tc>
          <w:tcPr>
            <w:tcW w:w="3586" w:type="dxa"/>
            <w:vMerge w:val="continue"/>
            <w:shd w:val="clear" w:color="auto" w:fill="FFFFFF"/>
            <w:vAlign w:val="center"/>
          </w:tcPr>
          <w:p w14:paraId="1E5E5B6A">
            <w:pPr>
              <w:spacing w:line="240" w:lineRule="exact"/>
              <w:rPr>
                <w:rFonts w:ascii="宋体" w:hAnsi="宋体" w:cs="宋体"/>
                <w:szCs w:val="21"/>
              </w:rPr>
            </w:pPr>
          </w:p>
        </w:tc>
        <w:tc>
          <w:tcPr>
            <w:tcW w:w="4181" w:type="dxa"/>
            <w:vMerge w:val="continue"/>
            <w:shd w:val="clear" w:color="auto" w:fill="FFFFFF"/>
            <w:vAlign w:val="center"/>
          </w:tcPr>
          <w:p w14:paraId="4AE027E7">
            <w:pPr>
              <w:spacing w:line="240" w:lineRule="exact"/>
              <w:rPr>
                <w:rFonts w:ascii="宋体" w:hAnsi="宋体" w:cs="宋体"/>
                <w:szCs w:val="21"/>
              </w:rPr>
            </w:pPr>
          </w:p>
        </w:tc>
        <w:tc>
          <w:tcPr>
            <w:tcW w:w="738" w:type="dxa"/>
            <w:vMerge w:val="continue"/>
            <w:shd w:val="clear" w:color="auto" w:fill="FFFFFF"/>
            <w:vAlign w:val="center"/>
          </w:tcPr>
          <w:p w14:paraId="20F1500B">
            <w:pPr>
              <w:spacing w:line="240" w:lineRule="exact"/>
              <w:rPr>
                <w:rFonts w:ascii="宋体" w:hAnsi="宋体" w:cs="宋体"/>
                <w:szCs w:val="21"/>
              </w:rPr>
            </w:pPr>
          </w:p>
        </w:tc>
        <w:tc>
          <w:tcPr>
            <w:tcW w:w="3305" w:type="dxa"/>
            <w:vMerge w:val="continue"/>
            <w:shd w:val="clear" w:color="auto" w:fill="FFFFFF"/>
            <w:vAlign w:val="center"/>
          </w:tcPr>
          <w:p w14:paraId="7C66AB4B">
            <w:pPr>
              <w:spacing w:line="240" w:lineRule="exact"/>
              <w:rPr>
                <w:rFonts w:ascii="宋体" w:hAnsi="宋体" w:cs="宋体"/>
                <w:szCs w:val="21"/>
              </w:rPr>
            </w:pPr>
          </w:p>
        </w:tc>
        <w:tc>
          <w:tcPr>
            <w:tcW w:w="752" w:type="dxa"/>
            <w:gridSpan w:val="2"/>
            <w:shd w:val="clear" w:color="auto" w:fill="FFFFFF"/>
            <w:vAlign w:val="center"/>
          </w:tcPr>
          <w:p w14:paraId="28A6BE5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个人</w:t>
            </w:r>
          </w:p>
        </w:tc>
        <w:tc>
          <w:tcPr>
            <w:tcW w:w="2231" w:type="dxa"/>
            <w:shd w:val="clear" w:color="auto" w:fill="FFFFFF"/>
            <w:vAlign w:val="center"/>
          </w:tcPr>
          <w:p w14:paraId="55F1D867">
            <w:pPr>
              <w:widowControl/>
              <w:textAlignment w:val="center"/>
              <w:rPr>
                <w:rFonts w:ascii="宋体" w:hAnsi="宋体" w:cs="宋体"/>
                <w:color w:val="000000"/>
                <w:kern w:val="0"/>
                <w:szCs w:val="21"/>
              </w:rPr>
            </w:pPr>
            <w:r>
              <w:rPr>
                <w:rFonts w:hint="eastAsia" w:ascii="宋体" w:hAnsi="宋体" w:cs="宋体"/>
                <w:color w:val="000000"/>
                <w:kern w:val="0"/>
                <w:szCs w:val="21"/>
              </w:rPr>
              <w:t>1.责令改正，没收违法所得；</w:t>
            </w:r>
          </w:p>
          <w:p w14:paraId="04F0E2EB">
            <w:pPr>
              <w:spacing w:line="240" w:lineRule="exact"/>
              <w:rPr>
                <w:rFonts w:ascii="宋体" w:hAnsi="宋体" w:cs="宋体"/>
                <w:color w:val="000000"/>
                <w:kern w:val="0"/>
                <w:szCs w:val="21"/>
              </w:rPr>
            </w:pPr>
            <w:r>
              <w:rPr>
                <w:rFonts w:hint="eastAsia" w:ascii="宋体" w:hAnsi="宋体" w:cs="宋体"/>
                <w:color w:val="000000"/>
                <w:kern w:val="0"/>
                <w:szCs w:val="21"/>
              </w:rPr>
              <w:t>2.对单位直接负责的主管人员和其他直接责任人员处单位罚款数额10%的罚款；</w:t>
            </w:r>
          </w:p>
          <w:p w14:paraId="6932F137">
            <w:pPr>
              <w:spacing w:line="240" w:lineRule="exact"/>
              <w:rPr>
                <w:rFonts w:ascii="宋体" w:hAnsi="宋体" w:cs="宋体"/>
                <w:szCs w:val="21"/>
              </w:rPr>
            </w:pPr>
            <w:r>
              <w:rPr>
                <w:rFonts w:hint="eastAsia" w:ascii="宋体" w:hAnsi="宋体" w:cs="宋体"/>
                <w:color w:val="000000"/>
                <w:kern w:val="0"/>
                <w:szCs w:val="21"/>
              </w:rPr>
              <w:t>3.构成犯罪的，依法追究刑事责任。给他人造成损失的，依法承担赔偿责任</w:t>
            </w:r>
            <w:r>
              <w:rPr>
                <w:rFonts w:hint="eastAsia" w:ascii="宋体" w:hAnsi="宋体" w:cs="宋体"/>
                <w:bCs/>
                <w:kern w:val="0"/>
                <w:szCs w:val="21"/>
              </w:rPr>
              <w:t>。</w:t>
            </w:r>
          </w:p>
        </w:tc>
      </w:tr>
      <w:tr w14:paraId="0C67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49806579">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449</w:t>
            </w:r>
          </w:p>
        </w:tc>
        <w:tc>
          <w:tcPr>
            <w:tcW w:w="989" w:type="dxa"/>
            <w:vMerge w:val="restart"/>
            <w:shd w:val="clear" w:color="auto" w:fill="FFFFFF"/>
            <w:vAlign w:val="center"/>
          </w:tcPr>
          <w:p w14:paraId="0A062CF6">
            <w:pPr>
              <w:spacing w:line="240" w:lineRule="exact"/>
              <w:rPr>
                <w:rFonts w:ascii="宋体" w:hAnsi="宋体" w:cs="宋体"/>
                <w:bCs/>
                <w:kern w:val="0"/>
                <w:szCs w:val="21"/>
              </w:rPr>
            </w:pPr>
            <w:r>
              <w:rPr>
                <w:rFonts w:hint="eastAsia" w:ascii="宋体" w:hAnsi="宋体" w:cs="宋体"/>
                <w:color w:val="000000"/>
                <w:kern w:val="0"/>
                <w:szCs w:val="21"/>
              </w:rPr>
              <w:t>招标人对依法必须招标的交通建设工程项目违反规定与投标人就投标实质性内容进行谈判</w:t>
            </w:r>
          </w:p>
        </w:tc>
        <w:tc>
          <w:tcPr>
            <w:tcW w:w="3586" w:type="dxa"/>
            <w:vMerge w:val="restart"/>
            <w:shd w:val="clear" w:color="auto" w:fill="FFFFFF"/>
            <w:vAlign w:val="center"/>
          </w:tcPr>
          <w:p w14:paraId="3CA47A8C">
            <w:pPr>
              <w:spacing w:line="240" w:lineRule="exact"/>
              <w:ind w:firstLine="420" w:firstLineChars="200"/>
              <w:rPr>
                <w:rFonts w:ascii="宋体" w:hAnsi="宋体" w:cs="宋体"/>
                <w:bCs/>
                <w:kern w:val="0"/>
                <w:szCs w:val="21"/>
              </w:rPr>
            </w:pPr>
            <w:r>
              <w:rPr>
                <w:rFonts w:hint="eastAsia" w:ascii="宋体" w:hAnsi="宋体" w:cs="宋体"/>
                <w:color w:val="000000"/>
                <w:kern w:val="0"/>
                <w:szCs w:val="21"/>
              </w:rPr>
              <w:t>《中华人民共和国招标投标法》第四十三条 在确定中标人前，招标人不得与投标人就投标价格、投标方案等实质性内容进行谈判。</w:t>
            </w:r>
          </w:p>
        </w:tc>
        <w:tc>
          <w:tcPr>
            <w:tcW w:w="4181" w:type="dxa"/>
            <w:vMerge w:val="restart"/>
            <w:shd w:val="clear" w:color="auto" w:fill="FFFFFF"/>
            <w:vAlign w:val="center"/>
          </w:tcPr>
          <w:p w14:paraId="0B7DFFC4">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tc>
        <w:tc>
          <w:tcPr>
            <w:tcW w:w="738" w:type="dxa"/>
            <w:shd w:val="clear" w:color="auto" w:fill="FFFFFF"/>
            <w:vAlign w:val="center"/>
          </w:tcPr>
          <w:p w14:paraId="748C6137">
            <w:pPr>
              <w:spacing w:line="240" w:lineRule="exact"/>
              <w:jc w:val="center"/>
              <w:rPr>
                <w:rFonts w:ascii="宋体" w:hAnsi="宋体" w:cs="宋体"/>
                <w:bCs/>
                <w:kern w:val="0"/>
                <w:szCs w:val="21"/>
              </w:rPr>
            </w:pPr>
            <w:r>
              <w:rPr>
                <w:rFonts w:hint="eastAsia" w:ascii="宋体" w:hAnsi="宋体" w:cs="宋体"/>
                <w:bCs/>
                <w:kern w:val="0"/>
                <w:szCs w:val="21"/>
              </w:rPr>
              <w:t>一般</w:t>
            </w:r>
          </w:p>
        </w:tc>
        <w:tc>
          <w:tcPr>
            <w:tcW w:w="3305" w:type="dxa"/>
            <w:shd w:val="clear" w:color="auto" w:fill="FFFFFF"/>
            <w:vAlign w:val="center"/>
          </w:tcPr>
          <w:p w14:paraId="146CC7C4">
            <w:pPr>
              <w:widowControl/>
              <w:textAlignment w:val="center"/>
              <w:rPr>
                <w:rFonts w:ascii="宋体" w:hAnsi="宋体" w:cs="宋体"/>
                <w:bCs/>
                <w:kern w:val="0"/>
                <w:szCs w:val="21"/>
              </w:rPr>
            </w:pPr>
            <w:r>
              <w:rPr>
                <w:rFonts w:hint="eastAsia" w:ascii="宋体" w:hAnsi="宋体" w:cs="宋体"/>
                <w:color w:val="000000"/>
                <w:kern w:val="0"/>
                <w:szCs w:val="21"/>
              </w:rPr>
              <w:t>依法必须进行招标的项目，招标人违反规定，与投标人就投标价格、投标方案等实质性内容进行谈判，但相关人实际未中标的</w:t>
            </w:r>
          </w:p>
        </w:tc>
        <w:tc>
          <w:tcPr>
            <w:tcW w:w="2983" w:type="dxa"/>
            <w:gridSpan w:val="3"/>
            <w:shd w:val="clear" w:color="auto" w:fill="FFFFFF"/>
            <w:vAlign w:val="center"/>
          </w:tcPr>
          <w:p w14:paraId="18B5EC69">
            <w:pPr>
              <w:spacing w:line="240" w:lineRule="exact"/>
              <w:rPr>
                <w:rFonts w:ascii="宋体" w:hAnsi="宋体" w:cs="宋体"/>
                <w:bCs/>
                <w:kern w:val="0"/>
                <w:szCs w:val="21"/>
              </w:rPr>
            </w:pPr>
            <w:r>
              <w:rPr>
                <w:rFonts w:hint="eastAsia" w:ascii="宋体" w:hAnsi="宋体" w:cs="宋体"/>
                <w:bCs/>
                <w:kern w:val="0"/>
                <w:szCs w:val="21"/>
              </w:rPr>
              <w:t>给予警告，责令改正。</w:t>
            </w:r>
          </w:p>
        </w:tc>
      </w:tr>
      <w:tr w14:paraId="6EE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88" w:hRule="atLeast"/>
          <w:jc w:val="center"/>
        </w:trPr>
        <w:tc>
          <w:tcPr>
            <w:tcW w:w="539" w:type="dxa"/>
            <w:vMerge w:val="continue"/>
            <w:shd w:val="clear" w:color="auto" w:fill="FFFFFF"/>
            <w:vAlign w:val="center"/>
          </w:tcPr>
          <w:p w14:paraId="5BC5ED60">
            <w:pPr>
              <w:spacing w:line="240" w:lineRule="exact"/>
              <w:jc w:val="center"/>
              <w:rPr>
                <w:rFonts w:ascii="宋体" w:hAnsi="宋体" w:cs="宋体"/>
                <w:bCs/>
                <w:kern w:val="0"/>
                <w:szCs w:val="21"/>
              </w:rPr>
            </w:pPr>
          </w:p>
        </w:tc>
        <w:tc>
          <w:tcPr>
            <w:tcW w:w="989" w:type="dxa"/>
            <w:vMerge w:val="continue"/>
            <w:shd w:val="clear" w:color="auto" w:fill="FFFFFF"/>
            <w:vAlign w:val="center"/>
          </w:tcPr>
          <w:p w14:paraId="00254C2F">
            <w:pPr>
              <w:spacing w:line="240" w:lineRule="exact"/>
              <w:ind w:firstLine="420" w:firstLineChars="200"/>
              <w:rPr>
                <w:rFonts w:ascii="宋体" w:hAnsi="宋体" w:cs="宋体"/>
                <w:bCs/>
                <w:kern w:val="0"/>
                <w:szCs w:val="21"/>
              </w:rPr>
            </w:pPr>
          </w:p>
        </w:tc>
        <w:tc>
          <w:tcPr>
            <w:tcW w:w="3586" w:type="dxa"/>
            <w:vMerge w:val="continue"/>
            <w:shd w:val="clear" w:color="auto" w:fill="FFFFFF"/>
            <w:vAlign w:val="center"/>
          </w:tcPr>
          <w:p w14:paraId="3D508551">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3209A276">
            <w:pPr>
              <w:spacing w:line="240" w:lineRule="exact"/>
              <w:ind w:firstLine="420" w:firstLineChars="200"/>
              <w:rPr>
                <w:rFonts w:ascii="宋体" w:hAnsi="宋体" w:cs="宋体"/>
                <w:bCs/>
                <w:kern w:val="0"/>
                <w:szCs w:val="21"/>
              </w:rPr>
            </w:pPr>
          </w:p>
        </w:tc>
        <w:tc>
          <w:tcPr>
            <w:tcW w:w="738" w:type="dxa"/>
            <w:shd w:val="clear" w:color="auto" w:fill="FFFFFF"/>
            <w:vAlign w:val="center"/>
          </w:tcPr>
          <w:p w14:paraId="267169C2">
            <w:pPr>
              <w:spacing w:line="240" w:lineRule="exact"/>
              <w:jc w:val="center"/>
              <w:rPr>
                <w:rFonts w:ascii="宋体" w:hAnsi="宋体" w:cs="宋体"/>
                <w:bCs/>
                <w:kern w:val="0"/>
                <w:szCs w:val="21"/>
              </w:rPr>
            </w:pPr>
            <w:r>
              <w:rPr>
                <w:rFonts w:hint="eastAsia" w:ascii="宋体" w:hAnsi="宋体" w:cs="宋体"/>
                <w:bCs/>
                <w:kern w:val="0"/>
                <w:szCs w:val="21"/>
              </w:rPr>
              <w:t>严重</w:t>
            </w:r>
          </w:p>
        </w:tc>
        <w:tc>
          <w:tcPr>
            <w:tcW w:w="3305" w:type="dxa"/>
            <w:shd w:val="clear" w:color="auto" w:fill="FFFFFF"/>
            <w:vAlign w:val="center"/>
          </w:tcPr>
          <w:p w14:paraId="0E7BD444">
            <w:pPr>
              <w:widowControl/>
              <w:textAlignment w:val="center"/>
              <w:rPr>
                <w:rFonts w:ascii="宋体" w:hAnsi="宋体" w:cs="宋体"/>
                <w:bCs/>
                <w:kern w:val="0"/>
                <w:szCs w:val="21"/>
              </w:rPr>
            </w:pPr>
            <w:r>
              <w:rPr>
                <w:rFonts w:hint="eastAsia" w:ascii="宋体" w:hAnsi="宋体" w:cs="宋体"/>
                <w:color w:val="000000"/>
                <w:kern w:val="0"/>
                <w:szCs w:val="21"/>
              </w:rPr>
              <w:t>依法必须进行招标的项目，招标人违反规定，与投标人就投标价格、投标方案等实质性内容进行谈判，且实际影响中标结果的</w:t>
            </w:r>
          </w:p>
        </w:tc>
        <w:tc>
          <w:tcPr>
            <w:tcW w:w="2983" w:type="dxa"/>
            <w:gridSpan w:val="3"/>
            <w:shd w:val="clear" w:color="auto" w:fill="FFFFFF"/>
            <w:vAlign w:val="center"/>
          </w:tcPr>
          <w:p w14:paraId="730DB7B2">
            <w:pPr>
              <w:spacing w:line="240" w:lineRule="exact"/>
              <w:rPr>
                <w:rFonts w:ascii="宋体" w:hAnsi="宋体" w:cs="宋体"/>
                <w:bCs/>
                <w:kern w:val="0"/>
                <w:szCs w:val="21"/>
              </w:rPr>
            </w:pPr>
            <w:r>
              <w:rPr>
                <w:rFonts w:hint="eastAsia" w:ascii="宋体" w:hAnsi="宋体" w:cs="宋体"/>
                <w:bCs/>
                <w:kern w:val="0"/>
                <w:szCs w:val="21"/>
              </w:rPr>
              <w:t>给予警告，责令改正；影响中标结果的，中标无效。</w:t>
            </w:r>
          </w:p>
        </w:tc>
      </w:tr>
      <w:tr w14:paraId="21CF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 w:hRule="atLeast"/>
          <w:jc w:val="center"/>
        </w:trPr>
        <w:tc>
          <w:tcPr>
            <w:tcW w:w="539" w:type="dxa"/>
            <w:vMerge w:val="restart"/>
            <w:shd w:val="clear" w:color="auto" w:fill="FFFFFF"/>
            <w:vAlign w:val="center"/>
          </w:tcPr>
          <w:p w14:paraId="20F5B04A">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450</w:t>
            </w:r>
          </w:p>
        </w:tc>
        <w:tc>
          <w:tcPr>
            <w:tcW w:w="989" w:type="dxa"/>
            <w:vMerge w:val="restart"/>
            <w:shd w:val="clear" w:color="auto" w:fill="FFFFFF"/>
            <w:vAlign w:val="center"/>
          </w:tcPr>
          <w:p w14:paraId="03E7C19F">
            <w:pPr>
              <w:spacing w:line="240" w:lineRule="exact"/>
              <w:rPr>
                <w:rFonts w:ascii="宋体" w:hAnsi="宋体" w:cs="宋体"/>
                <w:bCs/>
                <w:kern w:val="0"/>
                <w:szCs w:val="21"/>
              </w:rPr>
            </w:pPr>
            <w:r>
              <w:rPr>
                <w:rFonts w:hint="eastAsia" w:ascii="宋体" w:hAnsi="宋体" w:cs="宋体"/>
                <w:bCs/>
                <w:kern w:val="0"/>
                <w:szCs w:val="21"/>
              </w:rPr>
              <w:t>评标委员会成员收受投标人好处，评标委员会成员或者参加评标的有关工作人员向他人透露与评标有关情况</w:t>
            </w:r>
          </w:p>
        </w:tc>
        <w:tc>
          <w:tcPr>
            <w:tcW w:w="3586" w:type="dxa"/>
            <w:vMerge w:val="restart"/>
            <w:shd w:val="clear" w:color="auto" w:fill="FFFFFF"/>
            <w:vAlign w:val="center"/>
          </w:tcPr>
          <w:p w14:paraId="342C7915">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《中华人民共和国招标投标法》第四十四条 评标委员会成员应当客观、公正地履行职务，遵守职业道德，对所提出的评审意见承担个人责任。评标委员会成员不得私下接触投标人，不得收受投标人的财物或者其他好处。评标委员会成员和参与评标的有关工作人员不得透露对投标文件的评审和比较、中标候选人的推荐情况以及与评标有关的其他情况。</w:t>
            </w:r>
          </w:p>
        </w:tc>
        <w:tc>
          <w:tcPr>
            <w:tcW w:w="4181" w:type="dxa"/>
            <w:vMerge w:val="restart"/>
            <w:shd w:val="clear" w:color="auto" w:fill="FFFFFF"/>
            <w:vAlign w:val="center"/>
          </w:tcPr>
          <w:p w14:paraId="7DD9E9B7">
            <w:pPr>
              <w:spacing w:line="22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525FB75E">
            <w:pPr>
              <w:spacing w:line="22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738" w:type="dxa"/>
            <w:shd w:val="clear" w:color="auto" w:fill="FFFFFF"/>
            <w:vAlign w:val="center"/>
          </w:tcPr>
          <w:p w14:paraId="5CFAE345">
            <w:pPr>
              <w:widowControl/>
              <w:jc w:val="center"/>
              <w:textAlignment w:val="center"/>
              <w:rPr>
                <w:rFonts w:ascii="宋体" w:hAnsi="宋体" w:cs="宋体"/>
                <w:bCs/>
                <w:kern w:val="0"/>
                <w:szCs w:val="21"/>
              </w:rPr>
            </w:pPr>
            <w:r>
              <w:rPr>
                <w:rFonts w:hint="eastAsia" w:ascii="宋体" w:hAnsi="宋体" w:cs="宋体"/>
                <w:bCs/>
                <w:kern w:val="0"/>
                <w:szCs w:val="21"/>
              </w:rPr>
              <w:t>轻微</w:t>
            </w:r>
          </w:p>
        </w:tc>
        <w:tc>
          <w:tcPr>
            <w:tcW w:w="3305" w:type="dxa"/>
            <w:shd w:val="clear" w:color="auto" w:fill="FFFFFF"/>
            <w:vAlign w:val="center"/>
          </w:tcPr>
          <w:p w14:paraId="0395DCC3">
            <w:pPr>
              <w:widowControl/>
              <w:textAlignment w:val="center"/>
              <w:rPr>
                <w:rFonts w:ascii="宋体" w:hAnsi="宋体" w:cs="宋体"/>
                <w:bCs/>
                <w:kern w:val="0"/>
                <w:szCs w:val="21"/>
              </w:rPr>
            </w:pPr>
            <w:r>
              <w:rPr>
                <w:rFonts w:hint="eastAsia" w:ascii="宋体" w:hAnsi="宋体" w:cs="宋体"/>
                <w:color w:val="000000"/>
                <w:szCs w:val="21"/>
              </w:rPr>
              <w:t>参加评标的有关工作人员向他人透露对投标文件的评审和比较、中标候选人的推荐以及与评标有关的其他情况，不影响招投标结果</w:t>
            </w:r>
          </w:p>
        </w:tc>
        <w:tc>
          <w:tcPr>
            <w:tcW w:w="2983" w:type="dxa"/>
            <w:gridSpan w:val="3"/>
            <w:shd w:val="clear" w:color="auto" w:fill="FFFFFF"/>
            <w:vAlign w:val="center"/>
          </w:tcPr>
          <w:p w14:paraId="7CD92ECD">
            <w:pPr>
              <w:spacing w:line="240" w:lineRule="exact"/>
              <w:rPr>
                <w:rFonts w:ascii="宋体" w:hAnsi="宋体" w:cs="宋体"/>
                <w:bCs/>
                <w:kern w:val="0"/>
                <w:szCs w:val="21"/>
              </w:rPr>
            </w:pPr>
            <w:r>
              <w:rPr>
                <w:rFonts w:hint="eastAsia" w:ascii="宋体" w:hAnsi="宋体" w:cs="宋体"/>
                <w:bCs/>
                <w:kern w:val="0"/>
                <w:szCs w:val="21"/>
              </w:rPr>
              <w:t>给予警告；</w:t>
            </w:r>
          </w:p>
          <w:p w14:paraId="003FA8CD">
            <w:pPr>
              <w:spacing w:line="240" w:lineRule="exact"/>
              <w:rPr>
                <w:rFonts w:ascii="宋体" w:hAnsi="宋体" w:cs="宋体"/>
                <w:bCs/>
                <w:kern w:val="0"/>
                <w:szCs w:val="21"/>
              </w:rPr>
            </w:pPr>
          </w:p>
        </w:tc>
      </w:tr>
      <w:tr w14:paraId="27A1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28" w:hRule="atLeast"/>
          <w:jc w:val="center"/>
        </w:trPr>
        <w:tc>
          <w:tcPr>
            <w:tcW w:w="539" w:type="dxa"/>
            <w:vMerge w:val="continue"/>
            <w:shd w:val="clear" w:color="auto" w:fill="FFFFFF"/>
            <w:vAlign w:val="center"/>
          </w:tcPr>
          <w:p w14:paraId="231649A0">
            <w:pPr>
              <w:spacing w:line="240" w:lineRule="exact"/>
              <w:jc w:val="center"/>
              <w:rPr>
                <w:rFonts w:ascii="宋体" w:hAnsi="宋体" w:cs="宋体"/>
                <w:bCs/>
                <w:kern w:val="0"/>
                <w:szCs w:val="21"/>
              </w:rPr>
            </w:pPr>
          </w:p>
        </w:tc>
        <w:tc>
          <w:tcPr>
            <w:tcW w:w="989" w:type="dxa"/>
            <w:vMerge w:val="continue"/>
            <w:shd w:val="clear" w:color="auto" w:fill="FFFFFF"/>
            <w:vAlign w:val="center"/>
          </w:tcPr>
          <w:p w14:paraId="026AAEE3">
            <w:pPr>
              <w:spacing w:line="240" w:lineRule="exact"/>
              <w:ind w:firstLine="420" w:firstLineChars="200"/>
              <w:rPr>
                <w:rFonts w:ascii="宋体" w:hAnsi="宋体" w:cs="宋体"/>
                <w:bCs/>
                <w:kern w:val="0"/>
                <w:szCs w:val="21"/>
              </w:rPr>
            </w:pPr>
          </w:p>
        </w:tc>
        <w:tc>
          <w:tcPr>
            <w:tcW w:w="3586" w:type="dxa"/>
            <w:vMerge w:val="continue"/>
            <w:shd w:val="clear" w:color="auto" w:fill="FFFFFF"/>
            <w:vAlign w:val="center"/>
          </w:tcPr>
          <w:p w14:paraId="04A424DE">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3D9349BC">
            <w:pPr>
              <w:spacing w:line="240" w:lineRule="exact"/>
              <w:ind w:firstLine="420" w:firstLineChars="200"/>
              <w:rPr>
                <w:rFonts w:ascii="宋体" w:hAnsi="宋体" w:cs="宋体"/>
                <w:bCs/>
                <w:kern w:val="0"/>
                <w:szCs w:val="21"/>
              </w:rPr>
            </w:pPr>
          </w:p>
        </w:tc>
        <w:tc>
          <w:tcPr>
            <w:tcW w:w="738" w:type="dxa"/>
            <w:shd w:val="clear" w:color="auto" w:fill="FFFFFF"/>
            <w:vAlign w:val="center"/>
          </w:tcPr>
          <w:p w14:paraId="44E0DDC1">
            <w:pPr>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4A400E6E">
            <w:pPr>
              <w:textAlignment w:val="center"/>
              <w:rPr>
                <w:rFonts w:ascii="宋体" w:hAnsi="宋体" w:cs="宋体"/>
                <w:bCs/>
                <w:kern w:val="0"/>
                <w:szCs w:val="21"/>
              </w:rPr>
            </w:pPr>
            <w:r>
              <w:rPr>
                <w:rFonts w:hint="eastAsia" w:ascii="宋体" w:hAnsi="宋体" w:cs="宋体"/>
                <w:color w:val="000000"/>
                <w:kern w:val="0"/>
                <w:szCs w:val="21"/>
              </w:rPr>
              <w:t>评标委员会成员收受投标人的财物或者其他好处的，评标委员会成员向他人透露对投标文件的评审和比较、中标候选人的推荐以及与评标有关的其他情况的</w:t>
            </w:r>
          </w:p>
        </w:tc>
        <w:tc>
          <w:tcPr>
            <w:tcW w:w="2983" w:type="dxa"/>
            <w:gridSpan w:val="3"/>
            <w:shd w:val="clear" w:color="auto" w:fill="FFFFFF"/>
            <w:vAlign w:val="center"/>
          </w:tcPr>
          <w:p w14:paraId="736E89BB">
            <w:pPr>
              <w:spacing w:line="240" w:lineRule="exact"/>
              <w:rPr>
                <w:rFonts w:ascii="宋体" w:hAnsi="宋体" w:cs="宋体"/>
                <w:bCs/>
                <w:kern w:val="0"/>
                <w:szCs w:val="21"/>
              </w:rPr>
            </w:pPr>
            <w:r>
              <w:rPr>
                <w:rFonts w:hint="eastAsia" w:ascii="宋体" w:hAnsi="宋体" w:cs="宋体"/>
                <w:bCs/>
                <w:kern w:val="0"/>
                <w:szCs w:val="21"/>
              </w:rPr>
              <w:t>1.给予警告；</w:t>
            </w:r>
          </w:p>
          <w:p w14:paraId="1075E50E">
            <w:pPr>
              <w:spacing w:line="240" w:lineRule="exact"/>
              <w:rPr>
                <w:rFonts w:ascii="宋体" w:hAnsi="宋体" w:cs="宋体"/>
                <w:bCs/>
                <w:kern w:val="0"/>
                <w:szCs w:val="21"/>
              </w:rPr>
            </w:pPr>
            <w:r>
              <w:rPr>
                <w:rFonts w:hint="eastAsia" w:ascii="宋体" w:hAnsi="宋体" w:cs="宋体"/>
                <w:bCs/>
                <w:kern w:val="0"/>
                <w:szCs w:val="21"/>
              </w:rPr>
              <w:t>2.没收收受的财物；</w:t>
            </w:r>
          </w:p>
          <w:p w14:paraId="21A9F412">
            <w:pPr>
              <w:spacing w:line="240" w:lineRule="exact"/>
              <w:rPr>
                <w:rFonts w:ascii="宋体" w:hAnsi="宋体" w:cs="宋体"/>
                <w:bCs/>
                <w:kern w:val="0"/>
                <w:szCs w:val="21"/>
              </w:rPr>
            </w:pPr>
            <w:r>
              <w:rPr>
                <w:rFonts w:hint="eastAsia" w:ascii="宋体" w:hAnsi="宋体" w:cs="宋体"/>
                <w:bCs/>
                <w:kern w:val="0"/>
                <w:szCs w:val="21"/>
              </w:rPr>
              <w:t>3.并处3000元以上5万元以下的罚款；</w:t>
            </w:r>
          </w:p>
          <w:p w14:paraId="229EAD4A">
            <w:pPr>
              <w:spacing w:line="240" w:lineRule="exact"/>
              <w:rPr>
                <w:rFonts w:ascii="宋体" w:hAnsi="宋体" w:cs="宋体"/>
                <w:bCs/>
                <w:kern w:val="0"/>
                <w:szCs w:val="21"/>
              </w:rPr>
            </w:pPr>
            <w:r>
              <w:rPr>
                <w:rFonts w:hint="eastAsia" w:ascii="宋体" w:hAnsi="宋体" w:cs="宋体"/>
                <w:bCs/>
                <w:kern w:val="0"/>
                <w:szCs w:val="21"/>
              </w:rPr>
              <w:t>4.从江西省综合评标专家库中予以清退；</w:t>
            </w:r>
          </w:p>
          <w:p w14:paraId="07069528">
            <w:pPr>
              <w:spacing w:line="240" w:lineRule="exact"/>
              <w:rPr>
                <w:rFonts w:ascii="宋体" w:hAnsi="宋体" w:cs="宋体"/>
                <w:bCs/>
                <w:kern w:val="0"/>
                <w:szCs w:val="21"/>
              </w:rPr>
            </w:pPr>
            <w:r>
              <w:rPr>
                <w:rFonts w:hint="eastAsia" w:ascii="宋体" w:hAnsi="宋体" w:cs="宋体"/>
                <w:bCs/>
                <w:kern w:val="0"/>
                <w:szCs w:val="21"/>
              </w:rPr>
              <w:t>5.构成犯罪的，依法追究刑事责任。</w:t>
            </w:r>
          </w:p>
        </w:tc>
      </w:tr>
      <w:tr w14:paraId="6C1F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39" w:type="dxa"/>
            <w:vMerge w:val="restart"/>
            <w:shd w:val="clear" w:color="auto" w:fill="FFFFFF"/>
            <w:vAlign w:val="center"/>
          </w:tcPr>
          <w:p w14:paraId="3CE02EED">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451</w:t>
            </w:r>
          </w:p>
        </w:tc>
        <w:tc>
          <w:tcPr>
            <w:tcW w:w="989" w:type="dxa"/>
            <w:vMerge w:val="restart"/>
            <w:shd w:val="clear" w:color="auto" w:fill="FFFFFF"/>
            <w:vAlign w:val="center"/>
          </w:tcPr>
          <w:p w14:paraId="5D4E4068">
            <w:pPr>
              <w:spacing w:line="240" w:lineRule="exact"/>
              <w:rPr>
                <w:rFonts w:ascii="宋体" w:hAnsi="宋体" w:cs="宋体"/>
                <w:bCs/>
                <w:kern w:val="0"/>
                <w:szCs w:val="21"/>
              </w:rPr>
            </w:pPr>
            <w:r>
              <w:rPr>
                <w:rFonts w:hint="eastAsia" w:ascii="宋体" w:hAnsi="宋体" w:cs="宋体"/>
                <w:bCs/>
                <w:kern w:val="0"/>
                <w:szCs w:val="21"/>
              </w:rPr>
              <w:t>招标人在评标委员会依法推荐的中标候选人以外确定中标人或者在所有投标被评标委员会否决后自行确定中标人</w:t>
            </w:r>
          </w:p>
        </w:tc>
        <w:tc>
          <w:tcPr>
            <w:tcW w:w="3586" w:type="dxa"/>
            <w:vMerge w:val="restart"/>
            <w:shd w:val="clear" w:color="auto" w:fill="FFFFFF"/>
            <w:vAlign w:val="center"/>
          </w:tcPr>
          <w:p w14:paraId="62A84FEB">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《中华人民共和国招标投标法》第四十条第二款 招标人根据评标委员会提出的书面评标报告和推荐的中标候选人确定中标人。招标人也可以授权评标委员会直接确定中标人。</w:t>
            </w:r>
          </w:p>
          <w:p w14:paraId="077659E5">
            <w:pPr>
              <w:spacing w:line="240" w:lineRule="exact"/>
              <w:ind w:firstLine="420" w:firstLineChars="200"/>
              <w:rPr>
                <w:rFonts w:ascii="宋体" w:hAnsi="宋体" w:cs="宋体"/>
                <w:bCs/>
                <w:kern w:val="0"/>
                <w:szCs w:val="21"/>
              </w:rPr>
            </w:pPr>
            <w:r>
              <w:rPr>
                <w:rFonts w:hint="eastAsia" w:ascii="宋体" w:hAnsi="宋体" w:cs="宋体"/>
                <w:bCs/>
                <w:kern w:val="0"/>
                <w:szCs w:val="21"/>
              </w:rPr>
              <w:t>第四十二条 评标委员会经评审，认为所有投标都不符合招标文件要求的，可以否决所有投标。</w:t>
            </w:r>
          </w:p>
          <w:p w14:paraId="26E14F13">
            <w:pPr>
              <w:spacing w:line="240" w:lineRule="exact"/>
              <w:ind w:firstLine="420" w:firstLineChars="200"/>
              <w:rPr>
                <w:rFonts w:ascii="宋体" w:hAnsi="宋体" w:cs="宋体"/>
                <w:bCs/>
                <w:kern w:val="0"/>
                <w:szCs w:val="21"/>
              </w:rPr>
            </w:pPr>
            <w:r>
              <w:rPr>
                <w:rFonts w:hint="eastAsia" w:ascii="宋体" w:hAnsi="宋体" w:cs="宋体"/>
                <w:bCs/>
                <w:kern w:val="0"/>
                <w:szCs w:val="21"/>
              </w:rPr>
              <w:t>依法必须进行招标的项目的所有投标被否决的，招标人应当依照本法重新招标。</w:t>
            </w:r>
          </w:p>
        </w:tc>
        <w:tc>
          <w:tcPr>
            <w:tcW w:w="4181" w:type="dxa"/>
            <w:vMerge w:val="restart"/>
            <w:shd w:val="clear" w:color="auto" w:fill="FFFFFF"/>
            <w:vAlign w:val="center"/>
          </w:tcPr>
          <w:p w14:paraId="71EB785B">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738" w:type="dxa"/>
            <w:shd w:val="clear" w:color="auto" w:fill="FFFFFF"/>
            <w:vAlign w:val="center"/>
          </w:tcPr>
          <w:p w14:paraId="735B70CF">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4258E5CF">
            <w:pPr>
              <w:widowControl/>
              <w:textAlignment w:val="center"/>
              <w:rPr>
                <w:rFonts w:ascii="宋体" w:hAnsi="宋体" w:cs="宋体"/>
                <w:bCs/>
                <w:kern w:val="0"/>
                <w:szCs w:val="21"/>
              </w:rPr>
            </w:pPr>
            <w:r>
              <w:rPr>
                <w:rFonts w:hint="eastAsia" w:ascii="宋体" w:hAnsi="宋体" w:cs="宋体"/>
                <w:color w:val="000000"/>
                <w:kern w:val="0"/>
                <w:szCs w:val="21"/>
              </w:rPr>
              <w:t>招标人在评标委员会依法推荐的中标候选人以外确定中标人或者在所有投标被评标委员会否决后自行确定中标人，但在签订合同前经责令改正后及时改正的</w:t>
            </w:r>
          </w:p>
        </w:tc>
        <w:tc>
          <w:tcPr>
            <w:tcW w:w="2983" w:type="dxa"/>
            <w:gridSpan w:val="3"/>
            <w:shd w:val="clear" w:color="auto" w:fill="FFFFFF"/>
            <w:vAlign w:val="center"/>
          </w:tcPr>
          <w:p w14:paraId="7DF627FA">
            <w:pPr>
              <w:spacing w:line="240" w:lineRule="exact"/>
              <w:rPr>
                <w:rFonts w:ascii="宋体" w:hAnsi="宋体" w:cs="宋体"/>
                <w:bCs/>
                <w:kern w:val="0"/>
                <w:szCs w:val="21"/>
              </w:rPr>
            </w:pPr>
            <w:r>
              <w:rPr>
                <w:rFonts w:hint="eastAsia" w:ascii="宋体" w:hAnsi="宋体" w:cs="宋体"/>
                <w:color w:val="000000"/>
                <w:kern w:val="0"/>
                <w:szCs w:val="21"/>
              </w:rPr>
              <w:t>责令改正，</w:t>
            </w:r>
            <w:r>
              <w:rPr>
                <w:rFonts w:hint="eastAsia" w:ascii="宋体" w:hAnsi="宋体" w:cs="宋体"/>
                <w:bCs/>
                <w:kern w:val="0"/>
                <w:szCs w:val="21"/>
              </w:rPr>
              <w:t>处中标项目金额5‰的罚款。</w:t>
            </w:r>
          </w:p>
        </w:tc>
      </w:tr>
      <w:tr w14:paraId="2627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3" w:hRule="atLeast"/>
          <w:jc w:val="center"/>
        </w:trPr>
        <w:tc>
          <w:tcPr>
            <w:tcW w:w="539" w:type="dxa"/>
            <w:vMerge w:val="continue"/>
            <w:shd w:val="clear" w:color="auto" w:fill="FFFFFF"/>
            <w:vAlign w:val="center"/>
          </w:tcPr>
          <w:p w14:paraId="70FC57E5">
            <w:pPr>
              <w:spacing w:line="240" w:lineRule="exact"/>
              <w:jc w:val="center"/>
              <w:rPr>
                <w:rFonts w:ascii="宋体" w:hAnsi="宋体" w:cs="宋体"/>
                <w:bCs/>
                <w:kern w:val="0"/>
                <w:szCs w:val="21"/>
              </w:rPr>
            </w:pPr>
          </w:p>
        </w:tc>
        <w:tc>
          <w:tcPr>
            <w:tcW w:w="989" w:type="dxa"/>
            <w:vMerge w:val="continue"/>
            <w:shd w:val="clear" w:color="auto" w:fill="FFFFFF"/>
            <w:vAlign w:val="center"/>
          </w:tcPr>
          <w:p w14:paraId="2635680B">
            <w:pPr>
              <w:spacing w:line="240" w:lineRule="exact"/>
              <w:ind w:firstLine="420" w:firstLineChars="200"/>
              <w:rPr>
                <w:rFonts w:ascii="宋体" w:hAnsi="宋体" w:cs="宋体"/>
                <w:bCs/>
                <w:kern w:val="0"/>
                <w:szCs w:val="21"/>
              </w:rPr>
            </w:pPr>
          </w:p>
        </w:tc>
        <w:tc>
          <w:tcPr>
            <w:tcW w:w="3586" w:type="dxa"/>
            <w:vMerge w:val="continue"/>
            <w:shd w:val="clear" w:color="auto" w:fill="FFFFFF"/>
            <w:vAlign w:val="center"/>
          </w:tcPr>
          <w:p w14:paraId="74E49231">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5945A9A1">
            <w:pPr>
              <w:spacing w:line="240" w:lineRule="exact"/>
              <w:ind w:firstLine="420" w:firstLineChars="200"/>
              <w:rPr>
                <w:rFonts w:ascii="宋体" w:hAnsi="宋体" w:cs="宋体"/>
                <w:bCs/>
                <w:kern w:val="0"/>
                <w:szCs w:val="21"/>
              </w:rPr>
            </w:pPr>
          </w:p>
        </w:tc>
        <w:tc>
          <w:tcPr>
            <w:tcW w:w="738" w:type="dxa"/>
            <w:shd w:val="clear" w:color="auto" w:fill="FFFFFF"/>
            <w:vAlign w:val="center"/>
          </w:tcPr>
          <w:p w14:paraId="79B9F505">
            <w:pPr>
              <w:widowControl/>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4D141159">
            <w:pPr>
              <w:rPr>
                <w:rFonts w:ascii="宋体" w:hAnsi="宋体" w:cs="宋体"/>
                <w:bCs/>
                <w:kern w:val="0"/>
                <w:szCs w:val="21"/>
              </w:rPr>
            </w:pPr>
            <w:r>
              <w:rPr>
                <w:rFonts w:hint="eastAsia" w:ascii="宋体" w:hAnsi="宋体" w:cs="宋体"/>
                <w:color w:val="000000"/>
                <w:kern w:val="0"/>
                <w:szCs w:val="21"/>
              </w:rPr>
              <w:t>招标人在评标委员会依法推荐的中标候选人以外确定中标人或者在所有投标被评标委员会否决后自行确定中标人，并签订合同的。</w:t>
            </w:r>
          </w:p>
        </w:tc>
        <w:tc>
          <w:tcPr>
            <w:tcW w:w="2983" w:type="dxa"/>
            <w:gridSpan w:val="3"/>
            <w:shd w:val="clear" w:color="auto" w:fill="FFFFFF"/>
            <w:vAlign w:val="center"/>
          </w:tcPr>
          <w:p w14:paraId="54F854CC">
            <w:pPr>
              <w:spacing w:line="240" w:lineRule="exact"/>
              <w:rPr>
                <w:rFonts w:ascii="宋体" w:hAnsi="宋体" w:cs="宋体"/>
                <w:bCs/>
                <w:kern w:val="0"/>
                <w:szCs w:val="21"/>
              </w:rPr>
            </w:pPr>
            <w:r>
              <w:rPr>
                <w:rFonts w:hint="eastAsia" w:ascii="宋体" w:hAnsi="宋体" w:cs="宋体"/>
                <w:bCs/>
                <w:kern w:val="0"/>
                <w:szCs w:val="21"/>
              </w:rPr>
              <w:t>责令改正，处中标项目金额10‰的罚款，中标无效。</w:t>
            </w:r>
          </w:p>
        </w:tc>
      </w:tr>
      <w:tr w14:paraId="0068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2" w:hRule="atLeast"/>
          <w:jc w:val="center"/>
        </w:trPr>
        <w:tc>
          <w:tcPr>
            <w:tcW w:w="539" w:type="dxa"/>
            <w:vMerge w:val="restart"/>
            <w:shd w:val="clear" w:color="auto" w:fill="FFFFFF"/>
            <w:vAlign w:val="center"/>
          </w:tcPr>
          <w:p w14:paraId="29E4122A">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452</w:t>
            </w:r>
          </w:p>
        </w:tc>
        <w:tc>
          <w:tcPr>
            <w:tcW w:w="989" w:type="dxa"/>
            <w:vMerge w:val="restart"/>
            <w:shd w:val="clear" w:color="auto" w:fill="FFFFFF"/>
            <w:vAlign w:val="center"/>
          </w:tcPr>
          <w:p w14:paraId="3F87F5C5">
            <w:pPr>
              <w:spacing w:line="240" w:lineRule="exact"/>
              <w:rPr>
                <w:rFonts w:ascii="宋体" w:hAnsi="宋体" w:cs="宋体"/>
                <w:bCs/>
                <w:kern w:val="0"/>
                <w:szCs w:val="21"/>
              </w:rPr>
            </w:pPr>
            <w:r>
              <w:rPr>
                <w:rFonts w:hint="eastAsia" w:ascii="宋体" w:hAnsi="宋体" w:cs="宋体"/>
                <w:bCs/>
                <w:kern w:val="0"/>
                <w:szCs w:val="21"/>
              </w:rPr>
              <w:t>依法应当公开招标而采用邀请招标</w:t>
            </w:r>
          </w:p>
        </w:tc>
        <w:tc>
          <w:tcPr>
            <w:tcW w:w="3586" w:type="dxa"/>
            <w:vMerge w:val="restart"/>
            <w:shd w:val="clear" w:color="auto" w:fill="FFFFFF"/>
            <w:vAlign w:val="center"/>
          </w:tcPr>
          <w:p w14:paraId="72EF4039">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1.《中华人民共和国招标投标法》第三条 在中华人民共和国境内进行下列工程建设项目包括项目的勘察、设计、施工、监理以及与工程建设有关的重要设备、材料等的采购，必须进行招标：（一）大型基础设施、公用事业等关系社会公共利益、公众安全的项目；（二）全部或者部分使用国有资金投资或者国家融资的项目；（三）使用国际组织或者外国政府贷款、援助资金的项目。前款所列项目的具体范围和规模标准，由国务院发展计划部门会同国务院有关部门制订，报国务院批准。</w:t>
            </w:r>
          </w:p>
          <w:p w14:paraId="07992A66">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八条国有资金占控股或者主导地位的依法必须进行招标的项目，应当公开招标；但有下列情形之一的，可以邀请招标：（一）技术复杂、有特殊要求或者受自然环境限制，只有少量潜在投标人可供选择；（二）采用公开招标方式的费用占项目合同金额的比例过大。有前款第二项所列情形，属于本条例第七条规定的项目，由项目审批、核准部门在审批、核准项目时作出认定；其他项目由招标人申请有关行政监督部门作出认定。</w:t>
            </w:r>
          </w:p>
        </w:tc>
        <w:tc>
          <w:tcPr>
            <w:tcW w:w="4181" w:type="dxa"/>
            <w:vMerge w:val="restart"/>
            <w:shd w:val="clear" w:color="auto" w:fill="FFFFFF"/>
            <w:vAlign w:val="center"/>
          </w:tcPr>
          <w:p w14:paraId="550B8EAD">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《中华人民共和国招标投标法实施条例》第六十四条 招标人有下列情形之一的，由有关行政监督部门责令改正，可以处10万元以下的罚款：（一）依法应当公开招标而采用邀请招标；招标人有前款第一项、第三项、第四项所列行为之一的，对单位直接负责的主管人员和其他直接责任人员依法给予处分。</w:t>
            </w:r>
          </w:p>
        </w:tc>
        <w:tc>
          <w:tcPr>
            <w:tcW w:w="738" w:type="dxa"/>
            <w:shd w:val="clear" w:color="auto" w:fill="FFFFFF"/>
            <w:vAlign w:val="center"/>
          </w:tcPr>
          <w:p w14:paraId="6E5F92A2">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43A8AF1E">
            <w:pPr>
              <w:widowControl/>
              <w:textAlignment w:val="center"/>
              <w:rPr>
                <w:rFonts w:ascii="宋体" w:hAnsi="宋体" w:cs="宋体"/>
                <w:bCs/>
                <w:kern w:val="0"/>
                <w:szCs w:val="21"/>
              </w:rPr>
            </w:pPr>
            <w:r>
              <w:rPr>
                <w:rFonts w:hint="eastAsia" w:ascii="宋体" w:hAnsi="宋体" w:cs="宋体"/>
                <w:color w:val="000000"/>
                <w:kern w:val="0"/>
                <w:szCs w:val="21"/>
              </w:rPr>
              <w:t>经审批机关审批变更采购方式，事后补办手续的</w:t>
            </w:r>
          </w:p>
        </w:tc>
        <w:tc>
          <w:tcPr>
            <w:tcW w:w="2983" w:type="dxa"/>
            <w:gridSpan w:val="3"/>
            <w:shd w:val="clear" w:color="auto" w:fill="FFFFFF"/>
            <w:vAlign w:val="center"/>
          </w:tcPr>
          <w:p w14:paraId="2C5BD102">
            <w:pPr>
              <w:spacing w:line="240" w:lineRule="exact"/>
              <w:rPr>
                <w:rFonts w:ascii="宋体" w:hAnsi="宋体" w:cs="宋体"/>
                <w:bCs/>
                <w:kern w:val="0"/>
                <w:szCs w:val="21"/>
              </w:rPr>
            </w:pPr>
            <w:r>
              <w:rPr>
                <w:rFonts w:hint="eastAsia" w:ascii="宋体" w:hAnsi="宋体" w:cs="宋体"/>
                <w:bCs/>
                <w:kern w:val="0"/>
                <w:szCs w:val="21"/>
              </w:rPr>
              <w:t>责令改正，处5万元的罚款。</w:t>
            </w:r>
          </w:p>
        </w:tc>
      </w:tr>
      <w:tr w14:paraId="16AA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29" w:hRule="atLeast"/>
          <w:jc w:val="center"/>
        </w:trPr>
        <w:tc>
          <w:tcPr>
            <w:tcW w:w="539" w:type="dxa"/>
            <w:vMerge w:val="continue"/>
            <w:shd w:val="clear" w:color="auto" w:fill="FFFFFF"/>
            <w:vAlign w:val="center"/>
          </w:tcPr>
          <w:p w14:paraId="7BA70370">
            <w:pPr>
              <w:spacing w:line="240" w:lineRule="exact"/>
              <w:jc w:val="center"/>
              <w:rPr>
                <w:rFonts w:ascii="宋体" w:hAnsi="宋体" w:cs="宋体"/>
                <w:bCs/>
                <w:kern w:val="0"/>
                <w:szCs w:val="21"/>
              </w:rPr>
            </w:pPr>
          </w:p>
        </w:tc>
        <w:tc>
          <w:tcPr>
            <w:tcW w:w="989" w:type="dxa"/>
            <w:vMerge w:val="continue"/>
            <w:shd w:val="clear" w:color="auto" w:fill="FFFFFF"/>
            <w:vAlign w:val="center"/>
          </w:tcPr>
          <w:p w14:paraId="7045DA5B">
            <w:pPr>
              <w:spacing w:line="240" w:lineRule="exact"/>
              <w:ind w:firstLine="420" w:firstLineChars="200"/>
              <w:rPr>
                <w:rFonts w:ascii="宋体" w:hAnsi="宋体" w:cs="宋体"/>
                <w:bCs/>
                <w:kern w:val="0"/>
                <w:szCs w:val="21"/>
              </w:rPr>
            </w:pPr>
          </w:p>
        </w:tc>
        <w:tc>
          <w:tcPr>
            <w:tcW w:w="3586" w:type="dxa"/>
            <w:vMerge w:val="continue"/>
            <w:shd w:val="clear" w:color="auto" w:fill="FFFFFF"/>
            <w:vAlign w:val="center"/>
          </w:tcPr>
          <w:p w14:paraId="1612CE57">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21D7CC81">
            <w:pPr>
              <w:spacing w:line="240" w:lineRule="exact"/>
              <w:ind w:firstLine="420" w:firstLineChars="200"/>
              <w:rPr>
                <w:rFonts w:ascii="宋体" w:hAnsi="宋体" w:cs="宋体"/>
                <w:bCs/>
                <w:kern w:val="0"/>
                <w:szCs w:val="21"/>
              </w:rPr>
            </w:pPr>
          </w:p>
        </w:tc>
        <w:tc>
          <w:tcPr>
            <w:tcW w:w="738" w:type="dxa"/>
            <w:shd w:val="clear" w:color="auto" w:fill="FFFFFF"/>
            <w:vAlign w:val="center"/>
          </w:tcPr>
          <w:p w14:paraId="6019EBA9">
            <w:pPr>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4CB10329">
            <w:pPr>
              <w:textAlignment w:val="center"/>
              <w:rPr>
                <w:rFonts w:ascii="宋体" w:hAnsi="宋体" w:cs="宋体"/>
                <w:bCs/>
                <w:kern w:val="0"/>
                <w:szCs w:val="21"/>
              </w:rPr>
            </w:pPr>
            <w:r>
              <w:rPr>
                <w:rFonts w:hint="eastAsia" w:ascii="宋体" w:hAnsi="宋体" w:cs="宋体"/>
                <w:color w:val="000000"/>
                <w:kern w:val="0"/>
                <w:szCs w:val="21"/>
              </w:rPr>
              <w:t>无法事后补办手续的</w:t>
            </w:r>
          </w:p>
        </w:tc>
        <w:tc>
          <w:tcPr>
            <w:tcW w:w="2983" w:type="dxa"/>
            <w:gridSpan w:val="3"/>
            <w:shd w:val="clear" w:color="auto" w:fill="FFFFFF"/>
            <w:vAlign w:val="center"/>
          </w:tcPr>
          <w:p w14:paraId="332FB4B5">
            <w:pPr>
              <w:spacing w:line="240" w:lineRule="exact"/>
              <w:rPr>
                <w:rFonts w:ascii="宋体" w:hAnsi="宋体" w:cs="宋体"/>
                <w:bCs/>
                <w:kern w:val="0"/>
                <w:szCs w:val="21"/>
              </w:rPr>
            </w:pPr>
            <w:r>
              <w:rPr>
                <w:rFonts w:hint="eastAsia" w:ascii="宋体" w:hAnsi="宋体" w:cs="宋体"/>
                <w:bCs/>
                <w:kern w:val="0"/>
                <w:szCs w:val="21"/>
              </w:rPr>
              <w:t>责令改正，处10万元的罚款。</w:t>
            </w:r>
          </w:p>
        </w:tc>
      </w:tr>
      <w:tr w14:paraId="4732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01" w:hRule="atLeast"/>
          <w:jc w:val="center"/>
        </w:trPr>
        <w:tc>
          <w:tcPr>
            <w:tcW w:w="539" w:type="dxa"/>
            <w:vMerge w:val="restart"/>
            <w:shd w:val="clear" w:color="auto" w:fill="FFFFFF"/>
            <w:vAlign w:val="center"/>
          </w:tcPr>
          <w:p w14:paraId="51C392C5">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453</w:t>
            </w:r>
          </w:p>
        </w:tc>
        <w:tc>
          <w:tcPr>
            <w:tcW w:w="989" w:type="dxa"/>
            <w:vMerge w:val="restart"/>
            <w:shd w:val="clear" w:color="auto" w:fill="FFFFFF"/>
            <w:vAlign w:val="center"/>
          </w:tcPr>
          <w:p w14:paraId="0F6536BE">
            <w:pPr>
              <w:spacing w:line="240" w:lineRule="exact"/>
              <w:rPr>
                <w:rFonts w:ascii="宋体" w:hAnsi="宋体" w:cs="宋体"/>
                <w:bCs/>
                <w:kern w:val="0"/>
                <w:szCs w:val="21"/>
              </w:rPr>
            </w:pPr>
            <w:r>
              <w:rPr>
                <w:rFonts w:hint="eastAsia" w:ascii="宋体" w:hAnsi="宋体" w:cs="宋体"/>
                <w:bCs/>
                <w:kern w:val="0"/>
                <w:szCs w:val="21"/>
              </w:rPr>
              <w:t>招投标资料相关时限不符合规定</w:t>
            </w:r>
          </w:p>
        </w:tc>
        <w:tc>
          <w:tcPr>
            <w:tcW w:w="3586" w:type="dxa"/>
            <w:vMerge w:val="restart"/>
            <w:shd w:val="clear" w:color="auto" w:fill="FFFFFF"/>
            <w:vAlign w:val="center"/>
          </w:tcPr>
          <w:p w14:paraId="75DEC154">
            <w:pPr>
              <w:spacing w:line="240" w:lineRule="exact"/>
              <w:ind w:firstLine="420" w:firstLineChars="200"/>
              <w:rPr>
                <w:rFonts w:ascii="宋体" w:hAnsi="宋体" w:cs="宋体"/>
                <w:bCs/>
                <w:kern w:val="0"/>
                <w:szCs w:val="21"/>
              </w:rPr>
            </w:pPr>
            <w:r>
              <w:rPr>
                <w:rFonts w:hint="eastAsia" w:ascii="宋体" w:hAnsi="宋体" w:cs="宋体"/>
                <w:bCs/>
                <w:kern w:val="0"/>
                <w:szCs w:val="21"/>
              </w:rPr>
              <w:t>1.《中华人民共和国招标投标法》第二十三条 招标人对已发出的招标文件进行必要的澄清或者修改的，应当在招标文件要求提交投标文件截止时间至少十五日前，以书面形式通知所有招标文件收受人。该澄清或者修改的内容为招标文件的组成部分。</w:t>
            </w:r>
          </w:p>
          <w:p w14:paraId="1957A6B1">
            <w:pPr>
              <w:spacing w:line="240" w:lineRule="exact"/>
              <w:ind w:firstLine="420" w:firstLineChars="200"/>
              <w:rPr>
                <w:rFonts w:ascii="宋体" w:hAnsi="宋体" w:cs="宋体"/>
                <w:bCs/>
                <w:kern w:val="0"/>
                <w:szCs w:val="21"/>
              </w:rPr>
            </w:pPr>
            <w:r>
              <w:rPr>
                <w:rFonts w:hint="eastAsia" w:ascii="宋体" w:hAnsi="宋体" w:cs="宋体"/>
                <w:bCs/>
                <w:kern w:val="0"/>
                <w:szCs w:val="21"/>
              </w:rPr>
              <w:t>2.《中华人民共和国招标投标法实施条例》第十六条第一款招标人应当按照资格预审公告、招标公告或者投标邀请书规定的时间、地点发售资格预审文件或者招标文件。资格预审文件或者招标文件的发售期不得少于5日。第十七条招标人应当合理确定提交资格预审申请文件的时间。依法必须进行招标的项目提交资格预审申请文件的时间，自资格预审文件停止发售之日起不得少于5日。</w:t>
            </w:r>
          </w:p>
          <w:p w14:paraId="0FAF53C7">
            <w:pPr>
              <w:spacing w:line="240" w:lineRule="exact"/>
              <w:ind w:firstLine="420" w:firstLineChars="200"/>
              <w:rPr>
                <w:rFonts w:ascii="宋体" w:hAnsi="宋体" w:cs="宋体"/>
                <w:bCs/>
                <w:kern w:val="0"/>
                <w:szCs w:val="21"/>
              </w:rPr>
            </w:pPr>
            <w:r>
              <w:rPr>
                <w:rFonts w:hint="eastAsia" w:ascii="宋体" w:hAnsi="宋体" w:cs="宋体"/>
                <w:bCs/>
                <w:kern w:val="0"/>
                <w:szCs w:val="21"/>
              </w:rPr>
              <w:t>第二十一条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14:paraId="7A684F05">
            <w:pPr>
              <w:spacing w:line="240" w:lineRule="exact"/>
              <w:ind w:firstLine="420" w:firstLineChars="200"/>
              <w:rPr>
                <w:rFonts w:ascii="宋体" w:hAnsi="宋体" w:cs="宋体"/>
                <w:bCs/>
                <w:kern w:val="0"/>
                <w:szCs w:val="21"/>
              </w:rPr>
            </w:pPr>
            <w:r>
              <w:rPr>
                <w:rFonts w:hint="eastAsia" w:ascii="宋体" w:hAnsi="宋体" w:cs="宋体"/>
                <w:bCs/>
                <w:kern w:val="0"/>
                <w:szCs w:val="21"/>
              </w:rPr>
              <w:t>第二十五条招标人应当在招标文件中载明投标有效期。投标有效期从提交投标文件的截止之日起算。</w:t>
            </w:r>
          </w:p>
        </w:tc>
        <w:tc>
          <w:tcPr>
            <w:tcW w:w="4181" w:type="dxa"/>
            <w:shd w:val="clear" w:color="auto" w:fill="FFFFFF"/>
            <w:vAlign w:val="center"/>
          </w:tcPr>
          <w:p w14:paraId="0D4C4DAC">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《中华人民共和国招标投标法实施条例》第六十四条第（二）项  招标人有下列情形之一的，由有关行政监督部门责令改正，可以处10万元以下的罚款：（二）招标文件、资格预审文件的发售、澄清、修改的时限，或者确定的提交资格预审申请文件、投标文件的时限不符合招标投标法和本条例规定。</w:t>
            </w:r>
          </w:p>
        </w:tc>
        <w:tc>
          <w:tcPr>
            <w:tcW w:w="738" w:type="dxa"/>
            <w:shd w:val="clear" w:color="auto" w:fill="FFFFFF"/>
            <w:vAlign w:val="center"/>
          </w:tcPr>
          <w:p w14:paraId="5ACAE4AD">
            <w:pPr>
              <w:widowControl/>
              <w:textAlignment w:val="center"/>
              <w:rPr>
                <w:rFonts w:ascii="宋体" w:hAnsi="宋体" w:cs="宋体"/>
                <w:bCs/>
                <w:kern w:val="0"/>
                <w:szCs w:val="21"/>
              </w:rPr>
            </w:pPr>
            <w:r>
              <w:rPr>
                <w:rFonts w:hint="eastAsia" w:ascii="宋体" w:hAnsi="宋体" w:cs="宋体"/>
                <w:color w:val="000000"/>
                <w:szCs w:val="21"/>
              </w:rPr>
              <w:t>一般</w:t>
            </w:r>
          </w:p>
        </w:tc>
        <w:tc>
          <w:tcPr>
            <w:tcW w:w="3305" w:type="dxa"/>
            <w:shd w:val="clear" w:color="auto" w:fill="FFFFFF"/>
            <w:vAlign w:val="center"/>
          </w:tcPr>
          <w:p w14:paraId="70EBFF5C">
            <w:pPr>
              <w:widowControl/>
              <w:textAlignment w:val="center"/>
              <w:rPr>
                <w:rFonts w:ascii="宋体" w:hAnsi="宋体" w:cs="宋体"/>
                <w:bCs/>
                <w:kern w:val="0"/>
                <w:szCs w:val="21"/>
              </w:rPr>
            </w:pPr>
            <w:r>
              <w:rPr>
                <w:rFonts w:hint="eastAsia" w:ascii="宋体" w:hAnsi="宋体" w:cs="宋体"/>
                <w:color w:val="000000"/>
                <w:kern w:val="0"/>
                <w:szCs w:val="21"/>
              </w:rPr>
              <w:t>招标文件、资格预审文件的发售、澄清、修改的时限，或者确定的提交资格预审申请文件、投标文件的时限不符合中华人民共和国招标投标法和《招投标法实施条例》规定的，经责令改正予以纠正的。</w:t>
            </w:r>
          </w:p>
        </w:tc>
        <w:tc>
          <w:tcPr>
            <w:tcW w:w="2983" w:type="dxa"/>
            <w:gridSpan w:val="3"/>
            <w:shd w:val="clear" w:color="auto" w:fill="FFFFFF"/>
            <w:vAlign w:val="center"/>
          </w:tcPr>
          <w:p w14:paraId="7286AEEF">
            <w:pPr>
              <w:spacing w:line="240" w:lineRule="exact"/>
              <w:rPr>
                <w:rFonts w:ascii="宋体" w:hAnsi="宋体" w:cs="宋体"/>
                <w:bCs/>
                <w:kern w:val="0"/>
                <w:szCs w:val="21"/>
              </w:rPr>
            </w:pPr>
            <w:r>
              <w:rPr>
                <w:rFonts w:hint="eastAsia" w:ascii="宋体" w:hAnsi="宋体" w:cs="宋体"/>
                <w:bCs/>
                <w:kern w:val="0"/>
                <w:szCs w:val="21"/>
              </w:rPr>
              <w:t>处2万元的罚款</w:t>
            </w:r>
          </w:p>
        </w:tc>
      </w:tr>
      <w:tr w14:paraId="3FD0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4" w:hRule="atLeast"/>
          <w:jc w:val="center"/>
        </w:trPr>
        <w:tc>
          <w:tcPr>
            <w:tcW w:w="539" w:type="dxa"/>
            <w:vMerge w:val="continue"/>
            <w:shd w:val="clear" w:color="auto" w:fill="FFFFFF"/>
            <w:vAlign w:val="center"/>
          </w:tcPr>
          <w:p w14:paraId="65A4D5A7">
            <w:pPr>
              <w:spacing w:line="240" w:lineRule="exact"/>
              <w:jc w:val="center"/>
              <w:rPr>
                <w:rFonts w:ascii="宋体" w:hAnsi="宋体" w:cs="宋体"/>
                <w:bCs/>
                <w:kern w:val="0"/>
                <w:szCs w:val="21"/>
              </w:rPr>
            </w:pPr>
          </w:p>
        </w:tc>
        <w:tc>
          <w:tcPr>
            <w:tcW w:w="989" w:type="dxa"/>
            <w:vMerge w:val="continue"/>
            <w:shd w:val="clear" w:color="auto" w:fill="FFFFFF"/>
            <w:vAlign w:val="center"/>
          </w:tcPr>
          <w:p w14:paraId="7ADB7134">
            <w:pPr>
              <w:spacing w:line="240" w:lineRule="exact"/>
              <w:rPr>
                <w:rFonts w:ascii="宋体" w:hAnsi="宋体" w:cs="宋体"/>
                <w:bCs/>
                <w:kern w:val="0"/>
                <w:szCs w:val="21"/>
              </w:rPr>
            </w:pPr>
          </w:p>
        </w:tc>
        <w:tc>
          <w:tcPr>
            <w:tcW w:w="3586" w:type="dxa"/>
            <w:vMerge w:val="continue"/>
            <w:shd w:val="clear" w:color="auto" w:fill="FFFFFF"/>
            <w:vAlign w:val="center"/>
          </w:tcPr>
          <w:p w14:paraId="01CC12FD">
            <w:pPr>
              <w:spacing w:line="240" w:lineRule="exact"/>
              <w:ind w:firstLine="420" w:firstLineChars="200"/>
              <w:rPr>
                <w:rFonts w:ascii="宋体" w:hAnsi="宋体" w:cs="宋体"/>
                <w:bCs/>
                <w:kern w:val="0"/>
                <w:szCs w:val="21"/>
              </w:rPr>
            </w:pPr>
          </w:p>
        </w:tc>
        <w:tc>
          <w:tcPr>
            <w:tcW w:w="4181" w:type="dxa"/>
            <w:shd w:val="clear" w:color="auto" w:fill="FFFFFF"/>
            <w:vAlign w:val="center"/>
          </w:tcPr>
          <w:p w14:paraId="49B1F6A3">
            <w:pPr>
              <w:spacing w:line="240" w:lineRule="exact"/>
              <w:ind w:firstLine="420" w:firstLineChars="200"/>
              <w:rPr>
                <w:rFonts w:ascii="宋体" w:hAnsi="宋体" w:cs="宋体"/>
                <w:bCs/>
                <w:kern w:val="0"/>
                <w:szCs w:val="21"/>
              </w:rPr>
            </w:pPr>
          </w:p>
        </w:tc>
        <w:tc>
          <w:tcPr>
            <w:tcW w:w="738" w:type="dxa"/>
            <w:shd w:val="clear" w:color="auto" w:fill="FFFFFF"/>
            <w:vAlign w:val="center"/>
          </w:tcPr>
          <w:p w14:paraId="4BD3A16D">
            <w:pPr>
              <w:widowControl/>
              <w:jc w:val="center"/>
              <w:textAlignment w:val="center"/>
              <w:rPr>
                <w:rFonts w:ascii="宋体" w:hAnsi="宋体" w:cs="宋体"/>
                <w:bCs/>
                <w:kern w:val="0"/>
                <w:szCs w:val="21"/>
              </w:rPr>
            </w:pPr>
            <w:r>
              <w:rPr>
                <w:rFonts w:hint="eastAsia" w:ascii="宋体" w:hAnsi="宋体" w:cs="宋体"/>
                <w:bCs/>
                <w:kern w:val="0"/>
                <w:szCs w:val="21"/>
              </w:rPr>
              <w:t>严重</w:t>
            </w:r>
          </w:p>
        </w:tc>
        <w:tc>
          <w:tcPr>
            <w:tcW w:w="3305" w:type="dxa"/>
            <w:shd w:val="clear" w:color="auto" w:fill="FFFFFF"/>
            <w:vAlign w:val="center"/>
          </w:tcPr>
          <w:p w14:paraId="51D3CD45">
            <w:pPr>
              <w:textAlignment w:val="center"/>
              <w:rPr>
                <w:rFonts w:ascii="宋体" w:hAnsi="宋体" w:cs="宋体"/>
                <w:bCs/>
                <w:kern w:val="0"/>
                <w:szCs w:val="21"/>
              </w:rPr>
            </w:pPr>
            <w:r>
              <w:rPr>
                <w:rFonts w:hint="eastAsia" w:ascii="宋体" w:hAnsi="宋体" w:cs="宋体"/>
                <w:color w:val="000000"/>
                <w:kern w:val="0"/>
                <w:szCs w:val="21"/>
              </w:rPr>
              <w:t>招标文件、资格预审文件的发售、澄清、修改的时限，或者确定的提交资格预审申请文件、投标文件的时限不符合中华人民共和国招标投标法和《招投标法实施条例》规定的，造成恶劣影响的</w:t>
            </w:r>
          </w:p>
        </w:tc>
        <w:tc>
          <w:tcPr>
            <w:tcW w:w="2983" w:type="dxa"/>
            <w:gridSpan w:val="3"/>
            <w:shd w:val="clear" w:color="auto" w:fill="FFFFFF"/>
            <w:vAlign w:val="center"/>
          </w:tcPr>
          <w:p w14:paraId="2FA331EF">
            <w:pPr>
              <w:spacing w:line="240" w:lineRule="exact"/>
              <w:rPr>
                <w:rFonts w:ascii="宋体" w:hAnsi="宋体" w:cs="宋体"/>
                <w:bCs/>
                <w:kern w:val="0"/>
                <w:szCs w:val="21"/>
              </w:rPr>
            </w:pPr>
            <w:r>
              <w:rPr>
                <w:rFonts w:hint="eastAsia" w:ascii="宋体" w:hAnsi="宋体" w:cs="宋体"/>
                <w:bCs/>
                <w:kern w:val="0"/>
                <w:szCs w:val="21"/>
              </w:rPr>
              <w:t>处10万元的罚款</w:t>
            </w:r>
          </w:p>
        </w:tc>
      </w:tr>
      <w:tr w14:paraId="7F32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4" w:hRule="atLeast"/>
          <w:jc w:val="center"/>
        </w:trPr>
        <w:tc>
          <w:tcPr>
            <w:tcW w:w="539" w:type="dxa"/>
            <w:shd w:val="clear" w:color="auto" w:fill="FFFFFF"/>
            <w:vAlign w:val="top"/>
          </w:tcPr>
          <w:p w14:paraId="2A4B8DF6">
            <w:pPr>
              <w:rPr>
                <w:rFonts w:hint="eastAsia"/>
                <w:lang w:val="en-US" w:eastAsia="zh-CN"/>
              </w:rPr>
            </w:pPr>
          </w:p>
          <w:p w14:paraId="0607B4F9">
            <w:pPr>
              <w:rPr>
                <w:rFonts w:hint="eastAsia"/>
                <w:lang w:val="en-US" w:eastAsia="zh-CN"/>
              </w:rPr>
            </w:pPr>
          </w:p>
          <w:p w14:paraId="6CB14A5A">
            <w:pPr>
              <w:rPr>
                <w:rFonts w:hint="eastAsia"/>
                <w:lang w:val="en-US" w:eastAsia="zh-CN"/>
              </w:rPr>
            </w:pPr>
          </w:p>
          <w:p w14:paraId="197B2D15">
            <w:pPr>
              <w:rPr>
                <w:rFonts w:hint="eastAsia"/>
                <w:lang w:val="en-US" w:eastAsia="zh-CN"/>
              </w:rPr>
            </w:pPr>
          </w:p>
          <w:p w14:paraId="7E349EF5">
            <w:pPr>
              <w:rPr>
                <w:rFonts w:hint="default" w:eastAsia="宋体"/>
                <w:lang w:val="en-US" w:eastAsia="zh-CN"/>
              </w:rPr>
            </w:pPr>
            <w:r>
              <w:rPr>
                <w:rFonts w:hint="eastAsia"/>
                <w:lang w:val="en-US" w:eastAsia="zh-CN"/>
              </w:rPr>
              <w:t>454</w:t>
            </w:r>
          </w:p>
        </w:tc>
        <w:tc>
          <w:tcPr>
            <w:tcW w:w="989" w:type="dxa"/>
            <w:shd w:val="clear" w:color="auto" w:fill="FFFFFF"/>
            <w:vAlign w:val="top"/>
          </w:tcPr>
          <w:p w14:paraId="4B1F18FD">
            <w:pPr>
              <w:rPr>
                <w:rFonts w:hint="eastAsia"/>
              </w:rPr>
            </w:pPr>
          </w:p>
          <w:p w14:paraId="4716772B">
            <w:r>
              <w:rPr>
                <w:rFonts w:hint="eastAsia"/>
              </w:rPr>
              <w:t>招标人超额收取保证金或者不按规定退还保证金</w:t>
            </w:r>
          </w:p>
        </w:tc>
        <w:tc>
          <w:tcPr>
            <w:tcW w:w="3586" w:type="dxa"/>
            <w:shd w:val="clear" w:color="auto" w:fill="FFFFFF"/>
            <w:vAlign w:val="top"/>
          </w:tcPr>
          <w:p w14:paraId="14DAC681">
            <w:r>
              <w:rPr>
                <w:rFonts w:hint="eastAsia"/>
              </w:rPr>
              <w:t>《中华人民共和国招标投标法实施条例》第五十七条第二款 招标人最迟应当在书面合同签订后5日内向中标人和未中标的投标人退还投标保证金及银行同期存款利息。第五十八条招标文件要求中标人提交履约保证金的，中标人应当按照招标文件的要求提交。履约保证金不得超过中标合同金额的10%。</w:t>
            </w:r>
          </w:p>
        </w:tc>
        <w:tc>
          <w:tcPr>
            <w:tcW w:w="4181" w:type="dxa"/>
            <w:shd w:val="clear" w:color="auto" w:fill="FFFFFF"/>
            <w:vAlign w:val="top"/>
          </w:tcPr>
          <w:p w14:paraId="287BB6D0">
            <w:pPr>
              <w:rPr>
                <w:rFonts w:hint="eastAsia"/>
              </w:rPr>
            </w:pPr>
          </w:p>
          <w:p w14:paraId="77C686DD">
            <w:r>
              <w:rPr>
                <w:rFonts w:hint="eastAsia"/>
              </w:rPr>
              <w:t>《中华人民共和国招标投标法实施条例》第六十六条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738" w:type="dxa"/>
            <w:shd w:val="clear" w:color="auto" w:fill="FFFFFF"/>
            <w:vAlign w:val="top"/>
          </w:tcPr>
          <w:p w14:paraId="72EBACD5">
            <w:pPr>
              <w:rPr>
                <w:rFonts w:hint="eastAsia"/>
              </w:rPr>
            </w:pPr>
          </w:p>
          <w:p w14:paraId="31F2B4FC">
            <w:pPr>
              <w:rPr>
                <w:rFonts w:hint="eastAsia"/>
              </w:rPr>
            </w:pPr>
          </w:p>
          <w:p w14:paraId="11B67B3F">
            <w:pPr>
              <w:rPr>
                <w:rFonts w:hint="eastAsia"/>
              </w:rPr>
            </w:pPr>
          </w:p>
          <w:p w14:paraId="1B244144">
            <w:pPr>
              <w:rPr>
                <w:rFonts w:hint="eastAsia"/>
              </w:rPr>
            </w:pPr>
          </w:p>
          <w:p w14:paraId="309BE75C">
            <w:r>
              <w:rPr>
                <w:rFonts w:hint="eastAsia"/>
              </w:rPr>
              <w:t>一般</w:t>
            </w:r>
          </w:p>
        </w:tc>
        <w:tc>
          <w:tcPr>
            <w:tcW w:w="3305" w:type="dxa"/>
            <w:shd w:val="clear" w:color="auto" w:fill="FFFFFF"/>
            <w:vAlign w:val="top"/>
          </w:tcPr>
          <w:p w14:paraId="633F1364">
            <w:pPr>
              <w:rPr>
                <w:rFonts w:hint="eastAsia"/>
              </w:rPr>
            </w:pPr>
          </w:p>
          <w:p w14:paraId="66A9A07A">
            <w:pPr>
              <w:rPr>
                <w:rFonts w:hint="eastAsia"/>
              </w:rPr>
            </w:pPr>
          </w:p>
          <w:p w14:paraId="1252CB84">
            <w:pPr>
              <w:rPr>
                <w:rFonts w:hint="eastAsia"/>
              </w:rPr>
            </w:pPr>
          </w:p>
          <w:p w14:paraId="4827F226">
            <w:r>
              <w:rPr>
                <w:rFonts w:hint="eastAsia"/>
              </w:rPr>
              <w:t>招标人超过本条例规定的比例收取投标保证金、履约保证金或者不按照规定退还投标保证金的</w:t>
            </w:r>
          </w:p>
        </w:tc>
        <w:tc>
          <w:tcPr>
            <w:tcW w:w="2983" w:type="dxa"/>
            <w:gridSpan w:val="3"/>
            <w:shd w:val="clear" w:color="auto" w:fill="FFFFFF"/>
            <w:vAlign w:val="top"/>
          </w:tcPr>
          <w:p w14:paraId="2FBD1726">
            <w:pPr>
              <w:rPr>
                <w:rFonts w:hint="eastAsia"/>
              </w:rPr>
            </w:pPr>
          </w:p>
          <w:p w14:paraId="419E4652">
            <w:pPr>
              <w:rPr>
                <w:rFonts w:hint="eastAsia"/>
              </w:rPr>
            </w:pPr>
          </w:p>
          <w:p w14:paraId="6D24AA22">
            <w:pPr>
              <w:rPr>
                <w:rFonts w:hint="eastAsia"/>
              </w:rPr>
            </w:pPr>
          </w:p>
          <w:p w14:paraId="38451301">
            <w:r>
              <w:rPr>
                <w:rFonts w:hint="eastAsia"/>
              </w:rPr>
              <w:t>责令改正，处5万元的罚款，给他人造成损失的，依法承担赔偿责任。</w:t>
            </w:r>
          </w:p>
        </w:tc>
      </w:tr>
      <w:tr w14:paraId="4E88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4205BF49">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455</w:t>
            </w:r>
          </w:p>
        </w:tc>
        <w:tc>
          <w:tcPr>
            <w:tcW w:w="989" w:type="dxa"/>
            <w:vMerge w:val="restart"/>
            <w:shd w:val="clear" w:color="auto" w:fill="FFFFFF"/>
            <w:vAlign w:val="center"/>
          </w:tcPr>
          <w:p w14:paraId="739130AF">
            <w:pPr>
              <w:spacing w:line="240" w:lineRule="exact"/>
              <w:rPr>
                <w:rFonts w:ascii="宋体" w:hAnsi="宋体" w:cs="宋体"/>
                <w:bCs/>
                <w:kern w:val="0"/>
                <w:szCs w:val="21"/>
              </w:rPr>
            </w:pPr>
            <w:r>
              <w:rPr>
                <w:rFonts w:hint="eastAsia" w:ascii="宋体" w:hAnsi="宋体" w:cs="宋体"/>
                <w:bCs/>
                <w:kern w:val="0"/>
                <w:szCs w:val="21"/>
              </w:rPr>
              <w:t>招标人违法组建评标委员会，或者违法确定、更换评标委员会成员</w:t>
            </w:r>
          </w:p>
        </w:tc>
        <w:tc>
          <w:tcPr>
            <w:tcW w:w="3586" w:type="dxa"/>
            <w:vMerge w:val="restart"/>
            <w:shd w:val="clear" w:color="auto" w:fill="FFFFFF"/>
            <w:vAlign w:val="center"/>
          </w:tcPr>
          <w:p w14:paraId="22632C0E">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四十六条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14:paraId="79F324E0">
            <w:pPr>
              <w:spacing w:line="240" w:lineRule="exact"/>
              <w:ind w:firstLine="420" w:firstLineChars="200"/>
              <w:rPr>
                <w:rFonts w:ascii="宋体" w:hAnsi="宋体" w:cs="宋体"/>
                <w:bCs/>
                <w:kern w:val="0"/>
                <w:szCs w:val="21"/>
              </w:rPr>
            </w:pPr>
            <w:r>
              <w:rPr>
                <w:rFonts w:hint="eastAsia" w:ascii="宋体" w:hAnsi="宋体" w:cs="宋体"/>
                <w:bCs/>
                <w:kern w:val="0"/>
                <w:szCs w:val="21"/>
              </w:rPr>
              <w:t>依法必须进行招标的项目的招标人非因招标投标法和本条例规定的事由，不得更换依法确定的评标委员会成员。更换评标委员会的专家成员应当依照前款规定进行。</w:t>
            </w:r>
          </w:p>
          <w:p w14:paraId="674F91BB">
            <w:pPr>
              <w:spacing w:line="240" w:lineRule="exact"/>
              <w:ind w:firstLine="420" w:firstLineChars="200"/>
              <w:rPr>
                <w:rFonts w:ascii="宋体" w:hAnsi="宋体" w:cs="宋体"/>
                <w:bCs/>
                <w:kern w:val="0"/>
                <w:szCs w:val="21"/>
              </w:rPr>
            </w:pPr>
            <w:r>
              <w:rPr>
                <w:rFonts w:hint="eastAsia" w:ascii="宋体" w:hAnsi="宋体" w:cs="宋体"/>
                <w:bCs/>
                <w:kern w:val="0"/>
                <w:szCs w:val="21"/>
              </w:rPr>
              <w:t>评标委员会成员与投标人有利害关系的，应当主动回避。</w:t>
            </w:r>
          </w:p>
          <w:p w14:paraId="509E56EE">
            <w:pPr>
              <w:spacing w:line="240" w:lineRule="exact"/>
              <w:ind w:firstLine="420" w:firstLineChars="200"/>
              <w:rPr>
                <w:rFonts w:ascii="宋体" w:hAnsi="宋体" w:cs="宋体"/>
                <w:bCs/>
                <w:kern w:val="0"/>
                <w:szCs w:val="21"/>
              </w:rPr>
            </w:pPr>
            <w:r>
              <w:rPr>
                <w:rFonts w:hint="eastAsia" w:ascii="宋体" w:hAnsi="宋体" w:cs="宋体"/>
                <w:bCs/>
                <w:kern w:val="0"/>
                <w:szCs w:val="21"/>
              </w:rPr>
              <w:t>有关行政监督部门应当按照规定的职责分工，对评标委员会成员的确定方式、评标专家的抽取和评标活动进行监督。行政监督部门的工作人员不得担任本部门负责监督项目的评标委员会成员。</w:t>
            </w:r>
          </w:p>
        </w:tc>
        <w:tc>
          <w:tcPr>
            <w:tcW w:w="4181" w:type="dxa"/>
            <w:vMerge w:val="restart"/>
            <w:shd w:val="clear" w:color="auto" w:fill="FFFFFF"/>
            <w:vAlign w:val="center"/>
          </w:tcPr>
          <w:p w14:paraId="7A5C703E">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《中华人民共和国招标投标法实施条例》第七十条第一款 依法必须进行招标的项目的招标人不按照规定组建评标委员会，或者确定、更换评标委员会成员违反招标 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738" w:type="dxa"/>
            <w:shd w:val="clear" w:color="auto" w:fill="FFFFFF"/>
            <w:vAlign w:val="center"/>
          </w:tcPr>
          <w:p w14:paraId="4FAD9E2C">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0A2923A2">
            <w:pPr>
              <w:textAlignment w:val="center"/>
              <w:rPr>
                <w:rFonts w:ascii="宋体" w:hAnsi="宋体" w:cs="宋体"/>
                <w:bCs/>
                <w:kern w:val="0"/>
                <w:szCs w:val="21"/>
              </w:rPr>
            </w:pPr>
            <w:r>
              <w:rPr>
                <w:rFonts w:hint="eastAsia" w:ascii="宋体" w:hAnsi="宋体" w:cs="宋体"/>
                <w:color w:val="000000"/>
                <w:szCs w:val="21"/>
              </w:rPr>
              <w:t>依法必须进行招标的项目的招标人</w:t>
            </w:r>
            <w:r>
              <w:rPr>
                <w:rFonts w:hint="eastAsia" w:ascii="宋体" w:hAnsi="宋体" w:cs="宋体"/>
                <w:color w:val="000000"/>
                <w:kern w:val="0"/>
                <w:szCs w:val="21"/>
              </w:rPr>
              <w:t>违法组建评标委员会，或者违法确定、更换评标委员会成员</w:t>
            </w:r>
            <w:r>
              <w:rPr>
                <w:rFonts w:hint="eastAsia" w:ascii="宋体" w:hAnsi="宋体" w:cs="宋体"/>
                <w:color w:val="000000"/>
                <w:szCs w:val="21"/>
              </w:rPr>
              <w:t>，但评标尚未开始的</w:t>
            </w:r>
          </w:p>
        </w:tc>
        <w:tc>
          <w:tcPr>
            <w:tcW w:w="2983" w:type="dxa"/>
            <w:gridSpan w:val="3"/>
            <w:shd w:val="clear" w:color="auto" w:fill="FFFFFF"/>
            <w:vAlign w:val="center"/>
          </w:tcPr>
          <w:p w14:paraId="2AFF451D">
            <w:pPr>
              <w:spacing w:line="240" w:lineRule="exact"/>
              <w:rPr>
                <w:rFonts w:ascii="宋体" w:hAnsi="宋体" w:cs="宋体"/>
                <w:bCs/>
                <w:kern w:val="0"/>
                <w:szCs w:val="21"/>
              </w:rPr>
            </w:pPr>
            <w:r>
              <w:rPr>
                <w:rFonts w:hint="eastAsia" w:ascii="宋体" w:hAnsi="宋体" w:cs="宋体"/>
                <w:color w:val="000000"/>
                <w:kern w:val="0"/>
                <w:szCs w:val="21"/>
              </w:rPr>
              <w:t>责令改正，处5万元的罚款。</w:t>
            </w:r>
          </w:p>
        </w:tc>
      </w:tr>
      <w:tr w14:paraId="5380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539" w:type="dxa"/>
            <w:vMerge w:val="continue"/>
            <w:shd w:val="clear" w:color="auto" w:fill="FFFFFF"/>
            <w:vAlign w:val="center"/>
          </w:tcPr>
          <w:p w14:paraId="78C1EC1E">
            <w:pPr>
              <w:spacing w:line="240" w:lineRule="exact"/>
              <w:jc w:val="center"/>
              <w:rPr>
                <w:rFonts w:ascii="宋体" w:hAnsi="宋体" w:cs="宋体"/>
                <w:bCs/>
                <w:kern w:val="0"/>
                <w:szCs w:val="21"/>
              </w:rPr>
            </w:pPr>
          </w:p>
        </w:tc>
        <w:tc>
          <w:tcPr>
            <w:tcW w:w="989" w:type="dxa"/>
            <w:vMerge w:val="continue"/>
            <w:shd w:val="clear" w:color="auto" w:fill="FFFFFF"/>
            <w:vAlign w:val="center"/>
          </w:tcPr>
          <w:p w14:paraId="672CB185">
            <w:pPr>
              <w:spacing w:line="240" w:lineRule="exact"/>
              <w:ind w:firstLine="420" w:firstLineChars="200"/>
              <w:rPr>
                <w:rFonts w:ascii="宋体" w:hAnsi="宋体" w:cs="宋体"/>
                <w:bCs/>
                <w:kern w:val="0"/>
                <w:szCs w:val="21"/>
              </w:rPr>
            </w:pPr>
          </w:p>
        </w:tc>
        <w:tc>
          <w:tcPr>
            <w:tcW w:w="3586" w:type="dxa"/>
            <w:vMerge w:val="continue"/>
            <w:shd w:val="clear" w:color="auto" w:fill="FFFFFF"/>
            <w:vAlign w:val="center"/>
          </w:tcPr>
          <w:p w14:paraId="4A0A51FF">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2D8393F8">
            <w:pPr>
              <w:spacing w:line="240" w:lineRule="exact"/>
              <w:ind w:firstLine="420" w:firstLineChars="200"/>
              <w:rPr>
                <w:rFonts w:ascii="宋体" w:hAnsi="宋体" w:cs="宋体"/>
                <w:bCs/>
                <w:kern w:val="0"/>
                <w:szCs w:val="21"/>
              </w:rPr>
            </w:pPr>
          </w:p>
        </w:tc>
        <w:tc>
          <w:tcPr>
            <w:tcW w:w="738" w:type="dxa"/>
            <w:shd w:val="clear" w:color="auto" w:fill="FFFFFF"/>
            <w:vAlign w:val="center"/>
          </w:tcPr>
          <w:p w14:paraId="00851442">
            <w:pPr>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3E72D2B2">
            <w:pPr>
              <w:textAlignment w:val="center"/>
              <w:rPr>
                <w:rFonts w:ascii="宋体" w:hAnsi="宋体" w:cs="宋体"/>
                <w:bCs/>
                <w:kern w:val="0"/>
                <w:szCs w:val="21"/>
              </w:rPr>
            </w:pPr>
            <w:r>
              <w:rPr>
                <w:rFonts w:hint="eastAsia" w:ascii="宋体" w:hAnsi="宋体" w:cs="宋体"/>
                <w:color w:val="000000"/>
                <w:szCs w:val="21"/>
              </w:rPr>
              <w:t>依法必须进行招标的项目的招标人</w:t>
            </w:r>
            <w:r>
              <w:rPr>
                <w:rFonts w:hint="eastAsia" w:ascii="宋体" w:hAnsi="宋体" w:cs="宋体"/>
                <w:color w:val="000000"/>
                <w:kern w:val="0"/>
                <w:szCs w:val="21"/>
              </w:rPr>
              <w:t>违法组建评标委员会，或者违法确定、更换评标委员会成员</w:t>
            </w:r>
            <w:r>
              <w:rPr>
                <w:rFonts w:hint="eastAsia" w:ascii="宋体" w:hAnsi="宋体" w:cs="宋体"/>
                <w:color w:val="000000"/>
                <w:szCs w:val="21"/>
              </w:rPr>
              <w:t>，且评标已经开始的</w:t>
            </w:r>
          </w:p>
        </w:tc>
        <w:tc>
          <w:tcPr>
            <w:tcW w:w="2983" w:type="dxa"/>
            <w:gridSpan w:val="3"/>
            <w:shd w:val="clear" w:color="auto" w:fill="FFFFFF"/>
            <w:vAlign w:val="center"/>
          </w:tcPr>
          <w:p w14:paraId="1846D221">
            <w:pPr>
              <w:spacing w:line="240" w:lineRule="exact"/>
              <w:rPr>
                <w:rFonts w:ascii="宋体" w:hAnsi="宋体" w:cs="宋体"/>
                <w:bCs/>
                <w:kern w:val="0"/>
                <w:szCs w:val="21"/>
              </w:rPr>
            </w:pPr>
            <w:r>
              <w:rPr>
                <w:rFonts w:hint="eastAsia" w:ascii="宋体" w:hAnsi="宋体" w:cs="宋体"/>
                <w:color w:val="000000"/>
                <w:kern w:val="0"/>
                <w:szCs w:val="21"/>
              </w:rPr>
              <w:t>责令改正，处10万元的罚款；违法确定或者更换的评标委员会成员作出的评审结论无效，依法重新进行评审</w:t>
            </w:r>
          </w:p>
        </w:tc>
      </w:tr>
      <w:tr w14:paraId="3650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restart"/>
            <w:shd w:val="clear" w:color="auto" w:fill="FFFFFF"/>
            <w:vAlign w:val="center"/>
          </w:tcPr>
          <w:p w14:paraId="62922A0A">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456</w:t>
            </w:r>
          </w:p>
        </w:tc>
        <w:tc>
          <w:tcPr>
            <w:tcW w:w="989" w:type="dxa"/>
            <w:vMerge w:val="restart"/>
            <w:shd w:val="clear" w:color="auto" w:fill="FFFFFF"/>
            <w:vAlign w:val="center"/>
          </w:tcPr>
          <w:p w14:paraId="6EBBD48B">
            <w:pPr>
              <w:spacing w:line="240" w:lineRule="exact"/>
              <w:rPr>
                <w:rFonts w:ascii="宋体" w:hAnsi="宋体" w:cs="宋体"/>
                <w:bCs/>
                <w:kern w:val="0"/>
                <w:szCs w:val="21"/>
              </w:rPr>
            </w:pPr>
            <w:r>
              <w:rPr>
                <w:rFonts w:hint="eastAsia" w:ascii="宋体" w:hAnsi="宋体" w:cs="宋体"/>
                <w:bCs/>
                <w:kern w:val="0"/>
                <w:szCs w:val="21"/>
              </w:rPr>
              <w:t>评标委员会委员不客观、不公正履行职务</w:t>
            </w:r>
          </w:p>
        </w:tc>
        <w:tc>
          <w:tcPr>
            <w:tcW w:w="3586" w:type="dxa"/>
            <w:vMerge w:val="restart"/>
            <w:shd w:val="clear" w:color="auto" w:fill="FFFFFF"/>
            <w:vAlign w:val="center"/>
          </w:tcPr>
          <w:p w14:paraId="0B4D3408">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《中华人民共和国招标投标法实施条例》第四十六条第三款  评标委员会成员与投标人有利害关系的，应当主动回避。</w:t>
            </w:r>
          </w:p>
          <w:p w14:paraId="46727A3A">
            <w:pPr>
              <w:spacing w:line="240" w:lineRule="exact"/>
              <w:ind w:firstLine="420" w:firstLineChars="200"/>
              <w:rPr>
                <w:rFonts w:ascii="宋体" w:hAnsi="宋体" w:cs="宋体"/>
                <w:bCs/>
                <w:kern w:val="0"/>
                <w:szCs w:val="21"/>
              </w:rPr>
            </w:pPr>
            <w:r>
              <w:rPr>
                <w:rFonts w:hint="eastAsia" w:ascii="宋体" w:hAnsi="宋体" w:cs="宋体"/>
                <w:bCs/>
                <w:kern w:val="0"/>
                <w:szCs w:val="21"/>
              </w:rPr>
              <w:t>第四十八条第三款 评标过程中，评标委员会成员有回避事由、擅离职守或者因健康等原因不能继续评标的，应当及时更换。被更换的评标委员会成员作出的评审结论无效，由更换后的评标委员会成员重新进行评审。</w:t>
            </w:r>
          </w:p>
          <w:p w14:paraId="3666DE74">
            <w:pPr>
              <w:spacing w:line="240" w:lineRule="exact"/>
              <w:ind w:firstLine="420" w:firstLineChars="200"/>
              <w:rPr>
                <w:rFonts w:ascii="宋体" w:hAnsi="宋体" w:cs="宋体"/>
                <w:bCs/>
                <w:kern w:val="0"/>
                <w:szCs w:val="21"/>
              </w:rPr>
            </w:pPr>
            <w:r>
              <w:rPr>
                <w:rFonts w:hint="eastAsia" w:ascii="宋体" w:hAnsi="宋体" w:cs="宋体"/>
                <w:bCs/>
                <w:kern w:val="0"/>
                <w:szCs w:val="21"/>
              </w:rPr>
              <w:t>第四十九条 评标委员会成员应当依照招标投标法和本条例的规定，按照招标文件规定的评标标准和方法，客观、公正地对投标文件提出评审意见。招标文件没有规定的评标标准和方法不得作为评标的依据。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41AC2A70">
            <w:pPr>
              <w:spacing w:line="240" w:lineRule="exact"/>
              <w:ind w:firstLine="420" w:firstLineChars="200"/>
              <w:rPr>
                <w:rFonts w:ascii="宋体" w:hAnsi="宋体" w:cs="宋体"/>
                <w:bCs/>
                <w:kern w:val="0"/>
                <w:szCs w:val="21"/>
              </w:rPr>
            </w:pPr>
            <w:r>
              <w:rPr>
                <w:rFonts w:hint="eastAsia" w:ascii="宋体" w:hAnsi="宋体" w:cs="宋体"/>
                <w:bCs/>
                <w:kern w:val="0"/>
                <w:szCs w:val="21"/>
              </w:rPr>
              <w:t>第五十一条 有下列情形之一的，评标委员会应当否决其投标：（一）投标文件未经投标单位盖章和单位负责人签字；（二）投标联合体没有提交共同投标协议；（三）投标人不符合国家或者招标文件规定的资格条件；（四）同一投标人提交两个以上不同的投标文件或者投标报价，但招标文件要求提交备选投标的除外；（五）投标报价低于成本或者高于招标文件设定的最高投标限价；（六）投标文件没有对招标文件的实质性要求和条件作出响应；（七）投标人有串通投标、弄虚作假、行贿等违法行为。</w:t>
            </w:r>
          </w:p>
          <w:p w14:paraId="73A1B427">
            <w:pPr>
              <w:spacing w:line="240" w:lineRule="exact"/>
              <w:ind w:firstLine="420" w:firstLineChars="200"/>
              <w:rPr>
                <w:rFonts w:ascii="宋体" w:hAnsi="宋体" w:cs="宋体"/>
                <w:bCs/>
                <w:kern w:val="0"/>
                <w:szCs w:val="21"/>
              </w:rPr>
            </w:pPr>
            <w:r>
              <w:rPr>
                <w:rFonts w:hint="eastAsia" w:ascii="宋体" w:hAnsi="宋体" w:cs="宋体"/>
                <w:bCs/>
                <w:kern w:val="0"/>
                <w:szCs w:val="21"/>
              </w:rPr>
              <w:t>第五十二条 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评标委员会不得暗示或者诱导投标人作出澄清、说明，不得接受投标人主动提出的澄清、说明。</w:t>
            </w:r>
          </w:p>
        </w:tc>
        <w:tc>
          <w:tcPr>
            <w:tcW w:w="4181" w:type="dxa"/>
            <w:vMerge w:val="restart"/>
            <w:shd w:val="clear" w:color="auto" w:fill="FFFFFF"/>
            <w:vAlign w:val="center"/>
          </w:tcPr>
          <w:p w14:paraId="20894BB7">
            <w:pPr>
              <w:spacing w:line="240" w:lineRule="exact"/>
              <w:ind w:firstLine="420" w:firstLineChars="200"/>
              <w:rPr>
                <w:rFonts w:ascii="宋体" w:hAnsi="宋体" w:cs="宋体"/>
                <w:bCs/>
                <w:kern w:val="0"/>
                <w:szCs w:val="21"/>
              </w:rPr>
            </w:pPr>
            <w:r>
              <w:rPr>
                <w:rFonts w:hint="eastAsia" w:ascii="宋体" w:hAnsi="宋体" w:cs="宋体"/>
                <w:bCs/>
                <w:kern w:val="0"/>
                <w:szCs w:val="21"/>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738" w:type="dxa"/>
            <w:shd w:val="clear" w:color="auto" w:fill="FFFFFF"/>
            <w:vAlign w:val="center"/>
          </w:tcPr>
          <w:p w14:paraId="1DC42D33">
            <w:pPr>
              <w:widowControl/>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3668580A">
            <w:pPr>
              <w:widowControl/>
              <w:textAlignment w:val="center"/>
              <w:rPr>
                <w:rFonts w:ascii="宋体" w:hAnsi="宋体" w:cs="宋体"/>
                <w:bCs/>
                <w:kern w:val="0"/>
                <w:szCs w:val="21"/>
              </w:rPr>
            </w:pPr>
            <w:r>
              <w:rPr>
                <w:rFonts w:hint="eastAsia" w:ascii="宋体" w:hAnsi="宋体" w:cs="宋体"/>
                <w:color w:val="000000"/>
                <w:kern w:val="0"/>
                <w:szCs w:val="21"/>
              </w:rPr>
              <w:t>影响中标结果或造成其他严重后果或有其他严重情节的</w:t>
            </w:r>
          </w:p>
        </w:tc>
        <w:tc>
          <w:tcPr>
            <w:tcW w:w="2983" w:type="dxa"/>
            <w:gridSpan w:val="3"/>
            <w:shd w:val="clear" w:color="auto" w:fill="FFFFFF"/>
            <w:vAlign w:val="center"/>
          </w:tcPr>
          <w:p w14:paraId="7A90D205">
            <w:pPr>
              <w:spacing w:line="240" w:lineRule="exact"/>
              <w:rPr>
                <w:rFonts w:ascii="宋体" w:hAnsi="宋体" w:cs="宋体"/>
                <w:bCs/>
                <w:kern w:val="0"/>
                <w:szCs w:val="21"/>
              </w:rPr>
            </w:pPr>
            <w:r>
              <w:rPr>
                <w:rFonts w:hint="eastAsia" w:ascii="宋体" w:hAnsi="宋体" w:cs="宋体"/>
                <w:color w:val="000000"/>
                <w:kern w:val="0"/>
                <w:szCs w:val="21"/>
              </w:rPr>
              <w:t>责令改正，禁止在一定期限内参加依法必须进行招标的项目的评标。</w:t>
            </w:r>
          </w:p>
        </w:tc>
      </w:tr>
      <w:tr w14:paraId="5C78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continue"/>
            <w:shd w:val="clear" w:color="auto" w:fill="FFFFFF"/>
            <w:vAlign w:val="center"/>
          </w:tcPr>
          <w:p w14:paraId="7FEF8C91">
            <w:pPr>
              <w:spacing w:line="240" w:lineRule="exact"/>
              <w:jc w:val="center"/>
              <w:rPr>
                <w:rFonts w:ascii="宋体" w:hAnsi="宋体" w:cs="宋体"/>
                <w:bCs/>
                <w:kern w:val="0"/>
                <w:szCs w:val="21"/>
              </w:rPr>
            </w:pPr>
          </w:p>
        </w:tc>
        <w:tc>
          <w:tcPr>
            <w:tcW w:w="989" w:type="dxa"/>
            <w:vMerge w:val="continue"/>
            <w:shd w:val="clear" w:color="auto" w:fill="FFFFFF"/>
            <w:vAlign w:val="center"/>
          </w:tcPr>
          <w:p w14:paraId="4E033A67">
            <w:pPr>
              <w:spacing w:line="240" w:lineRule="exact"/>
              <w:ind w:firstLine="420" w:firstLineChars="200"/>
              <w:rPr>
                <w:rFonts w:ascii="宋体" w:hAnsi="宋体" w:cs="宋体"/>
                <w:bCs/>
                <w:kern w:val="0"/>
                <w:szCs w:val="21"/>
              </w:rPr>
            </w:pPr>
          </w:p>
        </w:tc>
        <w:tc>
          <w:tcPr>
            <w:tcW w:w="3586" w:type="dxa"/>
            <w:vMerge w:val="continue"/>
            <w:shd w:val="clear" w:color="auto" w:fill="FFFFFF"/>
            <w:vAlign w:val="center"/>
          </w:tcPr>
          <w:p w14:paraId="1E6B112C">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3146E463">
            <w:pPr>
              <w:spacing w:line="240" w:lineRule="exact"/>
              <w:ind w:firstLine="420" w:firstLineChars="200"/>
              <w:rPr>
                <w:rFonts w:ascii="宋体" w:hAnsi="宋体" w:cs="宋体"/>
                <w:bCs/>
                <w:kern w:val="0"/>
                <w:szCs w:val="21"/>
              </w:rPr>
            </w:pPr>
          </w:p>
        </w:tc>
        <w:tc>
          <w:tcPr>
            <w:tcW w:w="738" w:type="dxa"/>
            <w:shd w:val="clear" w:color="auto" w:fill="FFFFFF"/>
            <w:vAlign w:val="center"/>
          </w:tcPr>
          <w:p w14:paraId="3F6605E6">
            <w:pPr>
              <w:widowControl/>
              <w:jc w:val="center"/>
              <w:textAlignment w:val="center"/>
              <w:rPr>
                <w:rFonts w:ascii="宋体" w:hAnsi="宋体" w:cs="宋体"/>
                <w:bCs/>
                <w:kern w:val="0"/>
                <w:szCs w:val="21"/>
              </w:rPr>
            </w:pPr>
            <w:r>
              <w:rPr>
                <w:rFonts w:hint="eastAsia" w:ascii="宋体" w:hAnsi="宋体" w:cs="宋体"/>
                <w:color w:val="000000"/>
                <w:kern w:val="0"/>
                <w:szCs w:val="21"/>
              </w:rPr>
              <w:t>特别严重</w:t>
            </w:r>
          </w:p>
        </w:tc>
        <w:tc>
          <w:tcPr>
            <w:tcW w:w="3305" w:type="dxa"/>
            <w:shd w:val="clear" w:color="auto" w:fill="FFFFFF"/>
            <w:vAlign w:val="center"/>
          </w:tcPr>
          <w:p w14:paraId="3BEE1EAB">
            <w:pPr>
              <w:textAlignment w:val="center"/>
              <w:rPr>
                <w:rFonts w:ascii="宋体" w:hAnsi="宋体" w:cs="宋体"/>
                <w:bCs/>
                <w:kern w:val="0"/>
                <w:szCs w:val="21"/>
              </w:rPr>
            </w:pPr>
            <w:r>
              <w:rPr>
                <w:rFonts w:hint="eastAsia" w:ascii="宋体" w:hAnsi="宋体" w:cs="宋体"/>
                <w:color w:val="000000"/>
                <w:kern w:val="0"/>
                <w:szCs w:val="21"/>
              </w:rPr>
              <w:t>造成恶劣影响的</w:t>
            </w:r>
          </w:p>
        </w:tc>
        <w:tc>
          <w:tcPr>
            <w:tcW w:w="2983" w:type="dxa"/>
            <w:gridSpan w:val="3"/>
            <w:shd w:val="clear" w:color="auto" w:fill="FFFFFF"/>
            <w:vAlign w:val="center"/>
          </w:tcPr>
          <w:p w14:paraId="7C6C53F3">
            <w:pPr>
              <w:spacing w:line="240" w:lineRule="exact"/>
              <w:rPr>
                <w:rFonts w:ascii="宋体" w:hAnsi="宋体" w:cs="宋体"/>
                <w:bCs/>
                <w:kern w:val="0"/>
                <w:szCs w:val="21"/>
              </w:rPr>
            </w:pPr>
            <w:r>
              <w:rPr>
                <w:rFonts w:hint="eastAsia" w:ascii="宋体" w:hAnsi="宋体" w:cs="宋体"/>
                <w:bCs/>
                <w:kern w:val="0"/>
                <w:szCs w:val="21"/>
              </w:rPr>
              <w:t>责令改正，从江西省综合评标专家库中清退。</w:t>
            </w:r>
          </w:p>
        </w:tc>
      </w:tr>
      <w:tr w14:paraId="299F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539" w:type="dxa"/>
            <w:shd w:val="clear" w:color="auto" w:fill="FFFFFF"/>
            <w:vAlign w:val="center"/>
          </w:tcPr>
          <w:p w14:paraId="48ABF54A">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457</w:t>
            </w:r>
          </w:p>
        </w:tc>
        <w:tc>
          <w:tcPr>
            <w:tcW w:w="989" w:type="dxa"/>
            <w:shd w:val="clear" w:color="auto" w:fill="FFFFFF"/>
            <w:vAlign w:val="center"/>
          </w:tcPr>
          <w:p w14:paraId="15A06423">
            <w:pPr>
              <w:spacing w:line="240" w:lineRule="exact"/>
              <w:rPr>
                <w:rFonts w:ascii="宋体" w:hAnsi="宋体" w:cs="宋体"/>
                <w:bCs/>
                <w:kern w:val="0"/>
                <w:szCs w:val="21"/>
              </w:rPr>
            </w:pPr>
            <w:r>
              <w:rPr>
                <w:rFonts w:hint="eastAsia" w:ascii="宋体" w:hAnsi="宋体" w:cs="宋体"/>
                <w:bCs/>
                <w:kern w:val="0"/>
                <w:szCs w:val="21"/>
              </w:rPr>
              <w:t>招标人不满足规定的招标条件而进行招标</w:t>
            </w:r>
          </w:p>
        </w:tc>
        <w:tc>
          <w:tcPr>
            <w:tcW w:w="3586" w:type="dxa"/>
            <w:shd w:val="clear" w:color="auto" w:fill="FFFFFF"/>
            <w:vAlign w:val="center"/>
          </w:tcPr>
          <w:p w14:paraId="29A6A30C">
            <w:pPr>
              <w:spacing w:line="240" w:lineRule="exact"/>
              <w:ind w:firstLine="420" w:firstLineChars="200"/>
              <w:rPr>
                <w:rFonts w:ascii="宋体" w:hAnsi="宋体" w:cs="宋体"/>
                <w:bCs/>
                <w:kern w:val="0"/>
                <w:szCs w:val="21"/>
              </w:rPr>
            </w:pPr>
            <w:r>
              <w:rPr>
                <w:rFonts w:hint="eastAsia" w:ascii="宋体" w:hAnsi="宋体" w:cs="宋体"/>
                <w:bCs/>
                <w:kern w:val="0"/>
                <w:szCs w:val="21"/>
              </w:rPr>
              <w:t>《公路工程建设项目招标投标管理办法》第八条第一款 对于按照国家有关规定需要履行项目审批、核准手续的依法必须进行招标的公路工程建设项目，招标人应当按照项目审批、核准部门确定的招标范围、招标方式、招标组织形式开展招标。</w:t>
            </w:r>
          </w:p>
        </w:tc>
        <w:tc>
          <w:tcPr>
            <w:tcW w:w="4181" w:type="dxa"/>
            <w:shd w:val="clear" w:color="auto" w:fill="FFFFFF"/>
            <w:vAlign w:val="center"/>
          </w:tcPr>
          <w:p w14:paraId="0E6C5806">
            <w:pPr>
              <w:spacing w:line="240" w:lineRule="exact"/>
              <w:ind w:firstLine="420" w:firstLineChars="200"/>
              <w:rPr>
                <w:rFonts w:ascii="宋体" w:hAnsi="宋体" w:cs="宋体"/>
                <w:bCs/>
                <w:kern w:val="0"/>
                <w:szCs w:val="21"/>
              </w:rPr>
            </w:pPr>
            <w:r>
              <w:rPr>
                <w:rFonts w:hint="eastAsia" w:ascii="宋体" w:hAnsi="宋体" w:cs="宋体"/>
                <w:bCs/>
                <w:kern w:val="0"/>
                <w:szCs w:val="21"/>
              </w:rPr>
              <w:t>《公路工程建设项目招标投标管理办法》第六十八条第（一）项  招标人有下列情形之一的，由交通运输主管部门责令改正，可以处三万元以下的罚款：（一）不满足本办法第八条规定的条件而进行招标的。</w:t>
            </w:r>
          </w:p>
        </w:tc>
        <w:tc>
          <w:tcPr>
            <w:tcW w:w="738" w:type="dxa"/>
            <w:shd w:val="clear" w:color="auto" w:fill="FFFFFF"/>
            <w:vAlign w:val="center"/>
          </w:tcPr>
          <w:p w14:paraId="7698B41F">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51ED74B5">
            <w:pPr>
              <w:widowControl/>
              <w:textAlignment w:val="center"/>
              <w:rPr>
                <w:rFonts w:ascii="宋体" w:hAnsi="宋体" w:cs="宋体"/>
                <w:bCs/>
                <w:kern w:val="0"/>
                <w:szCs w:val="21"/>
              </w:rPr>
            </w:pPr>
            <w:r>
              <w:rPr>
                <w:rFonts w:hint="eastAsia" w:ascii="宋体" w:hAnsi="宋体" w:cs="宋体"/>
                <w:color w:val="000000"/>
                <w:kern w:val="0"/>
                <w:szCs w:val="21"/>
              </w:rPr>
              <w:t>公路工程建设项目不满足规定的招标条件而进行招标的</w:t>
            </w:r>
          </w:p>
        </w:tc>
        <w:tc>
          <w:tcPr>
            <w:tcW w:w="2983" w:type="dxa"/>
            <w:gridSpan w:val="3"/>
            <w:shd w:val="clear" w:color="auto" w:fill="FFFFFF"/>
            <w:vAlign w:val="center"/>
          </w:tcPr>
          <w:p w14:paraId="39C53B42">
            <w:pPr>
              <w:spacing w:line="240" w:lineRule="exact"/>
              <w:rPr>
                <w:rFonts w:ascii="宋体" w:hAnsi="宋体" w:cs="宋体"/>
                <w:bCs/>
                <w:kern w:val="0"/>
                <w:szCs w:val="21"/>
              </w:rPr>
            </w:pPr>
            <w:r>
              <w:rPr>
                <w:rFonts w:hint="eastAsia" w:ascii="宋体" w:hAnsi="宋体" w:cs="宋体"/>
                <w:color w:val="000000"/>
                <w:kern w:val="0"/>
                <w:szCs w:val="21"/>
              </w:rPr>
              <w:t>责令改正，处3万元的罚款。</w:t>
            </w:r>
          </w:p>
        </w:tc>
      </w:tr>
      <w:tr w14:paraId="026C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8" w:hRule="atLeast"/>
          <w:jc w:val="center"/>
        </w:trPr>
        <w:tc>
          <w:tcPr>
            <w:tcW w:w="539" w:type="dxa"/>
            <w:shd w:val="clear" w:color="auto" w:fill="FFFFFF"/>
            <w:vAlign w:val="center"/>
          </w:tcPr>
          <w:p w14:paraId="6407CF3A">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458</w:t>
            </w:r>
          </w:p>
        </w:tc>
        <w:tc>
          <w:tcPr>
            <w:tcW w:w="989" w:type="dxa"/>
            <w:shd w:val="clear" w:color="auto" w:fill="FFFFFF"/>
            <w:vAlign w:val="center"/>
          </w:tcPr>
          <w:p w14:paraId="1DFCA21F">
            <w:pPr>
              <w:spacing w:line="240" w:lineRule="exact"/>
              <w:rPr>
                <w:rFonts w:ascii="宋体" w:hAnsi="宋体" w:cs="宋体"/>
                <w:bCs/>
                <w:kern w:val="0"/>
                <w:szCs w:val="21"/>
              </w:rPr>
            </w:pPr>
            <w:r>
              <w:rPr>
                <w:rFonts w:hint="eastAsia" w:ascii="宋体" w:hAnsi="宋体" w:cs="宋体"/>
                <w:bCs/>
                <w:kern w:val="0"/>
                <w:szCs w:val="21"/>
              </w:rPr>
              <w:t>招标人不按照规定将资格预审文件、招标文件和招标投标情况的书面报告备案</w:t>
            </w:r>
          </w:p>
        </w:tc>
        <w:tc>
          <w:tcPr>
            <w:tcW w:w="3586" w:type="dxa"/>
            <w:shd w:val="clear" w:color="auto" w:fill="FFFFFF"/>
            <w:vAlign w:val="center"/>
          </w:tcPr>
          <w:p w14:paraId="138EB8E3">
            <w:pPr>
              <w:spacing w:line="240" w:lineRule="exact"/>
              <w:ind w:firstLine="420" w:firstLineChars="200"/>
              <w:rPr>
                <w:rFonts w:ascii="宋体" w:hAnsi="宋体" w:cs="宋体"/>
                <w:bCs/>
                <w:kern w:val="0"/>
                <w:szCs w:val="21"/>
              </w:rPr>
            </w:pPr>
            <w:r>
              <w:rPr>
                <w:rFonts w:hint="eastAsia" w:ascii="宋体" w:hAnsi="宋体" w:cs="宋体"/>
                <w:bCs/>
                <w:kern w:val="0"/>
                <w:szCs w:val="21"/>
              </w:rPr>
              <w:t>《公路工程建设项目招标投标管理办法》第十七条 招标人应当按照省级人民政府交通运输主管部门的规定，将资格预审文件及其澄清、修改，招标文件及其澄清、修改报相应的交通运输主管部门备案。</w:t>
            </w:r>
          </w:p>
          <w:p w14:paraId="378F45CB">
            <w:pPr>
              <w:spacing w:line="240" w:lineRule="exact"/>
              <w:ind w:firstLine="420" w:firstLineChars="200"/>
              <w:rPr>
                <w:rFonts w:ascii="宋体" w:hAnsi="宋体" w:cs="宋体"/>
                <w:bCs/>
                <w:kern w:val="0"/>
                <w:szCs w:val="21"/>
              </w:rPr>
            </w:pPr>
            <w:r>
              <w:rPr>
                <w:rFonts w:hint="eastAsia" w:ascii="宋体" w:hAnsi="宋体" w:cs="宋体"/>
                <w:bCs/>
                <w:kern w:val="0"/>
                <w:szCs w:val="21"/>
              </w:rPr>
              <w:t>第五十五条 依法必须进行招标的公路工程建设项目，招标人应当自确定中标人之日起15日内，将招标投标情况的书面报告报对该项目具有招标监督职责的交通运输主管部门备案。前款所称书面报告至少应当包括下列内容：（一）招标项目基本情况；（二）招标过程简述；（三）评标情况说明；（四）中标候选人公示情况；（五）中标结果；（六）附件，包括评标报告、评标委员会成员履职情况说明等。</w:t>
            </w:r>
          </w:p>
          <w:p w14:paraId="249F8477">
            <w:pPr>
              <w:spacing w:line="240" w:lineRule="exact"/>
              <w:ind w:firstLine="420" w:firstLineChars="200"/>
              <w:rPr>
                <w:rFonts w:ascii="宋体" w:hAnsi="宋体" w:cs="宋体"/>
                <w:bCs/>
                <w:kern w:val="0"/>
                <w:szCs w:val="21"/>
              </w:rPr>
            </w:pPr>
            <w:r>
              <w:rPr>
                <w:rFonts w:hint="eastAsia" w:ascii="宋体" w:hAnsi="宋体" w:cs="宋体"/>
                <w:bCs/>
                <w:kern w:val="0"/>
                <w:szCs w:val="21"/>
              </w:rPr>
              <w:t>有资格预审情况说明、异议及投诉处理情况和资格审查报告的，也应当包括在书面报告中。</w:t>
            </w:r>
          </w:p>
        </w:tc>
        <w:tc>
          <w:tcPr>
            <w:tcW w:w="4181" w:type="dxa"/>
            <w:shd w:val="clear" w:color="auto" w:fill="FFFFFF"/>
            <w:vAlign w:val="center"/>
          </w:tcPr>
          <w:p w14:paraId="185882B6">
            <w:pPr>
              <w:spacing w:line="240" w:lineRule="exact"/>
              <w:ind w:firstLine="420" w:firstLineChars="200"/>
              <w:rPr>
                <w:rFonts w:ascii="宋体" w:hAnsi="宋体" w:cs="宋体"/>
                <w:bCs/>
                <w:kern w:val="0"/>
                <w:szCs w:val="21"/>
              </w:rPr>
            </w:pPr>
            <w:r>
              <w:rPr>
                <w:rFonts w:hint="eastAsia" w:ascii="宋体" w:hAnsi="宋体" w:cs="宋体"/>
                <w:bCs/>
                <w:kern w:val="0"/>
                <w:szCs w:val="21"/>
              </w:rPr>
              <w:t>《公路工程建设项目招标投标管理办法》第六十八条第（二）项招标人有下列情形之一的，由交通运输主管部门责令改正，可以处三万元以下的罚款：（二）不按照本办法规定将资格预审文件、招标文件和招标投标情况的书面报告备案的。</w:t>
            </w:r>
          </w:p>
        </w:tc>
        <w:tc>
          <w:tcPr>
            <w:tcW w:w="738" w:type="dxa"/>
            <w:shd w:val="clear" w:color="auto" w:fill="FFFFFF"/>
            <w:vAlign w:val="center"/>
          </w:tcPr>
          <w:p w14:paraId="205228A4">
            <w:pPr>
              <w:widowControl/>
              <w:jc w:val="center"/>
              <w:textAlignment w:val="center"/>
              <w:rPr>
                <w:rFonts w:ascii="宋体" w:hAnsi="宋体" w:cs="宋体"/>
                <w:bCs/>
                <w:kern w:val="0"/>
                <w:szCs w:val="21"/>
              </w:rPr>
            </w:pPr>
            <w:r>
              <w:rPr>
                <w:rFonts w:hint="eastAsia" w:ascii="宋体" w:hAnsi="宋体" w:cs="宋体"/>
                <w:color w:val="000000"/>
                <w:kern w:val="0"/>
                <w:szCs w:val="21"/>
              </w:rPr>
              <w:t>轻微</w:t>
            </w:r>
          </w:p>
        </w:tc>
        <w:tc>
          <w:tcPr>
            <w:tcW w:w="3305" w:type="dxa"/>
            <w:shd w:val="clear" w:color="auto" w:fill="FFFFFF"/>
            <w:vAlign w:val="center"/>
          </w:tcPr>
          <w:p w14:paraId="477CB863">
            <w:pPr>
              <w:widowControl/>
              <w:textAlignment w:val="center"/>
              <w:rPr>
                <w:rFonts w:ascii="宋体" w:hAnsi="宋体" w:cs="宋体"/>
                <w:bCs/>
                <w:kern w:val="0"/>
                <w:szCs w:val="21"/>
              </w:rPr>
            </w:pPr>
            <w:r>
              <w:rPr>
                <w:rFonts w:hint="eastAsia" w:ascii="宋体" w:hAnsi="宋体" w:cs="宋体"/>
                <w:color w:val="000000"/>
                <w:kern w:val="0"/>
                <w:szCs w:val="21"/>
              </w:rPr>
              <w:t>公路工程建设项目不按照本办法规定将资格预审文件、招标文件和招标投标情况的书面报告备案的</w:t>
            </w:r>
          </w:p>
        </w:tc>
        <w:tc>
          <w:tcPr>
            <w:tcW w:w="2983" w:type="dxa"/>
            <w:gridSpan w:val="3"/>
            <w:shd w:val="clear" w:color="auto" w:fill="FFFFFF"/>
            <w:vAlign w:val="center"/>
          </w:tcPr>
          <w:p w14:paraId="3D5A52BC">
            <w:pPr>
              <w:spacing w:line="240" w:lineRule="exact"/>
              <w:rPr>
                <w:rFonts w:ascii="宋体" w:hAnsi="宋体" w:cs="宋体"/>
                <w:bCs/>
                <w:kern w:val="0"/>
                <w:szCs w:val="21"/>
              </w:rPr>
            </w:pPr>
            <w:r>
              <w:rPr>
                <w:rFonts w:hint="eastAsia" w:ascii="宋体" w:hAnsi="宋体" w:cs="宋体"/>
                <w:bCs/>
                <w:kern w:val="0"/>
                <w:szCs w:val="21"/>
              </w:rPr>
              <w:t>责令改正，可不予行政处罚。</w:t>
            </w:r>
          </w:p>
        </w:tc>
      </w:tr>
      <w:tr w14:paraId="69B5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44" w:hRule="atLeast"/>
          <w:jc w:val="center"/>
        </w:trPr>
        <w:tc>
          <w:tcPr>
            <w:tcW w:w="539" w:type="dxa"/>
            <w:shd w:val="clear" w:color="auto" w:fill="FFFFFF"/>
            <w:vAlign w:val="center"/>
          </w:tcPr>
          <w:p w14:paraId="50780597">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459</w:t>
            </w:r>
          </w:p>
        </w:tc>
        <w:tc>
          <w:tcPr>
            <w:tcW w:w="989" w:type="dxa"/>
            <w:shd w:val="clear" w:color="auto" w:fill="FFFFFF"/>
            <w:vAlign w:val="center"/>
          </w:tcPr>
          <w:p w14:paraId="1F97ED4C">
            <w:pPr>
              <w:spacing w:line="240" w:lineRule="exact"/>
              <w:rPr>
                <w:rFonts w:ascii="宋体" w:hAnsi="宋体" w:cs="宋体"/>
                <w:bCs/>
                <w:kern w:val="0"/>
                <w:szCs w:val="21"/>
              </w:rPr>
            </w:pPr>
            <w:r>
              <w:rPr>
                <w:rFonts w:hint="eastAsia" w:ascii="宋体" w:hAnsi="宋体" w:cs="宋体"/>
                <w:color w:val="000000"/>
                <w:kern w:val="0"/>
                <w:szCs w:val="21"/>
              </w:rPr>
              <w:t>招标人未依法发出投标邀请书</w:t>
            </w:r>
          </w:p>
        </w:tc>
        <w:tc>
          <w:tcPr>
            <w:tcW w:w="3586" w:type="dxa"/>
            <w:shd w:val="clear" w:color="auto" w:fill="FFFFFF"/>
            <w:vAlign w:val="center"/>
          </w:tcPr>
          <w:p w14:paraId="3367CF7E">
            <w:pPr>
              <w:spacing w:line="240" w:lineRule="exact"/>
              <w:ind w:firstLine="420" w:firstLineChars="200"/>
              <w:rPr>
                <w:rFonts w:ascii="宋体" w:hAnsi="宋体" w:cs="宋体"/>
                <w:bCs/>
                <w:kern w:val="0"/>
                <w:szCs w:val="21"/>
              </w:rPr>
            </w:pPr>
            <w:r>
              <w:rPr>
                <w:rFonts w:hint="eastAsia" w:ascii="宋体" w:hAnsi="宋体" w:cs="宋体"/>
                <w:color w:val="000000"/>
                <w:kern w:val="0"/>
                <w:szCs w:val="21"/>
              </w:rPr>
              <w:t>《公路工程建设项目招标投标管理办法》第十一条第（五）项 公路工程建设项目采用资格预审方式公开招标的，应当按照下列程序进行：（五）根据资格审查结果，向通过资格预审的申请人发出投标邀请书；向未通过资格预审的申请人发出资格预审结果通知书，告知未通过的依据和原因；第十五条第二款  招标人未收到异议或者收到异议并已作出答复的，应当及时向通过资格预审的申请人发出投标邀请书。未通过资格预审的申请人不具有投标资格。</w:t>
            </w:r>
          </w:p>
        </w:tc>
        <w:tc>
          <w:tcPr>
            <w:tcW w:w="4181" w:type="dxa"/>
            <w:shd w:val="clear" w:color="auto" w:fill="FFFFFF"/>
            <w:vAlign w:val="center"/>
          </w:tcPr>
          <w:p w14:paraId="5809E324">
            <w:pPr>
              <w:spacing w:line="240" w:lineRule="exact"/>
              <w:ind w:firstLine="420" w:firstLineChars="200"/>
              <w:rPr>
                <w:rFonts w:ascii="宋体" w:hAnsi="宋体" w:cs="宋体"/>
                <w:bCs/>
                <w:kern w:val="0"/>
                <w:szCs w:val="21"/>
              </w:rPr>
            </w:pPr>
            <w:r>
              <w:rPr>
                <w:rFonts w:hint="eastAsia" w:ascii="宋体" w:hAnsi="宋体" w:cs="宋体"/>
                <w:bCs/>
                <w:kern w:val="0"/>
                <w:szCs w:val="21"/>
              </w:rPr>
              <w:t>《公路工程建设项目招标投标管理办法》第六十八条第（三）项  招标人有下列情形之一的，由交通运输主管部门责令改正，可以处三万元以下的罚款：（三）邀请招标不依法发出投标邀请书的。</w:t>
            </w:r>
          </w:p>
        </w:tc>
        <w:tc>
          <w:tcPr>
            <w:tcW w:w="738" w:type="dxa"/>
            <w:shd w:val="clear" w:color="auto" w:fill="FFFFFF"/>
            <w:vAlign w:val="center"/>
          </w:tcPr>
          <w:p w14:paraId="597220CE">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036AF30C">
            <w:pPr>
              <w:widowControl/>
              <w:textAlignment w:val="center"/>
              <w:rPr>
                <w:rFonts w:ascii="宋体" w:hAnsi="宋体" w:cs="宋体"/>
                <w:bCs/>
                <w:kern w:val="0"/>
                <w:szCs w:val="21"/>
              </w:rPr>
            </w:pPr>
            <w:r>
              <w:rPr>
                <w:rFonts w:hint="eastAsia" w:ascii="宋体" w:hAnsi="宋体" w:cs="宋体"/>
                <w:color w:val="000000"/>
                <w:kern w:val="0"/>
                <w:szCs w:val="21"/>
              </w:rPr>
              <w:t>公路工程建设项目邀请招标不依法发出投标邀请书的</w:t>
            </w:r>
          </w:p>
        </w:tc>
        <w:tc>
          <w:tcPr>
            <w:tcW w:w="2983" w:type="dxa"/>
            <w:gridSpan w:val="3"/>
            <w:shd w:val="clear" w:color="auto" w:fill="FFFFFF"/>
            <w:vAlign w:val="center"/>
          </w:tcPr>
          <w:p w14:paraId="7E3D7864">
            <w:pPr>
              <w:spacing w:line="240" w:lineRule="exact"/>
              <w:jc w:val="left"/>
              <w:rPr>
                <w:rFonts w:ascii="宋体" w:hAnsi="宋体" w:cs="宋体"/>
                <w:bCs/>
                <w:kern w:val="0"/>
                <w:szCs w:val="21"/>
              </w:rPr>
            </w:pPr>
            <w:r>
              <w:rPr>
                <w:rFonts w:hint="eastAsia" w:ascii="宋体" w:hAnsi="宋体" w:cs="宋体"/>
                <w:color w:val="000000"/>
                <w:kern w:val="0"/>
                <w:szCs w:val="21"/>
              </w:rPr>
              <w:t>责令改正，处3万元的罚款。</w:t>
            </w:r>
          </w:p>
        </w:tc>
      </w:tr>
      <w:tr w14:paraId="4770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shd w:val="clear" w:color="auto" w:fill="FFFFFF"/>
            <w:vAlign w:val="center"/>
          </w:tcPr>
          <w:p w14:paraId="5A83B692">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460</w:t>
            </w:r>
          </w:p>
        </w:tc>
        <w:tc>
          <w:tcPr>
            <w:tcW w:w="989" w:type="dxa"/>
            <w:shd w:val="clear" w:color="auto" w:fill="FFFFFF"/>
            <w:vAlign w:val="center"/>
          </w:tcPr>
          <w:p w14:paraId="233A8B26">
            <w:pPr>
              <w:spacing w:line="240" w:lineRule="exact"/>
              <w:rPr>
                <w:rFonts w:ascii="宋体" w:hAnsi="宋体" w:cs="宋体"/>
                <w:bCs/>
                <w:kern w:val="0"/>
                <w:szCs w:val="21"/>
              </w:rPr>
            </w:pPr>
            <w:r>
              <w:rPr>
                <w:rFonts w:hint="eastAsia" w:ascii="宋体" w:hAnsi="宋体" w:cs="宋体"/>
                <w:bCs/>
                <w:kern w:val="0"/>
                <w:szCs w:val="21"/>
              </w:rPr>
              <w:t>招标人未按照项目审批、核准部门确定的招标范围、招标方式、招标组织形式进行招标</w:t>
            </w:r>
          </w:p>
        </w:tc>
        <w:tc>
          <w:tcPr>
            <w:tcW w:w="3586" w:type="dxa"/>
            <w:shd w:val="clear" w:color="auto" w:fill="FFFFFF"/>
            <w:vAlign w:val="center"/>
          </w:tcPr>
          <w:p w14:paraId="222165EA">
            <w:pPr>
              <w:spacing w:line="240" w:lineRule="exact"/>
              <w:ind w:firstLine="420" w:firstLineChars="200"/>
              <w:rPr>
                <w:rFonts w:ascii="宋体" w:hAnsi="宋体" w:cs="宋体"/>
                <w:bCs/>
                <w:kern w:val="0"/>
                <w:szCs w:val="21"/>
              </w:rPr>
            </w:pPr>
            <w:r>
              <w:rPr>
                <w:rFonts w:hint="eastAsia" w:ascii="宋体" w:hAnsi="宋体" w:cs="宋体"/>
                <w:bCs/>
                <w:kern w:val="0"/>
                <w:szCs w:val="21"/>
              </w:rPr>
              <w:t>《公路工程建设项目招标投标管理办法》第八条第一款 对于按照国家有关规定需要履行项目审批、核准手续的依法必须进行招标的公路工程建设项目，招标人应当按照项目审批、核准部门确定的招标范围、招标方式、招标组织形式开展招标。</w:t>
            </w:r>
          </w:p>
        </w:tc>
        <w:tc>
          <w:tcPr>
            <w:tcW w:w="4181" w:type="dxa"/>
            <w:shd w:val="clear" w:color="auto" w:fill="FFFFFF"/>
            <w:vAlign w:val="center"/>
          </w:tcPr>
          <w:p w14:paraId="75870B5A">
            <w:pPr>
              <w:spacing w:line="240" w:lineRule="exact"/>
              <w:ind w:firstLine="420" w:firstLineChars="200"/>
              <w:rPr>
                <w:rFonts w:ascii="宋体" w:hAnsi="宋体" w:cs="宋体"/>
                <w:bCs/>
                <w:kern w:val="0"/>
                <w:szCs w:val="21"/>
              </w:rPr>
            </w:pPr>
            <w:r>
              <w:rPr>
                <w:rFonts w:hint="eastAsia" w:ascii="宋体" w:hAnsi="宋体" w:cs="宋体"/>
                <w:bCs/>
                <w:kern w:val="0"/>
                <w:szCs w:val="21"/>
              </w:rPr>
              <w:t>《公路工程建设项目招标投标管理办法》第六十八条第（四）项招标人有下列情形之一的，由交通运输主管部门责令改正，可以处三万元以下的罚款：（四）不按照项目审批、核准部门确定的招标范围、招标方式、招标组织形式进行招标的。</w:t>
            </w:r>
          </w:p>
        </w:tc>
        <w:tc>
          <w:tcPr>
            <w:tcW w:w="738" w:type="dxa"/>
            <w:shd w:val="clear" w:color="auto" w:fill="FFFFFF"/>
            <w:vAlign w:val="center"/>
          </w:tcPr>
          <w:p w14:paraId="0F9F3F7F">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05" w:type="dxa"/>
            <w:shd w:val="clear" w:color="auto" w:fill="FFFFFF"/>
            <w:vAlign w:val="center"/>
          </w:tcPr>
          <w:p w14:paraId="78D40B2C">
            <w:pPr>
              <w:widowControl/>
              <w:textAlignment w:val="center"/>
              <w:rPr>
                <w:rFonts w:ascii="宋体" w:hAnsi="宋体" w:cs="宋体"/>
                <w:color w:val="000000"/>
                <w:szCs w:val="21"/>
              </w:rPr>
            </w:pPr>
            <w:r>
              <w:rPr>
                <w:rFonts w:hint="eastAsia" w:ascii="宋体" w:hAnsi="宋体" w:cs="宋体"/>
                <w:color w:val="000000"/>
                <w:kern w:val="0"/>
                <w:szCs w:val="21"/>
              </w:rPr>
              <w:t>公路工程建设项目不按照项目审批、核准部门确定的招标范围、招标方式、招标组织形式进行招标的</w:t>
            </w:r>
          </w:p>
        </w:tc>
        <w:tc>
          <w:tcPr>
            <w:tcW w:w="2983" w:type="dxa"/>
            <w:gridSpan w:val="3"/>
            <w:shd w:val="clear" w:color="auto" w:fill="FFFFFF"/>
            <w:vAlign w:val="center"/>
          </w:tcPr>
          <w:p w14:paraId="1BB881B4">
            <w:pPr>
              <w:spacing w:line="240" w:lineRule="exact"/>
              <w:jc w:val="left"/>
              <w:rPr>
                <w:rFonts w:ascii="宋体" w:hAnsi="宋体" w:cs="宋体"/>
                <w:bCs/>
                <w:kern w:val="0"/>
                <w:szCs w:val="21"/>
              </w:rPr>
            </w:pPr>
            <w:r>
              <w:rPr>
                <w:rFonts w:hint="eastAsia" w:ascii="宋体" w:hAnsi="宋体" w:cs="宋体"/>
                <w:color w:val="000000"/>
                <w:kern w:val="0"/>
                <w:szCs w:val="21"/>
              </w:rPr>
              <w:t>责令改正，处3万元的罚款。</w:t>
            </w:r>
          </w:p>
        </w:tc>
      </w:tr>
      <w:tr w14:paraId="58B6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539" w:type="dxa"/>
            <w:shd w:val="clear" w:color="auto" w:fill="FFFFFF"/>
            <w:vAlign w:val="center"/>
          </w:tcPr>
          <w:p w14:paraId="28D34D79">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461</w:t>
            </w:r>
          </w:p>
        </w:tc>
        <w:tc>
          <w:tcPr>
            <w:tcW w:w="989" w:type="dxa"/>
            <w:shd w:val="clear" w:color="auto" w:fill="FFFFFF"/>
            <w:vAlign w:val="center"/>
          </w:tcPr>
          <w:p w14:paraId="7E9951E0">
            <w:pPr>
              <w:spacing w:line="240" w:lineRule="exact"/>
              <w:rPr>
                <w:rFonts w:ascii="宋体" w:hAnsi="宋体" w:cs="宋体"/>
                <w:bCs/>
                <w:kern w:val="0"/>
                <w:szCs w:val="21"/>
              </w:rPr>
            </w:pPr>
            <w:r>
              <w:rPr>
                <w:rFonts w:hint="eastAsia" w:ascii="宋体" w:hAnsi="宋体" w:cs="宋体"/>
                <w:color w:val="000000"/>
                <w:kern w:val="0"/>
                <w:szCs w:val="21"/>
              </w:rPr>
              <w:t>招标人未按规定编制资格预审文件或者招标文件</w:t>
            </w:r>
          </w:p>
        </w:tc>
        <w:tc>
          <w:tcPr>
            <w:tcW w:w="3586" w:type="dxa"/>
            <w:shd w:val="clear" w:color="auto" w:fill="FFFFFF"/>
            <w:vAlign w:val="center"/>
          </w:tcPr>
          <w:p w14:paraId="68B18568">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《公路工程建设项目招标投标管理办法》第十六条 对依法必须进行招标的公路工程建设项目，招标人应当根据交通运输部制定的标准文本，结合招标项目具体特点和实际需要，编制资格预审文件和招标文件。资格预审文件和招标文件应当载明详细的评审程序、标准和方法，招标人不得另行制定评审细则。</w:t>
            </w:r>
          </w:p>
        </w:tc>
        <w:tc>
          <w:tcPr>
            <w:tcW w:w="4181" w:type="dxa"/>
            <w:shd w:val="clear" w:color="auto" w:fill="FFFFFF"/>
            <w:vAlign w:val="center"/>
          </w:tcPr>
          <w:p w14:paraId="790C1B64">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《公路工程建设项目招标投标管理办法》第六十八条第（五）项  招标人有下列情形之一的，由交通运输主管部门责令改正，可以处三万元以下的罚款：（五）不按照本办法规定编制资格预审文件或者招标文件的。</w:t>
            </w:r>
          </w:p>
        </w:tc>
        <w:tc>
          <w:tcPr>
            <w:tcW w:w="738" w:type="dxa"/>
            <w:shd w:val="clear" w:color="auto" w:fill="FFFFFF"/>
            <w:vAlign w:val="center"/>
          </w:tcPr>
          <w:p w14:paraId="56BBD461">
            <w:pPr>
              <w:widowControl/>
              <w:jc w:val="center"/>
              <w:textAlignment w:val="center"/>
              <w:rPr>
                <w:rFonts w:ascii="宋体" w:hAnsi="宋体" w:cs="宋体"/>
                <w:bCs/>
                <w:kern w:val="0"/>
                <w:szCs w:val="21"/>
              </w:rPr>
            </w:pPr>
            <w:r>
              <w:rPr>
                <w:rFonts w:hint="eastAsia" w:ascii="宋体" w:hAnsi="宋体" w:cs="宋体"/>
                <w:color w:val="000000"/>
                <w:kern w:val="0"/>
                <w:szCs w:val="21"/>
              </w:rPr>
              <w:t>一般</w:t>
            </w:r>
          </w:p>
        </w:tc>
        <w:tc>
          <w:tcPr>
            <w:tcW w:w="3305" w:type="dxa"/>
            <w:shd w:val="clear" w:color="auto" w:fill="FFFFFF"/>
            <w:vAlign w:val="center"/>
          </w:tcPr>
          <w:p w14:paraId="3A022093">
            <w:pPr>
              <w:widowControl/>
              <w:textAlignment w:val="center"/>
              <w:rPr>
                <w:rFonts w:ascii="宋体" w:hAnsi="宋体" w:cs="宋体"/>
                <w:bCs/>
                <w:kern w:val="0"/>
                <w:szCs w:val="21"/>
              </w:rPr>
            </w:pPr>
            <w:r>
              <w:rPr>
                <w:rFonts w:hint="eastAsia" w:ascii="宋体" w:hAnsi="宋体" w:cs="宋体"/>
                <w:color w:val="000000"/>
                <w:kern w:val="0"/>
                <w:szCs w:val="21"/>
              </w:rPr>
              <w:t>公路工程建设项目不按照本办法规定编制资格预审文件或者招标文件的</w:t>
            </w:r>
          </w:p>
        </w:tc>
        <w:tc>
          <w:tcPr>
            <w:tcW w:w="2983" w:type="dxa"/>
            <w:gridSpan w:val="3"/>
            <w:shd w:val="clear" w:color="auto" w:fill="FFFFFF"/>
            <w:vAlign w:val="center"/>
          </w:tcPr>
          <w:p w14:paraId="5F446E1F">
            <w:pPr>
              <w:spacing w:line="240" w:lineRule="exact"/>
              <w:jc w:val="left"/>
              <w:rPr>
                <w:rFonts w:ascii="宋体" w:hAnsi="宋体" w:cs="宋体"/>
                <w:bCs/>
                <w:kern w:val="0"/>
                <w:szCs w:val="21"/>
              </w:rPr>
            </w:pPr>
            <w:r>
              <w:rPr>
                <w:rFonts w:hint="eastAsia" w:ascii="宋体" w:hAnsi="宋体" w:cs="宋体"/>
                <w:color w:val="000000"/>
                <w:kern w:val="0"/>
                <w:szCs w:val="21"/>
              </w:rPr>
              <w:t>责令改正，处3万元的罚款。</w:t>
            </w:r>
          </w:p>
        </w:tc>
      </w:tr>
      <w:tr w14:paraId="3E87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shd w:val="clear" w:color="auto" w:fill="FFFFFF"/>
            <w:vAlign w:val="center"/>
          </w:tcPr>
          <w:p w14:paraId="746F2A01">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462</w:t>
            </w:r>
          </w:p>
        </w:tc>
        <w:tc>
          <w:tcPr>
            <w:tcW w:w="989" w:type="dxa"/>
            <w:shd w:val="clear" w:color="auto" w:fill="FFFFFF"/>
            <w:vAlign w:val="center"/>
          </w:tcPr>
          <w:p w14:paraId="10E4222B">
            <w:pPr>
              <w:spacing w:line="240" w:lineRule="exact"/>
              <w:rPr>
                <w:rFonts w:ascii="宋体" w:hAnsi="宋体" w:cs="宋体"/>
                <w:bCs/>
                <w:kern w:val="0"/>
                <w:szCs w:val="21"/>
              </w:rPr>
            </w:pPr>
            <w:r>
              <w:rPr>
                <w:rFonts w:hint="eastAsia" w:ascii="宋体" w:hAnsi="宋体" w:cs="宋体"/>
                <w:color w:val="000000"/>
                <w:kern w:val="0"/>
                <w:szCs w:val="21"/>
              </w:rPr>
              <w:t>招标人原因导致资格审查报告存在重大偏差且影响资格预审结果</w:t>
            </w:r>
          </w:p>
        </w:tc>
        <w:tc>
          <w:tcPr>
            <w:tcW w:w="3586" w:type="dxa"/>
            <w:shd w:val="clear" w:color="auto" w:fill="FFFFFF"/>
            <w:vAlign w:val="center"/>
          </w:tcPr>
          <w:p w14:paraId="06182648">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《公路工程建设项目招标投标管理办法》第十一条 公路工程建设项目采用资格预审方式公开招标的，应当按照下列程序进行：（四）组建资格审查委员会对资格预审申请人进行资格审查，资格审查委员会编写资格审查报告；</w:t>
            </w:r>
          </w:p>
          <w:p w14:paraId="6360951D">
            <w:pPr>
              <w:widowControl/>
              <w:textAlignment w:val="center"/>
              <w:rPr>
                <w:rFonts w:ascii="宋体" w:hAnsi="宋体" w:cs="宋体"/>
                <w:color w:val="000000"/>
                <w:kern w:val="0"/>
                <w:szCs w:val="21"/>
              </w:rPr>
            </w:pPr>
            <w:r>
              <w:rPr>
                <w:rFonts w:hint="eastAsia" w:ascii="宋体" w:hAnsi="宋体" w:cs="宋体"/>
                <w:color w:val="000000"/>
                <w:kern w:val="0"/>
                <w:szCs w:val="21"/>
              </w:rPr>
              <w:t>第十四条 资格预审审查工作结束后，资格审查委员会应当编制资格审查报告。资格审查报告应当载明下列内容：（一）招标项目基本情况；（二）资格审查委员会成员名单；（三）监督人员名单；（四）资格预审申请文件递交情况；（五）通过资格审查的申请人名单；（六）未通过资格审查的申请人名单以及未通过审查的理由；（七）评分情况；（八）澄清、说明事项纪要；（九）需要说明的其他事项；（十）资格审查附表。除前款规定的第（一）、（三）、（四）项内容外，资格审查委员会所有成员应当在资格审查报告上逐页签字。</w:t>
            </w:r>
          </w:p>
          <w:p w14:paraId="59A02BF5">
            <w:pPr>
              <w:widowControl/>
              <w:textAlignment w:val="center"/>
              <w:rPr>
                <w:rFonts w:ascii="宋体" w:hAnsi="宋体" w:cs="宋体"/>
                <w:color w:val="000000"/>
                <w:kern w:val="0"/>
                <w:szCs w:val="21"/>
              </w:rPr>
            </w:pPr>
            <w:r>
              <w:rPr>
                <w:rFonts w:hint="eastAsia" w:ascii="宋体" w:hAnsi="宋体" w:cs="宋体"/>
                <w:color w:val="000000"/>
                <w:kern w:val="0"/>
                <w:szCs w:val="21"/>
              </w:rPr>
              <w:t>第五十五条第三款 有资格预审情况说明、异议及投诉处理情况和资格审查报告的，也应当包括在书面报告中。</w:t>
            </w:r>
          </w:p>
        </w:tc>
        <w:tc>
          <w:tcPr>
            <w:tcW w:w="4181" w:type="dxa"/>
            <w:shd w:val="clear" w:color="auto" w:fill="FFFFFF"/>
            <w:vAlign w:val="center"/>
          </w:tcPr>
          <w:p w14:paraId="008FABF5">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《公路工程建设项目招标投标管理办法》第六十八条第（六）项  招标人有下列情形之一的，由交通运输主管部门责令改正，可以处三万元以下的罚款：（六）由于招标人原因导致资格审查报告存在重大偏差且影响资格预审结果的。</w:t>
            </w:r>
          </w:p>
        </w:tc>
        <w:tc>
          <w:tcPr>
            <w:tcW w:w="738" w:type="dxa"/>
            <w:shd w:val="clear" w:color="auto" w:fill="FFFFFF"/>
            <w:vAlign w:val="center"/>
          </w:tcPr>
          <w:p w14:paraId="0D567848">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05" w:type="dxa"/>
            <w:shd w:val="clear" w:color="auto" w:fill="FFFFFF"/>
            <w:vAlign w:val="center"/>
          </w:tcPr>
          <w:p w14:paraId="5458110F">
            <w:pPr>
              <w:widowControl/>
              <w:textAlignment w:val="center"/>
              <w:rPr>
                <w:rFonts w:ascii="宋体" w:hAnsi="宋体" w:cs="宋体"/>
                <w:color w:val="000000"/>
                <w:szCs w:val="21"/>
              </w:rPr>
            </w:pPr>
            <w:r>
              <w:rPr>
                <w:rFonts w:hint="eastAsia" w:ascii="宋体" w:hAnsi="宋体" w:cs="宋体"/>
                <w:color w:val="000000"/>
                <w:kern w:val="0"/>
                <w:szCs w:val="21"/>
              </w:rPr>
              <w:t>公路工程建设项目由于招标人原因导致资格审查报告存在重大偏差且影响资格预审结果的</w:t>
            </w:r>
          </w:p>
        </w:tc>
        <w:tc>
          <w:tcPr>
            <w:tcW w:w="2983" w:type="dxa"/>
            <w:gridSpan w:val="3"/>
            <w:shd w:val="clear" w:color="auto" w:fill="FFFFFF"/>
            <w:vAlign w:val="center"/>
          </w:tcPr>
          <w:p w14:paraId="428AC4A4">
            <w:pPr>
              <w:spacing w:line="240" w:lineRule="exact"/>
              <w:jc w:val="left"/>
              <w:rPr>
                <w:rFonts w:ascii="宋体" w:hAnsi="宋体" w:cs="宋体"/>
                <w:bCs/>
                <w:kern w:val="0"/>
                <w:szCs w:val="21"/>
              </w:rPr>
            </w:pPr>
            <w:r>
              <w:rPr>
                <w:rFonts w:hint="eastAsia" w:ascii="宋体" w:hAnsi="宋体" w:cs="宋体"/>
                <w:color w:val="000000"/>
                <w:kern w:val="0"/>
                <w:szCs w:val="21"/>
              </w:rPr>
              <w:t>责令改正，处3万元的罚款。</w:t>
            </w:r>
          </w:p>
        </w:tc>
      </w:tr>
      <w:tr w14:paraId="6DA2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shd w:val="clear" w:color="auto" w:fill="FFFFFF"/>
            <w:vAlign w:val="center"/>
          </w:tcPr>
          <w:p w14:paraId="7E32D85E">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463</w:t>
            </w:r>
          </w:p>
        </w:tc>
        <w:tc>
          <w:tcPr>
            <w:tcW w:w="989" w:type="dxa"/>
            <w:shd w:val="clear" w:color="auto" w:fill="FFFFFF"/>
            <w:vAlign w:val="center"/>
          </w:tcPr>
          <w:p w14:paraId="6153E8C9">
            <w:pPr>
              <w:spacing w:line="240" w:lineRule="exact"/>
              <w:rPr>
                <w:rFonts w:ascii="宋体" w:hAnsi="宋体" w:cs="宋体"/>
                <w:bCs/>
                <w:kern w:val="0"/>
                <w:szCs w:val="21"/>
              </w:rPr>
            </w:pPr>
            <w:r>
              <w:rPr>
                <w:rFonts w:hint="eastAsia" w:ascii="宋体" w:hAnsi="宋体" w:cs="宋体"/>
                <w:color w:val="000000"/>
                <w:kern w:val="0"/>
                <w:szCs w:val="21"/>
              </w:rPr>
              <w:t>公路工程建设项目招标人增设或者变相增设保证金</w:t>
            </w:r>
          </w:p>
        </w:tc>
        <w:tc>
          <w:tcPr>
            <w:tcW w:w="3586" w:type="dxa"/>
            <w:shd w:val="clear" w:color="auto" w:fill="FFFFFF"/>
            <w:vAlign w:val="center"/>
          </w:tcPr>
          <w:p w14:paraId="7F09C6F5">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《公路工程建设项目招标投标管理办法》第二十四条 招标人应当严格遵守有关法律、行政法规关于各类保证金收取的规定，在招标文件中载明保证金收取的形式、金额以及返还时间。</w:t>
            </w:r>
          </w:p>
          <w:p w14:paraId="6F3D1458">
            <w:pPr>
              <w:widowControl/>
              <w:textAlignment w:val="center"/>
              <w:rPr>
                <w:rFonts w:ascii="宋体" w:hAnsi="宋体" w:cs="宋体"/>
                <w:color w:val="000000"/>
                <w:kern w:val="0"/>
                <w:szCs w:val="21"/>
              </w:rPr>
            </w:pPr>
            <w:r>
              <w:rPr>
                <w:rFonts w:hint="eastAsia" w:ascii="宋体" w:hAnsi="宋体" w:cs="宋体"/>
                <w:color w:val="000000"/>
                <w:kern w:val="0"/>
                <w:szCs w:val="21"/>
              </w:rPr>
              <w:t>招标人不得以任何名义增设或者变相增设保证金或者随意更改招标文件载明的保证金收取形式、金额以及返还时间。招标人不得在资格预审期间收取任何形式的保证金。</w:t>
            </w:r>
          </w:p>
          <w:p w14:paraId="10757815">
            <w:pPr>
              <w:widowControl/>
              <w:textAlignment w:val="center"/>
              <w:rPr>
                <w:rFonts w:ascii="宋体" w:hAnsi="宋体" w:cs="宋体"/>
                <w:color w:val="000000"/>
                <w:kern w:val="0"/>
                <w:szCs w:val="21"/>
              </w:rPr>
            </w:pPr>
            <w:r>
              <w:rPr>
                <w:rFonts w:hint="eastAsia" w:ascii="宋体" w:hAnsi="宋体" w:cs="宋体"/>
                <w:color w:val="000000"/>
                <w:kern w:val="0"/>
                <w:szCs w:val="21"/>
              </w:rPr>
              <w:t>第二十五条 招标人在招标文件中要求投标人提交投标保证金的，投标保证金不得超过招标标段估算价的2%。投标保证金有效期应当与投标有效期一致。</w:t>
            </w:r>
          </w:p>
          <w:p w14:paraId="601CAEAD">
            <w:pPr>
              <w:widowControl/>
              <w:textAlignment w:val="center"/>
              <w:rPr>
                <w:rFonts w:ascii="宋体" w:hAnsi="宋体" w:cs="宋体"/>
                <w:color w:val="000000"/>
                <w:kern w:val="0"/>
                <w:szCs w:val="21"/>
              </w:rPr>
            </w:pPr>
            <w:r>
              <w:rPr>
                <w:rFonts w:hint="eastAsia" w:ascii="宋体" w:hAnsi="宋体" w:cs="宋体"/>
                <w:color w:val="000000"/>
                <w:kern w:val="0"/>
                <w:szCs w:val="21"/>
              </w:rPr>
              <w:t>依法必须进行招标的公路工程建设项目的投标人，以现金或者支票形式提交投标保证金的，应当从其基本账户转出。投标人提交的投标保证金不符合招标文件要求的，应当否决其投标。</w:t>
            </w:r>
          </w:p>
          <w:p w14:paraId="3D87AEA8">
            <w:pPr>
              <w:widowControl/>
              <w:textAlignment w:val="center"/>
              <w:rPr>
                <w:rFonts w:ascii="宋体" w:hAnsi="宋体" w:cs="宋体"/>
                <w:color w:val="000000"/>
                <w:kern w:val="0"/>
                <w:szCs w:val="21"/>
              </w:rPr>
            </w:pPr>
            <w:r>
              <w:rPr>
                <w:rFonts w:hint="eastAsia" w:ascii="宋体" w:hAnsi="宋体" w:cs="宋体"/>
                <w:color w:val="000000"/>
                <w:kern w:val="0"/>
                <w:szCs w:val="21"/>
              </w:rPr>
              <w:t>招标人不得挪用投标保证金。</w:t>
            </w:r>
          </w:p>
        </w:tc>
        <w:tc>
          <w:tcPr>
            <w:tcW w:w="4181" w:type="dxa"/>
            <w:shd w:val="clear" w:color="auto" w:fill="FFFFFF"/>
            <w:vAlign w:val="center"/>
          </w:tcPr>
          <w:p w14:paraId="4DC51A67">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《公路工程建设项目招标投标管理办法》第六十八条第（七）项招标人有下列情形之一的，由交通运输主管部门责令改正，可以处三万元以下的罚款：（七）挪用投标保证金，增设或者变相增设保证金的。</w:t>
            </w:r>
          </w:p>
        </w:tc>
        <w:tc>
          <w:tcPr>
            <w:tcW w:w="738" w:type="dxa"/>
            <w:shd w:val="clear" w:color="auto" w:fill="FFFFFF"/>
            <w:vAlign w:val="center"/>
          </w:tcPr>
          <w:p w14:paraId="6440B45E">
            <w:pPr>
              <w:spacing w:line="240" w:lineRule="exact"/>
              <w:jc w:val="center"/>
              <w:rPr>
                <w:rFonts w:ascii="宋体" w:hAnsi="宋体" w:cs="宋体"/>
                <w:bCs/>
                <w:kern w:val="0"/>
                <w:szCs w:val="21"/>
              </w:rPr>
            </w:pPr>
            <w:r>
              <w:rPr>
                <w:rFonts w:hint="eastAsia" w:ascii="宋体" w:hAnsi="宋体" w:cs="宋体"/>
                <w:bCs/>
                <w:kern w:val="0"/>
                <w:szCs w:val="21"/>
              </w:rPr>
              <w:t>一般</w:t>
            </w:r>
          </w:p>
        </w:tc>
        <w:tc>
          <w:tcPr>
            <w:tcW w:w="3305" w:type="dxa"/>
            <w:shd w:val="clear" w:color="auto" w:fill="FFFFFF"/>
            <w:vAlign w:val="center"/>
          </w:tcPr>
          <w:p w14:paraId="305B4DE6">
            <w:pPr>
              <w:spacing w:line="240" w:lineRule="exact"/>
              <w:rPr>
                <w:rFonts w:ascii="宋体" w:hAnsi="宋体" w:cs="宋体"/>
                <w:bCs/>
                <w:kern w:val="0"/>
                <w:szCs w:val="21"/>
              </w:rPr>
            </w:pPr>
            <w:r>
              <w:rPr>
                <w:rFonts w:hint="eastAsia" w:ascii="宋体" w:hAnsi="宋体" w:cs="宋体"/>
                <w:color w:val="000000"/>
                <w:kern w:val="0"/>
                <w:szCs w:val="21"/>
              </w:rPr>
              <w:t>增设或者变相增设保证金的</w:t>
            </w:r>
          </w:p>
        </w:tc>
        <w:tc>
          <w:tcPr>
            <w:tcW w:w="2983" w:type="dxa"/>
            <w:gridSpan w:val="3"/>
            <w:shd w:val="clear" w:color="auto" w:fill="FFFFFF"/>
            <w:vAlign w:val="center"/>
          </w:tcPr>
          <w:p w14:paraId="116FC583">
            <w:pPr>
              <w:spacing w:line="240" w:lineRule="exact"/>
              <w:jc w:val="left"/>
              <w:rPr>
                <w:rFonts w:ascii="宋体" w:hAnsi="宋体" w:cs="宋体"/>
                <w:bCs/>
                <w:kern w:val="0"/>
                <w:szCs w:val="21"/>
              </w:rPr>
            </w:pPr>
            <w:r>
              <w:rPr>
                <w:rFonts w:hint="eastAsia" w:ascii="宋体" w:hAnsi="宋体" w:cs="宋体"/>
                <w:color w:val="000000"/>
                <w:kern w:val="0"/>
                <w:szCs w:val="21"/>
              </w:rPr>
              <w:t>责令改正，处3万元的罚款。</w:t>
            </w:r>
          </w:p>
        </w:tc>
      </w:tr>
      <w:tr w14:paraId="7FD2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shd w:val="clear" w:color="auto" w:fill="FFFFFF"/>
            <w:vAlign w:val="center"/>
          </w:tcPr>
          <w:p w14:paraId="71B5A0C9">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464</w:t>
            </w:r>
          </w:p>
        </w:tc>
        <w:tc>
          <w:tcPr>
            <w:tcW w:w="989" w:type="dxa"/>
            <w:shd w:val="clear" w:color="auto" w:fill="FFFFFF"/>
            <w:vAlign w:val="center"/>
          </w:tcPr>
          <w:p w14:paraId="2F774680">
            <w:pPr>
              <w:spacing w:line="240" w:lineRule="exact"/>
              <w:rPr>
                <w:rFonts w:ascii="宋体" w:hAnsi="宋体" w:cs="宋体"/>
                <w:bCs/>
                <w:kern w:val="0"/>
                <w:szCs w:val="21"/>
              </w:rPr>
            </w:pPr>
            <w:r>
              <w:rPr>
                <w:rFonts w:hint="eastAsia" w:ascii="宋体" w:hAnsi="宋体" w:cs="宋体"/>
                <w:color w:val="000000"/>
                <w:kern w:val="0"/>
                <w:szCs w:val="21"/>
              </w:rPr>
              <w:t>投标人数量不符合法定要求不重新招标</w:t>
            </w:r>
          </w:p>
        </w:tc>
        <w:tc>
          <w:tcPr>
            <w:tcW w:w="3586" w:type="dxa"/>
            <w:shd w:val="clear" w:color="auto" w:fill="FFFFFF"/>
            <w:vAlign w:val="center"/>
          </w:tcPr>
          <w:p w14:paraId="7767EB72">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《公路工程建设项目招标投标管理办法》第三十五条第二款 投标人少于3个的，不得开标，投标文件应当当场退还给投标人；招标人应当重新招标。</w:t>
            </w:r>
          </w:p>
          <w:p w14:paraId="683782D0">
            <w:pPr>
              <w:widowControl/>
              <w:textAlignment w:val="center"/>
              <w:rPr>
                <w:rFonts w:ascii="宋体" w:hAnsi="宋体" w:cs="宋体"/>
                <w:color w:val="000000"/>
                <w:kern w:val="0"/>
                <w:szCs w:val="21"/>
              </w:rPr>
            </w:pPr>
            <w:r>
              <w:rPr>
                <w:rFonts w:hint="eastAsia" w:ascii="宋体" w:hAnsi="宋体" w:cs="宋体"/>
                <w:color w:val="000000"/>
                <w:kern w:val="0"/>
                <w:szCs w:val="21"/>
              </w:rPr>
              <w:t>第六十条第一款 依法必须进行招标的公路工程建设项目，有下列情形之一的，招标人在分析招标失败的原因并采取相应措施后，应当依照本办法重新招标：（一）通过资格预审的申请人少于3个的；（二）投标人少于3个的；……</w:t>
            </w:r>
          </w:p>
        </w:tc>
        <w:tc>
          <w:tcPr>
            <w:tcW w:w="4181" w:type="dxa"/>
            <w:shd w:val="clear" w:color="auto" w:fill="FFFFFF"/>
            <w:vAlign w:val="center"/>
          </w:tcPr>
          <w:p w14:paraId="44403A70">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《公路工程建设项目招标投标管理办法》第六十八条第（八）项  招标人有下列情形之一的，由交通运输主管部门责令改正，可以处三万元以下的罚款：（八）投标人数量不符合法定要求不重新招标的。</w:t>
            </w:r>
          </w:p>
        </w:tc>
        <w:tc>
          <w:tcPr>
            <w:tcW w:w="738" w:type="dxa"/>
            <w:shd w:val="clear" w:color="auto" w:fill="FFFFFF"/>
            <w:vAlign w:val="center"/>
          </w:tcPr>
          <w:p w14:paraId="2583EE02">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05" w:type="dxa"/>
            <w:shd w:val="clear" w:color="auto" w:fill="FFFFFF"/>
            <w:vAlign w:val="center"/>
          </w:tcPr>
          <w:p w14:paraId="78DD0F8D">
            <w:pPr>
              <w:widowControl/>
              <w:textAlignment w:val="center"/>
              <w:rPr>
                <w:rFonts w:ascii="宋体" w:hAnsi="宋体" w:cs="宋体"/>
                <w:color w:val="000000"/>
                <w:szCs w:val="21"/>
              </w:rPr>
            </w:pPr>
            <w:r>
              <w:rPr>
                <w:rFonts w:hint="eastAsia" w:ascii="宋体" w:hAnsi="宋体" w:cs="宋体"/>
                <w:color w:val="000000"/>
                <w:kern w:val="0"/>
                <w:szCs w:val="21"/>
              </w:rPr>
              <w:t>公路工程建设项目投标人数量不符合法定要求不重新招标的</w:t>
            </w:r>
          </w:p>
        </w:tc>
        <w:tc>
          <w:tcPr>
            <w:tcW w:w="2983" w:type="dxa"/>
            <w:gridSpan w:val="3"/>
            <w:shd w:val="clear" w:color="auto" w:fill="FFFFFF"/>
            <w:vAlign w:val="center"/>
          </w:tcPr>
          <w:p w14:paraId="720F20AD">
            <w:pPr>
              <w:spacing w:line="240" w:lineRule="exact"/>
              <w:jc w:val="left"/>
              <w:rPr>
                <w:rFonts w:ascii="宋体" w:hAnsi="宋体" w:cs="宋体"/>
                <w:bCs/>
                <w:kern w:val="0"/>
                <w:szCs w:val="21"/>
              </w:rPr>
            </w:pPr>
            <w:r>
              <w:rPr>
                <w:rFonts w:hint="eastAsia" w:ascii="宋体" w:hAnsi="宋体" w:cs="宋体"/>
                <w:color w:val="000000"/>
                <w:kern w:val="0"/>
                <w:szCs w:val="21"/>
              </w:rPr>
              <w:t>责令改正，处3万元的罚款，并重新招标</w:t>
            </w:r>
          </w:p>
        </w:tc>
      </w:tr>
      <w:tr w14:paraId="10C9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shd w:val="clear" w:color="auto" w:fill="FFFFFF"/>
            <w:vAlign w:val="center"/>
          </w:tcPr>
          <w:p w14:paraId="5F281B67">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465</w:t>
            </w:r>
          </w:p>
        </w:tc>
        <w:tc>
          <w:tcPr>
            <w:tcW w:w="989" w:type="dxa"/>
            <w:shd w:val="clear" w:color="auto" w:fill="FFFFFF"/>
            <w:vAlign w:val="center"/>
          </w:tcPr>
          <w:p w14:paraId="2E57F5B2">
            <w:pPr>
              <w:spacing w:line="240" w:lineRule="exact"/>
              <w:rPr>
                <w:rFonts w:ascii="宋体" w:hAnsi="宋体" w:cs="宋体"/>
                <w:bCs/>
                <w:kern w:val="0"/>
                <w:szCs w:val="21"/>
              </w:rPr>
            </w:pPr>
            <w:r>
              <w:rPr>
                <w:rFonts w:hint="eastAsia" w:ascii="宋体" w:hAnsi="宋体" w:cs="宋体"/>
                <w:color w:val="000000"/>
                <w:kern w:val="0"/>
                <w:szCs w:val="21"/>
              </w:rPr>
              <w:t>招标人向评标委员会提供的评标信息不符合规定</w:t>
            </w:r>
          </w:p>
        </w:tc>
        <w:tc>
          <w:tcPr>
            <w:tcW w:w="3586" w:type="dxa"/>
            <w:shd w:val="clear" w:color="auto" w:fill="FFFFFF"/>
            <w:vAlign w:val="center"/>
          </w:tcPr>
          <w:p w14:paraId="02FD4F25">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《公路工程建设项目招标投标管理办法》第四十一条 招标人应当向评标委员会提供评标所必需的信息，但不得明示或者暗示其倾向或者排斥特定投标人。评标所必需的信息主要包括招标文件、招标文件的澄清或者修改、开标记录、投标文件、资格预审文件。招标人可以协助评标委员会开展下列工作并提供相关信息：（一）根据招标文件，编制评标使用的相应表格；（二）对投标报价进行算术性校核；（三）以评标标准和方法为依据，列出投标文件相对于招标文件的所有偏差，并进行归类汇总；（四）查询公路建设市场信用信息管理系统，对投标人的资质、业绩、主要人员资历和目前在岗情况、信用等级进行核实。招标人不得对投标文件作出任何评价，不得故意遗漏或者片面摘录，不得在评标委员会对所有偏差定性之前透露存有偏差的投标人名称。评标委员会应当根据招标文件规定，全面、独立评审所有投标文件，并对招标人提供的上述相关信息进行核查，发现错误或者遗漏的，应当进行修正。</w:t>
            </w:r>
          </w:p>
        </w:tc>
        <w:tc>
          <w:tcPr>
            <w:tcW w:w="4181" w:type="dxa"/>
            <w:shd w:val="clear" w:color="auto" w:fill="FFFFFF"/>
            <w:vAlign w:val="center"/>
          </w:tcPr>
          <w:p w14:paraId="34D921C8">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《公路工程建设项目招标投标管理办法》第六十八条第（九）项  招标人有下列情形之一的，由交通运输主管部门责令改正，可以处三万元以下的罚款：（九）向评标委员会提供的评标信息不符合本办法规定的。</w:t>
            </w:r>
          </w:p>
        </w:tc>
        <w:tc>
          <w:tcPr>
            <w:tcW w:w="738" w:type="dxa"/>
            <w:shd w:val="clear" w:color="auto" w:fill="FFFFFF"/>
            <w:vAlign w:val="center"/>
          </w:tcPr>
          <w:p w14:paraId="2E87036F">
            <w:pPr>
              <w:widowControl/>
              <w:jc w:val="center"/>
              <w:textAlignment w:val="center"/>
              <w:rPr>
                <w:rFonts w:ascii="宋体" w:hAnsi="宋体" w:cs="宋体"/>
                <w:bCs/>
                <w:kern w:val="0"/>
                <w:szCs w:val="21"/>
              </w:rPr>
            </w:pPr>
            <w:r>
              <w:rPr>
                <w:rFonts w:hint="eastAsia" w:ascii="宋体" w:hAnsi="宋体" w:cs="宋体"/>
                <w:color w:val="000000"/>
                <w:kern w:val="0"/>
                <w:szCs w:val="21"/>
              </w:rPr>
              <w:t>轻微</w:t>
            </w:r>
          </w:p>
        </w:tc>
        <w:tc>
          <w:tcPr>
            <w:tcW w:w="3305" w:type="dxa"/>
            <w:shd w:val="clear" w:color="auto" w:fill="FFFFFF"/>
            <w:vAlign w:val="center"/>
          </w:tcPr>
          <w:p w14:paraId="70DC1FE4">
            <w:pPr>
              <w:widowControl/>
              <w:textAlignment w:val="center"/>
              <w:rPr>
                <w:rFonts w:ascii="宋体" w:hAnsi="宋体" w:cs="宋体"/>
                <w:bCs/>
                <w:kern w:val="0"/>
                <w:szCs w:val="21"/>
              </w:rPr>
            </w:pPr>
            <w:r>
              <w:rPr>
                <w:rFonts w:hint="eastAsia" w:ascii="宋体" w:hAnsi="宋体" w:cs="宋体"/>
                <w:color w:val="000000"/>
                <w:kern w:val="0"/>
                <w:szCs w:val="21"/>
              </w:rPr>
              <w:t>公路工程建设项目向评标委员会提供的评标信息不符合本办法规定的</w:t>
            </w:r>
          </w:p>
        </w:tc>
        <w:tc>
          <w:tcPr>
            <w:tcW w:w="2983" w:type="dxa"/>
            <w:gridSpan w:val="3"/>
            <w:shd w:val="clear" w:color="auto" w:fill="FFFFFF"/>
            <w:vAlign w:val="center"/>
          </w:tcPr>
          <w:p w14:paraId="319C7875">
            <w:pPr>
              <w:spacing w:line="240" w:lineRule="exact"/>
              <w:jc w:val="left"/>
              <w:rPr>
                <w:rFonts w:ascii="宋体" w:hAnsi="宋体" w:cs="宋体"/>
                <w:bCs/>
                <w:kern w:val="0"/>
                <w:szCs w:val="21"/>
              </w:rPr>
            </w:pPr>
            <w:r>
              <w:rPr>
                <w:rFonts w:hint="eastAsia" w:ascii="宋体" w:hAnsi="宋体" w:cs="宋体"/>
                <w:bCs/>
                <w:kern w:val="0"/>
                <w:szCs w:val="21"/>
              </w:rPr>
              <w:t>责令改正，可不予行政处罚。</w:t>
            </w:r>
          </w:p>
        </w:tc>
      </w:tr>
      <w:tr w14:paraId="564B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33" w:hRule="atLeast"/>
          <w:jc w:val="center"/>
        </w:trPr>
        <w:tc>
          <w:tcPr>
            <w:tcW w:w="539" w:type="dxa"/>
            <w:shd w:val="clear" w:color="auto" w:fill="FFFFFF"/>
            <w:vAlign w:val="center"/>
          </w:tcPr>
          <w:p w14:paraId="29F8AD88">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466</w:t>
            </w:r>
          </w:p>
        </w:tc>
        <w:tc>
          <w:tcPr>
            <w:tcW w:w="989" w:type="dxa"/>
            <w:shd w:val="clear" w:color="auto" w:fill="FFFFFF"/>
            <w:vAlign w:val="center"/>
          </w:tcPr>
          <w:p w14:paraId="267F7C50">
            <w:pPr>
              <w:spacing w:line="240" w:lineRule="exact"/>
              <w:rPr>
                <w:rFonts w:ascii="宋体" w:hAnsi="宋体" w:cs="宋体"/>
                <w:bCs/>
                <w:kern w:val="0"/>
                <w:szCs w:val="21"/>
              </w:rPr>
            </w:pPr>
            <w:r>
              <w:rPr>
                <w:rFonts w:hint="eastAsia" w:ascii="宋体" w:hAnsi="宋体" w:cs="宋体"/>
                <w:color w:val="000000"/>
                <w:kern w:val="0"/>
                <w:szCs w:val="21"/>
              </w:rPr>
              <w:t>招标人不按照规定公示中标候选人</w:t>
            </w:r>
          </w:p>
        </w:tc>
        <w:tc>
          <w:tcPr>
            <w:tcW w:w="3586" w:type="dxa"/>
            <w:shd w:val="clear" w:color="auto" w:fill="FFFFFF"/>
            <w:vAlign w:val="center"/>
          </w:tcPr>
          <w:p w14:paraId="074533BA">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《公路工程建设项目招标投标管理办法》第五十三条 依法必须进行招标的公路工程建设项目，招标人应当自收到评标报告之日起3日内，在对该项目具有招标监督职责的交通运输主管部门政府网站或者其指定的其他网站上公示中标候选人，公示期不得少于3日，公示内容包括：（一）中标候选人排序、名称、投标报价；（二）中标候选人在投标文件中承诺的主要人员姓名、个人业绩、相关证书编号；（三）中标候选人在投标文件中填报的项目业绩；（四）被否决投标的投标人名称、否决依据和原因；（五）招标文件规定公示的其他内容。投标人或者其他利害关系人对依法必须进行招标的公路工程建设项目的评标结果有异议的，应当在中标候选人公示期间提出。招标人应当自收到异议之日起3日内作出答复；作出答复前，应当暂停招标投标活动。</w:t>
            </w:r>
          </w:p>
        </w:tc>
        <w:tc>
          <w:tcPr>
            <w:tcW w:w="4181" w:type="dxa"/>
            <w:shd w:val="clear" w:color="auto" w:fill="FFFFFF"/>
            <w:vAlign w:val="center"/>
          </w:tcPr>
          <w:p w14:paraId="25756039">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《公路工程建设项目招标投标管理办法》第六十八条第（十）项招标人有下列情形之一的，由交通运输主管部门责令改正，可以处三万元以下的罚款：（十）不按照本办法规定公示中标候选人的。</w:t>
            </w:r>
          </w:p>
        </w:tc>
        <w:tc>
          <w:tcPr>
            <w:tcW w:w="738" w:type="dxa"/>
            <w:shd w:val="clear" w:color="auto" w:fill="FFFFFF"/>
            <w:vAlign w:val="center"/>
          </w:tcPr>
          <w:p w14:paraId="170FEC07">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05" w:type="dxa"/>
            <w:shd w:val="clear" w:color="auto" w:fill="FFFFFF"/>
            <w:vAlign w:val="center"/>
          </w:tcPr>
          <w:p w14:paraId="3C53BDCA">
            <w:pPr>
              <w:widowControl/>
              <w:textAlignment w:val="center"/>
              <w:rPr>
                <w:rFonts w:ascii="宋体" w:hAnsi="宋体" w:cs="宋体"/>
                <w:color w:val="000000"/>
                <w:szCs w:val="21"/>
              </w:rPr>
            </w:pPr>
            <w:r>
              <w:rPr>
                <w:rFonts w:hint="eastAsia" w:ascii="宋体" w:hAnsi="宋体" w:cs="宋体"/>
                <w:color w:val="000000"/>
                <w:kern w:val="0"/>
                <w:szCs w:val="21"/>
              </w:rPr>
              <w:t>公路工程建设项目不按照规定公示中标候选人的</w:t>
            </w:r>
          </w:p>
        </w:tc>
        <w:tc>
          <w:tcPr>
            <w:tcW w:w="2983" w:type="dxa"/>
            <w:gridSpan w:val="3"/>
            <w:shd w:val="clear" w:color="auto" w:fill="FFFFFF"/>
            <w:vAlign w:val="center"/>
          </w:tcPr>
          <w:p w14:paraId="02A0E21B">
            <w:pPr>
              <w:spacing w:line="240" w:lineRule="exact"/>
              <w:jc w:val="left"/>
              <w:rPr>
                <w:rFonts w:ascii="宋体" w:hAnsi="宋体" w:cs="宋体"/>
                <w:bCs/>
                <w:kern w:val="0"/>
                <w:szCs w:val="21"/>
              </w:rPr>
            </w:pPr>
            <w:r>
              <w:rPr>
                <w:rFonts w:hint="eastAsia" w:ascii="宋体" w:hAnsi="宋体" w:cs="宋体"/>
                <w:color w:val="000000"/>
                <w:kern w:val="0"/>
                <w:szCs w:val="21"/>
              </w:rPr>
              <w:t>责令改正，处3万元的罚款。</w:t>
            </w:r>
          </w:p>
        </w:tc>
      </w:tr>
      <w:tr w14:paraId="41E5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539" w:type="dxa"/>
            <w:shd w:val="clear" w:color="auto" w:fill="FFFFFF"/>
            <w:vAlign w:val="center"/>
          </w:tcPr>
          <w:p w14:paraId="1638FCE2">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467</w:t>
            </w:r>
          </w:p>
        </w:tc>
        <w:tc>
          <w:tcPr>
            <w:tcW w:w="989" w:type="dxa"/>
            <w:shd w:val="clear" w:color="auto" w:fill="FFFFFF"/>
            <w:vAlign w:val="center"/>
          </w:tcPr>
          <w:p w14:paraId="424DB0F1">
            <w:pPr>
              <w:spacing w:line="240" w:lineRule="exact"/>
              <w:rPr>
                <w:rFonts w:ascii="宋体" w:hAnsi="宋体" w:cs="宋体"/>
                <w:bCs/>
                <w:kern w:val="0"/>
                <w:szCs w:val="21"/>
              </w:rPr>
            </w:pPr>
            <w:r>
              <w:rPr>
                <w:rFonts w:hint="eastAsia" w:ascii="宋体" w:hAnsi="宋体" w:cs="宋体"/>
                <w:color w:val="000000"/>
                <w:kern w:val="0"/>
                <w:szCs w:val="21"/>
              </w:rPr>
              <w:t>招标文件中规定的履约保证金的金额、支付形式不符合规定</w:t>
            </w:r>
          </w:p>
        </w:tc>
        <w:tc>
          <w:tcPr>
            <w:tcW w:w="3586" w:type="dxa"/>
            <w:shd w:val="clear" w:color="auto" w:fill="FFFFFF"/>
            <w:vAlign w:val="center"/>
          </w:tcPr>
          <w:p w14:paraId="55BE3729">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《公路工程建设项目招标投标管理办法》第五十八条 招标文件要求中标人提交履约保证金的，中标人应当按照招标文件的要求提交。履约保证金不得超过中标合同金额的10%。招标人不得指定或者变相指定履约保证金的支付形式，由中标人自主选择银行保函或者现金、支票等支付形式。</w:t>
            </w:r>
          </w:p>
        </w:tc>
        <w:tc>
          <w:tcPr>
            <w:tcW w:w="4181" w:type="dxa"/>
            <w:shd w:val="clear" w:color="auto" w:fill="FFFFFF"/>
            <w:vAlign w:val="center"/>
          </w:tcPr>
          <w:p w14:paraId="3304FB0D">
            <w:pPr>
              <w:widowControl/>
              <w:textAlignment w:val="center"/>
              <w:rPr>
                <w:rFonts w:ascii="宋体" w:hAnsi="宋体" w:cs="宋体"/>
                <w:color w:val="000000"/>
                <w:kern w:val="0"/>
                <w:szCs w:val="21"/>
              </w:rPr>
            </w:pPr>
            <w:r>
              <w:rPr>
                <w:rFonts w:hint="eastAsia" w:ascii="宋体" w:hAnsi="宋体" w:cs="宋体"/>
                <w:color w:val="000000"/>
                <w:kern w:val="0"/>
                <w:szCs w:val="21"/>
              </w:rPr>
              <w:t>《公路工程建设项目招标投标管理办法》第六十八条第（十一）项  招标人有下列情形之一的，由交通运输主管部门责令改正，可以处三万元以下的罚款：（十一）招标文件中规定的履约保证金的金额、支付形式不符合本办法规定的。</w:t>
            </w:r>
          </w:p>
        </w:tc>
        <w:tc>
          <w:tcPr>
            <w:tcW w:w="738" w:type="dxa"/>
            <w:shd w:val="clear" w:color="auto" w:fill="FFFFFF"/>
            <w:vAlign w:val="center"/>
          </w:tcPr>
          <w:p w14:paraId="6422F7F9">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05" w:type="dxa"/>
            <w:shd w:val="clear" w:color="auto" w:fill="FFFFFF"/>
            <w:vAlign w:val="center"/>
          </w:tcPr>
          <w:p w14:paraId="03ABC4E7">
            <w:pPr>
              <w:widowControl/>
              <w:textAlignment w:val="center"/>
              <w:rPr>
                <w:rFonts w:ascii="宋体" w:hAnsi="宋体" w:cs="宋体"/>
                <w:color w:val="000000"/>
                <w:szCs w:val="21"/>
              </w:rPr>
            </w:pPr>
            <w:r>
              <w:rPr>
                <w:rFonts w:hint="eastAsia" w:ascii="宋体" w:hAnsi="宋体" w:cs="宋体"/>
                <w:color w:val="000000"/>
                <w:kern w:val="0"/>
                <w:szCs w:val="21"/>
              </w:rPr>
              <w:t>公路工程建设项目招标文件中规定的履约保证金的金额、支付形式不符合规定的</w:t>
            </w:r>
          </w:p>
        </w:tc>
        <w:tc>
          <w:tcPr>
            <w:tcW w:w="2983" w:type="dxa"/>
            <w:gridSpan w:val="3"/>
            <w:shd w:val="clear" w:color="auto" w:fill="FFFFFF"/>
            <w:vAlign w:val="center"/>
          </w:tcPr>
          <w:p w14:paraId="42BED42D">
            <w:pPr>
              <w:spacing w:line="240" w:lineRule="exact"/>
              <w:jc w:val="left"/>
              <w:rPr>
                <w:rFonts w:ascii="宋体" w:hAnsi="宋体" w:cs="宋体"/>
                <w:bCs/>
                <w:kern w:val="0"/>
                <w:szCs w:val="21"/>
              </w:rPr>
            </w:pPr>
            <w:r>
              <w:rPr>
                <w:rFonts w:hint="eastAsia" w:ascii="宋体" w:hAnsi="宋体" w:cs="宋体"/>
                <w:color w:val="000000"/>
                <w:kern w:val="0"/>
                <w:szCs w:val="21"/>
              </w:rPr>
              <w:t>责令改正，处3万元的罚款。</w:t>
            </w:r>
          </w:p>
        </w:tc>
      </w:tr>
      <w:tr w14:paraId="38BD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5" w:hRule="atLeast"/>
          <w:jc w:val="center"/>
        </w:trPr>
        <w:tc>
          <w:tcPr>
            <w:tcW w:w="539" w:type="dxa"/>
            <w:vMerge w:val="restart"/>
            <w:shd w:val="clear" w:color="auto" w:fill="FFFFFF"/>
            <w:vAlign w:val="center"/>
          </w:tcPr>
          <w:p w14:paraId="07EB46E6">
            <w:pPr>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468</w:t>
            </w:r>
          </w:p>
        </w:tc>
        <w:tc>
          <w:tcPr>
            <w:tcW w:w="989" w:type="dxa"/>
            <w:vMerge w:val="restart"/>
            <w:shd w:val="clear" w:color="auto" w:fill="FFFFFF"/>
            <w:vAlign w:val="center"/>
          </w:tcPr>
          <w:p w14:paraId="18A0E40E">
            <w:pPr>
              <w:spacing w:line="240" w:lineRule="exact"/>
              <w:rPr>
                <w:rFonts w:ascii="宋体" w:hAnsi="宋体" w:cs="宋体"/>
                <w:bCs/>
                <w:kern w:val="0"/>
                <w:szCs w:val="21"/>
              </w:rPr>
            </w:pPr>
            <w:r>
              <w:rPr>
                <w:rFonts w:hint="eastAsia" w:ascii="宋体" w:hAnsi="宋体" w:cs="宋体"/>
                <w:color w:val="000000"/>
                <w:kern w:val="0"/>
                <w:szCs w:val="21"/>
              </w:rPr>
              <w:t>中标人不按照合同履行义务且情节较为严重</w:t>
            </w:r>
          </w:p>
        </w:tc>
        <w:tc>
          <w:tcPr>
            <w:tcW w:w="3586" w:type="dxa"/>
            <w:vMerge w:val="restart"/>
            <w:shd w:val="clear" w:color="auto" w:fill="FFFFFF"/>
            <w:vAlign w:val="center"/>
          </w:tcPr>
          <w:p w14:paraId="593126FF">
            <w:pPr>
              <w:spacing w:line="240" w:lineRule="exact"/>
              <w:ind w:firstLine="420" w:firstLineChars="200"/>
              <w:rPr>
                <w:rFonts w:ascii="宋体" w:hAnsi="宋体" w:cs="宋体"/>
                <w:bCs/>
                <w:kern w:val="0"/>
                <w:szCs w:val="21"/>
              </w:rPr>
            </w:pPr>
            <w:r>
              <w:rPr>
                <w:rFonts w:hint="eastAsia" w:ascii="宋体" w:hAnsi="宋体" w:cs="宋体"/>
                <w:color w:val="000000"/>
                <w:kern w:val="0"/>
                <w:szCs w:val="21"/>
              </w:rPr>
              <w:t>《中华人民共和国招标投标法》第四十八条第一款 中标人应当按照合同约定履行义务，完成中标项目。中标人不得向他人转让中标项目，也不得将中标项目肢解后分别向他人转让。</w:t>
            </w:r>
          </w:p>
        </w:tc>
        <w:tc>
          <w:tcPr>
            <w:tcW w:w="4181" w:type="dxa"/>
            <w:vMerge w:val="restart"/>
            <w:shd w:val="clear" w:color="auto" w:fill="FFFFFF"/>
            <w:vAlign w:val="center"/>
          </w:tcPr>
          <w:p w14:paraId="71C97F63">
            <w:pPr>
              <w:spacing w:line="240" w:lineRule="exact"/>
              <w:ind w:firstLine="420" w:firstLineChars="200"/>
              <w:rPr>
                <w:rFonts w:ascii="宋体" w:hAnsi="宋体" w:cs="宋体"/>
                <w:bCs/>
                <w:kern w:val="0"/>
                <w:szCs w:val="21"/>
              </w:rPr>
            </w:pPr>
            <w:r>
              <w:rPr>
                <w:rFonts w:hint="eastAsia" w:ascii="宋体" w:hAnsi="宋体" w:cs="宋体"/>
                <w:color w:val="000000"/>
                <w:kern w:val="0"/>
                <w:szCs w:val="21"/>
              </w:rPr>
              <w:t>《中华人民共和国招标投标法》第六十条第二款  中标人不按照与招标人订立的合同履行义务，情节较为严重的，取消其二年至五年内参加依法必须进行招标的项目的投标资格并予以公告，直至由工商行政管理机关吊销营业执照。</w:t>
            </w:r>
          </w:p>
        </w:tc>
        <w:tc>
          <w:tcPr>
            <w:tcW w:w="738" w:type="dxa"/>
            <w:shd w:val="clear" w:color="auto" w:fill="FFFFFF"/>
            <w:vAlign w:val="center"/>
          </w:tcPr>
          <w:p w14:paraId="0A2F3547">
            <w:pPr>
              <w:widowControl/>
              <w:spacing w:line="260" w:lineRule="exact"/>
              <w:jc w:val="center"/>
              <w:textAlignment w:val="center"/>
              <w:rPr>
                <w:rFonts w:ascii="宋体" w:hAnsi="宋体" w:cs="宋体"/>
                <w:bCs/>
                <w:kern w:val="0"/>
                <w:szCs w:val="21"/>
              </w:rPr>
            </w:pPr>
            <w:r>
              <w:rPr>
                <w:rFonts w:hint="eastAsia" w:ascii="宋体" w:hAnsi="宋体" w:cs="宋体"/>
                <w:color w:val="000000"/>
                <w:szCs w:val="21"/>
              </w:rPr>
              <w:t>较严重</w:t>
            </w:r>
          </w:p>
        </w:tc>
        <w:tc>
          <w:tcPr>
            <w:tcW w:w="3305" w:type="dxa"/>
            <w:shd w:val="clear" w:color="auto" w:fill="FFFFFF"/>
            <w:vAlign w:val="center"/>
          </w:tcPr>
          <w:p w14:paraId="634ED628">
            <w:pPr>
              <w:widowControl/>
              <w:spacing w:line="260" w:lineRule="exact"/>
              <w:textAlignment w:val="center"/>
              <w:rPr>
                <w:rFonts w:ascii="宋体" w:hAnsi="宋体" w:cs="宋体"/>
                <w:bCs/>
                <w:kern w:val="0"/>
                <w:szCs w:val="21"/>
              </w:rPr>
            </w:pPr>
            <w:r>
              <w:rPr>
                <w:rFonts w:hint="eastAsia" w:ascii="宋体" w:hAnsi="宋体" w:cs="宋体"/>
                <w:color w:val="000000"/>
                <w:szCs w:val="21"/>
              </w:rPr>
              <w:t>中标人不按照合同履行义务，对于合同范围内争议，不按合同约定解决，采取捏造事实、伪造材料、恶意投诉（诉讼）等方式谋取不当利益且经交通运输主管部门查实的。</w:t>
            </w:r>
          </w:p>
        </w:tc>
        <w:tc>
          <w:tcPr>
            <w:tcW w:w="2983" w:type="dxa"/>
            <w:gridSpan w:val="3"/>
            <w:shd w:val="clear" w:color="auto" w:fill="FFFFFF"/>
            <w:vAlign w:val="center"/>
          </w:tcPr>
          <w:p w14:paraId="4CBD9437">
            <w:pPr>
              <w:spacing w:line="240" w:lineRule="exact"/>
              <w:rPr>
                <w:rFonts w:ascii="宋体" w:hAnsi="宋体" w:cs="宋体"/>
                <w:bCs/>
                <w:kern w:val="0"/>
                <w:szCs w:val="21"/>
              </w:rPr>
            </w:pPr>
            <w:r>
              <w:rPr>
                <w:rFonts w:hint="eastAsia" w:ascii="宋体" w:hAnsi="宋体" w:cs="宋体"/>
                <w:color w:val="000000"/>
                <w:szCs w:val="21"/>
              </w:rPr>
              <w:t>责令改正，取消其一年内参加江西省内交通行业的投标资格并予以公告，在交通执法部门做出裁判之日前，暂停其在江西省内交通行业的投标资格，该暂停时间在裁决后计算进限制投标的总时间。</w:t>
            </w:r>
          </w:p>
        </w:tc>
      </w:tr>
      <w:tr w14:paraId="1181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5" w:hRule="atLeast"/>
          <w:jc w:val="center"/>
        </w:trPr>
        <w:tc>
          <w:tcPr>
            <w:tcW w:w="539" w:type="dxa"/>
            <w:vMerge w:val="continue"/>
            <w:shd w:val="clear" w:color="auto" w:fill="FFFFFF"/>
            <w:vAlign w:val="center"/>
          </w:tcPr>
          <w:p w14:paraId="4CA50150">
            <w:pPr>
              <w:spacing w:line="240" w:lineRule="exact"/>
              <w:jc w:val="center"/>
              <w:rPr>
                <w:rFonts w:ascii="宋体" w:hAnsi="宋体" w:cs="宋体"/>
                <w:bCs/>
                <w:kern w:val="0"/>
                <w:szCs w:val="21"/>
              </w:rPr>
            </w:pPr>
          </w:p>
        </w:tc>
        <w:tc>
          <w:tcPr>
            <w:tcW w:w="989" w:type="dxa"/>
            <w:vMerge w:val="continue"/>
            <w:shd w:val="clear" w:color="auto" w:fill="FFFFFF"/>
            <w:vAlign w:val="center"/>
          </w:tcPr>
          <w:p w14:paraId="402284CB">
            <w:pPr>
              <w:spacing w:line="240" w:lineRule="exact"/>
              <w:ind w:firstLine="420" w:firstLineChars="200"/>
              <w:rPr>
                <w:rFonts w:ascii="宋体" w:hAnsi="宋体" w:cs="宋体"/>
                <w:bCs/>
                <w:kern w:val="0"/>
                <w:szCs w:val="21"/>
              </w:rPr>
            </w:pPr>
          </w:p>
        </w:tc>
        <w:tc>
          <w:tcPr>
            <w:tcW w:w="3586" w:type="dxa"/>
            <w:vMerge w:val="continue"/>
            <w:shd w:val="clear" w:color="auto" w:fill="FFFFFF"/>
            <w:vAlign w:val="center"/>
          </w:tcPr>
          <w:p w14:paraId="1767B9A2">
            <w:pPr>
              <w:spacing w:line="240" w:lineRule="exact"/>
              <w:ind w:firstLine="420" w:firstLineChars="200"/>
              <w:rPr>
                <w:rFonts w:ascii="宋体" w:hAnsi="宋体" w:cs="宋体"/>
                <w:bCs/>
                <w:kern w:val="0"/>
                <w:szCs w:val="21"/>
              </w:rPr>
            </w:pPr>
          </w:p>
        </w:tc>
        <w:tc>
          <w:tcPr>
            <w:tcW w:w="4181" w:type="dxa"/>
            <w:vMerge w:val="continue"/>
            <w:shd w:val="clear" w:color="auto" w:fill="FFFFFF"/>
            <w:vAlign w:val="center"/>
          </w:tcPr>
          <w:p w14:paraId="2C803044">
            <w:pPr>
              <w:spacing w:line="240" w:lineRule="exact"/>
              <w:ind w:firstLine="420" w:firstLineChars="200"/>
              <w:rPr>
                <w:rFonts w:ascii="宋体" w:hAnsi="宋体" w:cs="宋体"/>
                <w:bCs/>
                <w:kern w:val="0"/>
                <w:szCs w:val="21"/>
              </w:rPr>
            </w:pPr>
          </w:p>
        </w:tc>
        <w:tc>
          <w:tcPr>
            <w:tcW w:w="738" w:type="dxa"/>
            <w:shd w:val="clear" w:color="auto" w:fill="FFFFFF"/>
            <w:vAlign w:val="center"/>
          </w:tcPr>
          <w:p w14:paraId="7C98C70F">
            <w:pPr>
              <w:widowControl/>
              <w:spacing w:line="260" w:lineRule="exact"/>
              <w:jc w:val="center"/>
              <w:textAlignment w:val="center"/>
              <w:rPr>
                <w:rFonts w:ascii="宋体" w:hAnsi="宋体" w:cs="宋体"/>
                <w:bCs/>
                <w:kern w:val="0"/>
                <w:szCs w:val="21"/>
              </w:rPr>
            </w:pPr>
            <w:r>
              <w:rPr>
                <w:rFonts w:hint="eastAsia" w:ascii="宋体" w:hAnsi="宋体" w:cs="宋体"/>
                <w:color w:val="000000"/>
                <w:kern w:val="0"/>
                <w:szCs w:val="21"/>
              </w:rPr>
              <w:t>严重</w:t>
            </w:r>
          </w:p>
        </w:tc>
        <w:tc>
          <w:tcPr>
            <w:tcW w:w="3305" w:type="dxa"/>
            <w:shd w:val="clear" w:color="auto" w:fill="FFFFFF"/>
            <w:vAlign w:val="center"/>
          </w:tcPr>
          <w:p w14:paraId="5F9D238D">
            <w:pPr>
              <w:widowControl/>
              <w:spacing w:line="260" w:lineRule="exact"/>
              <w:textAlignment w:val="center"/>
              <w:rPr>
                <w:rFonts w:ascii="宋体" w:hAnsi="宋体" w:cs="宋体"/>
                <w:color w:val="000000"/>
                <w:kern w:val="0"/>
                <w:szCs w:val="21"/>
              </w:rPr>
            </w:pPr>
            <w:r>
              <w:rPr>
                <w:rFonts w:hint="eastAsia" w:ascii="宋体" w:hAnsi="宋体" w:cs="宋体"/>
                <w:color w:val="000000"/>
                <w:kern w:val="0"/>
                <w:szCs w:val="21"/>
              </w:rPr>
              <w:t>故意或者重大过失，不按照合同履行义务出现下列情形之一的：</w:t>
            </w:r>
          </w:p>
          <w:p w14:paraId="6819DC84">
            <w:pPr>
              <w:widowControl/>
              <w:spacing w:line="260" w:lineRule="exact"/>
              <w:textAlignment w:val="center"/>
              <w:rPr>
                <w:rFonts w:ascii="宋体" w:hAnsi="宋体" w:cs="宋体"/>
                <w:color w:val="000000"/>
                <w:kern w:val="0"/>
                <w:szCs w:val="21"/>
              </w:rPr>
            </w:pPr>
            <w:r>
              <w:rPr>
                <w:rFonts w:hint="eastAsia" w:ascii="宋体" w:hAnsi="宋体" w:cs="宋体"/>
                <w:color w:val="000000"/>
                <w:kern w:val="0"/>
                <w:szCs w:val="21"/>
              </w:rPr>
              <w:t>1.造成工程工期延误6个月以上的；</w:t>
            </w:r>
          </w:p>
          <w:p w14:paraId="0AFFFE3F">
            <w:pPr>
              <w:widowControl/>
              <w:spacing w:line="260" w:lineRule="exact"/>
              <w:textAlignment w:val="center"/>
              <w:rPr>
                <w:rFonts w:ascii="宋体" w:hAnsi="宋体" w:cs="宋体"/>
                <w:color w:val="000000"/>
                <w:kern w:val="0"/>
                <w:szCs w:val="21"/>
              </w:rPr>
            </w:pPr>
            <w:r>
              <w:rPr>
                <w:rFonts w:hint="eastAsia" w:ascii="宋体" w:hAnsi="宋体" w:cs="宋体"/>
                <w:color w:val="000000"/>
                <w:kern w:val="0"/>
                <w:szCs w:val="21"/>
              </w:rPr>
              <w:t>2.造成工程质量事故的；</w:t>
            </w:r>
          </w:p>
          <w:p w14:paraId="7E1FD934">
            <w:pPr>
              <w:widowControl/>
              <w:spacing w:line="260" w:lineRule="exact"/>
              <w:textAlignment w:val="center"/>
              <w:rPr>
                <w:rFonts w:ascii="宋体" w:hAnsi="宋体" w:cs="宋体"/>
                <w:color w:val="000000"/>
                <w:kern w:val="0"/>
                <w:szCs w:val="21"/>
              </w:rPr>
            </w:pPr>
            <w:r>
              <w:rPr>
                <w:rFonts w:hint="eastAsia" w:ascii="宋体" w:hAnsi="宋体" w:cs="宋体"/>
                <w:color w:val="000000"/>
                <w:kern w:val="0"/>
                <w:szCs w:val="21"/>
              </w:rPr>
              <w:t>3.被国家、省部级行政主管部门通报的；</w:t>
            </w:r>
          </w:p>
          <w:p w14:paraId="587D93E4">
            <w:pPr>
              <w:widowControl/>
              <w:spacing w:line="260" w:lineRule="exact"/>
              <w:textAlignment w:val="center"/>
              <w:rPr>
                <w:rFonts w:ascii="宋体" w:hAnsi="宋体" w:cs="宋体"/>
                <w:bCs/>
                <w:kern w:val="0"/>
                <w:szCs w:val="21"/>
              </w:rPr>
            </w:pPr>
            <w:r>
              <w:rPr>
                <w:rFonts w:hint="eastAsia" w:ascii="宋体" w:hAnsi="宋体" w:cs="宋体"/>
                <w:color w:val="000000"/>
                <w:kern w:val="0"/>
                <w:szCs w:val="21"/>
              </w:rPr>
              <w:t>4.其他情形，经项目主管部门所属政府确认情节较为严重以上。</w:t>
            </w:r>
          </w:p>
        </w:tc>
        <w:tc>
          <w:tcPr>
            <w:tcW w:w="2983" w:type="dxa"/>
            <w:gridSpan w:val="3"/>
            <w:shd w:val="clear" w:color="auto" w:fill="FFFFFF"/>
            <w:vAlign w:val="center"/>
          </w:tcPr>
          <w:p w14:paraId="6B0A486F">
            <w:pPr>
              <w:spacing w:line="240" w:lineRule="exact"/>
              <w:rPr>
                <w:rFonts w:ascii="宋体" w:hAnsi="宋体" w:cs="宋体"/>
                <w:bCs/>
                <w:kern w:val="0"/>
                <w:szCs w:val="21"/>
              </w:rPr>
            </w:pPr>
            <w:r>
              <w:rPr>
                <w:rFonts w:hint="eastAsia" w:ascii="宋体" w:hAnsi="宋体" w:cs="宋体"/>
                <w:color w:val="000000"/>
                <w:kern w:val="0"/>
                <w:szCs w:val="21"/>
              </w:rPr>
              <w:t>责令改正，取消其二年至五年内参加依法必须进行招标的项目的投标资格并予以公告，直至移送工商行政管理机关吊销营业执照</w:t>
            </w:r>
          </w:p>
        </w:tc>
      </w:tr>
    </w:tbl>
    <w:p w14:paraId="24676FDF">
      <w:pPr>
        <w:jc w:val="left"/>
      </w:pPr>
    </w:p>
    <w:sectPr>
      <w:footerReference r:id="rId3" w:type="default"/>
      <w:pgSz w:w="16838" w:h="11906" w:orient="landscape"/>
      <w:pgMar w:top="794" w:right="567" w:bottom="794" w:left="567" w:header="510" w:footer="283" w:gutter="0"/>
      <w:pgNumType w:fmt="decimal" w:start="367"/>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E31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28F3B2">
                          <w:pPr>
                            <w:pStyle w:val="7"/>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370</w:t>
                          </w:r>
                          <w:r>
                            <w:rPr>
                              <w:rFonts w:hint="eastAsia" w:ascii="宋体" w:hAnsi="宋体" w:cs="宋体"/>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A28F3B2">
                    <w:pPr>
                      <w:pStyle w:val="7"/>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370</w:t>
                    </w:r>
                    <w:r>
                      <w:rPr>
                        <w:rFonts w:hint="eastAsia" w:ascii="宋体" w:hAnsi="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0"/>
  <w:drawingGridVerticalSpacing w:val="1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ZTM1MzRhOTcwNGE1MzU2NmJmNjM2OGQyNTZmYTAifQ=="/>
  </w:docVars>
  <w:rsids>
    <w:rsidRoot w:val="00000000"/>
    <w:rsid w:val="08D15069"/>
    <w:rsid w:val="35412267"/>
    <w:rsid w:val="359F2C34"/>
    <w:rsid w:val="6DAF015F"/>
    <w:rsid w:val="7FDC2D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after="120"/>
    </w:pPr>
    <w:rPr>
      <w:rFonts w:hint="eastAsia" w:ascii="仿宋" w:hAnsi="仿宋" w:eastAsia="仿宋"/>
      <w:kern w:val="0"/>
      <w:sz w:val="20"/>
    </w:rPr>
  </w:style>
  <w:style w:type="paragraph" w:styleId="5">
    <w:name w:val="annotation text"/>
    <w:basedOn w:val="1"/>
    <w:link w:val="28"/>
    <w:semiHidden/>
    <w:unhideWhenUsed/>
    <w:qFormat/>
    <w:uiPriority w:val="99"/>
    <w:pPr>
      <w:jc w:val="left"/>
    </w:pPr>
  </w:style>
  <w:style w:type="paragraph" w:styleId="6">
    <w:name w:val="Balloon Text"/>
    <w:basedOn w:val="1"/>
    <w:link w:val="27"/>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宋体" w:hAnsi="宋体"/>
      <w:kern w:val="0"/>
      <w:sz w:val="24"/>
    </w:rPr>
  </w:style>
  <w:style w:type="paragraph" w:styleId="10">
    <w:name w:val="annotation subject"/>
    <w:basedOn w:val="5"/>
    <w:next w:val="5"/>
    <w:link w:val="29"/>
    <w:semiHidden/>
    <w:unhideWhenUsed/>
    <w:qFormat/>
    <w:uiPriority w:val="99"/>
    <w:rPr>
      <w:b/>
      <w:bCs/>
    </w:rPr>
  </w:style>
  <w:style w:type="character" w:styleId="13">
    <w:name w:val="Strong"/>
    <w:qFormat/>
    <w:uiPriority w:val="0"/>
    <w:rPr>
      <w:b/>
      <w:bCs/>
    </w:rPr>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paragraph" w:customStyle="1" w:styleId="16">
    <w:name w:val="zw"/>
    <w:basedOn w:val="1"/>
    <w:qFormat/>
    <w:uiPriority w:val="0"/>
    <w:pPr>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9">
    <w:name w:val="修订1"/>
    <w:semiHidden/>
    <w:qFormat/>
    <w:uiPriority w:val="99"/>
    <w:rPr>
      <w:rFonts w:ascii="Times New Roman" w:hAnsi="Times New Roman" w:eastAsia="宋体" w:cs="Times New Roman"/>
      <w:kern w:val="2"/>
      <w:sz w:val="21"/>
      <w:lang w:val="en-US" w:eastAsia="zh-CN" w:bidi="ar-SA"/>
    </w:rPr>
  </w:style>
  <w:style w:type="paragraph" w:customStyle="1" w:styleId="20">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22">
    <w:name w:val="页脚 Char"/>
    <w:basedOn w:val="12"/>
    <w:link w:val="7"/>
    <w:qFormat/>
    <w:uiPriority w:val="99"/>
    <w:rPr>
      <w:rFonts w:ascii="Times New Roman" w:hAnsi="Times New Roman" w:eastAsia="宋体" w:cs="Times New Roman"/>
      <w:sz w:val="18"/>
      <w:szCs w:val="18"/>
    </w:rPr>
  </w:style>
  <w:style w:type="character" w:customStyle="1" w:styleId="23">
    <w:name w:val="页眉 Char"/>
    <w:basedOn w:val="12"/>
    <w:link w:val="8"/>
    <w:qFormat/>
    <w:uiPriority w:val="99"/>
    <w:rPr>
      <w:rFonts w:ascii="Times New Roman" w:hAnsi="Times New Roman" w:eastAsia="宋体" w:cs="Times New Roman"/>
      <w:sz w:val="18"/>
      <w:szCs w:val="18"/>
    </w:rPr>
  </w:style>
  <w:style w:type="character" w:customStyle="1" w:styleId="24">
    <w:name w:val="f142"/>
    <w:basedOn w:val="12"/>
    <w:qFormat/>
    <w:uiPriority w:val="0"/>
    <w:rPr>
      <w:sz w:val="21"/>
      <w:szCs w:val="21"/>
    </w:rPr>
  </w:style>
  <w:style w:type="character" w:customStyle="1" w:styleId="25">
    <w:name w:val="font01"/>
    <w:basedOn w:val="12"/>
    <w:qFormat/>
    <w:uiPriority w:val="0"/>
    <w:rPr>
      <w:rFonts w:ascii="Arial" w:hAnsi="Arial" w:cs="Arial"/>
      <w:color w:val="000000"/>
      <w:sz w:val="20"/>
      <w:szCs w:val="20"/>
      <w:u w:val="none"/>
    </w:rPr>
  </w:style>
  <w:style w:type="character" w:customStyle="1" w:styleId="26">
    <w:name w:val="font11"/>
    <w:basedOn w:val="12"/>
    <w:qFormat/>
    <w:uiPriority w:val="0"/>
    <w:rPr>
      <w:rFonts w:hint="eastAsia" w:ascii="仿宋_GB2312" w:eastAsia="仿宋_GB2312" w:cs="仿宋_GB2312"/>
      <w:color w:val="000000"/>
      <w:sz w:val="20"/>
      <w:szCs w:val="20"/>
      <w:u w:val="none"/>
    </w:rPr>
  </w:style>
  <w:style w:type="character" w:customStyle="1" w:styleId="27">
    <w:name w:val="批注框文本 Char"/>
    <w:basedOn w:val="12"/>
    <w:link w:val="6"/>
    <w:semiHidden/>
    <w:qFormat/>
    <w:uiPriority w:val="99"/>
    <w:rPr>
      <w:kern w:val="2"/>
      <w:sz w:val="18"/>
      <w:szCs w:val="18"/>
    </w:rPr>
  </w:style>
  <w:style w:type="character" w:customStyle="1" w:styleId="28">
    <w:name w:val="批注文字 Char"/>
    <w:basedOn w:val="12"/>
    <w:link w:val="5"/>
    <w:semiHidden/>
    <w:qFormat/>
    <w:uiPriority w:val="99"/>
    <w:rPr>
      <w:rFonts w:ascii="Times New Roman" w:hAnsi="Times New Roman" w:eastAsia="宋体" w:cs="Times New Roman"/>
      <w:kern w:val="2"/>
      <w:sz w:val="21"/>
    </w:rPr>
  </w:style>
  <w:style w:type="character" w:customStyle="1" w:styleId="29">
    <w:name w:val="批注主题 Char"/>
    <w:basedOn w:val="28"/>
    <w:link w:val="10"/>
    <w:semiHidden/>
    <w:qFormat/>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20193</Words>
  <Characters>20432</Characters>
  <Lines>150</Lines>
  <Paragraphs>42</Paragraphs>
  <TotalTime>13</TotalTime>
  <ScaleCrop>false</ScaleCrop>
  <LinksUpToDate>false</LinksUpToDate>
  <CharactersWithSpaces>20556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2024-01-05T07:39:00Z</dcterms:created>
  <dc:creator>HP124</dc:creator>
  <cp:lastModifiedBy>夕夕都成玦</cp:lastModifiedBy>
  <cp:lastPrinted>2024-01-26T03:22:00Z</cp:lastPrinted>
  <dcterms:modified xsi:type="dcterms:W3CDTF">2025-12-10T03:15:16Z</dcterms:modified>
  <dc:title>第十章交通建设工程安全生产监督管理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32C1B6FB44B3438BB7796591A69073AC_13</vt:lpwstr>
  </property>
  <property fmtid="{D5CDD505-2E9C-101B-9397-08002B2CF9AE}" pid="4" name="KSOTemplateDocerSaveRecord">
    <vt:lpwstr>eyJoZGlkIjoiZjc5MmIwNjBkMjc1ODhiNzlkMzAwNjVkNzBhYjE1OTUiLCJ1c2VySWQiOiIxMTMwMTcyODczIn0=</vt:lpwstr>
  </property>
</Properties>
</file>