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rPr>
          <w:rFonts w:hint="eastAsia" w:ascii="黑体" w:hAnsi="黑体" w:eastAsia="黑体" w:cs="黑体"/>
          <w:i w:val="0"/>
          <w:iCs w:val="0"/>
          <w:caps w:val="0"/>
          <w:color w:val="000000"/>
          <w:spacing w:val="0"/>
          <w:sz w:val="44"/>
          <w:szCs w:val="44"/>
        </w:rPr>
      </w:pPr>
      <w:bookmarkStart w:id="0" w:name="_GoBack"/>
      <w:r>
        <w:rPr>
          <w:rFonts w:hint="eastAsia" w:ascii="黑体" w:hAnsi="黑体" w:eastAsia="黑体" w:cs="黑体"/>
          <w:i w:val="0"/>
          <w:iCs w:val="0"/>
          <w:caps w:val="0"/>
          <w:color w:val="000000"/>
          <w:spacing w:val="0"/>
          <w:sz w:val="44"/>
          <w:szCs w:val="44"/>
        </w:rPr>
        <w:t>庐山市财政局政府信息公开指南</w:t>
      </w:r>
    </w:p>
    <w:bookmarkEnd w:id="0"/>
    <w:p>
      <w:pPr>
        <w:pStyle w:val="2"/>
        <w:keepNext w:val="0"/>
        <w:keepLines w:val="0"/>
        <w:widowControl/>
        <w:suppressLineNumbers w:val="0"/>
        <w:spacing w:before="0" w:beforeAutospacing="0"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一、主动公开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●公开范围</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（一）公开范围</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1、政务资讯类信息公开。包括工作动态、重要会议及重要通知通告等信息。</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2、决策类信息公开。包括政策文件、规范性文件、调查征集及反馈等信息。</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4、执行和结果类信息公开。包括工作报告、建议提案办理等信息。</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6、重点领域信息公开。包括国资政策、国资运行、公共监管等信息。</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7、其他需要公开的信息。除上述6类信息以外的本机关认为需要公开的其他信息。</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●公开形式</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1.庐山市人民政府门户网站 (www.lushan.gov.cn);</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2.为方便公众进行线下查阅，开设了庐山市政务公开专区:</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4.本机关还将采用新闻发布会、便民资料等辅助性的公开方式。</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●公开时限</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●编排体系</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政府信息公开目录使用电子文档方式编排、记录和存储各类信息,主要含以下要素:</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信息类别</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文件编号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公开方式</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生成日期</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公开时限</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公开范围</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信息索取号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1、信息类别:政府信息所属目录;</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2、文件编号:政府信息在政府信息公开平台自动生成的文件编号;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3、公开方式:是指该信息公开的方式是主动公开还是依申请公开;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4、生成日期:即该信息在政府信息公开平台公开时的生成时间;</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5、公开时限:是指该信息公开时限是长年公开还是限时公开;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6、公开范围:指该信息是面对全社会还是面向申请人公开;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7、信息索取号:按索取号编码规则生成，每条政府信息的标识符。</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二、依申请公开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●受理机构</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本机关信息公开申请受理机构：庐山市财政局（江西省九江市庐山市白鹿大道272号）；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办公时间：法定工作日9:00—12:00，13:30—18:00（夏令时）9:00—12:00，13:30—17:30(冬令时)法定节假日除外；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联系电话：0792—2666805；</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传真号码：0792—2666805；</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邮政编码：332800；</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电子邮箱：1435682138@qq.com（电子邮箱只用于提供咨询服务，不接受信息公开申请）；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互联网在线申请：点击网页中菜单“依申请公开”，填写网上申请表格。</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●受理程序</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(一)提出申请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1.申请人的姓名或者名称、身份证明、联系方式;</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2.申请公开的政府信息的名称、文号或者便于行政机关查询的其他特征性描述;</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3.申请公开的政府信息的形式要求，包括获取信息的方式、途径。</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(二)申请方式</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(网址:s://www.lushan.gov.cn/zwgk_194695/zfxxgkzl_194696/ysqgk/)提出申请。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本机关不受理通过电话、电子邮件方式提出的申请。</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(三)申请处理</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4、对政府信息公开申请，本机关将根据下列情况分别作出答复：</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（1）所申请公开信息已经主动公开的，告知申请人获取该政府信息的方式、途径；</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（3）本机关依据相关规定不予公开的，告知申请人不予公开并说明理由；</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（4）经检索没有所申请公开信息的，告知申请人该政府信息不存在；</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(四)申请收费</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(五)答复救济</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drawing>
          <wp:anchor distT="0" distB="0" distL="114300" distR="114300" simplePos="0" relativeHeight="251659264" behindDoc="0" locked="0" layoutInCell="1" allowOverlap="1">
            <wp:simplePos x="0" y="0"/>
            <wp:positionH relativeFrom="column">
              <wp:posOffset>-295275</wp:posOffset>
            </wp:positionH>
            <wp:positionV relativeFrom="paragraph">
              <wp:posOffset>-7188200</wp:posOffset>
            </wp:positionV>
            <wp:extent cx="5829935" cy="8124825"/>
            <wp:effectExtent l="0" t="0" r="18415" b="9525"/>
            <wp:wrapSquare wrapText="bothSides"/>
            <wp:docPr id="1" name="图片 1" descr="5532817d1179e1afa91e01256f9b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32817d1179e1afa91e01256f9bc79.png"/>
                    <pic:cNvPicPr>
                      <a:picLocks noChangeAspect="1"/>
                    </pic:cNvPicPr>
                  </pic:nvPicPr>
                  <pic:blipFill>
                    <a:blip r:embed="rId4"/>
                    <a:stretch>
                      <a:fillRect/>
                    </a:stretch>
                  </pic:blipFill>
                  <pic:spPr>
                    <a:xfrm>
                      <a:off x="0" y="0"/>
                      <a:ext cx="5829935" cy="8124825"/>
                    </a:xfrm>
                    <a:prstGeom prst="rect">
                      <a:avLst/>
                    </a:prstGeom>
                    <a:noFill/>
                    <a:ln w="9525">
                      <a:noFill/>
                    </a:ln>
                  </pic:spPr>
                </pic:pic>
              </a:graphicData>
            </a:graphic>
          </wp:anchor>
        </w:drawing>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三、不予公开的有关信息</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3.机关的内部事务信息，包括人事管理、后勤管理、内部工作流程等方面的信息，不予公开。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5.法律、法规、规章规定上述信息应当公开的，从其规定。</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四、监督方式及程序</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公民、法人或其他组织可以向庐山市财政局办公室（电话：0792-2666805；邮政编码：332800；地址：江西省九江市庐山市南康镇白鹿大道272号）提出政府信息公开举报，请通过邮寄方式寄送举报内容及相关证据材料，并在信封左下角注明“政府信息公开”的字样。</w:t>
      </w:r>
    </w:p>
    <w:p>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embedRegular r:id="rId1" w:fontKey="{B21F1940-058E-4713-863E-BF5B9BABAA0C}"/>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2" w:fontKey="{DF259C33-6AAD-4232-BD47-2D2DED1DF2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WNkYWUzMjYxZWI5MjAzNTMzNzI5M2I2OTE1MWYifQ=="/>
  </w:docVars>
  <w:rsids>
    <w:rsidRoot w:val="00000000"/>
    <w:rsid w:val="3AEC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2023-11-22T03:43:03Z</dcterms:created>
  <dc:creator>Administrator</dc:creator>
  <cp:lastModifiedBy>弱碱性</cp:lastModifiedBy>
  <dcterms:modified xsi:type="dcterms:W3CDTF">2023-11-22T03:46:10Z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2F2B8EAD5430429A91BFEC3EAC7324CD_13</vt:lpwstr>
  </property>
</Properties>
</file>