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before="0" w:beforeAutospacing="0" w:after="0" w:afterAutospacing="0" w:line="480" w:lineRule="atLeast"/>
        <w:jc w:val="center"/>
        <w:rPr>
          <w:rStyle w:val="8"/>
          <w:rFonts w:ascii="黑体" w:hAnsi="黑体" w:eastAsia="黑体"/>
          <w:color w:val="434343"/>
          <w:sz w:val="44"/>
          <w:szCs w:val="44"/>
        </w:rPr>
      </w:pPr>
      <w:r>
        <w:rPr>
          <w:rStyle w:val="8"/>
          <w:rFonts w:hint="eastAsia" w:ascii="黑体" w:hAnsi="黑体" w:eastAsia="黑体"/>
          <w:color w:val="434343"/>
          <w:sz w:val="44"/>
          <w:szCs w:val="44"/>
        </w:rPr>
        <w:t>庐山市市场监督管理局牯岭分局2024年单位预算</w:t>
      </w:r>
    </w:p>
    <w:p>
      <w:pPr>
        <w:pStyle w:val="14"/>
        <w:spacing w:line="600" w:lineRule="atLeast"/>
        <w:jc w:val="center"/>
        <w:rPr>
          <w:rFonts w:ascii="黑体" w:hAnsi="黑体" w:eastAsia="黑体"/>
          <w:color w:val="000000"/>
          <w:sz w:val="32"/>
          <w:szCs w:val="32"/>
        </w:rPr>
      </w:pPr>
    </w:p>
    <w:p>
      <w:pPr>
        <w:pStyle w:val="5"/>
        <w:spacing w:before="0" w:beforeAutospacing="0" w:after="0" w:afterAutospacing="0" w:line="480" w:lineRule="atLeast"/>
        <w:jc w:val="center"/>
        <w:rPr>
          <w:rFonts w:ascii="黑体" w:hAnsi="黑体" w:eastAsia="黑体"/>
          <w:color w:val="434343"/>
          <w:sz w:val="32"/>
          <w:szCs w:val="32"/>
        </w:rPr>
      </w:pPr>
      <w:r>
        <w:rPr>
          <w:rFonts w:hint="eastAsia" w:ascii="黑体" w:hAnsi="黑体" w:eastAsia="黑体"/>
          <w:color w:val="434343"/>
          <w:sz w:val="32"/>
          <w:szCs w:val="32"/>
        </w:rPr>
        <w:t>目    录</w:t>
      </w:r>
    </w:p>
    <w:p>
      <w:pPr>
        <w:pStyle w:val="14"/>
        <w:rPr>
          <w:rFonts w:ascii="宋体" w:hAnsi="宋体"/>
          <w:color w:val="000000"/>
        </w:rPr>
      </w:pPr>
    </w:p>
    <w:p>
      <w:pPr>
        <w:pStyle w:val="5"/>
        <w:spacing w:before="0" w:beforeAutospacing="0" w:after="0" w:afterAutospacing="0" w:line="480" w:lineRule="atLeast"/>
        <w:ind w:firstLine="645"/>
        <w:rPr>
          <w:rStyle w:val="8"/>
          <w:rFonts w:ascii="仿宋" w:hAnsi="仿宋" w:eastAsia="仿宋"/>
          <w:b w:val="0"/>
          <w:bCs w:val="0"/>
          <w:color w:val="434343"/>
          <w:sz w:val="32"/>
          <w:szCs w:val="32"/>
        </w:rPr>
      </w:pPr>
      <w:r>
        <w:rPr>
          <w:rStyle w:val="8"/>
          <w:rFonts w:hint="eastAsia" w:ascii="仿宋" w:hAnsi="仿宋" w:eastAsia="仿宋"/>
          <w:color w:val="434343"/>
          <w:sz w:val="32"/>
          <w:szCs w:val="32"/>
        </w:rPr>
        <w:t>第一部分  庐山市市场监督管理局牯岭分局概况</w:t>
      </w:r>
      <w:r>
        <w:rPr>
          <w:rStyle w:val="8"/>
          <w:rFonts w:ascii="仿宋" w:hAnsi="仿宋" w:eastAsia="仿宋"/>
          <w:b w:val="0"/>
          <w:bCs w:val="0"/>
          <w:color w:val="434343"/>
          <w:sz w:val="32"/>
          <w:szCs w:val="32"/>
        </w:rPr>
        <w:tab/>
      </w:r>
    </w:p>
    <w:p>
      <w:pPr>
        <w:pStyle w:val="5"/>
        <w:spacing w:before="0" w:beforeAutospacing="0" w:after="0" w:afterAutospacing="0" w:line="480" w:lineRule="atLeast"/>
        <w:ind w:firstLine="1280" w:firstLineChars="400"/>
        <w:rPr>
          <w:rFonts w:hint="eastAsia" w:ascii="仿宋" w:hAnsi="仿宋" w:eastAsia="仿宋"/>
          <w:sz w:val="32"/>
          <w:szCs w:val="32"/>
        </w:rPr>
      </w:pPr>
      <w:r>
        <w:rPr>
          <w:rFonts w:hint="eastAsia" w:ascii="仿宋" w:hAnsi="仿宋" w:eastAsia="仿宋"/>
          <w:color w:val="434343"/>
          <w:sz w:val="32"/>
          <w:szCs w:val="32"/>
        </w:rPr>
        <w:t xml:space="preserve"> </w:t>
      </w:r>
      <w:r>
        <w:rPr>
          <w:rFonts w:hint="eastAsia" w:ascii="仿宋" w:hAnsi="仿宋" w:eastAsia="仿宋"/>
          <w:sz w:val="32"/>
          <w:szCs w:val="32"/>
        </w:rPr>
        <w:t>一、单位主要职责</w:t>
      </w:r>
    </w:p>
    <w:p>
      <w:pPr>
        <w:pStyle w:val="5"/>
        <w:spacing w:before="0" w:beforeAutospacing="0" w:after="0" w:afterAutospacing="0" w:line="480" w:lineRule="atLeast"/>
        <w:ind w:left="0" w:leftChars="0" w:firstLine="1478" w:firstLineChars="462"/>
        <w:rPr>
          <w:rFonts w:hint="eastAsia" w:ascii="仿宋" w:hAnsi="仿宋" w:eastAsia="仿宋"/>
          <w:sz w:val="32"/>
          <w:szCs w:val="32"/>
        </w:rPr>
      </w:pPr>
      <w:r>
        <w:rPr>
          <w:rFonts w:hint="eastAsia" w:ascii="仿宋" w:hAnsi="仿宋" w:eastAsia="仿宋"/>
          <w:sz w:val="32"/>
          <w:szCs w:val="32"/>
        </w:rPr>
        <w:t>二、机构设置及人员情况</w:t>
      </w:r>
    </w:p>
    <w:p>
      <w:pPr>
        <w:pStyle w:val="5"/>
        <w:spacing w:before="0" w:beforeAutospacing="0" w:after="0" w:afterAutospacing="0" w:line="480" w:lineRule="atLeast"/>
        <w:ind w:firstLine="645"/>
        <w:rPr>
          <w:rStyle w:val="8"/>
          <w:rFonts w:ascii="仿宋" w:hAnsi="仿宋" w:eastAsia="仿宋"/>
          <w:color w:val="434343"/>
          <w:sz w:val="32"/>
          <w:szCs w:val="32"/>
        </w:rPr>
      </w:pPr>
      <w:r>
        <w:rPr>
          <w:rStyle w:val="8"/>
          <w:rFonts w:hint="eastAsia" w:ascii="仿宋" w:hAnsi="仿宋" w:eastAsia="仿宋"/>
          <w:color w:val="434343"/>
          <w:sz w:val="32"/>
          <w:szCs w:val="32"/>
        </w:rPr>
        <w:t>第二部分  庐山市市场监督管理局牯岭分局2024年单位预算表</w:t>
      </w:r>
    </w:p>
    <w:p>
      <w:pPr>
        <w:pStyle w:val="5"/>
        <w:spacing w:before="0" w:beforeAutospacing="0" w:after="0" w:afterAutospacing="0" w:line="480" w:lineRule="atLeast"/>
        <w:ind w:firstLine="1302" w:firstLineChars="407"/>
        <w:rPr>
          <w:rFonts w:hint="eastAsia" w:ascii="仿宋" w:hAnsi="仿宋" w:eastAsia="仿宋"/>
          <w:sz w:val="32"/>
          <w:szCs w:val="32"/>
        </w:rPr>
      </w:pPr>
      <w:r>
        <w:rPr>
          <w:rFonts w:hint="eastAsia" w:ascii="仿宋" w:hAnsi="仿宋" w:eastAsia="仿宋"/>
          <w:sz w:val="32"/>
          <w:szCs w:val="32"/>
        </w:rPr>
        <w:t>一、《收支预算总表》</w:t>
      </w:r>
    </w:p>
    <w:p>
      <w:pPr>
        <w:pStyle w:val="5"/>
        <w:spacing w:before="0" w:beforeAutospacing="0" w:after="0" w:afterAutospacing="0" w:line="480" w:lineRule="atLeast"/>
        <w:ind w:firstLine="1302" w:firstLineChars="407"/>
        <w:rPr>
          <w:rFonts w:hint="eastAsia" w:ascii="仿宋" w:hAnsi="仿宋" w:eastAsia="仿宋"/>
          <w:sz w:val="32"/>
          <w:szCs w:val="32"/>
        </w:rPr>
      </w:pPr>
      <w:r>
        <w:rPr>
          <w:rFonts w:hint="eastAsia" w:ascii="仿宋" w:hAnsi="仿宋" w:eastAsia="仿宋"/>
          <w:sz w:val="32"/>
          <w:szCs w:val="32"/>
        </w:rPr>
        <w:t>二、《单位收入总表》</w:t>
      </w:r>
    </w:p>
    <w:p>
      <w:pPr>
        <w:pStyle w:val="5"/>
        <w:spacing w:before="0" w:beforeAutospacing="0" w:after="0" w:afterAutospacing="0" w:line="480" w:lineRule="atLeast"/>
        <w:ind w:firstLine="1302" w:firstLineChars="407"/>
        <w:rPr>
          <w:rFonts w:hint="eastAsia" w:ascii="仿宋" w:hAnsi="仿宋" w:eastAsia="仿宋"/>
          <w:sz w:val="32"/>
          <w:szCs w:val="32"/>
        </w:rPr>
      </w:pPr>
      <w:r>
        <w:rPr>
          <w:rFonts w:hint="eastAsia" w:ascii="仿宋" w:hAnsi="仿宋" w:eastAsia="仿宋"/>
          <w:sz w:val="32"/>
          <w:szCs w:val="32"/>
        </w:rPr>
        <w:t>三、《单位支出总表》</w:t>
      </w:r>
    </w:p>
    <w:p>
      <w:pPr>
        <w:pStyle w:val="5"/>
        <w:spacing w:before="0" w:beforeAutospacing="0" w:after="0" w:afterAutospacing="0" w:line="480" w:lineRule="atLeast"/>
        <w:ind w:firstLine="1302" w:firstLineChars="407"/>
        <w:rPr>
          <w:rFonts w:hint="eastAsia" w:ascii="仿宋" w:hAnsi="仿宋" w:eastAsia="仿宋"/>
          <w:sz w:val="32"/>
          <w:szCs w:val="32"/>
        </w:rPr>
      </w:pPr>
      <w:r>
        <w:rPr>
          <w:rFonts w:hint="eastAsia" w:ascii="仿宋" w:hAnsi="仿宋" w:eastAsia="仿宋"/>
          <w:sz w:val="32"/>
          <w:szCs w:val="32"/>
        </w:rPr>
        <w:t>四、《财政拨款收支总表》</w:t>
      </w:r>
    </w:p>
    <w:p>
      <w:pPr>
        <w:pStyle w:val="5"/>
        <w:spacing w:before="0" w:beforeAutospacing="0" w:after="0" w:afterAutospacing="0" w:line="480" w:lineRule="atLeast"/>
        <w:ind w:firstLine="1302" w:firstLineChars="407"/>
        <w:rPr>
          <w:rFonts w:hint="eastAsia" w:ascii="仿宋" w:hAnsi="仿宋" w:eastAsia="仿宋"/>
          <w:sz w:val="32"/>
          <w:szCs w:val="32"/>
        </w:rPr>
      </w:pPr>
      <w:r>
        <w:rPr>
          <w:rFonts w:hint="eastAsia" w:ascii="仿宋" w:hAnsi="仿宋" w:eastAsia="仿宋"/>
          <w:sz w:val="32"/>
          <w:szCs w:val="32"/>
        </w:rPr>
        <w:t>五、《一般公共预算支出表》</w:t>
      </w:r>
    </w:p>
    <w:p>
      <w:pPr>
        <w:pStyle w:val="5"/>
        <w:spacing w:before="0" w:beforeAutospacing="0" w:after="0" w:afterAutospacing="0" w:line="480" w:lineRule="atLeast"/>
        <w:ind w:firstLine="1302" w:firstLineChars="407"/>
        <w:rPr>
          <w:rFonts w:hint="eastAsia" w:ascii="仿宋" w:hAnsi="仿宋" w:eastAsia="仿宋"/>
          <w:sz w:val="32"/>
          <w:szCs w:val="32"/>
        </w:rPr>
      </w:pPr>
      <w:r>
        <w:rPr>
          <w:rFonts w:hint="eastAsia" w:ascii="仿宋" w:hAnsi="仿宋" w:eastAsia="仿宋"/>
          <w:sz w:val="32"/>
          <w:szCs w:val="32"/>
        </w:rPr>
        <w:t>六、《一般公共预算基本支出表》</w:t>
      </w:r>
    </w:p>
    <w:p>
      <w:pPr>
        <w:pStyle w:val="5"/>
        <w:spacing w:before="0" w:beforeAutospacing="0" w:after="0" w:afterAutospacing="0" w:line="480" w:lineRule="atLeast"/>
        <w:ind w:firstLine="1302" w:firstLineChars="407"/>
        <w:rPr>
          <w:rFonts w:hint="eastAsia" w:ascii="仿宋" w:hAnsi="仿宋" w:eastAsia="仿宋"/>
          <w:sz w:val="32"/>
          <w:szCs w:val="32"/>
        </w:rPr>
      </w:pPr>
      <w:r>
        <w:rPr>
          <w:rFonts w:hint="eastAsia" w:ascii="仿宋" w:hAnsi="仿宋" w:eastAsia="仿宋"/>
          <w:sz w:val="32"/>
          <w:szCs w:val="32"/>
        </w:rPr>
        <w:t>七、《财政拨款“三公”经费支出表》</w:t>
      </w:r>
    </w:p>
    <w:p>
      <w:pPr>
        <w:pStyle w:val="5"/>
        <w:spacing w:before="0" w:beforeAutospacing="0" w:after="0" w:afterAutospacing="0" w:line="480" w:lineRule="atLeast"/>
        <w:ind w:firstLine="1302" w:firstLineChars="407"/>
        <w:rPr>
          <w:rFonts w:hint="eastAsia" w:ascii="仿宋" w:hAnsi="仿宋" w:eastAsia="仿宋"/>
          <w:sz w:val="32"/>
          <w:szCs w:val="32"/>
        </w:rPr>
      </w:pPr>
      <w:r>
        <w:rPr>
          <w:rFonts w:hint="eastAsia" w:ascii="仿宋" w:hAnsi="仿宋" w:eastAsia="仿宋"/>
          <w:sz w:val="32"/>
          <w:szCs w:val="32"/>
        </w:rPr>
        <w:t>八、《政府性基金预算支出表》</w:t>
      </w:r>
    </w:p>
    <w:p>
      <w:pPr>
        <w:pStyle w:val="5"/>
        <w:spacing w:before="0" w:beforeAutospacing="0" w:after="0" w:afterAutospacing="0" w:line="480" w:lineRule="atLeast"/>
        <w:ind w:firstLine="1302" w:firstLineChars="407"/>
        <w:rPr>
          <w:rFonts w:hint="eastAsia" w:ascii="仿宋" w:hAnsi="仿宋" w:eastAsia="仿宋"/>
          <w:sz w:val="32"/>
          <w:szCs w:val="32"/>
        </w:rPr>
      </w:pPr>
      <w:r>
        <w:rPr>
          <w:rFonts w:hint="eastAsia" w:ascii="仿宋" w:hAnsi="仿宋" w:eastAsia="仿宋"/>
          <w:sz w:val="32"/>
          <w:szCs w:val="32"/>
        </w:rPr>
        <w:t>九、《国有资本经营预算支出表》</w:t>
      </w:r>
      <w:r>
        <w:rPr>
          <w:rFonts w:hint="eastAsia" w:ascii="仿宋" w:hAnsi="仿宋" w:eastAsia="仿宋"/>
          <w:sz w:val="32"/>
          <w:szCs w:val="32"/>
        </w:rPr>
        <w:tab/>
      </w:r>
    </w:p>
    <w:p>
      <w:pPr>
        <w:pStyle w:val="5"/>
        <w:spacing w:before="0" w:beforeAutospacing="0" w:after="0" w:afterAutospacing="0" w:line="480" w:lineRule="atLeast"/>
        <w:ind w:firstLine="1302" w:firstLineChars="407"/>
        <w:rPr>
          <w:rFonts w:hint="eastAsia" w:ascii="仿宋" w:hAnsi="仿宋" w:eastAsia="仿宋"/>
          <w:sz w:val="32"/>
          <w:szCs w:val="32"/>
        </w:rPr>
      </w:pPr>
      <w:r>
        <w:rPr>
          <w:rFonts w:hint="eastAsia" w:ascii="仿宋" w:hAnsi="仿宋" w:eastAsia="仿宋"/>
          <w:sz w:val="32"/>
          <w:szCs w:val="32"/>
        </w:rPr>
        <w:t>十、《项目绩效目标表》</w:t>
      </w:r>
    </w:p>
    <w:p>
      <w:pPr>
        <w:pStyle w:val="5"/>
        <w:spacing w:before="0" w:beforeAutospacing="0" w:after="0" w:afterAutospacing="0" w:line="480" w:lineRule="atLeast"/>
        <w:ind w:firstLine="645"/>
        <w:rPr>
          <w:rFonts w:hint="eastAsia" w:ascii="仿宋" w:hAnsi="仿宋" w:eastAsia="仿宋"/>
          <w:b/>
          <w:bCs/>
          <w:color w:val="434343"/>
          <w:sz w:val="32"/>
          <w:szCs w:val="32"/>
        </w:rPr>
      </w:pPr>
      <w:r>
        <w:rPr>
          <w:rStyle w:val="8"/>
          <w:rFonts w:hint="eastAsia" w:ascii="仿宋" w:hAnsi="仿宋" w:eastAsia="仿宋"/>
          <w:color w:val="434343"/>
          <w:sz w:val="32"/>
          <w:szCs w:val="32"/>
        </w:rPr>
        <w:t>第三部分 庐山市市场监督管理局牯岭分局2024年单位预算情况说明</w:t>
      </w:r>
    </w:p>
    <w:p>
      <w:pPr>
        <w:pStyle w:val="5"/>
        <w:spacing w:before="0" w:beforeAutospacing="0" w:after="0" w:afterAutospacing="0" w:line="480" w:lineRule="atLeast"/>
        <w:ind w:firstLine="1280" w:firstLineChars="400"/>
        <w:rPr>
          <w:rFonts w:hint="eastAsia" w:ascii="仿宋" w:hAnsi="仿宋" w:eastAsia="仿宋"/>
          <w:sz w:val="32"/>
          <w:szCs w:val="32"/>
        </w:rPr>
      </w:pPr>
      <w:r>
        <w:rPr>
          <w:rFonts w:hint="eastAsia" w:ascii="仿宋" w:hAnsi="仿宋" w:eastAsia="仿宋"/>
          <w:sz w:val="32"/>
          <w:szCs w:val="32"/>
        </w:rPr>
        <w:t>一、2024年单位预算收支情况说明</w:t>
      </w:r>
    </w:p>
    <w:p>
      <w:pPr>
        <w:pStyle w:val="5"/>
        <w:spacing w:before="0" w:beforeAutospacing="0" w:after="0" w:afterAutospacing="0" w:line="480" w:lineRule="atLeast"/>
        <w:ind w:firstLine="1280" w:firstLineChars="400"/>
        <w:rPr>
          <w:rFonts w:hint="eastAsia" w:ascii="仿宋" w:hAnsi="仿宋" w:eastAsia="仿宋"/>
          <w:sz w:val="32"/>
          <w:szCs w:val="32"/>
        </w:rPr>
      </w:pPr>
      <w:bookmarkStart w:id="0" w:name="_GoBack"/>
      <w:bookmarkEnd w:id="0"/>
      <w:r>
        <w:rPr>
          <w:rFonts w:hint="eastAsia" w:ascii="仿宋" w:hAnsi="仿宋" w:eastAsia="仿宋"/>
          <w:sz w:val="32"/>
          <w:szCs w:val="32"/>
        </w:rPr>
        <w:t>二、2024年“三公”经费预算情况说明</w:t>
      </w:r>
    </w:p>
    <w:p>
      <w:pPr>
        <w:pStyle w:val="5"/>
        <w:spacing w:before="0" w:beforeAutospacing="0" w:after="0" w:afterAutospacing="0" w:line="480" w:lineRule="atLeast"/>
        <w:ind w:firstLine="645"/>
        <w:rPr>
          <w:rStyle w:val="8"/>
          <w:rFonts w:ascii="仿宋" w:hAnsi="仿宋" w:eastAsia="仿宋"/>
          <w:color w:val="434343"/>
          <w:sz w:val="32"/>
          <w:szCs w:val="32"/>
        </w:rPr>
      </w:pPr>
      <w:r>
        <w:rPr>
          <w:rStyle w:val="8"/>
          <w:rFonts w:hint="eastAsia" w:ascii="仿宋" w:hAnsi="仿宋" w:eastAsia="仿宋"/>
          <w:color w:val="434343"/>
          <w:sz w:val="32"/>
          <w:szCs w:val="32"/>
        </w:rPr>
        <w:t>第四部分  名词解释</w:t>
      </w:r>
    </w:p>
    <w:p>
      <w:pPr>
        <w:pStyle w:val="5"/>
        <w:spacing w:before="0" w:beforeAutospacing="0" w:after="0" w:afterAutospacing="0" w:line="480" w:lineRule="atLeast"/>
        <w:ind w:firstLine="645"/>
        <w:rPr>
          <w:rStyle w:val="8"/>
          <w:b w:val="0"/>
          <w:color w:val="434343"/>
        </w:rPr>
      </w:pPr>
    </w:p>
    <w:p>
      <w:pPr>
        <w:widowControl/>
        <w:spacing w:line="580" w:lineRule="exact"/>
        <w:jc w:val="center"/>
        <w:rPr>
          <w:rFonts w:ascii="仿宋_GB2312" w:eastAsia="仿宋_GB2312"/>
          <w:b/>
          <w:sz w:val="32"/>
          <w:szCs w:val="30"/>
        </w:rPr>
      </w:pPr>
    </w:p>
    <w:p>
      <w:pPr>
        <w:pStyle w:val="5"/>
        <w:spacing w:before="0" w:beforeAutospacing="0" w:after="0" w:afterAutospacing="0" w:line="480" w:lineRule="atLeast"/>
        <w:jc w:val="center"/>
        <w:rPr>
          <w:rStyle w:val="8"/>
          <w:rFonts w:ascii="仿宋" w:hAnsi="仿宋" w:eastAsia="仿宋"/>
          <w:color w:val="434343"/>
          <w:sz w:val="32"/>
          <w:szCs w:val="32"/>
        </w:rPr>
      </w:pPr>
      <w:r>
        <w:rPr>
          <w:rStyle w:val="8"/>
          <w:rFonts w:hint="eastAsia" w:ascii="仿宋" w:hAnsi="仿宋" w:eastAsia="仿宋"/>
          <w:color w:val="434343"/>
          <w:sz w:val="32"/>
          <w:szCs w:val="32"/>
        </w:rPr>
        <w:t>第一部分  庐山市市场监督管理局牯岭分局概况</w:t>
      </w:r>
    </w:p>
    <w:p>
      <w:pPr>
        <w:widowControl/>
        <w:spacing w:line="580" w:lineRule="exact"/>
        <w:jc w:val="left"/>
        <w:rPr>
          <w:rFonts w:ascii="仿宋" w:hAnsi="仿宋" w:eastAsia="仿宋"/>
          <w:b/>
          <w:sz w:val="32"/>
          <w:szCs w:val="32"/>
        </w:rPr>
      </w:pPr>
    </w:p>
    <w:p>
      <w:pPr>
        <w:pStyle w:val="5"/>
        <w:spacing w:before="0" w:beforeAutospacing="0" w:after="0" w:afterAutospacing="0" w:line="480" w:lineRule="atLeast"/>
        <w:rPr>
          <w:rStyle w:val="8"/>
          <w:rFonts w:asciiTheme="majorEastAsia" w:hAnsiTheme="majorEastAsia" w:eastAsiaTheme="majorEastAsia"/>
          <w:color w:val="434343"/>
          <w:sz w:val="36"/>
          <w:szCs w:val="36"/>
        </w:rPr>
      </w:pPr>
      <w:r>
        <w:rPr>
          <w:rStyle w:val="8"/>
          <w:rFonts w:hint="eastAsia" w:asciiTheme="majorEastAsia" w:hAnsiTheme="majorEastAsia" w:eastAsiaTheme="majorEastAsia"/>
          <w:color w:val="434343"/>
          <w:sz w:val="36"/>
          <w:szCs w:val="36"/>
        </w:rPr>
        <w:t>一、单位主要职责</w:t>
      </w:r>
    </w:p>
    <w:p>
      <w:pPr>
        <w:pStyle w:val="5"/>
        <w:spacing w:before="0" w:beforeAutospacing="0" w:after="0" w:afterAutospacing="0" w:line="480" w:lineRule="atLeast"/>
        <w:ind w:firstLine="645"/>
        <w:rPr>
          <w:rFonts w:hint="eastAsia" w:ascii="仿宋" w:hAnsi="仿宋" w:eastAsia="仿宋"/>
          <w:sz w:val="32"/>
          <w:szCs w:val="32"/>
        </w:rPr>
      </w:pPr>
      <w:r>
        <w:rPr>
          <w:rFonts w:hint="eastAsia" w:ascii="仿宋" w:hAnsi="仿宋" w:eastAsia="仿宋"/>
          <w:sz w:val="32"/>
          <w:szCs w:val="32"/>
        </w:rPr>
        <w:t>庐山市市场监督管理局牯岭分局主要职责是:负责在庐山景区内贯彻执行有关市场监督管理方面的法律法规、规章政策和标准规范；依法开展市场监督管理、行政执法有关工作。</w:t>
      </w:r>
    </w:p>
    <w:p>
      <w:pPr>
        <w:pStyle w:val="5"/>
        <w:spacing w:before="0" w:beforeAutospacing="0" w:after="0" w:afterAutospacing="0" w:line="480" w:lineRule="atLeast"/>
        <w:rPr>
          <w:rStyle w:val="8"/>
          <w:rFonts w:asciiTheme="majorEastAsia" w:hAnsiTheme="majorEastAsia" w:eastAsiaTheme="majorEastAsia"/>
          <w:color w:val="434343"/>
          <w:sz w:val="36"/>
          <w:szCs w:val="36"/>
        </w:rPr>
      </w:pPr>
      <w:r>
        <w:rPr>
          <w:rStyle w:val="8"/>
          <w:rFonts w:hint="eastAsia" w:asciiTheme="majorEastAsia" w:hAnsiTheme="majorEastAsia" w:eastAsiaTheme="majorEastAsia"/>
          <w:color w:val="434343"/>
          <w:sz w:val="36"/>
          <w:szCs w:val="36"/>
        </w:rPr>
        <w:t>二、机构设置及人员情况</w:t>
      </w:r>
    </w:p>
    <w:p>
      <w:pPr>
        <w:pStyle w:val="5"/>
        <w:spacing w:before="0" w:beforeAutospacing="0" w:after="0" w:afterAutospacing="0" w:line="480" w:lineRule="atLeast"/>
        <w:ind w:firstLine="645"/>
        <w:rPr>
          <w:rFonts w:hint="eastAsia" w:ascii="仿宋" w:hAnsi="仿宋" w:eastAsia="仿宋"/>
          <w:sz w:val="32"/>
          <w:szCs w:val="32"/>
        </w:rPr>
      </w:pPr>
      <w:r>
        <w:rPr>
          <w:rFonts w:hint="eastAsia" w:ascii="仿宋" w:hAnsi="仿宋" w:eastAsia="仿宋"/>
          <w:sz w:val="32"/>
          <w:szCs w:val="32"/>
        </w:rPr>
        <w:t>2024年庐山市市场监督管理局牯岭分局内设处室4个，包括：办公室、综合业务室、综合执法一大队、综合执法二大队、综合执法二大队。</w:t>
      </w:r>
    </w:p>
    <w:p>
      <w:pPr>
        <w:pStyle w:val="5"/>
        <w:spacing w:before="0" w:beforeAutospacing="0" w:after="0" w:afterAutospacing="0" w:line="480" w:lineRule="atLeast"/>
        <w:ind w:firstLine="645"/>
        <w:rPr>
          <w:rFonts w:hint="eastAsia" w:ascii="仿宋" w:hAnsi="仿宋" w:eastAsia="仿宋"/>
          <w:sz w:val="32"/>
          <w:szCs w:val="32"/>
        </w:rPr>
      </w:pPr>
      <w:r>
        <w:rPr>
          <w:rFonts w:hint="eastAsia" w:ascii="仿宋" w:hAnsi="仿宋" w:eastAsia="仿宋"/>
          <w:sz w:val="32"/>
          <w:szCs w:val="32"/>
        </w:rPr>
        <w:fldChar w:fldCharType="begin"/>
      </w:r>
      <w:r>
        <w:rPr>
          <w:rFonts w:hint="eastAsia" w:ascii="仿宋" w:hAnsi="仿宋" w:eastAsia="仿宋"/>
          <w:sz w:val="32"/>
          <w:szCs w:val="32"/>
        </w:rPr>
        <w:instrText xml:space="preserve">MERGEFIELD ${page540426799.ds376136392_REP_JX_BAS_AGENCY_INFO_DXQRSDW_S_BZRSXJ}</w:instrText>
      </w:r>
      <w:r>
        <w:rPr>
          <w:rFonts w:hint="eastAsia" w:ascii="仿宋" w:hAnsi="仿宋" w:eastAsia="仿宋"/>
          <w:sz w:val="32"/>
          <w:szCs w:val="32"/>
        </w:rPr>
        <w:fldChar w:fldCharType="separate"/>
      </w:r>
      <w:r>
        <w:rPr>
          <w:rFonts w:hint="eastAsia" w:ascii="仿宋" w:hAnsi="仿宋" w:eastAsia="仿宋"/>
          <w:sz w:val="32"/>
          <w:szCs w:val="32"/>
        </w:rPr>
        <w:t>编制人数小计25人,</w:t>
      </w:r>
      <w:r>
        <w:rPr>
          <w:rFonts w:hint="eastAsia" w:ascii="仿宋" w:hAnsi="仿宋" w:eastAsia="仿宋"/>
          <w:sz w:val="32"/>
          <w:szCs w:val="32"/>
        </w:rPr>
        <w:fldChar w:fldCharType="end"/>
      </w:r>
      <w:r>
        <w:rPr>
          <w:rFonts w:hint="eastAsia" w:ascii="仿宋" w:hAnsi="仿宋" w:eastAsia="仿宋"/>
          <w:sz w:val="32"/>
          <w:szCs w:val="32"/>
        </w:rPr>
        <w:t>其中：</w:t>
      </w:r>
      <w:r>
        <w:rPr>
          <w:rFonts w:hint="eastAsia" w:ascii="仿宋" w:hAnsi="仿宋" w:eastAsia="仿宋"/>
          <w:sz w:val="32"/>
          <w:szCs w:val="32"/>
        </w:rPr>
        <w:fldChar w:fldCharType="begin"/>
      </w:r>
      <w:r>
        <w:rPr>
          <w:rFonts w:hint="eastAsia" w:ascii="仿宋" w:hAnsi="仿宋" w:eastAsia="仿宋"/>
          <w:sz w:val="32"/>
          <w:szCs w:val="32"/>
        </w:rPr>
        <w:instrText xml:space="preserve">MERGEFIELD ${page540426799.ds376136392_REP_JX_BAS_AGENCY_INFO_DXQRSDW_S_BZRSMX}</w:instrText>
      </w:r>
      <w:r>
        <w:rPr>
          <w:rFonts w:hint="eastAsia" w:ascii="仿宋" w:hAnsi="仿宋" w:eastAsia="仿宋"/>
          <w:sz w:val="32"/>
          <w:szCs w:val="32"/>
        </w:rPr>
        <w:fldChar w:fldCharType="separate"/>
      </w:r>
      <w:r>
        <w:rPr>
          <w:rFonts w:hint="eastAsia" w:ascii="仿宋" w:hAnsi="仿宋" w:eastAsia="仿宋"/>
          <w:sz w:val="32"/>
          <w:szCs w:val="32"/>
        </w:rPr>
        <w:t>行政编制人数12人</w:t>
      </w:r>
      <w:r>
        <w:rPr>
          <w:rFonts w:hint="eastAsia" w:ascii="仿宋" w:hAnsi="仿宋" w:eastAsia="仿宋"/>
          <w:sz w:val="32"/>
          <w:szCs w:val="32"/>
          <w:lang w:eastAsia="zh-CN"/>
        </w:rPr>
        <w:t>，</w:t>
      </w:r>
      <w:r>
        <w:rPr>
          <w:rFonts w:hint="eastAsia" w:ascii="仿宋" w:hAnsi="仿宋" w:eastAsia="仿宋"/>
          <w:sz w:val="32"/>
          <w:szCs w:val="32"/>
          <w:lang w:val="en-US" w:eastAsia="zh-CN"/>
        </w:rPr>
        <w:t>事业编制人数13人</w:t>
      </w:r>
      <w:r>
        <w:rPr>
          <w:rFonts w:hint="eastAsia" w:ascii="仿宋" w:hAnsi="仿宋" w:eastAsia="仿宋"/>
          <w:sz w:val="32"/>
          <w:szCs w:val="32"/>
        </w:rPr>
        <w:t>。</w:t>
      </w:r>
      <w:r>
        <w:rPr>
          <w:rFonts w:hint="eastAsia" w:ascii="仿宋" w:hAnsi="仿宋" w:eastAsia="仿宋"/>
          <w:sz w:val="32"/>
          <w:szCs w:val="32"/>
        </w:rPr>
        <w:fldChar w:fldCharType="end"/>
      </w:r>
      <w:r>
        <w:rPr>
          <w:rFonts w:hint="eastAsia" w:ascii="仿宋" w:hAnsi="仿宋" w:eastAsia="仿宋"/>
          <w:sz w:val="32"/>
          <w:szCs w:val="32"/>
        </w:rPr>
        <w:fldChar w:fldCharType="begin"/>
      </w:r>
      <w:r>
        <w:rPr>
          <w:rFonts w:hint="eastAsia" w:ascii="仿宋" w:hAnsi="仿宋" w:eastAsia="仿宋"/>
          <w:sz w:val="32"/>
          <w:szCs w:val="32"/>
        </w:rPr>
        <w:instrText xml:space="preserve">MERGEFIELD ${page540426799.ds376136392_REP_JX_BAS_AGENCY_INFO_DXQRSDW_S_SYRSXJ}</w:instrText>
      </w:r>
      <w:r>
        <w:rPr>
          <w:rFonts w:hint="eastAsia" w:ascii="仿宋" w:hAnsi="仿宋" w:eastAsia="仿宋"/>
          <w:sz w:val="32"/>
          <w:szCs w:val="32"/>
        </w:rPr>
        <w:fldChar w:fldCharType="separate"/>
      </w:r>
      <w:r>
        <w:rPr>
          <w:rFonts w:hint="eastAsia" w:ascii="仿宋" w:hAnsi="仿宋" w:eastAsia="仿宋"/>
          <w:sz w:val="32"/>
          <w:szCs w:val="32"/>
        </w:rPr>
        <w:t>实有人数小计25人,</w:t>
      </w:r>
      <w:r>
        <w:rPr>
          <w:rFonts w:hint="eastAsia" w:ascii="仿宋" w:hAnsi="仿宋" w:eastAsia="仿宋"/>
          <w:sz w:val="32"/>
          <w:szCs w:val="32"/>
        </w:rPr>
        <w:fldChar w:fldCharType="end"/>
      </w:r>
      <w:r>
        <w:rPr>
          <w:rFonts w:hint="eastAsia" w:ascii="仿宋" w:hAnsi="仿宋" w:eastAsia="仿宋"/>
          <w:sz w:val="32"/>
          <w:szCs w:val="32"/>
        </w:rPr>
        <w:t>其中：</w:t>
      </w:r>
      <w:r>
        <w:rPr>
          <w:rFonts w:hint="eastAsia" w:ascii="仿宋" w:hAnsi="仿宋" w:eastAsia="仿宋"/>
          <w:sz w:val="32"/>
          <w:szCs w:val="32"/>
        </w:rPr>
        <w:fldChar w:fldCharType="begin"/>
      </w:r>
      <w:r>
        <w:rPr>
          <w:rFonts w:hint="eastAsia" w:ascii="仿宋" w:hAnsi="仿宋" w:eastAsia="仿宋"/>
          <w:sz w:val="32"/>
          <w:szCs w:val="32"/>
        </w:rPr>
        <w:instrText xml:space="preserve">MERGEFIELD ${page540426799.ds376136392_REP_JX_BAS_AGENCY_INFO_DXQRSDW_S_ZZRSXJ}</w:instrText>
      </w:r>
      <w:r>
        <w:rPr>
          <w:rFonts w:hint="eastAsia" w:ascii="仿宋" w:hAnsi="仿宋" w:eastAsia="仿宋"/>
          <w:sz w:val="32"/>
          <w:szCs w:val="32"/>
        </w:rPr>
        <w:fldChar w:fldCharType="separate"/>
      </w:r>
      <w:r>
        <w:rPr>
          <w:rFonts w:hint="eastAsia" w:ascii="仿宋" w:hAnsi="仿宋" w:eastAsia="仿宋"/>
          <w:sz w:val="32"/>
          <w:szCs w:val="32"/>
        </w:rPr>
        <w:t>在职人数小计25人,</w:t>
      </w:r>
      <w:r>
        <w:rPr>
          <w:rFonts w:hint="eastAsia" w:ascii="仿宋" w:hAnsi="仿宋" w:eastAsia="仿宋"/>
          <w:sz w:val="32"/>
          <w:szCs w:val="32"/>
        </w:rPr>
        <w:fldChar w:fldCharType="end"/>
      </w:r>
      <w:r>
        <w:rPr>
          <w:rFonts w:hint="eastAsia" w:ascii="仿宋" w:hAnsi="仿宋" w:eastAsia="仿宋"/>
          <w:sz w:val="32"/>
          <w:szCs w:val="32"/>
        </w:rPr>
        <w:fldChar w:fldCharType="begin"/>
      </w:r>
      <w:r>
        <w:rPr>
          <w:rFonts w:hint="eastAsia" w:ascii="仿宋" w:hAnsi="仿宋" w:eastAsia="仿宋"/>
          <w:sz w:val="32"/>
          <w:szCs w:val="32"/>
        </w:rPr>
        <w:instrText xml:space="preserve">MERGEFIELD ${page540426799.ds376136392_REP_JX_BAS_AGENCY_INFO_DXQRSDW_S_ZZRSMX}</w:instrText>
      </w:r>
      <w:r>
        <w:rPr>
          <w:rFonts w:hint="eastAsia" w:ascii="仿宋" w:hAnsi="仿宋" w:eastAsia="仿宋"/>
          <w:sz w:val="32"/>
          <w:szCs w:val="32"/>
        </w:rPr>
        <w:fldChar w:fldCharType="separate"/>
      </w:r>
      <w:r>
        <w:rPr>
          <w:rFonts w:hint="eastAsia" w:ascii="仿宋" w:hAnsi="仿宋" w:eastAsia="仿宋"/>
          <w:sz w:val="32"/>
          <w:szCs w:val="32"/>
        </w:rPr>
        <w:t>行政在职人数12人</w:t>
      </w:r>
      <w:r>
        <w:rPr>
          <w:rFonts w:hint="eastAsia" w:ascii="仿宋" w:hAnsi="仿宋" w:eastAsia="仿宋"/>
          <w:sz w:val="32"/>
          <w:szCs w:val="32"/>
          <w:lang w:eastAsia="zh-CN"/>
        </w:rPr>
        <w:t>，</w:t>
      </w:r>
      <w:r>
        <w:rPr>
          <w:rFonts w:hint="eastAsia" w:ascii="仿宋" w:hAnsi="仿宋" w:eastAsia="仿宋"/>
          <w:sz w:val="32"/>
          <w:szCs w:val="32"/>
          <w:lang w:val="en-US" w:eastAsia="zh-CN"/>
        </w:rPr>
        <w:t>事业在职人数13人</w:t>
      </w:r>
      <w:r>
        <w:rPr>
          <w:rFonts w:hint="eastAsia" w:ascii="仿宋" w:hAnsi="仿宋" w:eastAsia="仿宋"/>
          <w:sz w:val="32"/>
          <w:szCs w:val="32"/>
        </w:rPr>
        <w:t>。</w:t>
      </w:r>
      <w:r>
        <w:rPr>
          <w:rFonts w:hint="eastAsia" w:ascii="仿宋" w:hAnsi="仿宋" w:eastAsia="仿宋"/>
          <w:sz w:val="32"/>
          <w:szCs w:val="32"/>
        </w:rPr>
        <w:fldChar w:fldCharType="end"/>
      </w:r>
      <w:r>
        <w:rPr>
          <w:rFonts w:hint="eastAsia" w:ascii="仿宋" w:hAnsi="仿宋" w:eastAsia="仿宋"/>
          <w:sz w:val="32"/>
          <w:szCs w:val="32"/>
        </w:rPr>
        <w:fldChar w:fldCharType="begin"/>
      </w:r>
      <w:r>
        <w:rPr>
          <w:rFonts w:hint="eastAsia" w:ascii="仿宋" w:hAnsi="仿宋" w:eastAsia="仿宋"/>
          <w:sz w:val="32"/>
          <w:szCs w:val="32"/>
        </w:rPr>
        <w:instrText xml:space="preserve">MERGEFIELD ${page540426799.ds376136392_REP_JX_BAS_AGENCY_INFO_DXQRSDW_S_QTRSMX}</w:instrText>
      </w:r>
      <w:r>
        <w:rPr>
          <w:rFonts w:hint="eastAsia" w:ascii="仿宋" w:hAnsi="仿宋" w:eastAsia="仿宋"/>
          <w:sz w:val="32"/>
          <w:szCs w:val="32"/>
        </w:rPr>
        <w:fldChar w:fldCharType="separate"/>
      </w:r>
      <w:r>
        <w:rPr>
          <w:rFonts w:hint="eastAsia" w:ascii="仿宋" w:hAnsi="仿宋" w:eastAsia="仿宋"/>
          <w:sz w:val="32"/>
          <w:szCs w:val="32"/>
        </w:rPr>
        <w:t>离休人数小计0人,退休人数小计24人,遗属人数1人。</w:t>
      </w:r>
      <w:r>
        <w:rPr>
          <w:rFonts w:hint="eastAsia" w:ascii="仿宋" w:hAnsi="仿宋" w:eastAsia="仿宋"/>
          <w:sz w:val="32"/>
          <w:szCs w:val="32"/>
        </w:rPr>
        <w:fldChar w:fldCharType="end"/>
      </w:r>
    </w:p>
    <w:p>
      <w:pPr>
        <w:widowControl/>
        <w:spacing w:line="580" w:lineRule="exact"/>
        <w:rPr>
          <w:rFonts w:ascii="仿宋" w:hAnsi="仿宋" w:eastAsia="仿宋"/>
          <w:b/>
          <w:sz w:val="32"/>
          <w:szCs w:val="32"/>
        </w:rPr>
      </w:pPr>
    </w:p>
    <w:p>
      <w:pPr>
        <w:pStyle w:val="5"/>
        <w:spacing w:before="0" w:beforeAutospacing="0" w:after="0" w:afterAutospacing="0" w:line="480" w:lineRule="atLeast"/>
        <w:jc w:val="center"/>
        <w:rPr>
          <w:rStyle w:val="8"/>
          <w:rFonts w:ascii="仿宋" w:hAnsi="仿宋" w:eastAsia="仿宋"/>
          <w:color w:val="434343"/>
          <w:sz w:val="32"/>
          <w:szCs w:val="32"/>
        </w:rPr>
      </w:pPr>
      <w:r>
        <w:rPr>
          <w:rStyle w:val="8"/>
          <w:rFonts w:hint="eastAsia" w:ascii="仿宋" w:hAnsi="仿宋" w:eastAsia="仿宋"/>
          <w:color w:val="434343"/>
          <w:sz w:val="32"/>
          <w:szCs w:val="32"/>
        </w:rPr>
        <w:t>第二部分  庐山市市场监督管理局牯岭分局2024年单位预算表</w:t>
      </w:r>
    </w:p>
    <w:p>
      <w:pPr>
        <w:pStyle w:val="5"/>
        <w:spacing w:before="0" w:beforeAutospacing="0" w:after="0" w:afterAutospacing="0" w:line="480" w:lineRule="atLeast"/>
        <w:ind w:firstLine="645"/>
        <w:rPr>
          <w:rFonts w:hint="eastAsia" w:ascii="仿宋" w:hAnsi="仿宋" w:eastAsia="仿宋"/>
          <w:sz w:val="32"/>
          <w:szCs w:val="32"/>
        </w:rPr>
      </w:pPr>
      <w:r>
        <w:rPr>
          <w:rFonts w:hint="eastAsia" w:ascii="仿宋" w:hAnsi="仿宋" w:eastAsia="仿宋"/>
          <w:sz w:val="32"/>
          <w:szCs w:val="32"/>
        </w:rPr>
        <w:t>(详见附表)</w:t>
      </w:r>
    </w:p>
    <w:p>
      <w:pPr>
        <w:pStyle w:val="5"/>
        <w:spacing w:before="0" w:beforeAutospacing="0" w:after="0" w:afterAutospacing="0" w:line="480" w:lineRule="atLeast"/>
        <w:jc w:val="center"/>
        <w:rPr>
          <w:rStyle w:val="8"/>
          <w:rFonts w:ascii="仿宋" w:hAnsi="仿宋" w:eastAsia="仿宋"/>
          <w:color w:val="434343"/>
          <w:sz w:val="32"/>
          <w:szCs w:val="32"/>
        </w:rPr>
      </w:pPr>
      <w:r>
        <w:rPr>
          <w:rStyle w:val="8"/>
          <w:rFonts w:hint="eastAsia" w:ascii="仿宋" w:hAnsi="仿宋" w:eastAsia="仿宋"/>
          <w:color w:val="434343"/>
          <w:sz w:val="32"/>
          <w:szCs w:val="32"/>
        </w:rPr>
        <w:t>第三部分  庐山市市场监督管理局牯岭分局2024年单位预算情况说明</w:t>
      </w:r>
    </w:p>
    <w:p>
      <w:pPr>
        <w:pStyle w:val="5"/>
        <w:spacing w:before="0" w:beforeAutospacing="0" w:after="0" w:afterAutospacing="0" w:line="480" w:lineRule="atLeast"/>
        <w:jc w:val="center"/>
        <w:rPr>
          <w:rStyle w:val="8"/>
          <w:rFonts w:ascii="仿宋" w:hAnsi="仿宋" w:eastAsia="仿宋"/>
          <w:color w:val="434343"/>
          <w:sz w:val="32"/>
          <w:szCs w:val="32"/>
        </w:rPr>
      </w:pPr>
    </w:p>
    <w:p>
      <w:pPr>
        <w:widowControl/>
        <w:spacing w:line="580" w:lineRule="exact"/>
        <w:jc w:val="left"/>
        <w:rPr>
          <w:rFonts w:ascii="楷体_GB2312" w:eastAsia="楷体_GB2312"/>
          <w:b/>
          <w:bCs/>
          <w:sz w:val="32"/>
          <w:szCs w:val="30"/>
        </w:rPr>
      </w:pPr>
      <w:r>
        <w:rPr>
          <w:rFonts w:hint="eastAsia" w:ascii="楷体_GB2312" w:eastAsia="楷体_GB2312"/>
          <w:b/>
          <w:bCs/>
          <w:sz w:val="32"/>
          <w:szCs w:val="30"/>
        </w:rPr>
        <w:t>一、2024年单位预算收支情况说明</w:t>
      </w:r>
    </w:p>
    <w:p>
      <w:pPr>
        <w:ind w:firstLine="321" w:firstLineChars="100"/>
        <w:rPr>
          <w:rStyle w:val="8"/>
          <w:rFonts w:ascii="仿宋" w:hAnsi="仿宋" w:eastAsia="仿宋" w:cs="宋体"/>
          <w:color w:val="434343"/>
          <w:kern w:val="0"/>
          <w:sz w:val="32"/>
          <w:szCs w:val="32"/>
        </w:rPr>
      </w:pPr>
      <w:r>
        <w:rPr>
          <w:rStyle w:val="8"/>
          <w:rFonts w:hint="eastAsia" w:ascii="仿宋" w:hAnsi="仿宋" w:eastAsia="仿宋" w:cs="宋体"/>
          <w:color w:val="434343"/>
          <w:kern w:val="0"/>
          <w:sz w:val="32"/>
          <w:szCs w:val="32"/>
        </w:rPr>
        <w:t>(一)收入预算情况</w:t>
      </w:r>
    </w:p>
    <w:p>
      <w:pPr>
        <w:pStyle w:val="5"/>
        <w:spacing w:before="0" w:beforeAutospacing="0" w:after="0" w:afterAutospacing="0" w:line="480" w:lineRule="atLeast"/>
        <w:ind w:firstLine="645"/>
        <w:rPr>
          <w:rFonts w:hint="eastAsia" w:ascii="仿宋" w:hAnsi="仿宋" w:eastAsia="仿宋"/>
          <w:sz w:val="32"/>
          <w:szCs w:val="32"/>
        </w:rPr>
      </w:pPr>
      <w:r>
        <w:rPr>
          <w:rFonts w:hint="eastAsia" w:ascii="仿宋" w:hAnsi="仿宋" w:eastAsia="仿宋"/>
          <w:sz w:val="32"/>
          <w:szCs w:val="32"/>
        </w:rPr>
        <w:t>2024年庐山市市场监督管理局牯岭分局</w:t>
      </w:r>
      <w:r>
        <w:rPr>
          <w:rFonts w:hint="eastAsia" w:ascii="仿宋" w:hAnsi="仿宋" w:eastAsia="仿宋"/>
          <w:sz w:val="32"/>
          <w:szCs w:val="32"/>
        </w:rPr>
        <w:fldChar w:fldCharType="begin"/>
      </w:r>
      <w:r>
        <w:rPr>
          <w:rFonts w:hint="eastAsia" w:ascii="仿宋" w:hAnsi="仿宋" w:eastAsia="仿宋"/>
          <w:sz w:val="32"/>
          <w:szCs w:val="32"/>
        </w:rPr>
        <w:instrText xml:space="preserve">MERGEFIELD ${page540426799.ds254512694_V_BGT_DEP_INCOME_DXQDW01_ZJ}</w:instrText>
      </w:r>
      <w:r>
        <w:rPr>
          <w:rFonts w:hint="eastAsia" w:ascii="仿宋" w:hAnsi="仿宋" w:eastAsia="仿宋"/>
          <w:sz w:val="32"/>
          <w:szCs w:val="32"/>
        </w:rPr>
        <w:fldChar w:fldCharType="separate"/>
      </w:r>
      <w:r>
        <w:rPr>
          <w:rFonts w:hint="eastAsia" w:ascii="仿宋" w:hAnsi="仿宋" w:eastAsia="仿宋"/>
          <w:sz w:val="32"/>
          <w:szCs w:val="32"/>
        </w:rPr>
        <w:t>收入预算总额为617.5万元,较上年预算安排增加27.45万元,增长4.65%;</w:t>
      </w:r>
      <w:r>
        <w:rPr>
          <w:rFonts w:hint="eastAsia" w:ascii="仿宋" w:hAnsi="仿宋" w:eastAsia="仿宋"/>
          <w:sz w:val="32"/>
          <w:szCs w:val="32"/>
        </w:rPr>
        <w:fldChar w:fldCharType="end"/>
      </w:r>
      <w:r>
        <w:rPr>
          <w:rFonts w:hint="eastAsia" w:ascii="仿宋" w:hAnsi="仿宋" w:eastAsia="仿宋"/>
          <w:sz w:val="32"/>
          <w:szCs w:val="32"/>
        </w:rPr>
        <w:fldChar w:fldCharType="begin"/>
      </w:r>
      <w:r>
        <w:rPr>
          <w:rFonts w:hint="eastAsia" w:ascii="仿宋" w:hAnsi="仿宋" w:eastAsia="仿宋"/>
          <w:sz w:val="32"/>
          <w:szCs w:val="32"/>
        </w:rPr>
        <w:instrText xml:space="preserve">MERGEFIELD ${page540426799.ds254512694_V_BGT_DEP_INCOME_DXQDW01_SRXMMX}</w:instrText>
      </w:r>
      <w:r>
        <w:rPr>
          <w:rFonts w:hint="eastAsia" w:ascii="仿宋" w:hAnsi="仿宋" w:eastAsia="仿宋"/>
          <w:sz w:val="32"/>
          <w:szCs w:val="32"/>
        </w:rPr>
        <w:fldChar w:fldCharType="separate"/>
      </w:r>
      <w:r>
        <w:rPr>
          <w:rFonts w:hint="eastAsia" w:ascii="仿宋" w:hAnsi="仿宋" w:eastAsia="仿宋"/>
          <w:sz w:val="32"/>
          <w:szCs w:val="32"/>
        </w:rPr>
        <w:t>财政拨款收入612.5万元,较上年预算安排增加29.45万元,增长5.05%。</w:t>
      </w:r>
      <w:r>
        <w:rPr>
          <w:rFonts w:hint="eastAsia" w:ascii="仿宋" w:hAnsi="仿宋" w:eastAsia="仿宋"/>
          <w:sz w:val="32"/>
          <w:szCs w:val="32"/>
        </w:rPr>
        <w:fldChar w:fldCharType="end"/>
      </w:r>
    </w:p>
    <w:p>
      <w:pPr>
        <w:pStyle w:val="5"/>
        <w:spacing w:before="0" w:beforeAutospacing="0" w:after="0" w:afterAutospacing="0" w:line="480" w:lineRule="atLeast"/>
        <w:ind w:firstLine="645"/>
        <w:rPr>
          <w:rFonts w:hint="eastAsia" w:ascii="仿宋" w:hAnsi="仿宋" w:eastAsia="仿宋"/>
          <w:sz w:val="32"/>
          <w:szCs w:val="32"/>
        </w:rPr>
      </w:pPr>
      <w:r>
        <w:rPr>
          <w:rFonts w:hint="eastAsia" w:ascii="仿宋" w:hAnsi="仿宋" w:eastAsia="仿宋"/>
          <w:sz w:val="32"/>
          <w:szCs w:val="32"/>
        </w:rPr>
        <w:t>增加原因：因晋级晋档、政策调整增加住房公积金、医保社保支出。</w:t>
      </w:r>
    </w:p>
    <w:p>
      <w:pPr>
        <w:pStyle w:val="5"/>
        <w:spacing w:before="0" w:beforeAutospacing="0" w:after="0" w:afterAutospacing="0" w:line="480" w:lineRule="atLeast"/>
        <w:ind w:firstLine="321" w:firstLineChars="100"/>
        <w:rPr>
          <w:rStyle w:val="8"/>
          <w:rFonts w:ascii="仿宋" w:hAnsi="仿宋" w:eastAsia="仿宋"/>
          <w:color w:val="434343"/>
          <w:sz w:val="32"/>
          <w:szCs w:val="32"/>
        </w:rPr>
      </w:pPr>
      <w:r>
        <w:rPr>
          <w:rStyle w:val="8"/>
          <w:rFonts w:hint="eastAsia" w:ascii="仿宋" w:hAnsi="仿宋" w:eastAsia="仿宋"/>
          <w:color w:val="434343"/>
          <w:sz w:val="32"/>
          <w:szCs w:val="32"/>
        </w:rPr>
        <w:t>(二)支出预算情况</w:t>
      </w:r>
    </w:p>
    <w:p>
      <w:pPr>
        <w:pStyle w:val="5"/>
        <w:spacing w:before="0" w:beforeAutospacing="0" w:after="0" w:afterAutospacing="0" w:line="480" w:lineRule="atLeast"/>
        <w:ind w:firstLine="645"/>
        <w:rPr>
          <w:rFonts w:hint="eastAsia" w:ascii="仿宋" w:hAnsi="仿宋" w:eastAsia="仿宋"/>
          <w:sz w:val="32"/>
          <w:szCs w:val="32"/>
        </w:rPr>
      </w:pPr>
      <w:r>
        <w:rPr>
          <w:rFonts w:hint="eastAsia" w:ascii="仿宋" w:hAnsi="仿宋" w:eastAsia="仿宋"/>
          <w:sz w:val="32"/>
          <w:szCs w:val="32"/>
        </w:rPr>
        <w:t>2024年庐山市市场监督管理局牯岭分局</w:t>
      </w:r>
      <w:r>
        <w:rPr>
          <w:rFonts w:hint="eastAsia" w:ascii="仿宋" w:hAnsi="仿宋" w:eastAsia="仿宋"/>
          <w:sz w:val="32"/>
          <w:szCs w:val="32"/>
        </w:rPr>
        <w:fldChar w:fldCharType="begin"/>
      </w:r>
      <w:r>
        <w:rPr>
          <w:rFonts w:hint="eastAsia" w:ascii="仿宋" w:hAnsi="仿宋" w:eastAsia="仿宋"/>
          <w:sz w:val="32"/>
          <w:szCs w:val="32"/>
        </w:rPr>
        <w:instrText xml:space="preserve">MERGEFIELD ${page540426799.ds357974894_REP_BGT_T_HC1100002019_DXQ02DW_S_ZJ}</w:instrText>
      </w:r>
      <w:r>
        <w:rPr>
          <w:rFonts w:hint="eastAsia" w:ascii="仿宋" w:hAnsi="仿宋" w:eastAsia="仿宋"/>
          <w:sz w:val="32"/>
          <w:szCs w:val="32"/>
        </w:rPr>
        <w:fldChar w:fldCharType="separate"/>
      </w:r>
      <w:r>
        <w:rPr>
          <w:rFonts w:hint="eastAsia" w:ascii="仿宋" w:hAnsi="仿宋" w:eastAsia="仿宋"/>
          <w:sz w:val="32"/>
          <w:szCs w:val="32"/>
        </w:rPr>
        <w:t>支出预算总额为617.5万元,较上年预算安排增加27.45万元，增长4.65%;</w:t>
      </w:r>
      <w:r>
        <w:rPr>
          <w:rFonts w:hint="eastAsia" w:ascii="仿宋" w:hAnsi="仿宋" w:eastAsia="仿宋"/>
          <w:sz w:val="32"/>
          <w:szCs w:val="32"/>
        </w:rPr>
        <w:fldChar w:fldCharType="end"/>
      </w:r>
      <w:r>
        <w:rPr>
          <w:rFonts w:hint="eastAsia" w:ascii="仿宋" w:hAnsi="仿宋" w:eastAsia="仿宋"/>
          <w:sz w:val="32"/>
          <w:szCs w:val="32"/>
        </w:rPr>
        <w:t>增加原因是因晋级晋档、职级晋升等政策原因调整增加住房公积金、医保社保支出。</w:t>
      </w:r>
    </w:p>
    <w:p>
      <w:pPr>
        <w:pStyle w:val="5"/>
        <w:spacing w:before="0" w:beforeAutospacing="0" w:after="0" w:afterAutospacing="0" w:line="480" w:lineRule="atLeast"/>
        <w:ind w:firstLine="645"/>
        <w:rPr>
          <w:rFonts w:ascii="仿宋" w:hAnsi="仿宋" w:eastAsia="仿宋"/>
          <w:color w:val="434343"/>
          <w:sz w:val="32"/>
          <w:szCs w:val="32"/>
        </w:rPr>
      </w:pPr>
      <w:r>
        <w:rPr>
          <w:rFonts w:hint="eastAsia" w:ascii="仿宋" w:hAnsi="仿宋" w:eastAsia="仿宋"/>
          <w:sz w:val="32"/>
          <w:szCs w:val="32"/>
        </w:rPr>
        <w:t>其中：按支出项目类别划分：</w:t>
      </w:r>
      <w:r>
        <w:rPr>
          <w:rFonts w:hint="eastAsia" w:ascii="仿宋" w:hAnsi="仿宋" w:eastAsia="仿宋"/>
          <w:sz w:val="32"/>
          <w:szCs w:val="32"/>
        </w:rPr>
        <w:fldChar w:fldCharType="begin"/>
      </w:r>
      <w:r>
        <w:rPr>
          <w:rFonts w:hint="eastAsia" w:ascii="仿宋" w:hAnsi="仿宋" w:eastAsia="仿宋"/>
          <w:sz w:val="32"/>
          <w:szCs w:val="32"/>
        </w:rPr>
        <w:instrText xml:space="preserve">MERGEFIELD ${page540426799.ds357974894_REP_BGT_T_HC1100002019_DXQ02DW_JBZCQK}</w:instrText>
      </w:r>
      <w:r>
        <w:rPr>
          <w:rFonts w:hint="eastAsia" w:ascii="仿宋" w:hAnsi="仿宋" w:eastAsia="仿宋"/>
          <w:sz w:val="32"/>
          <w:szCs w:val="32"/>
        </w:rPr>
        <w:fldChar w:fldCharType="separate"/>
      </w:r>
      <w:r>
        <w:rPr>
          <w:rFonts w:hint="eastAsia" w:ascii="仿宋" w:hAnsi="仿宋" w:eastAsia="仿宋"/>
          <w:sz w:val="32"/>
          <w:szCs w:val="32"/>
        </w:rPr>
        <w:t>基本支出564.61万元,较上年预算安排减少9.44万元，减少1.64%;其中：工资福利支出525.23万元,商品和服务支出36.1万元,对个人和家庭的补助0.68万元，资本性支出2.6万元。</w:t>
      </w:r>
      <w:r>
        <w:rPr>
          <w:rFonts w:hint="eastAsia" w:ascii="仿宋" w:hAnsi="仿宋" w:eastAsia="仿宋"/>
          <w:sz w:val="32"/>
          <w:szCs w:val="32"/>
        </w:rPr>
        <w:fldChar w:fldCharType="end"/>
      </w:r>
      <w:r>
        <w:rPr>
          <w:rFonts w:hint="eastAsia" w:ascii="仿宋" w:hAnsi="仿宋" w:eastAsia="仿宋"/>
          <w:sz w:val="32"/>
          <w:szCs w:val="32"/>
        </w:rPr>
        <w:fldChar w:fldCharType="begin"/>
      </w:r>
      <w:r>
        <w:rPr>
          <w:rFonts w:hint="eastAsia" w:ascii="仿宋" w:hAnsi="仿宋" w:eastAsia="仿宋"/>
          <w:sz w:val="32"/>
          <w:szCs w:val="32"/>
        </w:rPr>
        <w:instrText xml:space="preserve">MERGEFIELD ${page540426799.ds357974894_REP_BGT_T_HC1100002019_DXQ02DW_XMZCQK}</w:instrText>
      </w:r>
      <w:r>
        <w:rPr>
          <w:rFonts w:hint="eastAsia" w:ascii="仿宋" w:hAnsi="仿宋" w:eastAsia="仿宋"/>
          <w:sz w:val="32"/>
          <w:szCs w:val="32"/>
        </w:rPr>
        <w:fldChar w:fldCharType="separate"/>
      </w:r>
      <w:r>
        <w:rPr>
          <w:rFonts w:hint="eastAsia" w:ascii="仿宋" w:hAnsi="仿宋" w:eastAsia="仿宋"/>
          <w:sz w:val="32"/>
          <w:szCs w:val="32"/>
        </w:rPr>
        <w:t>项目支出52.89万元,较上年预算安排增加36.89万元，增加230.56%;其中：商品</w:t>
      </w:r>
      <w:r>
        <w:rPr>
          <w:rFonts w:hint="eastAsia" w:ascii="仿宋" w:hAnsi="仿宋" w:eastAsia="仿宋"/>
          <w:sz w:val="32"/>
          <w:szCs w:val="32"/>
        </w:rPr>
        <w:t>和服务支出44.25万元,其他对个人和家庭的补助8.64万元，资本性支出0万元。</w:t>
      </w:r>
      <w:r>
        <w:rPr>
          <w:rFonts w:hint="eastAsia" w:ascii="仿宋" w:hAnsi="仿宋" w:eastAsia="仿宋"/>
          <w:sz w:val="32"/>
          <w:szCs w:val="32"/>
        </w:rPr>
        <w:fldChar w:fldCharType="end"/>
      </w:r>
    </w:p>
    <w:p>
      <w:pPr>
        <w:pStyle w:val="5"/>
        <w:spacing w:before="0" w:beforeAutospacing="0" w:after="0" w:afterAutospacing="0" w:line="480" w:lineRule="atLeast"/>
        <w:ind w:firstLine="645"/>
        <w:rPr>
          <w:rFonts w:hint="eastAsia" w:ascii="仿宋" w:hAnsi="仿宋" w:eastAsia="仿宋"/>
          <w:sz w:val="32"/>
          <w:szCs w:val="32"/>
        </w:rPr>
      </w:pPr>
      <w:r>
        <w:rPr>
          <w:rFonts w:hint="eastAsia" w:ascii="仿宋" w:hAnsi="仿宋" w:eastAsia="仿宋"/>
          <w:sz w:val="32"/>
          <w:szCs w:val="32"/>
        </w:rPr>
        <w:t xml:space="preserve">按支出功能科目划分： </w:t>
      </w:r>
      <w:r>
        <w:rPr>
          <w:rFonts w:hint="eastAsia" w:ascii="仿宋" w:hAnsi="仿宋" w:eastAsia="仿宋"/>
          <w:sz w:val="32"/>
          <w:szCs w:val="32"/>
        </w:rPr>
        <w:fldChar w:fldCharType="begin"/>
      </w:r>
      <w:r>
        <w:rPr>
          <w:rFonts w:hint="eastAsia" w:ascii="仿宋" w:hAnsi="仿宋" w:eastAsia="仿宋"/>
          <w:sz w:val="32"/>
          <w:szCs w:val="32"/>
        </w:rPr>
        <w:instrText xml:space="preserve">MERGEFIELD ${page540426799.ds197859873_REP_BGT_T_HC1100002019DXQ01DW_GNZJMX}</w:instrText>
      </w:r>
      <w:r>
        <w:rPr>
          <w:rFonts w:hint="eastAsia" w:ascii="仿宋" w:hAnsi="仿宋" w:eastAsia="仿宋"/>
          <w:sz w:val="32"/>
          <w:szCs w:val="32"/>
        </w:rPr>
        <w:fldChar w:fldCharType="separate"/>
      </w:r>
      <w:r>
        <w:rPr>
          <w:rFonts w:hint="eastAsia" w:ascii="仿宋" w:hAnsi="仿宋" w:eastAsia="仿宋"/>
          <w:sz w:val="32"/>
          <w:szCs w:val="32"/>
        </w:rPr>
        <w:t>一般公共服务支出486.84万元,较上年预算安排增加13万元;社会保障和就业支出66.26万元,较上年预算安排增加5.55万元;卫生健康支出27.52元,较上年预算安排增加9.72万元;住房保障支出36.88万元,较上年预算安排减少0.83万元。</w:t>
      </w:r>
      <w:r>
        <w:rPr>
          <w:rFonts w:hint="eastAsia" w:ascii="仿宋" w:hAnsi="仿宋" w:eastAsia="仿宋"/>
          <w:sz w:val="32"/>
          <w:szCs w:val="32"/>
        </w:rPr>
        <w:fldChar w:fldCharType="end"/>
      </w:r>
    </w:p>
    <w:p>
      <w:pPr>
        <w:pStyle w:val="5"/>
        <w:spacing w:before="0" w:beforeAutospacing="0" w:after="0" w:afterAutospacing="0" w:line="480" w:lineRule="atLeast"/>
        <w:ind w:firstLine="645"/>
        <w:rPr>
          <w:rFonts w:hint="eastAsia" w:ascii="仿宋" w:hAnsi="仿宋" w:eastAsia="仿宋"/>
          <w:sz w:val="32"/>
          <w:szCs w:val="32"/>
        </w:rPr>
      </w:pPr>
      <w:r>
        <w:rPr>
          <w:rFonts w:hint="eastAsia" w:ascii="仿宋" w:hAnsi="仿宋" w:eastAsia="仿宋"/>
          <w:sz w:val="32"/>
          <w:szCs w:val="32"/>
        </w:rPr>
        <w:t xml:space="preserve">按支出经济分类划分： </w:t>
      </w:r>
      <w:r>
        <w:rPr>
          <w:rFonts w:hint="eastAsia" w:ascii="仿宋" w:hAnsi="仿宋" w:eastAsia="仿宋"/>
          <w:sz w:val="32"/>
          <w:szCs w:val="32"/>
        </w:rPr>
        <w:fldChar w:fldCharType="begin"/>
      </w:r>
      <w:r>
        <w:rPr>
          <w:rFonts w:hint="eastAsia" w:ascii="仿宋" w:hAnsi="仿宋" w:eastAsia="仿宋"/>
          <w:sz w:val="32"/>
          <w:szCs w:val="32"/>
        </w:rPr>
        <w:instrText xml:space="preserve">MERGEFIELD ${page540426799.ds197859873_REP_BGT_T_HC1100002019DXQ01DW_JJMX}</w:instrText>
      </w:r>
      <w:r>
        <w:rPr>
          <w:rFonts w:hint="eastAsia" w:ascii="仿宋" w:hAnsi="仿宋" w:eastAsia="仿宋"/>
          <w:sz w:val="32"/>
          <w:szCs w:val="32"/>
        </w:rPr>
        <w:fldChar w:fldCharType="separate"/>
      </w:r>
      <w:r>
        <w:rPr>
          <w:rFonts w:hint="eastAsia" w:ascii="仿宋" w:hAnsi="仿宋" w:eastAsia="仿宋"/>
          <w:sz w:val="32"/>
          <w:szCs w:val="32"/>
        </w:rPr>
        <w:t>工资福利支出525.23万元,较上年预算安排增加28.7万元;商品和服务支出80.35万元,较上年预算安排减少9.81万元;对个人和家庭的补助9.32万元,较上年预算安排增加6.96万元;资本性支出2.6万元,较上年预算安排增加1.6万元。</w:t>
      </w:r>
      <w:r>
        <w:rPr>
          <w:rFonts w:hint="eastAsia" w:ascii="仿宋" w:hAnsi="仿宋" w:eastAsia="仿宋"/>
          <w:sz w:val="32"/>
          <w:szCs w:val="32"/>
        </w:rPr>
        <w:fldChar w:fldCharType="end"/>
      </w:r>
    </w:p>
    <w:p>
      <w:pPr>
        <w:pStyle w:val="5"/>
        <w:spacing w:before="0" w:beforeAutospacing="0" w:after="0" w:afterAutospacing="0" w:line="480" w:lineRule="atLeast"/>
        <w:ind w:firstLine="321" w:firstLineChars="100"/>
        <w:rPr>
          <w:rStyle w:val="13"/>
          <w:rFonts w:ascii="Adobe 仿宋 Std R" w:hAnsi="Adobe 仿宋 Std R" w:eastAsia="Adobe 仿宋 Std R" w:cstheme="minorBidi"/>
          <w:b/>
          <w:kern w:val="2"/>
          <w:sz w:val="32"/>
          <w:szCs w:val="32"/>
        </w:rPr>
      </w:pPr>
      <w:r>
        <w:rPr>
          <w:rStyle w:val="13"/>
          <w:rFonts w:hint="eastAsia" w:ascii="Adobe 仿宋 Std R" w:hAnsi="Adobe 仿宋 Std R" w:eastAsia="Adobe 仿宋 Std R" w:cstheme="minorBidi"/>
          <w:b/>
          <w:kern w:val="2"/>
          <w:sz w:val="32"/>
          <w:szCs w:val="32"/>
        </w:rPr>
        <w:t>(三)财政拨款支出情况</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rPr>
        <w:t>4年庐山市市场监督管理局牯岭分局</w:t>
      </w:r>
      <w:r>
        <w:rPr>
          <w:rFonts w:ascii="仿宋" w:hAnsi="仿宋" w:eastAsia="仿宋"/>
          <w:sz w:val="32"/>
          <w:szCs w:val="32"/>
        </w:rPr>
        <w:fldChar w:fldCharType="begin"/>
      </w:r>
      <w:r>
        <w:rPr>
          <w:rFonts w:ascii="仿宋" w:hAnsi="仿宋" w:eastAsia="仿宋"/>
          <w:sz w:val="32"/>
          <w:szCs w:val="32"/>
        </w:rPr>
        <w:instrText xml:space="preserve">MERGEFIELD ${page540426799.ds357974894_REP_BGT_T_HC1100002019_DXQ02DW_S_CBXJ}</w:instrText>
      </w:r>
      <w:r>
        <w:rPr>
          <w:rFonts w:ascii="仿宋" w:hAnsi="仿宋" w:eastAsia="仿宋"/>
          <w:sz w:val="32"/>
          <w:szCs w:val="32"/>
        </w:rPr>
        <w:fldChar w:fldCharType="separate"/>
      </w:r>
      <w:r>
        <w:rPr>
          <w:rFonts w:ascii="仿宋" w:hAnsi="仿宋" w:eastAsia="仿宋"/>
          <w:sz w:val="32"/>
          <w:szCs w:val="32"/>
        </w:rPr>
        <w:t>财政拨款支出预算总额</w:t>
      </w:r>
      <w:r>
        <w:rPr>
          <w:rFonts w:hint="eastAsia" w:ascii="仿宋" w:hAnsi="仿宋" w:eastAsia="仿宋"/>
          <w:sz w:val="32"/>
          <w:szCs w:val="32"/>
        </w:rPr>
        <w:t>612.5</w:t>
      </w:r>
      <w:r>
        <w:rPr>
          <w:rFonts w:ascii="仿宋" w:hAnsi="仿宋" w:eastAsia="仿宋"/>
          <w:sz w:val="32"/>
          <w:szCs w:val="32"/>
        </w:rPr>
        <w:t>万元,较上年预算安排增加</w:t>
      </w:r>
      <w:r>
        <w:rPr>
          <w:rFonts w:hint="eastAsia" w:ascii="仿宋" w:hAnsi="仿宋" w:eastAsia="仿宋"/>
          <w:sz w:val="32"/>
          <w:szCs w:val="32"/>
        </w:rPr>
        <w:t>29.45</w:t>
      </w:r>
      <w:r>
        <w:rPr>
          <w:rFonts w:ascii="仿宋" w:hAnsi="仿宋" w:eastAsia="仿宋"/>
          <w:sz w:val="32"/>
          <w:szCs w:val="32"/>
        </w:rPr>
        <w:t>万元;</w:t>
      </w:r>
      <w:r>
        <w:rPr>
          <w:rFonts w:ascii="仿宋" w:hAnsi="仿宋" w:eastAsia="仿宋"/>
          <w:sz w:val="32"/>
          <w:szCs w:val="32"/>
        </w:rPr>
        <w:fldChar w:fldCharType="end"/>
      </w:r>
      <w:r>
        <w:rPr>
          <w:rFonts w:hint="eastAsia" w:ascii="仿宋" w:hAnsi="仿宋" w:eastAsia="仿宋"/>
          <w:sz w:val="32"/>
          <w:szCs w:val="32"/>
        </w:rPr>
        <w:t xml:space="preserve"> </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增加原因：因晋级晋档、政策调整增加住房公积金、医保等支出。</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按支出功能科目划分：</w:t>
      </w:r>
      <w:r>
        <w:rPr>
          <w:rFonts w:ascii="仿宋" w:hAnsi="仿宋" w:eastAsia="仿宋"/>
          <w:sz w:val="32"/>
          <w:szCs w:val="32"/>
        </w:rPr>
        <w:t xml:space="preserve"> </w:t>
      </w:r>
      <w:r>
        <w:rPr>
          <w:rFonts w:ascii="仿宋" w:hAnsi="仿宋" w:eastAsia="仿宋"/>
          <w:sz w:val="32"/>
          <w:szCs w:val="32"/>
        </w:rPr>
        <w:fldChar w:fldCharType="begin"/>
      </w:r>
      <w:r>
        <w:rPr>
          <w:rFonts w:ascii="仿宋" w:hAnsi="仿宋" w:eastAsia="仿宋"/>
          <w:sz w:val="32"/>
          <w:szCs w:val="32"/>
        </w:rPr>
        <w:instrText xml:space="preserve">MERGEFIELD ${page540426799.ds197859873_REP_BGT_T_HC1100002019DXQ01DW_GNCBMX}</w:instrText>
      </w:r>
      <w:r>
        <w:rPr>
          <w:rFonts w:ascii="仿宋" w:hAnsi="仿宋" w:eastAsia="仿宋"/>
          <w:sz w:val="32"/>
          <w:szCs w:val="32"/>
        </w:rPr>
        <w:fldChar w:fldCharType="separate"/>
      </w:r>
      <w:r>
        <w:rPr>
          <w:rFonts w:ascii="仿宋" w:hAnsi="仿宋" w:eastAsia="仿宋"/>
          <w:sz w:val="32"/>
          <w:szCs w:val="32"/>
        </w:rPr>
        <w:t>一般公共服务支出</w:t>
      </w:r>
      <w:r>
        <w:rPr>
          <w:rFonts w:hint="eastAsia" w:ascii="仿宋" w:hAnsi="仿宋" w:eastAsia="仿宋"/>
          <w:sz w:val="32"/>
          <w:szCs w:val="32"/>
        </w:rPr>
        <w:t>481.84</w:t>
      </w:r>
      <w:r>
        <w:rPr>
          <w:rFonts w:ascii="仿宋" w:hAnsi="仿宋" w:eastAsia="仿宋"/>
          <w:sz w:val="32"/>
          <w:szCs w:val="32"/>
        </w:rPr>
        <w:t>万元, 较上年预算安排增加</w:t>
      </w:r>
      <w:r>
        <w:rPr>
          <w:rFonts w:hint="eastAsia" w:ascii="仿宋" w:hAnsi="仿宋" w:eastAsia="仿宋"/>
          <w:sz w:val="32"/>
          <w:szCs w:val="32"/>
        </w:rPr>
        <w:t>15</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社会保障和就业支出</w:t>
      </w:r>
      <w:r>
        <w:rPr>
          <w:rFonts w:hint="eastAsia" w:ascii="仿宋" w:hAnsi="仿宋" w:eastAsia="仿宋"/>
          <w:sz w:val="32"/>
          <w:szCs w:val="32"/>
        </w:rPr>
        <w:t>66.26</w:t>
      </w:r>
      <w:r>
        <w:rPr>
          <w:rFonts w:ascii="仿宋" w:hAnsi="仿宋" w:eastAsia="仿宋"/>
          <w:sz w:val="32"/>
          <w:szCs w:val="32"/>
        </w:rPr>
        <w:t>万元, 较上年预算安排增加</w:t>
      </w:r>
      <w:r>
        <w:rPr>
          <w:rFonts w:hint="eastAsia" w:ascii="仿宋" w:hAnsi="仿宋" w:eastAsia="仿宋"/>
          <w:sz w:val="32"/>
          <w:szCs w:val="32"/>
        </w:rPr>
        <w:t>5.55</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卫生健康支出</w:t>
      </w:r>
      <w:r>
        <w:rPr>
          <w:rFonts w:hint="eastAsia" w:ascii="仿宋" w:hAnsi="仿宋" w:eastAsia="仿宋"/>
          <w:sz w:val="32"/>
          <w:szCs w:val="32"/>
        </w:rPr>
        <w:t>27.52</w:t>
      </w:r>
      <w:r>
        <w:rPr>
          <w:rFonts w:ascii="仿宋" w:hAnsi="仿宋" w:eastAsia="仿宋"/>
          <w:sz w:val="32"/>
          <w:szCs w:val="32"/>
        </w:rPr>
        <w:t>万元, 较上年预算安排增加</w:t>
      </w:r>
      <w:r>
        <w:rPr>
          <w:rFonts w:hint="eastAsia" w:ascii="仿宋" w:hAnsi="仿宋" w:eastAsia="仿宋"/>
          <w:sz w:val="32"/>
          <w:szCs w:val="32"/>
        </w:rPr>
        <w:t>9.72</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住房保障支出</w:t>
      </w:r>
      <w:r>
        <w:rPr>
          <w:rFonts w:hint="eastAsia" w:ascii="仿宋" w:hAnsi="仿宋" w:eastAsia="仿宋"/>
          <w:sz w:val="32"/>
          <w:szCs w:val="32"/>
        </w:rPr>
        <w:t>36.88</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 xml:space="preserve"> 较上年预算安排</w:t>
      </w:r>
      <w:r>
        <w:rPr>
          <w:rFonts w:hint="eastAsia" w:ascii="仿宋" w:hAnsi="仿宋" w:eastAsia="仿宋"/>
          <w:sz w:val="32"/>
          <w:szCs w:val="32"/>
        </w:rPr>
        <w:t>减少0.83</w:t>
      </w:r>
      <w:r>
        <w:rPr>
          <w:rFonts w:ascii="仿宋" w:hAnsi="仿宋" w:eastAsia="仿宋"/>
          <w:sz w:val="32"/>
          <w:szCs w:val="32"/>
        </w:rPr>
        <w:t>万元。</w:t>
      </w:r>
      <w:r>
        <w:rPr>
          <w:rFonts w:ascii="仿宋" w:hAnsi="仿宋" w:eastAsia="仿宋"/>
          <w:sz w:val="32"/>
          <w:szCs w:val="32"/>
        </w:rPr>
        <w:fldChar w:fldCharType="end"/>
      </w:r>
    </w:p>
    <w:p>
      <w:pPr>
        <w:pStyle w:val="5"/>
        <w:spacing w:before="0" w:beforeAutospacing="0" w:after="0" w:afterAutospacing="0" w:line="480" w:lineRule="atLeast"/>
        <w:ind w:firstLine="645"/>
        <w:rPr>
          <w:rFonts w:ascii="仿宋" w:hAnsi="仿宋" w:eastAsia="仿宋"/>
          <w:color w:val="548DD4" w:themeColor="text2" w:themeTint="99"/>
          <w:sz w:val="32"/>
          <w:szCs w:val="32"/>
        </w:rPr>
      </w:pPr>
      <w:r>
        <w:rPr>
          <w:rFonts w:hint="eastAsia" w:ascii="仿宋" w:hAnsi="仿宋" w:eastAsia="仿宋"/>
          <w:sz w:val="32"/>
          <w:szCs w:val="32"/>
        </w:rPr>
        <w:t>按支出项目类别划分：</w:t>
      </w:r>
      <w:r>
        <w:rPr>
          <w:rFonts w:ascii="仿宋" w:hAnsi="仿宋" w:eastAsia="仿宋"/>
          <w:sz w:val="32"/>
          <w:szCs w:val="32"/>
        </w:rPr>
        <w:t xml:space="preserve"> </w:t>
      </w:r>
      <w:r>
        <w:rPr>
          <w:rFonts w:ascii="仿宋" w:hAnsi="仿宋" w:eastAsia="仿宋"/>
          <w:sz w:val="32"/>
          <w:szCs w:val="32"/>
        </w:rPr>
        <w:fldChar w:fldCharType="begin"/>
      </w:r>
      <w:r>
        <w:rPr>
          <w:rFonts w:ascii="仿宋" w:hAnsi="仿宋" w:eastAsia="仿宋"/>
          <w:sz w:val="32"/>
          <w:szCs w:val="32"/>
        </w:rPr>
        <w:instrText xml:space="preserve">MERGEFIELD ${page540426799.ds357974894_REP_BGT_T_HC1100002019_DXQ02DW_JBZCQKCB}</w:instrText>
      </w:r>
      <w:r>
        <w:rPr>
          <w:rFonts w:ascii="仿宋" w:hAnsi="仿宋" w:eastAsia="仿宋"/>
          <w:sz w:val="32"/>
          <w:szCs w:val="32"/>
        </w:rPr>
        <w:fldChar w:fldCharType="separate"/>
      </w:r>
      <w:r>
        <w:rPr>
          <w:rFonts w:ascii="仿宋" w:hAnsi="仿宋" w:eastAsia="仿宋"/>
          <w:sz w:val="32"/>
          <w:szCs w:val="32"/>
        </w:rPr>
        <w:t>基本支出</w:t>
      </w:r>
      <w:r>
        <w:rPr>
          <w:rFonts w:hint="eastAsia" w:ascii="仿宋" w:hAnsi="仿宋" w:eastAsia="仿宋"/>
          <w:sz w:val="32"/>
          <w:szCs w:val="32"/>
        </w:rPr>
        <w:t>564.61</w:t>
      </w:r>
      <w:r>
        <w:rPr>
          <w:rFonts w:ascii="仿宋" w:hAnsi="仿宋" w:eastAsia="仿宋"/>
          <w:sz w:val="32"/>
          <w:szCs w:val="32"/>
        </w:rPr>
        <w:t>万元,较上年预算安排</w:t>
      </w:r>
      <w:r>
        <w:rPr>
          <w:rFonts w:hint="eastAsia" w:ascii="仿宋" w:hAnsi="仿宋" w:eastAsia="仿宋"/>
          <w:sz w:val="32"/>
          <w:szCs w:val="32"/>
        </w:rPr>
        <w:t>减少9.44</w:t>
      </w:r>
      <w:r>
        <w:rPr>
          <w:rFonts w:ascii="仿宋" w:hAnsi="仿宋" w:eastAsia="仿宋"/>
          <w:sz w:val="32"/>
          <w:szCs w:val="32"/>
        </w:rPr>
        <w:t>万元</w:t>
      </w:r>
      <w:r>
        <w:rPr>
          <w:rFonts w:hint="eastAsia" w:ascii="仿宋" w:hAnsi="仿宋" w:eastAsia="仿宋"/>
          <w:sz w:val="32"/>
          <w:szCs w:val="32"/>
        </w:rPr>
        <w:t>，减少1.64%</w:t>
      </w:r>
      <w:r>
        <w:rPr>
          <w:rFonts w:ascii="仿宋" w:hAnsi="仿宋" w:eastAsia="仿宋"/>
          <w:sz w:val="32"/>
          <w:szCs w:val="32"/>
        </w:rPr>
        <w:t>;其中：工资福利支出</w:t>
      </w:r>
      <w:r>
        <w:rPr>
          <w:rFonts w:hint="eastAsia" w:ascii="仿宋" w:hAnsi="仿宋" w:eastAsia="仿宋"/>
          <w:sz w:val="32"/>
          <w:szCs w:val="32"/>
        </w:rPr>
        <w:t>525.23</w:t>
      </w:r>
      <w:r>
        <w:rPr>
          <w:rFonts w:ascii="仿宋" w:hAnsi="仿宋" w:eastAsia="仿宋"/>
          <w:sz w:val="32"/>
          <w:szCs w:val="32"/>
        </w:rPr>
        <w:t>万元,商品和服务支出</w:t>
      </w:r>
      <w:r>
        <w:rPr>
          <w:rFonts w:hint="eastAsia" w:ascii="仿宋" w:hAnsi="仿宋" w:eastAsia="仿宋"/>
          <w:sz w:val="32"/>
          <w:szCs w:val="32"/>
        </w:rPr>
        <w:t>36.1</w:t>
      </w:r>
      <w:r>
        <w:rPr>
          <w:rFonts w:ascii="仿宋" w:hAnsi="仿宋" w:eastAsia="仿宋"/>
          <w:sz w:val="32"/>
          <w:szCs w:val="32"/>
        </w:rPr>
        <w:t>万元,对个人和家庭的补助</w:t>
      </w:r>
      <w:r>
        <w:rPr>
          <w:rFonts w:hint="eastAsia" w:ascii="仿宋" w:hAnsi="仿宋" w:eastAsia="仿宋"/>
          <w:sz w:val="32"/>
          <w:szCs w:val="32"/>
        </w:rPr>
        <w:t>0.68</w:t>
      </w:r>
      <w:r>
        <w:rPr>
          <w:rFonts w:ascii="仿宋" w:hAnsi="仿宋" w:eastAsia="仿宋"/>
          <w:sz w:val="32"/>
          <w:szCs w:val="32"/>
        </w:rPr>
        <w:t>万元</w:t>
      </w:r>
      <w:r>
        <w:rPr>
          <w:rFonts w:hint="eastAsia" w:ascii="仿宋" w:hAnsi="仿宋" w:eastAsia="仿宋"/>
          <w:sz w:val="32"/>
          <w:szCs w:val="32"/>
        </w:rPr>
        <w:t>，资本性支出2.6万元</w:t>
      </w:r>
      <w:r>
        <w:rPr>
          <w:rFonts w:ascii="仿宋" w:hAnsi="仿宋" w:eastAsia="仿宋"/>
          <w:sz w:val="32"/>
          <w:szCs w:val="32"/>
        </w:rPr>
        <w:t>。</w:t>
      </w:r>
      <w:r>
        <w:rPr>
          <w:rFonts w:ascii="仿宋" w:hAnsi="仿宋" w:eastAsia="仿宋"/>
          <w:sz w:val="32"/>
          <w:szCs w:val="32"/>
        </w:rP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${page540426799.ds357974894_REP_BGT_T_HC1100002019_DXQ02DW_XMZCQKCB}</w:instrText>
      </w:r>
      <w:r>
        <w:rPr>
          <w:rFonts w:ascii="仿宋" w:hAnsi="仿宋" w:eastAsia="仿宋"/>
          <w:sz w:val="32"/>
          <w:szCs w:val="32"/>
        </w:rPr>
        <w:fldChar w:fldCharType="separate"/>
      </w:r>
      <w:r>
        <w:rPr>
          <w:rFonts w:ascii="仿宋" w:hAnsi="仿宋" w:eastAsia="仿宋"/>
          <w:sz w:val="32"/>
          <w:szCs w:val="32"/>
        </w:rPr>
        <w:t>项目支出</w:t>
      </w:r>
      <w:r>
        <w:rPr>
          <w:rFonts w:hint="eastAsia" w:ascii="仿宋" w:hAnsi="仿宋" w:eastAsia="仿宋"/>
          <w:sz w:val="32"/>
          <w:szCs w:val="32"/>
        </w:rPr>
        <w:t>47.89</w:t>
      </w:r>
      <w:r>
        <w:rPr>
          <w:rFonts w:ascii="仿宋" w:hAnsi="仿宋" w:eastAsia="仿宋"/>
          <w:sz w:val="32"/>
          <w:szCs w:val="32"/>
        </w:rPr>
        <w:t>万元,较上年预算安排</w:t>
      </w:r>
      <w:r>
        <w:rPr>
          <w:rFonts w:hint="eastAsia" w:ascii="仿宋" w:hAnsi="仿宋" w:eastAsia="仿宋"/>
          <w:sz w:val="32"/>
          <w:szCs w:val="32"/>
        </w:rPr>
        <w:t>增加38.89</w:t>
      </w:r>
      <w:r>
        <w:rPr>
          <w:rFonts w:ascii="仿宋" w:hAnsi="仿宋" w:eastAsia="仿宋"/>
          <w:sz w:val="32"/>
          <w:szCs w:val="32"/>
        </w:rPr>
        <w:t>万元;其中：商品和服务支出</w:t>
      </w:r>
      <w:r>
        <w:rPr>
          <w:rFonts w:hint="eastAsia" w:ascii="仿宋" w:hAnsi="仿宋" w:eastAsia="仿宋"/>
          <w:sz w:val="32"/>
          <w:szCs w:val="32"/>
        </w:rPr>
        <w:t>39.25</w:t>
      </w:r>
      <w:r>
        <w:rPr>
          <w:rFonts w:ascii="仿宋" w:hAnsi="仿宋" w:eastAsia="仿宋"/>
          <w:sz w:val="32"/>
          <w:szCs w:val="32"/>
        </w:rPr>
        <w:t>万元,</w:t>
      </w:r>
      <w:r>
        <w:rPr>
          <w:rFonts w:hint="eastAsia" w:ascii="仿宋" w:hAnsi="仿宋" w:eastAsia="仿宋"/>
          <w:sz w:val="32"/>
          <w:szCs w:val="32"/>
        </w:rPr>
        <w:t>其他对个人和家庭的补助8.64万元，</w:t>
      </w:r>
      <w:r>
        <w:rPr>
          <w:rFonts w:ascii="仿宋" w:hAnsi="仿宋" w:eastAsia="仿宋"/>
          <w:sz w:val="32"/>
          <w:szCs w:val="32"/>
        </w:rPr>
        <w:t>资本性支出</w:t>
      </w:r>
      <w:r>
        <w:rPr>
          <w:rFonts w:hint="eastAsia" w:ascii="仿宋" w:hAnsi="仿宋" w:eastAsia="仿宋"/>
          <w:sz w:val="32"/>
          <w:szCs w:val="32"/>
        </w:rPr>
        <w:t>0</w:t>
      </w:r>
      <w:r>
        <w:rPr>
          <w:rFonts w:ascii="仿宋" w:hAnsi="仿宋" w:eastAsia="仿宋"/>
          <w:sz w:val="32"/>
          <w:szCs w:val="32"/>
        </w:rPr>
        <w:t>万元。</w:t>
      </w:r>
      <w:r>
        <w:rPr>
          <w:rFonts w:ascii="仿宋" w:hAnsi="仿宋" w:eastAsia="仿宋"/>
          <w:sz w:val="32"/>
          <w:szCs w:val="32"/>
        </w:rPr>
        <w:fldChar w:fldCharType="end"/>
      </w:r>
    </w:p>
    <w:p>
      <w:pPr>
        <w:pStyle w:val="5"/>
        <w:spacing w:before="0" w:beforeAutospacing="0" w:after="0" w:afterAutospacing="0" w:line="480" w:lineRule="atLeast"/>
        <w:ind w:firstLine="321" w:firstLineChars="100"/>
        <w:rPr>
          <w:rStyle w:val="13"/>
          <w:rFonts w:ascii="Adobe 仿宋 Std R" w:hAnsi="Adobe 仿宋 Std R" w:eastAsia="Adobe 仿宋 Std R" w:cstheme="minorBidi"/>
          <w:b/>
          <w:kern w:val="2"/>
          <w:sz w:val="32"/>
          <w:szCs w:val="32"/>
        </w:rPr>
      </w:pPr>
      <w:r>
        <w:rPr>
          <w:rStyle w:val="13"/>
          <w:rFonts w:hint="eastAsia" w:ascii="Adobe 仿宋 Std R" w:hAnsi="Adobe 仿宋 Std R" w:eastAsia="Adobe 仿宋 Std R" w:cstheme="minorBidi"/>
          <w:b/>
          <w:kern w:val="2"/>
          <w:sz w:val="32"/>
          <w:szCs w:val="32"/>
        </w:rPr>
        <w:t>(四)政府性基金情况</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rPr>
        <w:t>4年</w:t>
      </w:r>
      <w:r>
        <w:rPr>
          <w:rFonts w:ascii="仿宋" w:hAnsi="仿宋" w:eastAsia="仿宋"/>
          <w:sz w:val="32"/>
          <w:szCs w:val="32"/>
        </w:rPr>
        <w:fldChar w:fldCharType="begin"/>
      </w:r>
      <w:r>
        <w:rPr>
          <w:rFonts w:ascii="仿宋" w:hAnsi="仿宋" w:eastAsia="仿宋"/>
          <w:sz w:val="32"/>
          <w:szCs w:val="32"/>
        </w:rPr>
        <w:instrText xml:space="preserve">MERGEFIELD ${page540426799.ds254512694_REP_JXJC_AGENCY_WZR_NAME}</w:instrText>
      </w:r>
      <w:r>
        <w:rPr>
          <w:rFonts w:ascii="仿宋" w:hAnsi="仿宋" w:eastAsia="仿宋"/>
          <w:sz w:val="32"/>
          <w:szCs w:val="32"/>
        </w:rPr>
        <w:fldChar w:fldCharType="separate"/>
      </w:r>
      <w:r>
        <w:rPr>
          <w:rFonts w:hint="eastAsia" w:ascii="仿宋" w:hAnsi="仿宋" w:eastAsia="仿宋"/>
          <w:sz w:val="32"/>
          <w:szCs w:val="32"/>
        </w:rPr>
        <w:t>庐山市市场监督管理局牯岭分局</w:t>
      </w:r>
      <w:r>
        <w:rPr>
          <w:rFonts w:ascii="仿宋" w:hAnsi="仿宋" w:eastAsia="仿宋"/>
          <w:sz w:val="32"/>
          <w:szCs w:val="32"/>
        </w:rPr>
        <w:fldChar w:fldCharType="end"/>
      </w:r>
      <w:r>
        <w:rPr>
          <w:rFonts w:ascii="仿宋" w:hAnsi="仿宋" w:eastAsia="仿宋"/>
          <w:sz w:val="32"/>
          <w:szCs w:val="32"/>
        </w:rPr>
        <w:t>政府性基金支出预算</w:t>
      </w:r>
      <w:r>
        <w:rPr>
          <w:rFonts w:hint="eastAsia" w:ascii="仿宋" w:hAnsi="仿宋" w:eastAsia="仿宋"/>
          <w:sz w:val="32"/>
          <w:szCs w:val="32"/>
        </w:rPr>
        <w:t>为0。</w:t>
      </w:r>
      <w:r>
        <w:rPr>
          <w:rFonts w:ascii="仿宋" w:hAnsi="仿宋" w:eastAsia="仿宋"/>
          <w:sz w:val="32"/>
          <w:szCs w:val="32"/>
        </w:rPr>
        <w:fldChar w:fldCharType="begin"/>
      </w:r>
      <w:r>
        <w:rPr>
          <w:rFonts w:ascii="仿宋" w:hAnsi="仿宋" w:eastAsia="仿宋"/>
          <w:sz w:val="32"/>
          <w:szCs w:val="32"/>
        </w:rPr>
        <w:instrText xml:space="preserve">MERGEFIELD ${page540426799.ds357974894_REP_BGT_T_HC1100002019_DXQ02DW_S_ZFXJJ}</w:instrText>
      </w:r>
      <w:r>
        <w:rPr>
          <w:rFonts w:ascii="仿宋" w:hAnsi="仿宋" w:eastAsia="仿宋"/>
          <w:sz w:val="32"/>
          <w:szCs w:val="32"/>
        </w:rPr>
        <w:fldChar w:fldCharType="end"/>
      </w:r>
      <w:r>
        <w:rPr>
          <w:rFonts w:ascii="仿宋" w:hAnsi="仿宋" w:eastAsia="仿宋"/>
          <w:sz w:val="32"/>
          <w:szCs w:val="32"/>
        </w:rPr>
        <w:fldChar w:fldCharType="begin"/>
      </w:r>
      <w:r>
        <w:rPr>
          <w:rFonts w:ascii="仿宋" w:hAnsi="仿宋" w:eastAsia="仿宋"/>
          <w:sz w:val="32"/>
          <w:szCs w:val="32"/>
        </w:rPr>
        <w:instrText xml:space="preserve">MERGEFIELD ${page400644146.ds215660413_REP_BGT_T_HC1100002019_DXQ02_S_ZFXJJ}</w:instrText>
      </w:r>
      <w:r>
        <w:rPr>
          <w:rFonts w:ascii="仿宋" w:hAnsi="仿宋" w:eastAsia="仿宋"/>
          <w:sz w:val="32"/>
          <w:szCs w:val="32"/>
        </w:rPr>
        <w:fldChar w:fldCharType="end"/>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按支出项目类别划分：本单位没有使用政府性基金预算拨款安排的支出。</w:t>
      </w:r>
    </w:p>
    <w:p>
      <w:pPr>
        <w:pStyle w:val="5"/>
        <w:spacing w:before="0" w:beforeAutospacing="0" w:after="0" w:afterAutospacing="0" w:line="480" w:lineRule="atLeast"/>
        <w:ind w:firstLine="321" w:firstLineChars="100"/>
        <w:rPr>
          <w:rStyle w:val="13"/>
          <w:rFonts w:ascii="Adobe 仿宋 Std R" w:hAnsi="Adobe 仿宋 Std R" w:eastAsia="Adobe 仿宋 Std R" w:cstheme="minorBidi"/>
          <w:b/>
          <w:kern w:val="2"/>
          <w:sz w:val="32"/>
          <w:szCs w:val="32"/>
        </w:rPr>
      </w:pPr>
      <w:r>
        <w:rPr>
          <w:rStyle w:val="13"/>
          <w:rFonts w:hint="eastAsia" w:ascii="Adobe 仿宋 Std R" w:hAnsi="Adobe 仿宋 Std R" w:eastAsia="Adobe 仿宋 Std R" w:cstheme="minorBidi"/>
          <w:b/>
          <w:kern w:val="2"/>
          <w:sz w:val="32"/>
          <w:szCs w:val="32"/>
        </w:rPr>
        <w:t>（五）国有资本经营情况</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本单位没有使用国有资本经营预算拨款安排的支出。</w:t>
      </w:r>
    </w:p>
    <w:p>
      <w:pPr>
        <w:pStyle w:val="5"/>
        <w:spacing w:before="0" w:beforeAutospacing="0" w:after="0" w:afterAutospacing="0" w:line="480" w:lineRule="atLeast"/>
        <w:ind w:firstLine="240" w:firstLineChars="100"/>
        <w:rPr>
          <w:rStyle w:val="13"/>
          <w:rFonts w:ascii="Adobe 仿宋 Std R" w:hAnsi="Adobe 仿宋 Std R" w:eastAsia="Adobe 仿宋 Std R" w:cstheme="minorBidi"/>
          <w:b/>
          <w:kern w:val="2"/>
          <w:sz w:val="32"/>
          <w:szCs w:val="32"/>
        </w:rPr>
      </w:pPr>
      <w:r>
        <w:rPr>
          <w:rStyle w:val="13"/>
          <w:rFonts w:hint="eastAsia" w:ascii="Adobe 仿宋 Std R" w:hAnsi="Adobe 仿宋 Std R" w:eastAsia="Adobe 仿宋 Std R" w:cstheme="minorBidi"/>
          <w:bCs/>
          <w:kern w:val="2"/>
        </w:rPr>
        <w:t xml:space="preserve"> </w:t>
      </w:r>
      <w:r>
        <w:rPr>
          <w:rStyle w:val="13"/>
          <w:rFonts w:hint="eastAsia" w:ascii="Adobe 仿宋 Std R" w:hAnsi="Adobe 仿宋 Std R" w:eastAsia="Adobe 仿宋 Std R" w:cstheme="minorBidi"/>
          <w:b/>
          <w:kern w:val="2"/>
          <w:sz w:val="32"/>
          <w:szCs w:val="32"/>
        </w:rPr>
        <w:t>(六)机关运行经费等重要事项的说明</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2024年单位机关运行费预算</w:t>
      </w:r>
      <w:r>
        <w:rPr>
          <w:rFonts w:hint="eastAsia" w:ascii="仿宋" w:hAnsi="仿宋" w:eastAsia="仿宋"/>
          <w:sz w:val="32"/>
          <w:szCs w:val="32"/>
          <w:lang w:val="en-US" w:eastAsia="zh-CN"/>
        </w:rPr>
        <w:t>38.7</w:t>
      </w:r>
      <w:r>
        <w:rPr>
          <w:rFonts w:hint="eastAsia" w:ascii="仿宋" w:hAnsi="仿宋" w:eastAsia="仿宋"/>
          <w:sz w:val="32"/>
          <w:szCs w:val="32"/>
        </w:rPr>
        <w:t>万元，比202</w:t>
      </w:r>
      <w:r>
        <w:rPr>
          <w:rFonts w:ascii="仿宋" w:hAnsi="仿宋" w:eastAsia="仿宋"/>
          <w:sz w:val="32"/>
          <w:szCs w:val="32"/>
        </w:rPr>
        <w:t>2</w:t>
      </w:r>
      <w:r>
        <w:rPr>
          <w:rFonts w:hint="eastAsia" w:ascii="仿宋" w:hAnsi="仿宋" w:eastAsia="仿宋"/>
          <w:sz w:val="32"/>
          <w:szCs w:val="32"/>
        </w:rPr>
        <w:t>年预算减少</w:t>
      </w:r>
      <w:r>
        <w:rPr>
          <w:rFonts w:hint="eastAsia" w:ascii="仿宋" w:hAnsi="仿宋" w:eastAsia="仿宋"/>
          <w:sz w:val="32"/>
          <w:szCs w:val="32"/>
          <w:u w:val="none"/>
          <w:lang w:val="en-US" w:eastAsia="zh-CN"/>
        </w:rPr>
        <w:t>35.46</w:t>
      </w:r>
      <w:r>
        <w:rPr>
          <w:rFonts w:hint="eastAsia" w:ascii="仿宋" w:hAnsi="仿宋" w:eastAsia="仿宋"/>
          <w:sz w:val="32"/>
          <w:szCs w:val="32"/>
          <w:u w:val="none"/>
        </w:rPr>
        <w:t>万元，减少</w:t>
      </w:r>
      <w:r>
        <w:rPr>
          <w:rFonts w:hint="eastAsia" w:ascii="仿宋" w:hAnsi="仿宋" w:eastAsia="仿宋"/>
          <w:sz w:val="32"/>
          <w:szCs w:val="32"/>
          <w:u w:val="none"/>
          <w:lang w:val="en-US" w:eastAsia="zh-CN"/>
        </w:rPr>
        <w:t>47.82</w:t>
      </w:r>
      <w:r>
        <w:rPr>
          <w:rFonts w:hint="eastAsia" w:ascii="仿宋" w:hAnsi="仿宋" w:eastAsia="仿宋"/>
          <w:sz w:val="32"/>
          <w:szCs w:val="32"/>
          <w:u w:val="none"/>
        </w:rPr>
        <w:t>%</w:t>
      </w:r>
      <w:r>
        <w:rPr>
          <w:rFonts w:hint="eastAsia" w:ascii="仿宋" w:hAnsi="仿宋" w:eastAsia="仿宋"/>
          <w:sz w:val="32"/>
          <w:szCs w:val="32"/>
        </w:rPr>
        <w:t>。30201办公费2.3万元、30205水费0.25万元、30206电费0.5万元、30207邮电费5.5万元、30213维修（护）费3万元、30214租赁费0.1万元、30217公务接待费0.7万元、30226劳务费2万元、30228工会经费7.5万元、30229福利费10.62万元，30231公务用车运行维护费1.63万元、30239其他交通费用2万元</w:t>
      </w:r>
      <w:r>
        <w:rPr>
          <w:rFonts w:hint="eastAsia" w:ascii="仿宋" w:hAnsi="仿宋" w:eastAsia="仿宋"/>
          <w:sz w:val="32"/>
          <w:szCs w:val="32"/>
          <w:lang w:eastAsia="zh-CN"/>
        </w:rPr>
        <w:t>、</w:t>
      </w:r>
      <w:r>
        <w:rPr>
          <w:rFonts w:hint="eastAsia" w:ascii="仿宋" w:hAnsi="仿宋" w:eastAsia="仿宋"/>
          <w:sz w:val="32"/>
          <w:szCs w:val="32"/>
          <w:lang w:val="en-US" w:eastAsia="zh-CN"/>
        </w:rPr>
        <w:t>31002办公设备购置2.6万元</w:t>
      </w:r>
      <w:r>
        <w:rPr>
          <w:rFonts w:hint="eastAsia" w:ascii="仿宋" w:hAnsi="仿宋" w:eastAsia="仿宋"/>
          <w:sz w:val="32"/>
          <w:szCs w:val="32"/>
        </w:rPr>
        <w:t>。</w:t>
      </w:r>
    </w:p>
    <w:p>
      <w:pPr>
        <w:pStyle w:val="5"/>
        <w:spacing w:before="0" w:beforeAutospacing="0" w:after="0" w:afterAutospacing="0" w:line="480" w:lineRule="atLeast"/>
        <w:ind w:firstLine="800" w:firstLineChars="250"/>
        <w:rPr>
          <w:rFonts w:ascii="仿宋" w:hAnsi="仿宋" w:eastAsia="仿宋"/>
          <w:sz w:val="32"/>
          <w:szCs w:val="32"/>
        </w:rPr>
      </w:pPr>
      <w:r>
        <w:rPr>
          <w:rFonts w:hint="eastAsia" w:ascii="仿宋" w:hAnsi="仿宋" w:eastAsia="仿宋"/>
          <w:sz w:val="32"/>
          <w:szCs w:val="32"/>
        </w:rPr>
        <w:t>公用经费减少</w:t>
      </w:r>
      <w:r>
        <w:rPr>
          <w:rFonts w:hint="eastAsia" w:ascii="仿宋" w:hAnsi="仿宋" w:eastAsia="仿宋"/>
          <w:sz w:val="32"/>
          <w:szCs w:val="32"/>
          <w:lang w:val="en-US" w:eastAsia="zh-CN"/>
        </w:rPr>
        <w:t>47.82</w:t>
      </w:r>
      <w:r>
        <w:rPr>
          <w:rFonts w:hint="eastAsia" w:ascii="仿宋" w:hAnsi="仿宋" w:eastAsia="仿宋"/>
          <w:sz w:val="32"/>
          <w:szCs w:val="32"/>
        </w:rPr>
        <w:t>%的原因是：根据财政局相关要求部分支出属于项目支出。</w:t>
      </w:r>
    </w:p>
    <w:p>
      <w:pPr>
        <w:pStyle w:val="5"/>
        <w:spacing w:before="0" w:beforeAutospacing="0" w:after="0" w:afterAutospacing="0" w:line="480" w:lineRule="atLeast"/>
        <w:ind w:firstLine="630"/>
        <w:rPr>
          <w:rFonts w:ascii="仿宋" w:hAnsi="仿宋" w:eastAsia="仿宋"/>
          <w:color w:val="548DD4" w:themeColor="text2" w:themeTint="99"/>
          <w:sz w:val="32"/>
          <w:szCs w:val="32"/>
        </w:rPr>
      </w:pPr>
      <w:r>
        <w:rPr>
          <w:rFonts w:hint="eastAsia" w:ascii="仿宋" w:hAnsi="仿宋" w:eastAsia="仿宋"/>
          <w:sz w:val="32"/>
          <w:szCs w:val="32"/>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pStyle w:val="5"/>
        <w:spacing w:before="0" w:beforeAutospacing="0" w:after="0" w:afterAutospacing="0" w:line="480" w:lineRule="atLeast"/>
        <w:ind w:firstLine="645"/>
        <w:rPr>
          <w:rStyle w:val="13"/>
          <w:rFonts w:ascii="Adobe 仿宋 Std R" w:hAnsi="Adobe 仿宋 Std R" w:eastAsia="Adobe 仿宋 Std R" w:cstheme="minorBidi"/>
          <w:bCs/>
          <w:kern w:val="2"/>
        </w:rPr>
      </w:pPr>
      <w:r>
        <w:rPr>
          <w:rStyle w:val="13"/>
          <w:rFonts w:hint="eastAsia" w:ascii="Adobe 仿宋 Std R" w:hAnsi="Adobe 仿宋 Std R" w:eastAsia="Adobe 仿宋 Std R" w:cstheme="minorBidi"/>
          <w:bCs/>
          <w:kern w:val="2"/>
        </w:rPr>
        <w:t xml:space="preserve"> </w:t>
      </w:r>
      <w:r>
        <w:rPr>
          <w:rStyle w:val="13"/>
          <w:rFonts w:hint="eastAsia" w:ascii="Adobe 仿宋 Std R" w:hAnsi="Adobe 仿宋 Std R" w:eastAsia="Adobe 仿宋 Std R" w:cstheme="minorBidi"/>
          <w:b/>
          <w:kern w:val="2"/>
          <w:sz w:val="32"/>
          <w:szCs w:val="32"/>
        </w:rPr>
        <w:t>(七)政府采购情况</w:t>
      </w:r>
    </w:p>
    <w:p>
      <w:pPr>
        <w:pStyle w:val="5"/>
        <w:spacing w:before="0" w:beforeAutospacing="0" w:after="0" w:afterAutospacing="0" w:line="480" w:lineRule="atLeast"/>
        <w:ind w:firstLine="640" w:firstLineChars="200"/>
        <w:rPr>
          <w:rFonts w:ascii="仿宋" w:hAnsi="仿宋" w:eastAsia="仿宋"/>
          <w:sz w:val="32"/>
          <w:szCs w:val="32"/>
        </w:rPr>
      </w:pPr>
      <w:r>
        <w:rPr>
          <w:rFonts w:hint="eastAsia" w:ascii="仿宋" w:hAnsi="仿宋" w:eastAsia="仿宋"/>
          <w:sz w:val="32"/>
          <w:szCs w:val="32"/>
        </w:rPr>
        <w:t>2024年政府采购总额2.6万元</w:t>
      </w:r>
      <w:r>
        <w:rPr>
          <w:rFonts w:ascii="仿宋" w:hAnsi="仿宋" w:eastAsia="仿宋"/>
          <w:sz w:val="32"/>
          <w:szCs w:val="32"/>
        </w:rPr>
        <w:t>,</w:t>
      </w:r>
      <w:r>
        <w:rPr>
          <w:rFonts w:hint="eastAsia" w:ascii="仿宋" w:hAnsi="仿宋" w:eastAsia="仿宋"/>
          <w:sz w:val="32"/>
          <w:szCs w:val="32"/>
        </w:rPr>
        <w:t>其中</w:t>
      </w:r>
      <w:r>
        <w:rPr>
          <w:rFonts w:ascii="仿宋" w:hAnsi="仿宋" w:eastAsia="仿宋"/>
          <w:sz w:val="32"/>
          <w:szCs w:val="32"/>
        </w:rPr>
        <w:t>:</w:t>
      </w:r>
      <w:r>
        <w:rPr>
          <w:rFonts w:hint="eastAsia" w:ascii="仿宋" w:hAnsi="仿宋" w:eastAsia="仿宋"/>
          <w:sz w:val="32"/>
          <w:szCs w:val="32"/>
        </w:rPr>
        <w:t xml:space="preserve"> 政府采购货物预算2.6万元</w:t>
      </w:r>
      <w:r>
        <w:rPr>
          <w:rFonts w:ascii="仿宋" w:hAnsi="仿宋" w:eastAsia="仿宋"/>
          <w:sz w:val="32"/>
          <w:szCs w:val="32"/>
        </w:rPr>
        <w:t>,</w:t>
      </w:r>
      <w:r>
        <w:rPr>
          <w:rFonts w:hint="eastAsia" w:ascii="仿宋" w:hAnsi="仿宋" w:eastAsia="仿宋"/>
          <w:sz w:val="32"/>
          <w:szCs w:val="32"/>
        </w:rPr>
        <w:t xml:space="preserve"> 政府采购工程预算0万元</w:t>
      </w:r>
      <w:r>
        <w:rPr>
          <w:rFonts w:ascii="仿宋" w:hAnsi="仿宋" w:eastAsia="仿宋"/>
          <w:sz w:val="32"/>
          <w:szCs w:val="32"/>
        </w:rPr>
        <w:t>,</w:t>
      </w:r>
      <w:r>
        <w:rPr>
          <w:rFonts w:hint="eastAsia" w:ascii="仿宋" w:hAnsi="仿宋" w:eastAsia="仿宋"/>
          <w:sz w:val="32"/>
          <w:szCs w:val="32"/>
        </w:rPr>
        <w:t xml:space="preserve"> 政府采购服务预算0万元。</w:t>
      </w:r>
    </w:p>
    <w:p>
      <w:pPr>
        <w:pStyle w:val="5"/>
        <w:spacing w:before="0" w:beforeAutospacing="0" w:after="0" w:afterAutospacing="0" w:line="480" w:lineRule="atLeast"/>
        <w:ind w:firstLine="645"/>
        <w:rPr>
          <w:rStyle w:val="8"/>
          <w:rFonts w:ascii="仿宋" w:hAnsi="仿宋" w:eastAsia="仿宋"/>
          <w:sz w:val="32"/>
          <w:szCs w:val="32"/>
        </w:rPr>
      </w:pPr>
      <w:r>
        <w:rPr>
          <w:rStyle w:val="8"/>
          <w:rFonts w:hint="eastAsia" w:ascii="仿宋" w:hAnsi="仿宋" w:eastAsia="仿宋"/>
          <w:sz w:val="32"/>
          <w:szCs w:val="32"/>
        </w:rPr>
        <w:t xml:space="preserve"> (八)国有资产占有使用情况</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截至2023年12月31日,</w:t>
      </w:r>
      <w:r>
        <w:rPr>
          <w:rFonts w:ascii="仿宋" w:hAnsi="仿宋" w:eastAsia="仿宋"/>
          <w:sz w:val="32"/>
          <w:szCs w:val="32"/>
        </w:rPr>
        <w:t xml:space="preserve"> </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${page540426799.ds376136392_REP_JX_BAS_AGENCY_INFO_DXQRSDW_S_CLSYS}</w:instrText>
      </w:r>
      <w:r>
        <w:rPr>
          <w:rFonts w:ascii="仿宋" w:hAnsi="仿宋" w:eastAsia="仿宋"/>
          <w:sz w:val="32"/>
          <w:szCs w:val="32"/>
        </w:rPr>
        <w:fldChar w:fldCharType="separate"/>
      </w:r>
      <w:r>
        <w:rPr>
          <w:rFonts w:ascii="仿宋" w:hAnsi="仿宋" w:eastAsia="仿宋"/>
          <w:sz w:val="32"/>
          <w:szCs w:val="32"/>
        </w:rPr>
        <w:t>单位共有车辆</w:t>
      </w:r>
      <w:r>
        <w:rPr>
          <w:rFonts w:hint="eastAsia" w:ascii="仿宋" w:hAnsi="仿宋" w:eastAsia="仿宋"/>
          <w:sz w:val="32"/>
          <w:szCs w:val="32"/>
        </w:rPr>
        <w:t>2</w:t>
      </w:r>
      <w:r>
        <w:rPr>
          <w:rFonts w:ascii="仿宋" w:hAnsi="仿宋" w:eastAsia="仿宋"/>
          <w:sz w:val="32"/>
          <w:szCs w:val="32"/>
        </w:rPr>
        <w:t>辆,其中：一般公务用车实有数</w:t>
      </w:r>
      <w:r>
        <w:rPr>
          <w:rFonts w:hint="eastAsia" w:ascii="仿宋" w:hAnsi="仿宋" w:eastAsia="仿宋"/>
          <w:sz w:val="32"/>
          <w:szCs w:val="32"/>
        </w:rPr>
        <w:t>0</w:t>
      </w:r>
      <w:r>
        <w:rPr>
          <w:rFonts w:ascii="仿宋" w:hAnsi="仿宋" w:eastAsia="仿宋"/>
          <w:sz w:val="32"/>
          <w:szCs w:val="32"/>
        </w:rPr>
        <w:t>辆</w:t>
      </w:r>
      <w:r>
        <w:rPr>
          <w:rFonts w:hint="eastAsia" w:ascii="仿宋" w:hAnsi="仿宋" w:eastAsia="仿宋"/>
          <w:sz w:val="32"/>
          <w:szCs w:val="32"/>
        </w:rPr>
        <w:t>，</w:t>
      </w:r>
      <w:r>
        <w:rPr>
          <w:rFonts w:ascii="仿宋" w:hAnsi="仿宋" w:eastAsia="仿宋"/>
          <w:sz w:val="32"/>
          <w:szCs w:val="32"/>
        </w:rPr>
        <w:fldChar w:fldCharType="end"/>
      </w:r>
      <w:r>
        <w:rPr>
          <w:rFonts w:hint="eastAsia" w:ascii="仿宋" w:hAnsi="仿宋" w:eastAsia="仿宋"/>
          <w:sz w:val="32"/>
          <w:szCs w:val="32"/>
        </w:rPr>
        <w:t>执法执勤车辆2辆。</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2024年单位预算安排购置车辆0辆，安排购置单位价值200万元以上大型设备具体为：</w:t>
      </w:r>
      <w:r>
        <w:rPr>
          <w:rFonts w:hint="eastAsia" w:ascii="仿宋" w:hAnsi="仿宋" w:eastAsia="仿宋"/>
          <w:sz w:val="32"/>
          <w:szCs w:val="32"/>
          <w:u w:val="single"/>
        </w:rPr>
        <w:t xml:space="preserve">无 </w:t>
      </w:r>
      <w:r>
        <w:rPr>
          <w:rFonts w:hint="eastAsia" w:ascii="仿宋" w:hAnsi="仿宋" w:eastAsia="仿宋"/>
          <w:sz w:val="32"/>
          <w:szCs w:val="32"/>
        </w:rPr>
        <w:t>。</w:t>
      </w:r>
    </w:p>
    <w:p>
      <w:pPr>
        <w:pStyle w:val="5"/>
        <w:spacing w:before="0" w:beforeAutospacing="0" w:after="0" w:afterAutospacing="0" w:line="480" w:lineRule="atLeast"/>
        <w:ind w:firstLine="645"/>
        <w:rPr>
          <w:rStyle w:val="8"/>
          <w:rFonts w:ascii="仿宋" w:hAnsi="仿宋" w:eastAsia="仿宋"/>
          <w:sz w:val="32"/>
          <w:szCs w:val="32"/>
        </w:rPr>
      </w:pPr>
      <w:r>
        <w:rPr>
          <w:rStyle w:val="8"/>
          <w:rFonts w:hint="eastAsia" w:ascii="仿宋" w:hAnsi="仿宋" w:eastAsia="仿宋"/>
          <w:sz w:val="32"/>
          <w:szCs w:val="32"/>
        </w:rPr>
        <w:t>（九）庐山市市场监督管理局牯岭分局项目情况说明</w:t>
      </w:r>
    </w:p>
    <w:p>
      <w:pPr>
        <w:pStyle w:val="5"/>
        <w:spacing w:before="0" w:beforeAutospacing="0" w:after="0" w:afterAutospacing="0" w:line="480" w:lineRule="atLeast"/>
        <w:ind w:firstLine="640" w:firstLineChars="200"/>
        <w:rPr>
          <w:rFonts w:ascii="仿宋" w:hAnsi="仿宋" w:eastAsia="仿宋"/>
          <w:sz w:val="32"/>
          <w:szCs w:val="32"/>
        </w:rPr>
      </w:pPr>
      <w:r>
        <w:rPr>
          <w:rFonts w:hint="eastAsia" w:ascii="仿宋" w:hAnsi="仿宋" w:eastAsia="仿宋"/>
          <w:sz w:val="32"/>
          <w:szCs w:val="32"/>
        </w:rPr>
        <w:t>1、庐山市市场监督管理局牯岭分局-食品药品安全宣传</w:t>
      </w:r>
    </w:p>
    <w:p>
      <w:pPr>
        <w:pStyle w:val="5"/>
        <w:spacing w:before="0" w:beforeAutospacing="0" w:after="0" w:afterAutospacing="0" w:line="480" w:lineRule="atLeast"/>
        <w:ind w:firstLine="640" w:firstLineChars="200"/>
        <w:rPr>
          <w:rFonts w:ascii="仿宋" w:hAnsi="仿宋" w:eastAsia="仿宋"/>
          <w:sz w:val="32"/>
          <w:szCs w:val="32"/>
        </w:rPr>
      </w:pPr>
      <w:r>
        <w:rPr>
          <w:rFonts w:hint="eastAsia" w:ascii="仿宋" w:hAnsi="仿宋" w:eastAsia="仿宋"/>
          <w:sz w:val="32"/>
          <w:szCs w:val="32"/>
        </w:rPr>
        <w:t xml:space="preserve"> 1）项目概述：倡导健康的饮食方式，增强消费者食品安全意识和自我保护能力。</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 xml:space="preserve"> 2）立项依据：《中华人民共和国食品安全法》</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 xml:space="preserve"> 3）实施主体：庐山市市场监督管理局牯岭分局</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 xml:space="preserve"> 4）实施方案：加强食品安全宣传教育，普及食品安全知识，鼓励社会组织、基层群众性自治组织、食品生产经营者开展食品安全法律、法规以及食品安全标准和知识的普及工作。</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 xml:space="preserve"> 5）实施周期;2024年，为期1年。</w:t>
      </w:r>
    </w:p>
    <w:p>
      <w:pPr>
        <w:pStyle w:val="5"/>
        <w:spacing w:before="0" w:beforeAutospacing="0" w:after="0" w:afterAutospacing="0" w:line="480" w:lineRule="atLeast"/>
        <w:ind w:firstLine="645"/>
        <w:rPr>
          <w:rFonts w:ascii="仿宋" w:hAnsi="仿宋" w:eastAsia="仿宋"/>
          <w:color w:val="548DD4" w:themeColor="text2" w:themeTint="99"/>
          <w:sz w:val="32"/>
          <w:szCs w:val="32"/>
        </w:rPr>
      </w:pPr>
      <w:r>
        <w:rPr>
          <w:rFonts w:hint="eastAsia" w:ascii="仿宋" w:hAnsi="仿宋" w:eastAsia="仿宋"/>
          <w:sz w:val="32"/>
          <w:szCs w:val="32"/>
        </w:rPr>
        <w:t xml:space="preserve"> </w:t>
      </w:r>
      <w:r>
        <w:rPr>
          <w:rFonts w:ascii="仿宋" w:hAnsi="仿宋" w:eastAsia="仿宋"/>
          <w:sz w:val="32"/>
          <w:szCs w:val="32"/>
        </w:rPr>
        <w:t>6</w:t>
      </w:r>
      <w:r>
        <w:rPr>
          <w:rFonts w:hint="eastAsia" w:ascii="仿宋" w:hAnsi="仿宋" w:eastAsia="仿宋"/>
          <w:sz w:val="32"/>
          <w:szCs w:val="32"/>
        </w:rPr>
        <w:t>）年度预算安排：7万元。</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2、庐山市市场监督管理局牯岭分局-特种设备安全监督管理经费</w:t>
      </w:r>
    </w:p>
    <w:p>
      <w:pPr>
        <w:pStyle w:val="5"/>
        <w:spacing w:before="0" w:beforeAutospacing="0" w:after="0" w:afterAutospacing="0" w:line="480" w:lineRule="atLeast"/>
        <w:ind w:firstLine="640" w:firstLineChars="200"/>
        <w:rPr>
          <w:rFonts w:ascii="仿宋" w:hAnsi="仿宋" w:eastAsia="仿宋"/>
          <w:sz w:val="32"/>
          <w:szCs w:val="32"/>
        </w:rPr>
      </w:pPr>
      <w:r>
        <w:rPr>
          <w:rFonts w:hint="eastAsia" w:ascii="仿宋" w:hAnsi="仿宋" w:eastAsia="仿宋"/>
          <w:sz w:val="32"/>
          <w:szCs w:val="32"/>
        </w:rPr>
        <w:t>1）项目概述：维护当地安全生产安全度，加强对特种设备的管理。</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2）立项依据：《江西省特种设备安全条例》</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3）实施主体：庐山市市场监督管理局牯岭分局</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4）实施方案：开展特种设备安全检查工作，确保特种设备安全。</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5）实施周期;2024年，为期1年。</w:t>
      </w:r>
    </w:p>
    <w:p>
      <w:pPr>
        <w:pStyle w:val="5"/>
        <w:spacing w:before="0" w:beforeAutospacing="0" w:after="0" w:afterAutospacing="0" w:line="480" w:lineRule="atLeast"/>
        <w:ind w:firstLine="645"/>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）年度预算安排：1.45万元。</w:t>
      </w:r>
    </w:p>
    <w:p>
      <w:pPr>
        <w:pStyle w:val="5"/>
        <w:spacing w:before="0" w:beforeAutospacing="0" w:after="0" w:afterAutospacing="0" w:line="480" w:lineRule="atLeast"/>
        <w:ind w:left="265" w:leftChars="50" w:hanging="160" w:hangingChars="50"/>
        <w:rPr>
          <w:rFonts w:hint="eastAsia" w:ascii="仿宋" w:hAnsi="仿宋" w:eastAsia="仿宋"/>
          <w:sz w:val="32"/>
          <w:szCs w:val="32"/>
        </w:rPr>
      </w:pPr>
      <w:r>
        <w:rPr>
          <w:rFonts w:hint="eastAsia" w:ascii="仿宋" w:hAnsi="仿宋" w:eastAsia="仿宋"/>
          <w:sz w:val="32"/>
          <w:szCs w:val="32"/>
        </w:rPr>
        <w:t>3、庐山市市场监督管理局牯岭分局-自有资金收入分配</w:t>
      </w:r>
    </w:p>
    <w:p>
      <w:pPr>
        <w:pStyle w:val="5"/>
        <w:spacing w:before="0" w:beforeAutospacing="0" w:after="0" w:afterAutospacing="0" w:line="480" w:lineRule="atLeast"/>
        <w:ind w:left="210" w:leftChars="100" w:firstLine="480" w:firstLineChars="150"/>
        <w:rPr>
          <w:rFonts w:ascii="仿宋" w:hAnsi="仿宋" w:eastAsia="仿宋"/>
          <w:sz w:val="32"/>
          <w:szCs w:val="32"/>
        </w:rPr>
      </w:pPr>
      <w:r>
        <w:rPr>
          <w:rFonts w:hint="eastAsia" w:ascii="仿宋" w:hAnsi="仿宋" w:eastAsia="仿宋"/>
          <w:sz w:val="32"/>
          <w:szCs w:val="32"/>
        </w:rPr>
        <w:t>1）项目概述：维护市场秩序，保障食品和特种设备安全，保障重大活动开展。</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2）立项依据：下划固定结算</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3）实施主体：庐山市市场监督管理局牯岭分局</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4）实施方案：开展市场秩序检查，做好食品和特种设备安全监管，保障重大活动开展。</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5）实施周期;2024年，为期1年。</w:t>
      </w:r>
    </w:p>
    <w:p>
      <w:pPr>
        <w:pStyle w:val="5"/>
        <w:spacing w:before="0" w:beforeAutospacing="0" w:after="0" w:afterAutospacing="0" w:line="480" w:lineRule="atLeast"/>
        <w:ind w:firstLine="645"/>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）年度预算安排：5万元。</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4、庐山市市场监督管理局牯岭分局-罚没收入分配支出</w:t>
      </w:r>
    </w:p>
    <w:p>
      <w:pPr>
        <w:pStyle w:val="5"/>
        <w:spacing w:before="0" w:beforeAutospacing="0" w:after="0" w:afterAutospacing="0" w:line="480" w:lineRule="atLeast"/>
        <w:ind w:firstLine="640" w:firstLineChars="200"/>
        <w:rPr>
          <w:rFonts w:ascii="仿宋" w:hAnsi="仿宋" w:eastAsia="仿宋"/>
          <w:sz w:val="32"/>
          <w:szCs w:val="32"/>
        </w:rPr>
      </w:pPr>
      <w:r>
        <w:rPr>
          <w:rFonts w:hint="eastAsia" w:ascii="仿宋" w:hAnsi="仿宋" w:eastAsia="仿宋"/>
          <w:sz w:val="32"/>
          <w:szCs w:val="32"/>
        </w:rPr>
        <w:t>1）项目概述：罚没收入分配</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2）立项依据：根据相关文件，返还罚没经费。</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3）实施主体：庐山市市场监督管理局牯岭分局</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4）实施方案：利用罚没返还补充工作经费</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5）实施周期;2024年，为期1年。</w:t>
      </w:r>
    </w:p>
    <w:p>
      <w:pPr>
        <w:widowControl/>
        <w:spacing w:line="580" w:lineRule="exact"/>
        <w:jc w:val="left"/>
        <w:rPr>
          <w:rFonts w:ascii="仿宋" w:hAnsi="仿宋" w:eastAsia="仿宋" w:cs="宋体"/>
          <w:kern w:val="0"/>
          <w:sz w:val="32"/>
          <w:szCs w:val="32"/>
        </w:rPr>
      </w:pPr>
      <w:r>
        <w:rPr>
          <w:rFonts w:hint="eastAsia" w:ascii="仿宋" w:hAnsi="仿宋" w:eastAsia="仿宋"/>
          <w:sz w:val="32"/>
          <w:szCs w:val="32"/>
        </w:rPr>
        <w:t xml:space="preserve">    </w:t>
      </w:r>
      <w:r>
        <w:rPr>
          <w:rFonts w:hint="eastAsia" w:ascii="仿宋" w:hAnsi="仿宋" w:eastAsia="仿宋" w:cs="宋体"/>
          <w:kern w:val="0"/>
          <w:sz w:val="32"/>
          <w:szCs w:val="32"/>
        </w:rPr>
        <w:t>6）年度预算安排：21万元。</w:t>
      </w:r>
    </w:p>
    <w:p>
      <w:pPr>
        <w:pStyle w:val="5"/>
        <w:spacing w:before="0" w:beforeAutospacing="0" w:after="0" w:afterAutospacing="0" w:line="480" w:lineRule="atLeast"/>
        <w:ind w:left="265" w:leftChars="50" w:hanging="160" w:hangingChars="50"/>
        <w:rPr>
          <w:rFonts w:hint="eastAsia" w:ascii="仿宋" w:hAnsi="仿宋" w:eastAsia="仿宋"/>
          <w:sz w:val="32"/>
          <w:szCs w:val="32"/>
        </w:rPr>
      </w:pPr>
      <w:r>
        <w:rPr>
          <w:rFonts w:hint="eastAsia" w:ascii="仿宋" w:hAnsi="仿宋" w:eastAsia="仿宋"/>
          <w:sz w:val="32"/>
          <w:szCs w:val="32"/>
        </w:rPr>
        <w:t>5、庐山市市场监督管理局牯岭分局-庐山景区采暖费用</w:t>
      </w:r>
    </w:p>
    <w:p>
      <w:pPr>
        <w:pStyle w:val="5"/>
        <w:spacing w:before="0" w:beforeAutospacing="0" w:after="0" w:afterAutospacing="0" w:line="480" w:lineRule="atLeast"/>
        <w:ind w:left="210" w:leftChars="100" w:firstLine="480" w:firstLineChars="150"/>
        <w:rPr>
          <w:rFonts w:ascii="仿宋" w:hAnsi="仿宋" w:eastAsia="仿宋"/>
          <w:sz w:val="32"/>
          <w:szCs w:val="32"/>
        </w:rPr>
      </w:pPr>
      <w:r>
        <w:rPr>
          <w:rFonts w:hint="eastAsia" w:ascii="仿宋" w:hAnsi="仿宋" w:eastAsia="仿宋"/>
          <w:sz w:val="32"/>
          <w:szCs w:val="32"/>
        </w:rPr>
        <w:t>1）项目概述：庐山景区采暖支出</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2）立项依据：根据相关文件，用于庐山山上工作人员冬季采暖补贴。</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3）实施主体：庐山市市场监督管理局牯岭分局</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4）实施方案：用于庐山山上工作人员冬季采暖补贴</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5）实施周期;2024年，为期1年。</w:t>
      </w:r>
    </w:p>
    <w:p>
      <w:pPr>
        <w:widowControl/>
        <w:spacing w:line="580" w:lineRule="exact"/>
        <w:jc w:val="left"/>
        <w:rPr>
          <w:rFonts w:ascii="仿宋" w:hAnsi="仿宋" w:eastAsia="仿宋" w:cs="宋体"/>
          <w:kern w:val="0"/>
          <w:sz w:val="32"/>
          <w:szCs w:val="32"/>
        </w:rPr>
      </w:pPr>
      <w:r>
        <w:rPr>
          <w:rFonts w:hint="eastAsia" w:ascii="仿宋" w:hAnsi="仿宋" w:eastAsia="仿宋"/>
          <w:sz w:val="32"/>
          <w:szCs w:val="32"/>
        </w:rPr>
        <w:t xml:space="preserve">    </w:t>
      </w:r>
      <w:r>
        <w:rPr>
          <w:rFonts w:hint="eastAsia" w:ascii="仿宋" w:hAnsi="仿宋" w:eastAsia="仿宋" w:cs="宋体"/>
          <w:kern w:val="0"/>
          <w:sz w:val="32"/>
          <w:szCs w:val="32"/>
        </w:rPr>
        <w:t>6）年度预算安排：18.44万元。</w:t>
      </w:r>
    </w:p>
    <w:p>
      <w:pPr>
        <w:widowControl/>
        <w:spacing w:line="580" w:lineRule="exact"/>
        <w:jc w:val="left"/>
        <w:rPr>
          <w:rFonts w:ascii="楷体_GB2312" w:eastAsia="楷体_GB2312"/>
          <w:b/>
          <w:sz w:val="32"/>
          <w:szCs w:val="30"/>
        </w:rPr>
      </w:pPr>
      <w:r>
        <w:rPr>
          <w:rFonts w:hint="eastAsia" w:ascii="楷体_GB2312" w:eastAsia="楷体_GB2312"/>
          <w:b/>
          <w:sz w:val="32"/>
          <w:szCs w:val="30"/>
        </w:rPr>
        <w:t>二、2024年“三公</w:t>
      </w:r>
      <w:r>
        <w:rPr>
          <w:rFonts w:ascii="楷体_GB2312" w:eastAsia="楷体_GB2312"/>
          <w:b/>
          <w:sz w:val="32"/>
          <w:szCs w:val="30"/>
        </w:rPr>
        <w:t>”</w:t>
      </w:r>
      <w:r>
        <w:rPr>
          <w:rFonts w:hint="eastAsia" w:ascii="楷体_GB2312" w:eastAsia="楷体_GB2312"/>
          <w:b/>
          <w:sz w:val="32"/>
          <w:szCs w:val="30"/>
        </w:rPr>
        <w:t>经费预算情况说明</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rPr>
        <w:t>4年庐山市市场监督管理局牯岭分局</w:t>
      </w:r>
      <w:r>
        <w:rPr>
          <w:rFonts w:ascii="仿宋" w:hAnsi="仿宋" w:eastAsia="仿宋"/>
          <w:sz w:val="32"/>
          <w:szCs w:val="32"/>
        </w:rPr>
        <w:t>"</w:t>
      </w:r>
      <w:r>
        <w:rPr>
          <w:rFonts w:hint="eastAsia" w:ascii="仿宋" w:hAnsi="仿宋" w:eastAsia="仿宋"/>
          <w:sz w:val="32"/>
          <w:szCs w:val="32"/>
        </w:rPr>
        <w:t>三公</w:t>
      </w:r>
      <w:r>
        <w:rPr>
          <w:rFonts w:ascii="仿宋" w:hAnsi="仿宋" w:eastAsia="仿宋"/>
          <w:sz w:val="32"/>
          <w:szCs w:val="32"/>
        </w:rPr>
        <w:t>"</w:t>
      </w:r>
      <w:r>
        <w:rPr>
          <w:rFonts w:hint="eastAsia" w:ascii="仿宋" w:hAnsi="仿宋" w:eastAsia="仿宋"/>
          <w:sz w:val="32"/>
          <w:szCs w:val="32"/>
        </w:rPr>
        <w:t>经费财政拨款安排2.33万元，其中：</w:t>
      </w:r>
    </w:p>
    <w:p>
      <w:pPr>
        <w:pStyle w:val="5"/>
        <w:spacing w:before="0" w:beforeAutospacing="0" w:after="0" w:afterAutospacing="0" w:line="480" w:lineRule="atLeast"/>
        <w:ind w:firstLine="645"/>
        <w:rPr>
          <w:rFonts w:ascii="仿宋" w:hAnsi="仿宋" w:eastAsia="仿宋"/>
          <w:sz w:val="32"/>
          <w:szCs w:val="32"/>
          <w:u w:val="single"/>
        </w:rPr>
      </w:pPr>
      <w:r>
        <w:rPr>
          <w:rFonts w:ascii="仿宋" w:hAnsi="仿宋" w:eastAsia="仿宋"/>
          <w:sz w:val="32"/>
          <w:szCs w:val="32"/>
        </w:rPr>
        <w:t>因公出国</w:t>
      </w:r>
      <w:r>
        <w:rPr>
          <w:rFonts w:hint="eastAsia" w:ascii="仿宋" w:hAnsi="仿宋" w:eastAsia="仿宋"/>
          <w:sz w:val="32"/>
          <w:szCs w:val="32"/>
        </w:rPr>
        <w:t>0</w:t>
      </w:r>
      <w:r>
        <w:rPr>
          <w:rFonts w:ascii="仿宋" w:hAnsi="仿宋" w:eastAsia="仿宋"/>
          <w:sz w:val="32"/>
          <w:szCs w:val="32"/>
        </w:rPr>
        <w:t>万元,比上年增（减）</w:t>
      </w:r>
      <w:r>
        <w:rPr>
          <w:rFonts w:hint="eastAsia" w:ascii="仿宋" w:hAnsi="仿宋" w:eastAsia="仿宋"/>
          <w:sz w:val="32"/>
          <w:szCs w:val="32"/>
          <w:u w:val="single"/>
        </w:rPr>
        <w:t>0</w:t>
      </w:r>
      <w:r>
        <w:rPr>
          <w:rFonts w:ascii="仿宋" w:hAnsi="仿宋" w:eastAsia="仿宋"/>
          <w:sz w:val="32"/>
          <w:szCs w:val="32"/>
        </w:rPr>
        <w:t>万元，主要原因是：</w:t>
      </w:r>
      <w:r>
        <w:rPr>
          <w:rFonts w:hint="eastAsia" w:ascii="仿宋" w:hAnsi="仿宋" w:eastAsia="仿宋"/>
          <w:sz w:val="32"/>
          <w:szCs w:val="32"/>
          <w:u w:val="single"/>
        </w:rPr>
        <w:t>与上年安排保持一致</w:t>
      </w:r>
      <w:r>
        <w:rPr>
          <w:rFonts w:ascii="仿宋" w:hAnsi="仿宋" w:eastAsia="仿宋"/>
          <w:sz w:val="32"/>
          <w:szCs w:val="32"/>
          <w:u w:val="single"/>
        </w:rPr>
        <w:t>。</w:t>
      </w:r>
    </w:p>
    <w:p>
      <w:pPr>
        <w:pStyle w:val="5"/>
        <w:spacing w:before="0" w:beforeAutospacing="0" w:after="0" w:afterAutospacing="0" w:line="480" w:lineRule="atLeast"/>
        <w:ind w:firstLine="645"/>
        <w:rPr>
          <w:rFonts w:ascii="仿宋" w:hAnsi="仿宋" w:eastAsia="仿宋"/>
          <w:sz w:val="32"/>
          <w:szCs w:val="32"/>
          <w:u w:val="single"/>
        </w:rPr>
      </w:pPr>
      <w:r>
        <w:rPr>
          <w:rFonts w:ascii="仿宋" w:hAnsi="仿宋" w:eastAsia="仿宋"/>
          <w:sz w:val="32"/>
          <w:szCs w:val="32"/>
        </w:rPr>
        <w:t>公务接待</w:t>
      </w:r>
      <w:r>
        <w:rPr>
          <w:rFonts w:hint="eastAsia" w:ascii="仿宋" w:hAnsi="仿宋" w:eastAsia="仿宋"/>
          <w:sz w:val="32"/>
          <w:szCs w:val="32"/>
        </w:rPr>
        <w:t>0.7</w:t>
      </w:r>
      <w:r>
        <w:rPr>
          <w:rFonts w:ascii="仿宋" w:hAnsi="仿宋" w:eastAsia="仿宋"/>
          <w:sz w:val="32"/>
          <w:szCs w:val="32"/>
        </w:rPr>
        <w:t>万元,</w:t>
      </w:r>
      <w:r>
        <w:rPr>
          <w:rFonts w:hint="eastAsia" w:ascii="仿宋" w:hAnsi="仿宋" w:eastAsia="仿宋"/>
          <w:sz w:val="32"/>
          <w:szCs w:val="32"/>
        </w:rPr>
        <w:t>和上年一样</w:t>
      </w:r>
      <w:r>
        <w:rPr>
          <w:rFonts w:ascii="仿宋" w:hAnsi="仿宋" w:eastAsia="仿宋"/>
          <w:sz w:val="32"/>
          <w:szCs w:val="32"/>
        </w:rPr>
        <w:t>，主要原因是：</w:t>
      </w:r>
      <w:r>
        <w:rPr>
          <w:rFonts w:hint="eastAsia" w:ascii="仿宋" w:hAnsi="仿宋" w:eastAsia="仿宋"/>
          <w:sz w:val="32"/>
          <w:szCs w:val="32"/>
          <w:u w:val="single"/>
        </w:rPr>
        <w:t>严格执行八项规定，根据工作需要维持公务接待费用</w:t>
      </w:r>
      <w:r>
        <w:rPr>
          <w:rFonts w:ascii="仿宋" w:hAnsi="仿宋" w:eastAsia="仿宋"/>
          <w:sz w:val="32"/>
          <w:szCs w:val="32"/>
          <w:u w:val="single"/>
        </w:rPr>
        <w:t>。</w:t>
      </w:r>
    </w:p>
    <w:p>
      <w:pPr>
        <w:pStyle w:val="5"/>
        <w:spacing w:before="0" w:beforeAutospacing="0" w:after="0" w:afterAutospacing="0" w:line="480" w:lineRule="atLeast"/>
        <w:ind w:firstLine="645"/>
        <w:rPr>
          <w:rFonts w:ascii="仿宋" w:hAnsi="仿宋" w:eastAsia="仿宋"/>
          <w:sz w:val="32"/>
          <w:szCs w:val="32"/>
          <w:u w:val="single"/>
        </w:rPr>
      </w:pPr>
      <w:r>
        <w:rPr>
          <w:rFonts w:ascii="仿宋" w:hAnsi="仿宋" w:eastAsia="仿宋"/>
          <w:sz w:val="32"/>
          <w:szCs w:val="32"/>
        </w:rPr>
        <w:t>公务用车运行</w:t>
      </w:r>
      <w:r>
        <w:rPr>
          <w:rFonts w:hint="eastAsia" w:ascii="仿宋" w:hAnsi="仿宋" w:eastAsia="仿宋"/>
          <w:sz w:val="32"/>
          <w:szCs w:val="32"/>
        </w:rPr>
        <w:t>1.63</w:t>
      </w:r>
      <w:r>
        <w:rPr>
          <w:rFonts w:ascii="仿宋" w:hAnsi="仿宋" w:eastAsia="仿宋"/>
          <w:sz w:val="32"/>
          <w:szCs w:val="32"/>
        </w:rPr>
        <w:t>万元,</w:t>
      </w:r>
      <w:r>
        <w:rPr>
          <w:rFonts w:hint="eastAsia" w:ascii="仿宋" w:hAnsi="仿宋" w:eastAsia="仿宋"/>
          <w:sz w:val="32"/>
          <w:szCs w:val="32"/>
        </w:rPr>
        <w:t>和上年一样</w:t>
      </w:r>
      <w:r>
        <w:rPr>
          <w:rFonts w:ascii="仿宋" w:hAnsi="仿宋" w:eastAsia="仿宋"/>
          <w:sz w:val="32"/>
          <w:szCs w:val="32"/>
        </w:rPr>
        <w:t>，主要原因是：</w:t>
      </w:r>
      <w:r>
        <w:rPr>
          <w:rFonts w:hint="eastAsia" w:ascii="仿宋" w:hAnsi="仿宋" w:eastAsia="仿宋"/>
          <w:sz w:val="32"/>
          <w:szCs w:val="32"/>
          <w:u w:val="single"/>
        </w:rPr>
        <w:t>根据九江市文件要求以及工作需要维持公务用车费用</w:t>
      </w:r>
      <w:r>
        <w:rPr>
          <w:rFonts w:ascii="仿宋" w:hAnsi="仿宋" w:eastAsia="仿宋"/>
          <w:sz w:val="32"/>
          <w:szCs w:val="32"/>
          <w:u w:val="single"/>
        </w:rPr>
        <w:t>。</w:t>
      </w:r>
    </w:p>
    <w:p>
      <w:pPr>
        <w:pStyle w:val="5"/>
        <w:spacing w:before="0" w:beforeAutospacing="0" w:after="0" w:afterAutospacing="0" w:line="480" w:lineRule="atLeast"/>
        <w:ind w:firstLine="645"/>
        <w:rPr>
          <w:rFonts w:ascii="仿宋" w:hAnsi="仿宋" w:eastAsia="仿宋"/>
          <w:sz w:val="32"/>
          <w:szCs w:val="32"/>
        </w:rPr>
      </w:pPr>
      <w:r>
        <w:rPr>
          <w:rFonts w:ascii="仿宋" w:hAnsi="仿宋" w:eastAsia="仿宋"/>
          <w:sz w:val="32"/>
          <w:szCs w:val="32"/>
        </w:rPr>
        <w:t>公务用车购置</w:t>
      </w:r>
      <w:r>
        <w:rPr>
          <w:rFonts w:hint="eastAsia" w:ascii="仿宋" w:hAnsi="仿宋" w:eastAsia="仿宋"/>
          <w:sz w:val="32"/>
          <w:szCs w:val="32"/>
        </w:rPr>
        <w:t>0</w:t>
      </w:r>
      <w:r>
        <w:rPr>
          <w:rFonts w:ascii="仿宋" w:hAnsi="仿宋" w:eastAsia="仿宋"/>
          <w:sz w:val="32"/>
          <w:szCs w:val="32"/>
        </w:rPr>
        <w:t>万元,比上年增（减）</w:t>
      </w:r>
      <w:r>
        <w:rPr>
          <w:rFonts w:hint="eastAsia" w:ascii="仿宋" w:hAnsi="仿宋" w:eastAsia="仿宋"/>
          <w:sz w:val="32"/>
          <w:szCs w:val="32"/>
          <w:u w:val="single"/>
        </w:rPr>
        <w:t>0</w:t>
      </w:r>
      <w:r>
        <w:rPr>
          <w:rFonts w:ascii="仿宋" w:hAnsi="仿宋" w:eastAsia="仿宋"/>
          <w:sz w:val="32"/>
          <w:szCs w:val="32"/>
        </w:rPr>
        <w:t>万元，主要原因是：</w:t>
      </w:r>
      <w:r>
        <w:rPr>
          <w:rFonts w:hint="eastAsia" w:ascii="仿宋" w:hAnsi="仿宋" w:eastAsia="仿宋"/>
          <w:sz w:val="32"/>
          <w:szCs w:val="32"/>
          <w:u w:val="single"/>
        </w:rPr>
        <w:t>与上年安排保持一致</w:t>
      </w:r>
      <w:r>
        <w:rPr>
          <w:rFonts w:ascii="仿宋" w:hAnsi="仿宋" w:eastAsia="仿宋"/>
          <w:sz w:val="32"/>
          <w:szCs w:val="32"/>
        </w:rPr>
        <w:t>。</w:t>
      </w:r>
      <w:r>
        <w:rPr>
          <w:rFonts w:ascii="仿宋" w:hAnsi="仿宋" w:eastAsia="仿宋"/>
          <w:sz w:val="32"/>
          <w:szCs w:val="32"/>
        </w:rPr>
        <w:fldChar w:fldCharType="begin"/>
      </w:r>
      <w:r>
        <w:rPr>
          <w:rFonts w:ascii="仿宋" w:hAnsi="仿宋" w:eastAsia="仿宋"/>
          <w:sz w:val="32"/>
          <w:szCs w:val="32"/>
        </w:rPr>
        <w:instrText xml:space="preserve">MERGEFIELD ${page400644146.ds215660413_REP_BGT_T_HC1100002019_DXQ02_ZCSGGZ}</w:instrText>
      </w:r>
      <w:r>
        <w:rPr>
          <w:rFonts w:ascii="仿宋" w:hAnsi="仿宋" w:eastAsia="仿宋"/>
          <w:sz w:val="32"/>
          <w:szCs w:val="32"/>
        </w:rPr>
        <w:fldChar w:fldCharType="end"/>
      </w:r>
    </w:p>
    <w:p>
      <w:pPr>
        <w:ind w:firstLine="640" w:firstLineChars="200"/>
        <w:jc w:val="left"/>
        <w:rPr>
          <w:rFonts w:ascii="仿宋" w:hAnsi="仿宋" w:eastAsia="仿宋"/>
          <w:bCs/>
          <w:color w:val="548DD4" w:themeColor="text2" w:themeTint="99"/>
          <w:sz w:val="32"/>
          <w:szCs w:val="32"/>
        </w:rPr>
      </w:pPr>
      <w:r>
        <w:rPr>
          <w:rFonts w:ascii="仿宋" w:hAnsi="仿宋" w:eastAsia="仿宋"/>
          <w:bCs/>
          <w:color w:val="548DD4" w:themeColor="text2" w:themeTint="99"/>
          <w:sz w:val="32"/>
          <w:szCs w:val="32"/>
        </w:rPr>
        <w:fldChar w:fldCharType="begin"/>
      </w:r>
      <w:r>
        <w:rPr>
          <w:rFonts w:ascii="仿宋" w:hAnsi="仿宋" w:eastAsia="仿宋"/>
          <w:bCs/>
          <w:color w:val="548DD4" w:themeColor="text2" w:themeTint="99"/>
          <w:sz w:val="32"/>
          <w:szCs w:val="32"/>
        </w:rPr>
        <w:instrText xml:space="preserve">MERGEFIELD ${page400644146.ds215660413_REP_BGT_T_HC1100002019_DXQ02_ZCSGGZ}</w:instrText>
      </w:r>
      <w:r>
        <w:rPr>
          <w:rFonts w:ascii="仿宋" w:hAnsi="仿宋" w:eastAsia="仿宋"/>
          <w:bCs/>
          <w:color w:val="548DD4" w:themeColor="text2" w:themeTint="99"/>
          <w:sz w:val="32"/>
          <w:szCs w:val="32"/>
        </w:rPr>
        <w:fldChar w:fldCharType="end"/>
      </w:r>
    </w:p>
    <w:p>
      <w:pPr>
        <w:pStyle w:val="5"/>
        <w:shd w:val="clear" w:color="auto" w:fill="FFFFFF"/>
        <w:spacing w:before="0" w:beforeAutospacing="0" w:after="0" w:afterAutospacing="0" w:line="480" w:lineRule="atLeast"/>
        <w:ind w:firstLine="645"/>
        <w:jc w:val="center"/>
        <w:rPr>
          <w:rStyle w:val="8"/>
          <w:rFonts w:ascii="仿宋" w:hAnsi="仿宋" w:eastAsia="仿宋"/>
          <w:sz w:val="32"/>
          <w:szCs w:val="32"/>
        </w:rPr>
      </w:pPr>
      <w:r>
        <w:rPr>
          <w:rStyle w:val="8"/>
          <w:rFonts w:hint="eastAsia" w:ascii="仿宋" w:hAnsi="仿宋" w:eastAsia="仿宋"/>
          <w:sz w:val="32"/>
          <w:szCs w:val="32"/>
        </w:rPr>
        <w:t>第四部分   名词解释</w:t>
      </w:r>
    </w:p>
    <w:p>
      <w:pPr>
        <w:pStyle w:val="5"/>
        <w:shd w:val="clear" w:color="auto" w:fill="FFFFFF"/>
        <w:spacing w:before="0" w:beforeAutospacing="0" w:after="0" w:afterAutospacing="0" w:line="480" w:lineRule="atLeast"/>
        <w:ind w:firstLine="795"/>
        <w:rPr>
          <w:rFonts w:ascii="仿宋" w:hAnsi="仿宋" w:eastAsia="仿宋"/>
          <w:bCs/>
          <w:sz w:val="32"/>
          <w:szCs w:val="32"/>
        </w:rPr>
      </w:pPr>
      <w:r>
        <w:rPr>
          <w:rFonts w:hint="eastAsia" w:ascii="仿宋" w:hAnsi="仿宋" w:eastAsia="仿宋"/>
          <w:bCs/>
          <w:sz w:val="32"/>
          <w:szCs w:val="32"/>
        </w:rPr>
        <w:t>一、收入科目</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（一）财政拨款：指市级财政当年拨付的资金。</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（二）其他收入：指除财政拨款、事业收入、事业单位经营收入等以外的各项收入。</w:t>
      </w:r>
    </w:p>
    <w:p>
      <w:pPr>
        <w:ind w:firstLine="1120" w:firstLineChars="350"/>
        <w:rPr>
          <w:rStyle w:val="8"/>
          <w:rFonts w:ascii="仿宋" w:hAnsi="仿宋" w:eastAsia="仿宋" w:cs="宋体"/>
          <w:b w:val="0"/>
          <w:kern w:val="0"/>
          <w:sz w:val="32"/>
          <w:szCs w:val="32"/>
        </w:rPr>
      </w:pPr>
      <w:r>
        <w:rPr>
          <w:rStyle w:val="8"/>
          <w:rFonts w:hint="eastAsia" w:ascii="仿宋" w:hAnsi="仿宋" w:eastAsia="仿宋" w:cs="宋体"/>
          <w:b w:val="0"/>
          <w:kern w:val="0"/>
          <w:sz w:val="32"/>
          <w:szCs w:val="32"/>
        </w:rPr>
        <w:t>二、支出科目</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一）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（二）项目支出：指在基本支出之外为完成特定行政任务和事业发展目标所发生的支出。</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（三）工资福利支出（支出经济分类科目类级）：反映单位开支的在职职工和编制外长期聘用人员的各类劳动报酬，以及为上述人员缴纳的各项社会保险费等。</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（四）商品和服务支出（支出经济分类科目类级）：反映单位购买商品和服务的支出（不包括用于购置固定资产的支出、战略性和应急储备支出）。</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（五）对个人和家庭的补助（支出经济分类科目类级）：反映用于对个人和家庭的补助支出。</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（六）行政运行（2013801）：反映为行政单位的基本支出。</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（七）机关事业单位基本养老保险缴费支出（2080505）：机关事业单位实施养老保险制度由单位交纳的基本养老保险费支出。</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（八）行政单位医疗（2101101）：财政部门安排的事业单位基本医疗保险缴费支出。</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（九）住房公积金（2210201）：行政事业单位按人力资源和社会保障部、财政部规定的基本工资和津贴补贴以及规定比例为职工交纳的住房公积金。</w:t>
      </w:r>
    </w:p>
    <w:p>
      <w:pPr>
        <w:ind w:firstLine="640" w:firstLineChars="200"/>
        <w:rPr>
          <w:rStyle w:val="8"/>
          <w:rFonts w:ascii="仿宋" w:hAnsi="仿宋" w:eastAsia="仿宋" w:cs="宋体"/>
          <w:b w:val="0"/>
          <w:kern w:val="0"/>
          <w:sz w:val="32"/>
          <w:szCs w:val="32"/>
        </w:rPr>
      </w:pPr>
      <w:r>
        <w:rPr>
          <w:rStyle w:val="8"/>
          <w:rFonts w:hint="eastAsia" w:ascii="仿宋" w:hAnsi="仿宋" w:eastAsia="仿宋" w:cs="宋体"/>
          <w:b w:val="0"/>
          <w:kern w:val="0"/>
          <w:sz w:val="32"/>
          <w:szCs w:val="32"/>
        </w:rPr>
        <w:t>三、相关专业名词</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 用等支出；公务接待费反映单位按规定开支的各类公务接待（含外宾接待）支出。</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三）绩效评价，是指财政部门、预算部门及单位，依据设定的绩效目标，运用科学、合理的绩效评价指标、评价标准和评价方法，对财政支出的经济性、效率性、效益性和公平性进行客观、公正的测量、分析和评判。</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（四）专用材料费：反映单位购买日常专用材料的支出，例如快速检验试剂盒</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（五）被装购置费：反映单位的被装购置支出，例如制服采购</w:t>
      </w:r>
    </w:p>
    <w:p>
      <w:pPr>
        <w:pStyle w:val="5"/>
        <w:spacing w:before="0" w:beforeAutospacing="0" w:after="0" w:afterAutospacing="0" w:line="480" w:lineRule="atLeast"/>
        <w:ind w:firstLine="645"/>
        <w:rPr>
          <w:rFonts w:ascii="仿宋" w:hAnsi="仿宋" w:eastAsia="仿宋"/>
          <w:sz w:val="32"/>
          <w:szCs w:val="32"/>
        </w:rPr>
      </w:pPr>
      <w:r>
        <w:rPr>
          <w:rFonts w:hint="eastAsia" w:ascii="仿宋" w:hAnsi="仿宋" w:eastAsia="仿宋"/>
          <w:sz w:val="32"/>
          <w:szCs w:val="32"/>
        </w:rPr>
        <w:t>（六）委托业务费：反映单位委托外单位的劳务费用，例如委托第三方机构进行食品药品抽检。</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llY2Y3OTYzM2NlY2M2ODYwOTE2M2JiYTYxOGUwMTMifQ=="/>
  </w:docVars>
  <w:rsids>
    <w:rsidRoot w:val="00DF43D8"/>
    <w:rsid w:val="000001B2"/>
    <w:rsid w:val="000115C3"/>
    <w:rsid w:val="00014049"/>
    <w:rsid w:val="0001648A"/>
    <w:rsid w:val="00022CB3"/>
    <w:rsid w:val="00031749"/>
    <w:rsid w:val="00041EAA"/>
    <w:rsid w:val="00045870"/>
    <w:rsid w:val="00055F20"/>
    <w:rsid w:val="000630BE"/>
    <w:rsid w:val="0006515E"/>
    <w:rsid w:val="00066B74"/>
    <w:rsid w:val="00075F60"/>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407"/>
    <w:rsid w:val="00193C37"/>
    <w:rsid w:val="001C09FB"/>
    <w:rsid w:val="001C4ED5"/>
    <w:rsid w:val="001C6F31"/>
    <w:rsid w:val="001D2644"/>
    <w:rsid w:val="001E6FA2"/>
    <w:rsid w:val="001F1DED"/>
    <w:rsid w:val="0021331D"/>
    <w:rsid w:val="00213D4E"/>
    <w:rsid w:val="002255DA"/>
    <w:rsid w:val="0022612A"/>
    <w:rsid w:val="00232A32"/>
    <w:rsid w:val="002343A2"/>
    <w:rsid w:val="002376ED"/>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C7AB5"/>
    <w:rsid w:val="002D2681"/>
    <w:rsid w:val="002D418E"/>
    <w:rsid w:val="002D497C"/>
    <w:rsid w:val="002E2EE9"/>
    <w:rsid w:val="0030186C"/>
    <w:rsid w:val="003057A1"/>
    <w:rsid w:val="0032092A"/>
    <w:rsid w:val="00334A98"/>
    <w:rsid w:val="003560FC"/>
    <w:rsid w:val="0036119C"/>
    <w:rsid w:val="00380DD1"/>
    <w:rsid w:val="0038227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1BD9"/>
    <w:rsid w:val="00472987"/>
    <w:rsid w:val="00480768"/>
    <w:rsid w:val="00487EF1"/>
    <w:rsid w:val="00495985"/>
    <w:rsid w:val="00496629"/>
    <w:rsid w:val="004A0058"/>
    <w:rsid w:val="004B06B4"/>
    <w:rsid w:val="004D2293"/>
    <w:rsid w:val="004D46B3"/>
    <w:rsid w:val="004D6A23"/>
    <w:rsid w:val="004E0577"/>
    <w:rsid w:val="004E5555"/>
    <w:rsid w:val="004F51F3"/>
    <w:rsid w:val="004F5378"/>
    <w:rsid w:val="004F7260"/>
    <w:rsid w:val="005006DE"/>
    <w:rsid w:val="00502AB1"/>
    <w:rsid w:val="00516279"/>
    <w:rsid w:val="0052139B"/>
    <w:rsid w:val="0052565B"/>
    <w:rsid w:val="00526265"/>
    <w:rsid w:val="00526CE0"/>
    <w:rsid w:val="00532264"/>
    <w:rsid w:val="00536969"/>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6C72"/>
    <w:rsid w:val="005D7ACB"/>
    <w:rsid w:val="005F090C"/>
    <w:rsid w:val="005F35BD"/>
    <w:rsid w:val="005F69D4"/>
    <w:rsid w:val="00604F65"/>
    <w:rsid w:val="00611FE7"/>
    <w:rsid w:val="006168F7"/>
    <w:rsid w:val="006172FA"/>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C5CFE"/>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4B92"/>
    <w:rsid w:val="008B52E8"/>
    <w:rsid w:val="008C011F"/>
    <w:rsid w:val="008C01B1"/>
    <w:rsid w:val="008C6EEE"/>
    <w:rsid w:val="008E1EFA"/>
    <w:rsid w:val="00902917"/>
    <w:rsid w:val="0091783F"/>
    <w:rsid w:val="00940A1B"/>
    <w:rsid w:val="0094115F"/>
    <w:rsid w:val="009421D2"/>
    <w:rsid w:val="0094514C"/>
    <w:rsid w:val="00946A59"/>
    <w:rsid w:val="009471C3"/>
    <w:rsid w:val="0095097A"/>
    <w:rsid w:val="009527A7"/>
    <w:rsid w:val="00952D86"/>
    <w:rsid w:val="009557AC"/>
    <w:rsid w:val="00956999"/>
    <w:rsid w:val="009619B4"/>
    <w:rsid w:val="00964DCD"/>
    <w:rsid w:val="0097222E"/>
    <w:rsid w:val="00973905"/>
    <w:rsid w:val="0097415C"/>
    <w:rsid w:val="00984ACE"/>
    <w:rsid w:val="009A4624"/>
    <w:rsid w:val="009A7AB9"/>
    <w:rsid w:val="009B4813"/>
    <w:rsid w:val="009C2EBF"/>
    <w:rsid w:val="009C2F9D"/>
    <w:rsid w:val="009E1C45"/>
    <w:rsid w:val="009E1F3F"/>
    <w:rsid w:val="009F72E5"/>
    <w:rsid w:val="00A0455D"/>
    <w:rsid w:val="00A10F16"/>
    <w:rsid w:val="00A2168A"/>
    <w:rsid w:val="00A33186"/>
    <w:rsid w:val="00A345A4"/>
    <w:rsid w:val="00A54282"/>
    <w:rsid w:val="00A55773"/>
    <w:rsid w:val="00A60B4D"/>
    <w:rsid w:val="00A81B89"/>
    <w:rsid w:val="00A81BA2"/>
    <w:rsid w:val="00A954A3"/>
    <w:rsid w:val="00AA3821"/>
    <w:rsid w:val="00AA4301"/>
    <w:rsid w:val="00AA5D54"/>
    <w:rsid w:val="00AB4B24"/>
    <w:rsid w:val="00AB656D"/>
    <w:rsid w:val="00AB7307"/>
    <w:rsid w:val="00AC370A"/>
    <w:rsid w:val="00AD40D5"/>
    <w:rsid w:val="00AE09D7"/>
    <w:rsid w:val="00AE18ED"/>
    <w:rsid w:val="00AF095D"/>
    <w:rsid w:val="00AF3859"/>
    <w:rsid w:val="00AF57C9"/>
    <w:rsid w:val="00AF62CD"/>
    <w:rsid w:val="00B02A32"/>
    <w:rsid w:val="00B03381"/>
    <w:rsid w:val="00B128C8"/>
    <w:rsid w:val="00B15E09"/>
    <w:rsid w:val="00B169A7"/>
    <w:rsid w:val="00B27605"/>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90403"/>
    <w:rsid w:val="00C9676D"/>
    <w:rsid w:val="00CC076E"/>
    <w:rsid w:val="00CC1B30"/>
    <w:rsid w:val="00CC4504"/>
    <w:rsid w:val="00CC4FF5"/>
    <w:rsid w:val="00CC517F"/>
    <w:rsid w:val="00CD0083"/>
    <w:rsid w:val="00CD517A"/>
    <w:rsid w:val="00CD5B22"/>
    <w:rsid w:val="00CE1A2B"/>
    <w:rsid w:val="00CE6F1B"/>
    <w:rsid w:val="00CE7185"/>
    <w:rsid w:val="00CF0A52"/>
    <w:rsid w:val="00D00272"/>
    <w:rsid w:val="00D01624"/>
    <w:rsid w:val="00D039E2"/>
    <w:rsid w:val="00D04977"/>
    <w:rsid w:val="00D11449"/>
    <w:rsid w:val="00D14B5F"/>
    <w:rsid w:val="00D17D0A"/>
    <w:rsid w:val="00D20C6C"/>
    <w:rsid w:val="00D23489"/>
    <w:rsid w:val="00D31A18"/>
    <w:rsid w:val="00D3381E"/>
    <w:rsid w:val="00D36173"/>
    <w:rsid w:val="00D41219"/>
    <w:rsid w:val="00D524EE"/>
    <w:rsid w:val="00D649C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466AA"/>
    <w:rsid w:val="00E503CC"/>
    <w:rsid w:val="00E5794A"/>
    <w:rsid w:val="00E60E90"/>
    <w:rsid w:val="00E6777E"/>
    <w:rsid w:val="00E70025"/>
    <w:rsid w:val="00E83029"/>
    <w:rsid w:val="00E86124"/>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07AB3"/>
    <w:rsid w:val="00F11FE4"/>
    <w:rsid w:val="00F132AE"/>
    <w:rsid w:val="00F2583E"/>
    <w:rsid w:val="00F32E83"/>
    <w:rsid w:val="00F95E5A"/>
    <w:rsid w:val="00F975EB"/>
    <w:rsid w:val="00FA278B"/>
    <w:rsid w:val="00FA354D"/>
    <w:rsid w:val="00FA3B89"/>
    <w:rsid w:val="00FB1979"/>
    <w:rsid w:val="00FD29E0"/>
    <w:rsid w:val="00FD5EC9"/>
    <w:rsid w:val="00FD7F3E"/>
    <w:rsid w:val="00FE0E90"/>
    <w:rsid w:val="00FE32CC"/>
    <w:rsid w:val="00FF60EC"/>
    <w:rsid w:val="00FF6368"/>
    <w:rsid w:val="00FF7FED"/>
    <w:rsid w:val="02263797"/>
    <w:rsid w:val="054C3101"/>
    <w:rsid w:val="067A6028"/>
    <w:rsid w:val="068F47B3"/>
    <w:rsid w:val="08EC3843"/>
    <w:rsid w:val="0A0925FF"/>
    <w:rsid w:val="0C97247A"/>
    <w:rsid w:val="0D1A7920"/>
    <w:rsid w:val="0D2269B3"/>
    <w:rsid w:val="0DB3098E"/>
    <w:rsid w:val="13FB007C"/>
    <w:rsid w:val="16B036C0"/>
    <w:rsid w:val="17967B17"/>
    <w:rsid w:val="1A705E7F"/>
    <w:rsid w:val="1ACB68E1"/>
    <w:rsid w:val="1E491A3B"/>
    <w:rsid w:val="1F1F7406"/>
    <w:rsid w:val="206D0602"/>
    <w:rsid w:val="22430342"/>
    <w:rsid w:val="23977FB1"/>
    <w:rsid w:val="245C3447"/>
    <w:rsid w:val="25B931E9"/>
    <w:rsid w:val="28263441"/>
    <w:rsid w:val="2828673B"/>
    <w:rsid w:val="290B705B"/>
    <w:rsid w:val="29981D60"/>
    <w:rsid w:val="2B2339AC"/>
    <w:rsid w:val="2C57797E"/>
    <w:rsid w:val="304075B1"/>
    <w:rsid w:val="31931AC3"/>
    <w:rsid w:val="31C53C32"/>
    <w:rsid w:val="3328400E"/>
    <w:rsid w:val="351512FA"/>
    <w:rsid w:val="39A3581F"/>
    <w:rsid w:val="3A841EE9"/>
    <w:rsid w:val="3A9F1A72"/>
    <w:rsid w:val="3ACF1B11"/>
    <w:rsid w:val="3B7D1841"/>
    <w:rsid w:val="3BA35A87"/>
    <w:rsid w:val="3BA6547C"/>
    <w:rsid w:val="3F383632"/>
    <w:rsid w:val="3FF84E58"/>
    <w:rsid w:val="4052753A"/>
    <w:rsid w:val="42DC038C"/>
    <w:rsid w:val="45D833CA"/>
    <w:rsid w:val="464E5AFF"/>
    <w:rsid w:val="4DB628F2"/>
    <w:rsid w:val="4E0D4F31"/>
    <w:rsid w:val="4EFF051F"/>
    <w:rsid w:val="528E6F80"/>
    <w:rsid w:val="53516268"/>
    <w:rsid w:val="55924F68"/>
    <w:rsid w:val="55EE43AE"/>
    <w:rsid w:val="56C47F55"/>
    <w:rsid w:val="5EA31F07"/>
    <w:rsid w:val="5F193B70"/>
    <w:rsid w:val="61E31A71"/>
    <w:rsid w:val="62283DE4"/>
    <w:rsid w:val="63E33020"/>
    <w:rsid w:val="656229B9"/>
    <w:rsid w:val="658856FB"/>
    <w:rsid w:val="67666531"/>
    <w:rsid w:val="67DC7D34"/>
    <w:rsid w:val="68E97589"/>
    <w:rsid w:val="6BE248E5"/>
    <w:rsid w:val="6C515AE7"/>
    <w:rsid w:val="6CCB135B"/>
    <w:rsid w:val="6EAF555B"/>
    <w:rsid w:val="6EDB6140"/>
    <w:rsid w:val="6F2C7111"/>
    <w:rsid w:val="6F7B5355"/>
    <w:rsid w:val="714A36AC"/>
    <w:rsid w:val="72746F20"/>
    <w:rsid w:val="73543105"/>
    <w:rsid w:val="73926756"/>
    <w:rsid w:val="73A85115"/>
    <w:rsid w:val="759E1500"/>
    <w:rsid w:val="7C1C38B8"/>
    <w:rsid w:val="7D1C2D3E"/>
    <w:rsid w:val="7EAD5634"/>
    <w:rsid w:val="7EC67D80"/>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6"/>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Hyperlink"/>
    <w:basedOn w:val="7"/>
    <w:qFormat/>
    <w:uiPriority w:val="0"/>
    <w:rPr>
      <w:color w:val="0000FF"/>
      <w:u w:val="single"/>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 w:type="character" w:customStyle="1" w:styleId="12">
    <w:name w:val="row_tree_level_3"/>
    <w:basedOn w:val="7"/>
    <w:qFormat/>
    <w:uiPriority w:val="0"/>
  </w:style>
  <w:style w:type="character" w:customStyle="1" w:styleId="13">
    <w:name w:val="row_tree_level_4"/>
    <w:basedOn w:val="7"/>
    <w:qFormat/>
    <w:uiPriority w:val="0"/>
  </w:style>
  <w:style w:type="paragraph" w:customStyle="1" w:styleId="14">
    <w:name w:val="p0"/>
    <w:basedOn w:val="1"/>
    <w:qFormat/>
    <w:uiPriority w:val="0"/>
    <w:pPr>
      <w:widowControl/>
    </w:pPr>
    <w:rPr>
      <w:rFonts w:ascii="Times New Roman" w:hAnsi="Times New Roman" w:eastAsia="宋体" w:cs="Times New Roman"/>
      <w:kern w:val="0"/>
      <w:szCs w:val="21"/>
    </w:rPr>
  </w:style>
  <w:style w:type="character" w:customStyle="1" w:styleId="15">
    <w:name w:val="15"/>
    <w:basedOn w:val="7"/>
    <w:qFormat/>
    <w:uiPriority w:val="0"/>
    <w:rPr>
      <w:rFonts w:hint="default" w:ascii="Times New Roman" w:hAnsi="Times New Roman" w:cs="Times New Roman"/>
      <w:sz w:val="20"/>
      <w:szCs w:val="20"/>
    </w:rPr>
  </w:style>
  <w:style w:type="character" w:customStyle="1" w:styleId="16">
    <w:name w:val="批注框文本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997</Words>
  <Characters>5684</Characters>
  <Lines>47</Lines>
  <Paragraphs>13</Paragraphs>
  <TotalTime>27</TotalTime>
  <ScaleCrop>false</ScaleCrop>
  <LinksUpToDate>false</LinksUpToDate>
  <CharactersWithSpaces>6668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2023-03-23T07:11:00Z</dcterms:created>
  <dc:creator>NTKO</dc:creator>
  <cp:lastModifiedBy>XLC</cp:lastModifiedBy>
  <dcterms:modified xsi:type="dcterms:W3CDTF">2025-08-28T04:56:18Z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71ECD1639C7F45DE85E3DE8D80F2018C</vt:lpwstr>
  </property>
</Properties>
</file>