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50539">
      <w:pPr>
        <w:widowControl/>
        <w:spacing w:line="520" w:lineRule="atLeast"/>
        <w:ind w:firstLine="880"/>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庐山市合作交流中心</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1EC427B9">
      <w:pPr>
        <w:pStyle w:val="13"/>
        <w:spacing w:line="600" w:lineRule="atLeast"/>
        <w:jc w:val="center"/>
        <w:rPr>
          <w:rFonts w:ascii="黑体" w:hAnsi="黑体" w:eastAsia="黑体"/>
          <w:color w:val="000000"/>
          <w:sz w:val="32"/>
          <w:szCs w:val="32"/>
        </w:rPr>
      </w:pPr>
    </w:p>
    <w:p w14:paraId="4A836929">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D1C4326">
      <w:pPr>
        <w:pStyle w:val="13"/>
        <w:rPr>
          <w:rFonts w:ascii="宋体" w:hAnsi="宋体"/>
          <w:color w:val="000000"/>
        </w:rPr>
      </w:pPr>
    </w:p>
    <w:p w14:paraId="6AC73423">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auto"/>
          <w:sz w:val="32"/>
          <w:szCs w:val="32"/>
          <w:lang w:eastAsia="zh-CN"/>
        </w:rPr>
        <w:t>庐山市合作交流中心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5151777">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68735F94">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F93A14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auto"/>
          <w:sz w:val="32"/>
          <w:szCs w:val="32"/>
          <w:lang w:eastAsia="zh-CN"/>
        </w:rPr>
        <w:t>庐山市合作交流中心</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22E87C4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2F1310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69929DC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1005DE0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5E69C01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E210EA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CC7395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4EEF2E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63EB8690">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19B19E9">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692B8F25">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F0062F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auto"/>
          <w:sz w:val="32"/>
          <w:szCs w:val="32"/>
          <w:lang w:eastAsia="zh-CN"/>
        </w:rPr>
        <w:t>庐山市合作交流中心</w:t>
      </w:r>
      <w:r>
        <w:rPr>
          <w:rFonts w:hint="eastAsia" w:ascii="仿宋_GB2312" w:eastAsia="仿宋_GB2312"/>
          <w:b/>
          <w:bCs/>
          <w:color w:val="auto"/>
          <w:sz w:val="32"/>
          <w:szCs w:val="32"/>
          <w:lang w:val="en-US" w:eastAsia="zh-CN"/>
        </w:rPr>
        <w:t xml:space="preserve"> </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44C84AC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3E6AFED1">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28A74E3">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209E27AD">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C2E4F6E">
      <w:pPr>
        <w:widowControl/>
        <w:spacing w:line="580" w:lineRule="exact"/>
        <w:jc w:val="center"/>
        <w:rPr>
          <w:rFonts w:ascii="仿宋_GB2312" w:eastAsia="仿宋_GB2312"/>
          <w:b/>
          <w:sz w:val="32"/>
          <w:szCs w:val="30"/>
        </w:rPr>
      </w:pPr>
    </w:p>
    <w:p w14:paraId="15FC3415">
      <w:pPr>
        <w:widowControl/>
        <w:spacing w:line="580" w:lineRule="exact"/>
        <w:jc w:val="center"/>
        <w:rPr>
          <w:rFonts w:ascii="仿宋_GB2312" w:eastAsia="仿宋_GB2312"/>
          <w:b/>
          <w:sz w:val="32"/>
          <w:szCs w:val="30"/>
        </w:rPr>
      </w:pPr>
    </w:p>
    <w:p w14:paraId="2479873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auto"/>
          <w:sz w:val="32"/>
          <w:szCs w:val="32"/>
          <w:lang w:eastAsia="zh-CN"/>
        </w:rPr>
        <w:t>庐山市合作交流中心</w:t>
      </w:r>
      <w:r>
        <w:rPr>
          <w:rFonts w:hint="eastAsia" w:ascii="仿宋_GB2312" w:eastAsia="仿宋_GB2312"/>
          <w:b/>
          <w:sz w:val="32"/>
          <w:szCs w:val="30"/>
        </w:rPr>
        <w:t>概况</w:t>
      </w:r>
    </w:p>
    <w:p w14:paraId="5A2AAD0B">
      <w:pPr>
        <w:widowControl/>
        <w:spacing w:line="580" w:lineRule="exact"/>
        <w:jc w:val="left"/>
        <w:rPr>
          <w:rFonts w:asciiTheme="minorEastAsia" w:hAnsiTheme="minorEastAsia"/>
          <w:b/>
          <w:sz w:val="36"/>
          <w:szCs w:val="36"/>
        </w:rPr>
      </w:pPr>
    </w:p>
    <w:p w14:paraId="70314FA1">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1485DC5B">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（一）负责贯彻执行国家、省、市有关接待工作的政策和规定；按照有关接待办法、规定的接待范围做好来市宾客接待工作；组织或参与市级有关重要会议、重大活动等接待服务工作。</w:t>
      </w:r>
    </w:p>
    <w:p w14:paraId="5510970D">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（二）承办市委、市政府以及上级部门交办的其他事项。</w:t>
      </w:r>
    </w:p>
    <w:p w14:paraId="441E279D">
      <w:pPr>
        <w:rPr>
          <w:b/>
          <w:sz w:val="36"/>
          <w:szCs w:val="36"/>
        </w:rPr>
      </w:pPr>
      <w:r>
        <w:rPr>
          <w:rFonts w:hint="eastAsia"/>
          <w:b/>
          <w:sz w:val="36"/>
          <w:szCs w:val="36"/>
        </w:rPr>
        <w:t>二、机构设置及人员情况</w:t>
      </w:r>
    </w:p>
    <w:p w14:paraId="0D0897D0">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sz w:val="32"/>
          <w:szCs w:val="32"/>
        </w:rPr>
        <w:t>202</w:t>
      </w:r>
      <w:r>
        <w:rPr>
          <w:rFonts w:hint="eastAsia" w:ascii="仿宋" w:hAnsi="仿宋" w:eastAsia="仿宋"/>
          <w:sz w:val="32"/>
          <w:szCs w:val="32"/>
        </w:rPr>
        <w:t>4年</w:t>
      </w:r>
      <w:r>
        <w:rPr>
          <w:rFonts w:hint="eastAsia" w:ascii="仿宋" w:hAnsi="仿宋" w:eastAsia="仿宋"/>
          <w:color w:val="000000" w:themeColor="text1"/>
          <w:sz w:val="32"/>
          <w:szCs w:val="32"/>
          <w14:textFill>
            <w14:solidFill>
              <w14:schemeClr w14:val="tx1"/>
            </w14:solidFill>
          </w14:textFill>
        </w:rPr>
        <w:t>共有预算单位1</w:t>
      </w:r>
      <w:r>
        <w:rPr>
          <w:rFonts w:ascii="仿宋" w:hAnsi="仿宋" w:eastAsia="仿宋"/>
          <w:color w:val="000000" w:themeColor="text1"/>
          <w:sz w:val="32"/>
          <w:szCs w:val="32"/>
          <w14:textFill>
            <w14:solidFill>
              <w14:schemeClr w14:val="tx1"/>
            </w14:solidFill>
          </w14:textFill>
        </w:rPr>
        <w:t>个，为庐山市</w:t>
      </w:r>
      <w:r>
        <w:rPr>
          <w:rFonts w:hint="eastAsia" w:ascii="仿宋" w:hAnsi="仿宋" w:eastAsia="仿宋"/>
          <w:color w:val="000000" w:themeColor="text1"/>
          <w:sz w:val="32"/>
          <w:szCs w:val="32"/>
          <w:lang w:eastAsia="zh-CN"/>
          <w14:textFill>
            <w14:solidFill>
              <w14:schemeClr w14:val="tx1"/>
            </w14:solidFill>
          </w14:textFill>
        </w:rPr>
        <w:t>合作交流中心</w:t>
      </w:r>
      <w:r>
        <w:rPr>
          <w:rFonts w:ascii="仿宋" w:hAnsi="仿宋" w:eastAsia="仿宋"/>
          <w:color w:val="000000" w:themeColor="text1"/>
          <w:sz w:val="32"/>
          <w:szCs w:val="32"/>
          <w14:textFill>
            <w14:solidFill>
              <w14:schemeClr w14:val="tx1"/>
            </w14:solidFill>
          </w14:textFill>
        </w:rPr>
        <w:t>本级。</w:t>
      </w:r>
    </w:p>
    <w:p w14:paraId="145D461D">
      <w:pPr>
        <w:ind w:firstLine="640" w:firstLineChars="200"/>
        <w:rPr>
          <w:rFonts w:hint="eastAsia" w:ascii="Adobe 仿宋 Std R" w:hAnsi="Adobe 仿宋 Std R" w:eastAsia="Adobe 仿宋 Std R" w:cstheme="minorBidi"/>
          <w:kern w:val="2"/>
          <w:sz w:val="32"/>
          <w:szCs w:val="30"/>
          <w:lang w:val="en-US" w:eastAsia="zh-CN" w:bidi="ar-SA"/>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4</w:t>
      </w:r>
      <w:r>
        <w:rPr>
          <w:rFonts w:ascii="仿宋" w:hAnsi="仿宋" w:eastAsia="仿宋"/>
          <w:sz w:val="32"/>
          <w:szCs w:val="32"/>
        </w:rPr>
        <w:t>人,全部补助事业编制人数</w:t>
      </w:r>
      <w:r>
        <w:rPr>
          <w:rFonts w:hint="eastAsia" w:ascii="仿宋" w:hAnsi="仿宋" w:eastAsia="仿宋"/>
          <w:sz w:val="32"/>
          <w:szCs w:val="32"/>
          <w:lang w:val="en-US" w:eastAsia="zh-CN"/>
        </w:rPr>
        <w:t>0</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4</w:t>
      </w:r>
      <w:r>
        <w:rPr>
          <w:rFonts w:ascii="仿宋" w:hAnsi="仿宋" w:eastAsia="仿宋"/>
          <w:sz w:val="32"/>
          <w:szCs w:val="32"/>
        </w:rPr>
        <w:t>人,全部补助事业在职人数</w:t>
      </w:r>
      <w:r>
        <w:rPr>
          <w:rFonts w:hint="eastAsia" w:ascii="仿宋" w:hAnsi="仿宋" w:eastAsia="仿宋"/>
          <w:sz w:val="32"/>
          <w:szCs w:val="32"/>
          <w:lang w:val="en-US" w:eastAsia="zh-CN"/>
        </w:rPr>
        <w:t>0</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1C11A9D9">
      <w:pPr>
        <w:ind w:firstLine="640" w:firstLineChars="200"/>
        <w:rPr>
          <w:rFonts w:hint="eastAsia" w:ascii="Adobe 仿宋 Std R" w:hAnsi="Adobe 仿宋 Std R" w:eastAsia="Adobe 仿宋 Std R" w:cstheme="minorBidi"/>
          <w:kern w:val="2"/>
          <w:sz w:val="32"/>
          <w:szCs w:val="30"/>
          <w:lang w:val="en-US" w:eastAsia="zh-CN" w:bidi="ar-SA"/>
        </w:rPr>
      </w:pPr>
    </w:p>
    <w:p w14:paraId="10121C0C">
      <w:pPr>
        <w:widowControl/>
        <w:spacing w:line="580" w:lineRule="exact"/>
        <w:jc w:val="both"/>
        <w:rPr>
          <w:rFonts w:hint="eastAsia" w:ascii="仿宋_GB2312" w:eastAsia="仿宋_GB2312"/>
          <w:b/>
          <w:sz w:val="32"/>
          <w:szCs w:val="30"/>
        </w:rPr>
      </w:pPr>
    </w:p>
    <w:p w14:paraId="1A9C54F6">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eastAsia="zh-CN"/>
        </w:rPr>
        <w:t>庐山市合作交流中心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0C6B8D4B">
      <w:pPr>
        <w:ind w:firstLine="640" w:firstLineChars="200"/>
        <w:jc w:val="left"/>
        <w:rPr>
          <w:rStyle w:val="12"/>
          <w:rFonts w:ascii="仿宋" w:hAnsi="仿宋" w:eastAsia="仿宋"/>
          <w:bCs/>
          <w:sz w:val="32"/>
          <w:szCs w:val="32"/>
        </w:rPr>
      </w:pPr>
      <w:r>
        <w:rPr>
          <w:rFonts w:hint="eastAsia" w:ascii="仿宋" w:hAnsi="仿宋" w:eastAsia="仿宋"/>
          <w:bCs/>
          <w:sz w:val="32"/>
          <w:szCs w:val="32"/>
        </w:rPr>
        <w:t>（详见附表）</w:t>
      </w:r>
    </w:p>
    <w:p w14:paraId="0261FD25">
      <w:pPr>
        <w:widowControl/>
        <w:spacing w:line="580" w:lineRule="exact"/>
        <w:jc w:val="center"/>
        <w:rPr>
          <w:rFonts w:hint="eastAsia" w:ascii="仿宋_GB2312" w:hAnsi="Calibri" w:eastAsia="仿宋_GB2312" w:cs="宋体"/>
          <w:b/>
          <w:kern w:val="0"/>
          <w:sz w:val="32"/>
          <w:szCs w:val="32"/>
        </w:rPr>
      </w:pPr>
    </w:p>
    <w:p w14:paraId="09ABB9DD">
      <w:pPr>
        <w:widowControl/>
        <w:spacing w:line="580" w:lineRule="exact"/>
        <w:jc w:val="center"/>
        <w:rPr>
          <w:rFonts w:hint="eastAsia"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auto"/>
          <w:sz w:val="32"/>
          <w:szCs w:val="30"/>
          <w:lang w:eastAsia="zh-CN"/>
        </w:rPr>
        <w:t>庐山市合作交流中心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18729702">
      <w:pPr>
        <w:widowControl/>
        <w:spacing w:line="580" w:lineRule="exact"/>
        <w:jc w:val="center"/>
        <w:rPr>
          <w:rFonts w:hint="eastAsia" w:ascii="仿宋_GB2312" w:eastAsia="仿宋_GB2312"/>
          <w:b/>
          <w:sz w:val="32"/>
          <w:szCs w:val="30"/>
        </w:rPr>
      </w:pPr>
    </w:p>
    <w:p w14:paraId="4A3559C2">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27A0A492">
      <w:pPr>
        <w:widowControl/>
        <w:spacing w:line="580" w:lineRule="exact"/>
        <w:ind w:firstLine="643" w:firstLineChars="200"/>
        <w:jc w:val="left"/>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(一)收入预算情况</w:t>
      </w:r>
    </w:p>
    <w:p w14:paraId="5519513E">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${page400644146.ds509943833_V_BGT_DEP_INCOME_DXQ01_ZJ}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收入预算总额为219.01万元，</w:t>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ascii="仿宋" w:hAnsi="仿宋" w:eastAsia="仿宋" w:cs="Times New Roman"/>
          <w:kern w:val="0"/>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${page400644146.ds509943833_V_BGT_DEP_INCOME_DXQ01_SRXMMX}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财政拨款收入219.01万元，</w:t>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p>
    <w:p w14:paraId="4598A82E">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(二)支出预算情况</w:t>
      </w:r>
    </w:p>
    <w:p w14:paraId="00B49241">
      <w:pPr>
        <w:ind w:firstLine="640" w:firstLineChars="200"/>
        <w:rPr>
          <w:rFonts w:hint="eastAsia" w:ascii="仿宋" w:hAnsi="仿宋" w:eastAsia="仿宋" w:cs="Times New Roman"/>
          <w:kern w:val="0"/>
          <w:sz w:val="32"/>
          <w:szCs w:val="32"/>
          <w:lang w:val="en-US" w:eastAsia="zh-CN"/>
        </w:rPr>
      </w:pPr>
      <w:r>
        <w:rPr>
          <w:rFonts w:hint="eastAsia" w:ascii="Adobe 仿宋 Std R" w:hAnsi="Adobe 仿宋 Std R" w:eastAsia="Adobe 仿宋 Std R" w:cstheme="minorBidi"/>
          <w:kern w:val="2"/>
          <w:sz w:val="32"/>
          <w:szCs w:val="30"/>
          <w:lang w:val="en-US" w:eastAsia="zh-CN" w:bidi="ar-SA"/>
        </w:rPr>
        <w:t>2024年庐山市合作交流中心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${page400644146.ds215660413_REP_BGT_T_HC1100002019_DXQ02_S_ZJ}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支出预算总额为219.01万元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${page400644146.ds509943833_V_BGT_DEP_INCOME_DXQ01_SRXMMX}</w:instrText>
      </w:r>
      <w:r>
        <w:rPr>
          <w:rFonts w:hint="eastAsia" w:ascii="Adobe 仿宋 Std R" w:hAnsi="Adobe 仿宋 Std R" w:eastAsia="Adobe 仿宋 Std R" w:cstheme="minorBidi"/>
          <w:kern w:val="2"/>
          <w:sz w:val="32"/>
          <w:szCs w:val="30"/>
          <w:lang w:val="en-US" w:eastAsia="zh-CN" w:bidi="ar-SA"/>
        </w:rPr>
        <w:fldChar w:fldCharType="separate"/>
      </w:r>
      <w:r>
        <w:rPr>
          <w:rFonts w:ascii="仿宋" w:hAnsi="仿宋" w:eastAsia="仿宋" w:cs="Times New Roman"/>
          <w:kern w:val="0"/>
          <w:sz w:val="32"/>
          <w:szCs w:val="32"/>
        </w:rPr>
        <w:t>较上年预算安排增加</w:t>
      </w:r>
      <w:r>
        <w:rPr>
          <w:rFonts w:hint="eastAsia" w:ascii="仿宋" w:hAnsi="仿宋" w:eastAsia="仿宋" w:cs="Times New Roman"/>
          <w:kern w:val="0"/>
          <w:sz w:val="32"/>
          <w:szCs w:val="32"/>
          <w:lang w:val="en-US" w:eastAsia="zh-CN"/>
        </w:rPr>
        <w:t>219.01</w:t>
      </w:r>
      <w:r>
        <w:rPr>
          <w:rFonts w:hint="eastAsia" w:ascii="Adobe 仿宋 Std R" w:hAnsi="Adobe 仿宋 Std R" w:eastAsia="Adobe 仿宋 Std R" w:cstheme="minorBidi"/>
          <w:kern w:val="2"/>
          <w:sz w:val="32"/>
          <w:szCs w:val="30"/>
          <w:lang w:val="en-US" w:eastAsia="zh-CN" w:bidi="ar-SA"/>
        </w:rPr>
        <w:t>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p>
    <w:p w14:paraId="33E44338">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其中：按支出项目类别划分：</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${page400644146.ds215660413_REP_BGT_T_HC1100002019_DXQ02_JBZCQK}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基本支出63.56万元，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63.56</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;其中：工资福利支出42.16万元,商品和服务支出21.4万元,对个人和家庭的补助0万元,资本性支出0万元；。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${page400644146.ds215660413_REP_BGT_T_HC1100002019_DXQ02_XMZCQK}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项目支出155.45万元,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155.45</w:t>
      </w:r>
      <w:r>
        <w:rPr>
          <w:rStyle w:val="12"/>
          <w:rFonts w:ascii="仿宋" w:hAnsi="仿宋" w:eastAsia="仿宋"/>
          <w:sz w:val="32"/>
          <w:szCs w:val="32"/>
        </w:rPr>
        <w:t>万元</w:t>
      </w:r>
      <w:r>
        <w:rPr>
          <w:rStyle w:val="12"/>
          <w:rFonts w:hint="eastAsia" w:ascii="仿宋" w:hAnsi="仿宋" w:eastAsia="仿宋"/>
          <w:sz w:val="32"/>
          <w:szCs w:val="32"/>
          <w:lang w:eastAsia="zh-CN"/>
        </w:rPr>
        <w:t>；</w:t>
      </w:r>
      <w:r>
        <w:rPr>
          <w:rFonts w:hint="eastAsia" w:ascii="Adobe 仿宋 Std R" w:hAnsi="Adobe 仿宋 Std R" w:eastAsia="Adobe 仿宋 Std R" w:cstheme="minorBidi"/>
          <w:kern w:val="2"/>
          <w:sz w:val="32"/>
          <w:szCs w:val="30"/>
          <w:lang w:val="en-US" w:eastAsia="zh-CN" w:bidi="ar-SA"/>
        </w:rPr>
        <w:t>其中：公务接待100万元，其他工资福利支出0万元，商品和服务支出0万元,资本性支出55.45万元。</w:t>
      </w:r>
      <w:r>
        <w:rPr>
          <w:rFonts w:hint="eastAsia" w:ascii="Adobe 仿宋 Std R" w:hAnsi="Adobe 仿宋 Std R" w:eastAsia="Adobe 仿宋 Std R" w:cstheme="minorBidi"/>
          <w:kern w:val="2"/>
          <w:sz w:val="32"/>
          <w:szCs w:val="30"/>
          <w:lang w:val="en-US" w:eastAsia="zh-CN" w:bidi="ar-SA"/>
        </w:rPr>
        <w:fldChar w:fldCharType="end"/>
      </w:r>
    </w:p>
    <w:p w14:paraId="5D424C2D">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按支出功能科目划分：</w:t>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207.54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207.54</w:t>
      </w:r>
      <w:r>
        <w:rPr>
          <w:rStyle w:val="12"/>
          <w:rFonts w:ascii="仿宋" w:hAnsi="仿宋" w:eastAsia="仿宋"/>
          <w:sz w:val="32"/>
          <w:szCs w:val="32"/>
        </w:rPr>
        <w:t>万元</w:t>
      </w:r>
      <w:r>
        <w:rPr>
          <w:rStyle w:val="12"/>
          <w:rFonts w:hint="eastAsia" w:ascii="仿宋" w:hAnsi="仿宋" w:eastAsia="仿宋"/>
          <w:sz w:val="32"/>
          <w:szCs w:val="32"/>
          <w:lang w:eastAsia="zh-CN"/>
        </w:rPr>
        <w:t>；社会保障和就业支出</w:t>
      </w:r>
      <w:r>
        <w:rPr>
          <w:rStyle w:val="12"/>
          <w:rFonts w:hint="eastAsia" w:ascii="仿宋" w:hAnsi="仿宋" w:eastAsia="仿宋"/>
          <w:sz w:val="32"/>
          <w:szCs w:val="32"/>
          <w:lang w:val="en-US" w:eastAsia="zh-CN"/>
        </w:rPr>
        <w:t>5.97万元，较上年预算安排增加5.97万元；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${page400644146.ds247441498_REP_BGT_T_HC1100002019DXQ01_GNZJMX}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卫生健康支出2.09万元，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2.09</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;住房保障支出3.42万元，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3.42</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p>
    <w:p w14:paraId="3B14D3CF">
      <w:pPr>
        <w:ind w:firstLine="640" w:firstLineChars="200"/>
      </w:pPr>
      <w:r>
        <w:rPr>
          <w:rStyle w:val="12"/>
          <w:rFonts w:hint="eastAsia" w:ascii="仿宋" w:hAnsi="仿宋" w:eastAsia="仿宋"/>
          <w:sz w:val="32"/>
          <w:szCs w:val="32"/>
        </w:rPr>
        <w:t>按支出经济分类划分</w:t>
      </w:r>
      <w:r>
        <w:rPr>
          <w:rStyle w:val="12"/>
          <w:rFonts w:hint="eastAsia" w:ascii="仿宋" w:hAnsi="仿宋" w:eastAsia="仿宋"/>
          <w:sz w:val="32"/>
          <w:szCs w:val="32"/>
          <w:lang w:eastAsia="zh-CN"/>
        </w:rPr>
        <w:t>：</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42.16</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增加42.16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21.40</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增加21.40</w:t>
      </w:r>
      <w:r>
        <w:rPr>
          <w:rStyle w:val="12"/>
          <w:rFonts w:ascii="仿宋" w:hAnsi="仿宋" w:eastAsia="仿宋"/>
          <w:sz w:val="32"/>
          <w:szCs w:val="32"/>
        </w:rPr>
        <w:t>万元;对个人和家庭的补助</w:t>
      </w:r>
      <w:r>
        <w:rPr>
          <w:rStyle w:val="12"/>
          <w:rFonts w:hint="eastAsia" w:ascii="仿宋" w:hAnsi="仿宋" w:eastAsia="仿宋"/>
          <w:sz w:val="32"/>
          <w:szCs w:val="32"/>
        </w:rPr>
        <w:t>0</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155.45</w:t>
      </w:r>
      <w:r>
        <w:rPr>
          <w:rStyle w:val="12"/>
          <w:rFonts w:ascii="仿宋" w:hAnsi="仿宋" w:eastAsia="仿宋"/>
          <w:sz w:val="32"/>
          <w:szCs w:val="32"/>
        </w:rPr>
        <w:t>万元,较上年预算安排</w:t>
      </w:r>
      <w:r>
        <w:rPr>
          <w:rStyle w:val="12"/>
          <w:rFonts w:hint="eastAsia" w:ascii="仿宋" w:hAnsi="仿宋" w:eastAsia="仿宋"/>
          <w:sz w:val="32"/>
          <w:szCs w:val="32"/>
          <w:lang w:val="en-US" w:eastAsia="zh-CN"/>
        </w:rPr>
        <w:t>增加155.45</w:t>
      </w:r>
      <w:r>
        <w:rPr>
          <w:rStyle w:val="12"/>
          <w:rFonts w:ascii="仿宋" w:hAnsi="仿宋" w:eastAsia="仿宋"/>
          <w:sz w:val="32"/>
          <w:szCs w:val="32"/>
        </w:rPr>
        <w:t>万元。</w:t>
      </w:r>
      <w:r>
        <w:fldChar w:fldCharType="end"/>
      </w:r>
    </w:p>
    <w:p w14:paraId="532D96E4">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(三)财政拨款支出情况</w:t>
      </w:r>
    </w:p>
    <w:p w14:paraId="35A91C60">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2024年庐山市合作交流中心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${page400644146.ds215660413_REP_BGT_T_HC1100002019_DXQ02_S_CBXJ}</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财政拨款支出预算总额219.01万元,较上年预算安排增加219.01万元;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仿宋" w:hAnsi="仿宋" w:eastAsia="仿宋" w:cs="Times New Roman"/>
          <w:kern w:val="0"/>
          <w:sz w:val="32"/>
          <w:szCs w:val="32"/>
          <w:lang w:val="en-US" w:eastAsia="zh-CN"/>
        </w:rPr>
        <w:t>增加变化原因为</w:t>
      </w:r>
      <w:r>
        <w:rPr>
          <w:rFonts w:hint="eastAsia" w:ascii="Adobe 仿宋 Std R" w:hAnsi="Adobe 仿宋 Std R" w:eastAsia="Adobe 仿宋 Std R" w:cstheme="minorBidi"/>
          <w:kern w:val="2"/>
          <w:sz w:val="32"/>
          <w:szCs w:val="30"/>
          <w:lang w:val="en-US" w:eastAsia="zh-CN" w:bidi="ar-SA"/>
        </w:rPr>
        <w:t>单位为2023年7月新成立单位，2024年开始独立账户</w:t>
      </w:r>
      <w:r>
        <w:rPr>
          <w:rFonts w:hint="eastAsia" w:ascii="仿宋" w:hAnsi="仿宋" w:eastAsia="仿宋" w:cs="Times New Roman"/>
          <w:kern w:val="0"/>
          <w:sz w:val="32"/>
          <w:szCs w:val="32"/>
          <w:lang w:val="en-US" w:eastAsia="zh-CN"/>
        </w:rPr>
        <w:t>。</w:t>
      </w:r>
    </w:p>
    <w:p w14:paraId="706DD9B9">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按支出功能科目划分：</w:t>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207.54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207.54</w:t>
      </w:r>
      <w:r>
        <w:rPr>
          <w:rStyle w:val="12"/>
          <w:rFonts w:ascii="仿宋" w:hAnsi="仿宋" w:eastAsia="仿宋"/>
          <w:sz w:val="32"/>
          <w:szCs w:val="32"/>
        </w:rPr>
        <w:t>万元</w:t>
      </w:r>
      <w:r>
        <w:rPr>
          <w:rStyle w:val="12"/>
          <w:rFonts w:hint="eastAsia" w:ascii="仿宋" w:hAnsi="仿宋" w:eastAsia="仿宋"/>
          <w:sz w:val="32"/>
          <w:szCs w:val="32"/>
          <w:lang w:eastAsia="zh-CN"/>
        </w:rPr>
        <w:t>；社会保障和就业支出</w:t>
      </w:r>
      <w:r>
        <w:rPr>
          <w:rStyle w:val="12"/>
          <w:rFonts w:hint="eastAsia" w:ascii="仿宋" w:hAnsi="仿宋" w:eastAsia="仿宋"/>
          <w:sz w:val="32"/>
          <w:szCs w:val="32"/>
          <w:lang w:val="en-US" w:eastAsia="zh-CN"/>
        </w:rPr>
        <w:t>5.97万元，较上年预算安排增加5.97万元；</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${page400644146.ds247441498_REP_BGT_T_HC1100002019DXQ01_GNZJMX}</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卫生健康支出2.09万元，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2.09</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;住房保障支出3.42万元，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3.42</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cstheme="minorBidi"/>
          <w:kern w:val="2"/>
          <w:sz w:val="32"/>
          <w:szCs w:val="30"/>
          <w:lang w:val="en-US" w:eastAsia="zh-CN" w:bidi="ar-SA"/>
        </w:rPr>
        <w:fldChar w:fldCharType="end"/>
      </w:r>
    </w:p>
    <w:p w14:paraId="33A7FC1F">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按支出项目类别划分：</w:t>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${page400644146.ds215660413_REP_BGT_T_HC1100002019_DXQ02_JBZCQK}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基本支出63.56万元，</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63.56</w:t>
      </w:r>
      <w:r>
        <w:rPr>
          <w:rStyle w:val="12"/>
          <w:rFonts w:ascii="仿宋" w:hAnsi="仿宋" w:eastAsia="仿宋"/>
          <w:sz w:val="32"/>
          <w:szCs w:val="32"/>
        </w:rPr>
        <w:t>万元</w:t>
      </w:r>
      <w:r>
        <w:rPr>
          <w:rFonts w:hint="eastAsia" w:ascii="Adobe 仿宋 Std R" w:hAnsi="Adobe 仿宋 Std R" w:eastAsia="Adobe 仿宋 Std R" w:cstheme="minorBidi"/>
          <w:kern w:val="2"/>
          <w:sz w:val="32"/>
          <w:szCs w:val="30"/>
          <w:lang w:val="en-US" w:eastAsia="zh-CN" w:bidi="ar-SA"/>
        </w:rPr>
        <w:t>;其中：工资福利支出42.16万元,商品和服务支出21.4万元,对个人和家庭的补助0万元,资本性支出0万元。</w:t>
      </w:r>
      <w:r>
        <w:rPr>
          <w:rFonts w:hint="eastAsia" w:ascii="Adobe 仿宋 Std R" w:hAnsi="Adobe 仿宋 Std R" w:eastAsia="Adobe 仿宋 Std R" w:cstheme="minorBidi"/>
          <w:kern w:val="2"/>
          <w:sz w:val="32"/>
          <w:szCs w:val="30"/>
          <w:lang w:val="en-US" w:eastAsia="zh-CN" w:bidi="ar-SA"/>
        </w:rPr>
        <w:fldChar w:fldCharType="end"/>
      </w: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${page400644146.ds215660413_REP_BGT_T_HC1100002019_DXQ02_XMZCQK}</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项目支</w:t>
      </w:r>
      <w:bookmarkStart w:id="0" w:name="_GoBack"/>
      <w:bookmarkEnd w:id="0"/>
      <w:r>
        <w:rPr>
          <w:rFonts w:hint="eastAsia" w:ascii="Adobe 仿宋 Std R" w:hAnsi="Adobe 仿宋 Std R" w:eastAsia="Adobe 仿宋 Std R" w:cstheme="minorBidi"/>
          <w:kern w:val="2"/>
          <w:sz w:val="32"/>
          <w:szCs w:val="30"/>
          <w:lang w:val="en-US" w:eastAsia="zh-CN" w:bidi="ar-SA"/>
        </w:rPr>
        <w:t>出155.45万元,其中：公务接待100万元，其他工资福利支出0万元，商品和服务支出0万元,资本性支出55.45万元。</w:t>
      </w:r>
      <w:r>
        <w:rPr>
          <w:rFonts w:hint="eastAsia" w:ascii="Adobe 仿宋 Std R" w:hAnsi="Adobe 仿宋 Std R" w:eastAsia="Adobe 仿宋 Std R" w:cstheme="minorBidi"/>
          <w:kern w:val="2"/>
          <w:sz w:val="32"/>
          <w:szCs w:val="30"/>
          <w:lang w:val="en-US" w:eastAsia="zh-CN" w:bidi="ar-SA"/>
        </w:rPr>
        <w:fldChar w:fldCharType="end"/>
      </w:r>
    </w:p>
    <w:p w14:paraId="5E1FCE67">
      <w:pPr>
        <w:keepNext w:val="0"/>
        <w:keepLines w:val="0"/>
        <w:pageBreakBefore w:val="0"/>
        <w:widowControl w:val="0"/>
        <w:kinsoku/>
        <w:wordWrap/>
        <w:overflowPunct/>
        <w:topLinePunct w:val="0"/>
        <w:autoSpaceDE/>
        <w:autoSpaceDN/>
        <w:bidi w:val="0"/>
        <w:adjustRightInd/>
        <w:snapToGrid/>
        <w:ind w:firstLine="643" w:firstLineChars="200"/>
        <w:textAlignment w:val="auto"/>
        <w:rPr>
          <w:rStyle w:val="12"/>
          <w:rFonts w:hint="eastAsia" w:ascii="Adobe 仿宋 Std R" w:hAnsi="Adobe 仿宋 Std R" w:eastAsia="Adobe 仿宋 Std R" w:cs="Times New Roman"/>
          <w:b/>
          <w:sz w:val="32"/>
          <w:szCs w:val="32"/>
        </w:rPr>
      </w:pPr>
      <w:r>
        <w:rPr>
          <w:rStyle w:val="12"/>
          <w:rFonts w:hint="eastAsia" w:ascii="Adobe 仿宋 Std R" w:hAnsi="Adobe 仿宋 Std R" w:eastAsia="Adobe 仿宋 Std R" w:cs="Times New Roman"/>
          <w:b/>
          <w:sz w:val="32"/>
          <w:szCs w:val="32"/>
          <w:lang w:val="en-US" w:eastAsia="zh-CN"/>
        </w:rPr>
        <w:t>(</w:t>
      </w:r>
      <w:r>
        <w:rPr>
          <w:rStyle w:val="12"/>
          <w:rFonts w:hint="eastAsia" w:ascii="Adobe 仿宋 Std R" w:hAnsi="Adobe 仿宋 Std R" w:eastAsia="Adobe 仿宋 Std R" w:cs="Times New Roman"/>
          <w:b/>
          <w:sz w:val="32"/>
          <w:szCs w:val="32"/>
        </w:rPr>
        <w:t>四</w:t>
      </w:r>
      <w:r>
        <w:rPr>
          <w:rStyle w:val="12"/>
          <w:rFonts w:hint="eastAsia" w:ascii="Adobe 仿宋 Std R" w:hAnsi="Adobe 仿宋 Std R" w:eastAsia="Adobe 仿宋 Std R" w:cs="Times New Roman"/>
          <w:b/>
          <w:sz w:val="32"/>
          <w:szCs w:val="32"/>
          <w:lang w:val="en-US" w:eastAsia="zh-CN"/>
        </w:rPr>
        <w:t>)</w:t>
      </w:r>
      <w:r>
        <w:rPr>
          <w:rStyle w:val="12"/>
          <w:rFonts w:hint="eastAsia" w:ascii="Adobe 仿宋 Std R" w:hAnsi="Adobe 仿宋 Std R" w:eastAsia="Adobe 仿宋 Std R" w:cs="Times New Roman"/>
          <w:b/>
          <w:sz w:val="32"/>
          <w:szCs w:val="32"/>
        </w:rPr>
        <w:t>政府性基金情况</w:t>
      </w:r>
    </w:p>
    <w:p w14:paraId="453CB8E2">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本部门没有使用政府性基金预算拨款安排的支出。</w:t>
      </w:r>
    </w:p>
    <w:p w14:paraId="6ED29A02">
      <w:pPr>
        <w:keepNext w:val="0"/>
        <w:keepLines w:val="0"/>
        <w:pageBreakBefore w:val="0"/>
        <w:widowControl w:val="0"/>
        <w:kinsoku/>
        <w:wordWrap/>
        <w:overflowPunct/>
        <w:topLinePunct w:val="0"/>
        <w:autoSpaceDE/>
        <w:autoSpaceDN/>
        <w:bidi w:val="0"/>
        <w:adjustRightInd/>
        <w:snapToGrid/>
        <w:ind w:firstLine="643" w:firstLineChars="200"/>
        <w:textAlignment w:val="auto"/>
        <w:rPr>
          <w:rStyle w:val="12"/>
          <w:rFonts w:hint="default" w:ascii="Adobe 仿宋 Std R" w:hAnsi="Adobe 仿宋 Std R" w:eastAsia="Adobe 仿宋 Std R" w:cs="Times New Roman"/>
          <w:b/>
          <w:sz w:val="32"/>
          <w:szCs w:val="32"/>
          <w:lang w:val="en-US"/>
        </w:rPr>
      </w:pPr>
      <w:r>
        <w:rPr>
          <w:rStyle w:val="12"/>
          <w:rFonts w:hint="eastAsia" w:ascii="Adobe 仿宋 Std R" w:hAnsi="Adobe 仿宋 Std R" w:eastAsia="Adobe 仿宋 Std R" w:cs="Times New Roman"/>
          <w:b/>
          <w:sz w:val="32"/>
          <w:szCs w:val="32"/>
          <w:lang w:val="en-US" w:eastAsia="zh-CN"/>
        </w:rPr>
        <w:t>(</w:t>
      </w:r>
      <w:r>
        <w:rPr>
          <w:rStyle w:val="12"/>
          <w:rFonts w:hint="eastAsia" w:ascii="Adobe 仿宋 Std R" w:hAnsi="Adobe 仿宋 Std R" w:eastAsia="Adobe 仿宋 Std R" w:cs="Times New Roman"/>
          <w:b/>
          <w:sz w:val="32"/>
          <w:szCs w:val="32"/>
          <w:lang w:eastAsia="zh-CN"/>
        </w:rPr>
        <w:t>五</w:t>
      </w:r>
      <w:r>
        <w:rPr>
          <w:rStyle w:val="12"/>
          <w:rFonts w:hint="eastAsia" w:ascii="Adobe 仿宋 Std R" w:hAnsi="Adobe 仿宋 Std R" w:eastAsia="Adobe 仿宋 Std R" w:cs="Times New Roman"/>
          <w:b/>
          <w:sz w:val="32"/>
          <w:szCs w:val="32"/>
          <w:lang w:val="en-US" w:eastAsia="zh-CN"/>
        </w:rPr>
        <w:t>)国有资本经营情况</w:t>
      </w:r>
    </w:p>
    <w:p w14:paraId="6A1E2F4D">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本部门没有使用国有资本经营预算拨款安排的支出。</w:t>
      </w:r>
    </w:p>
    <w:p w14:paraId="69A39EFE">
      <w:pPr>
        <w:keepNext w:val="0"/>
        <w:keepLines w:val="0"/>
        <w:pageBreakBefore w:val="0"/>
        <w:widowControl w:val="0"/>
        <w:kinsoku/>
        <w:wordWrap/>
        <w:overflowPunct/>
        <w:topLinePunct w:val="0"/>
        <w:autoSpaceDE/>
        <w:autoSpaceDN/>
        <w:bidi w:val="0"/>
        <w:adjustRightInd/>
        <w:snapToGrid/>
        <w:ind w:firstLine="643" w:firstLineChars="200"/>
        <w:textAlignment w:val="auto"/>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(六)机关运行经费等重要事项的说明</w:t>
      </w:r>
    </w:p>
    <w:p w14:paraId="73FC9284">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2024年单位机关运行费预算21.4万元，比2023年预算增加21.4万元。增长变化原因为单位于2023年7月成立，于2024年1月开始独立账户。</w:t>
      </w:r>
    </w:p>
    <w:p w14:paraId="13896130">
      <w:pPr>
        <w:ind w:firstLine="640" w:firstLineChars="200"/>
        <w:rPr>
          <w:rFonts w:hint="default"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按照财政部《地方预决算公开操作规程》明确的口径，机关运行费指各部门的公用经费，包括办公及印刷费1.5万元、邮电费0.928万元、差旅费2万元、会议费1万元、福利费0万元、日常维修费1.5万元、专用材料及一般设备购置费0万元、办公用房水电费0万元、办公用房取暖费0.336万元、办公用房物业管理费0万元、公务用车运行维护费0万元，税金及附加费用0.1万元，手续费0.05万元，其他商品和服务支出5.7万元，工会经费5.79万元，因公出国（境）费用0.5万元，劳务费2万元。</w:t>
      </w:r>
    </w:p>
    <w:p w14:paraId="116E2269">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0B7B3321">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2024年部门所属各单位政府采购总额9万元,其中: 政府采购货物预算0万元, 政府采购工程预算0万元, 政府采购服务预算9万元。</w:t>
      </w:r>
    </w:p>
    <w:p w14:paraId="566689F7">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58D0F11F">
      <w:pPr>
        <w:ind w:firstLine="640" w:firstLineChars="200"/>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fldChar w:fldCharType="begin"/>
      </w:r>
      <w:r>
        <w:rPr>
          <w:rFonts w:hint="eastAsia" w:ascii="Adobe 仿宋 Std R" w:hAnsi="Adobe 仿宋 Std R" w:eastAsia="Adobe 仿宋 Std R" w:cstheme="minorBidi"/>
          <w:kern w:val="2"/>
          <w:sz w:val="32"/>
          <w:szCs w:val="30"/>
          <w:lang w:val="en-US" w:eastAsia="zh-CN" w:bidi="ar-SA"/>
        </w:rPr>
        <w:instrText xml:space="preserve">MERGEFIELD ${page400644146.ds532982397_REP_JX_BAS_AGENCY_INFO_ZYFRS_S_CLSYS}</w:instrText>
      </w:r>
      <w:r>
        <w:rPr>
          <w:rFonts w:hint="eastAsia" w:ascii="Adobe 仿宋 Std R" w:hAnsi="Adobe 仿宋 Std R" w:eastAsia="Adobe 仿宋 Std R" w:cstheme="minorBidi"/>
          <w:kern w:val="2"/>
          <w:sz w:val="32"/>
          <w:szCs w:val="30"/>
          <w:lang w:val="en-US" w:eastAsia="zh-CN" w:bidi="ar-SA"/>
        </w:rPr>
        <w:fldChar w:fldCharType="separate"/>
      </w:r>
      <w:r>
        <w:rPr>
          <w:rFonts w:hint="eastAsia" w:ascii="Adobe 仿宋 Std R" w:hAnsi="Adobe 仿宋 Std R" w:eastAsia="Adobe 仿宋 Std R" w:cstheme="minorBidi"/>
          <w:kern w:val="2"/>
          <w:sz w:val="32"/>
          <w:szCs w:val="30"/>
          <w:lang w:val="en-US" w:eastAsia="zh-CN" w:bidi="ar-SA"/>
        </w:rPr>
        <w:t>部门共有车辆0辆。</w:t>
      </w:r>
      <w:r>
        <w:rPr>
          <w:rFonts w:hint="eastAsia" w:ascii="Adobe 仿宋 Std R" w:hAnsi="Adobe 仿宋 Std R" w:eastAsia="Adobe 仿宋 Std R" w:cstheme="minorBidi"/>
          <w:kern w:val="2"/>
          <w:sz w:val="32"/>
          <w:szCs w:val="30"/>
          <w:lang w:val="en-US" w:eastAsia="zh-CN" w:bidi="ar-SA"/>
        </w:rPr>
        <w:fldChar w:fldCharType="end"/>
      </w:r>
    </w:p>
    <w:p w14:paraId="07FB87AE">
      <w:pPr>
        <w:numPr>
          <w:ilvl w:val="0"/>
          <w:numId w:val="0"/>
        </w:numPr>
        <w:ind w:firstLine="643" w:firstLineChars="20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lang w:val="en-US" w:eastAsia="zh-CN"/>
        </w:rPr>
        <w:t>(九)</w:t>
      </w:r>
      <w:r>
        <w:rPr>
          <w:rStyle w:val="12"/>
          <w:rFonts w:hint="eastAsia" w:ascii="Adobe 仿宋 Std R" w:hAnsi="Adobe 仿宋 Std R" w:eastAsia="Adobe 仿宋 Std R"/>
          <w:b/>
          <w:sz w:val="32"/>
          <w:szCs w:val="32"/>
          <w:lang w:eastAsia="zh-CN"/>
        </w:rPr>
        <w:t>特定</w:t>
      </w:r>
      <w:r>
        <w:rPr>
          <w:rStyle w:val="12"/>
          <w:rFonts w:hint="eastAsia" w:ascii="Adobe 仿宋 Std R" w:hAnsi="Adobe 仿宋 Std R" w:eastAsia="Adobe 仿宋 Std R"/>
          <w:b/>
          <w:sz w:val="32"/>
          <w:szCs w:val="32"/>
        </w:rPr>
        <w:t>项目情况说明</w:t>
      </w:r>
    </w:p>
    <w:p w14:paraId="73B55DC4">
      <w:pPr>
        <w:ind w:firstLine="643" w:firstLineChars="200"/>
        <w:rPr>
          <w:rFonts w:hint="eastAsia" w:ascii="Adobe 仿宋 Std R" w:hAnsi="Adobe 仿宋 Std R" w:eastAsia="Adobe 仿宋 Std R" w:cstheme="minorBidi"/>
          <w:b/>
          <w:bCs/>
          <w:kern w:val="2"/>
          <w:sz w:val="32"/>
          <w:szCs w:val="30"/>
          <w:lang w:val="en-US" w:eastAsia="zh-CN" w:bidi="ar-SA"/>
        </w:rPr>
      </w:pPr>
      <w:r>
        <w:rPr>
          <w:rStyle w:val="12"/>
          <w:rFonts w:hint="eastAsia" w:ascii="仿宋_GB2312" w:hAnsi="仿宋_GB2312" w:eastAsia="仿宋_GB2312" w:cs="仿宋_GB2312"/>
          <w:b/>
          <w:sz w:val="32"/>
          <w:szCs w:val="32"/>
          <w:lang w:val="en-US" w:eastAsia="zh-CN"/>
        </w:rPr>
        <w:t xml:space="preserve"> </w:t>
      </w:r>
      <w:r>
        <w:rPr>
          <w:rFonts w:hint="eastAsia" w:ascii="Adobe 仿宋 Std R" w:hAnsi="Adobe 仿宋 Std R" w:eastAsia="Adobe 仿宋 Std R" w:cstheme="minorBidi"/>
          <w:b/>
          <w:bCs/>
          <w:kern w:val="2"/>
          <w:sz w:val="32"/>
          <w:szCs w:val="30"/>
          <w:lang w:val="en-US" w:eastAsia="zh-CN" w:bidi="ar-SA"/>
        </w:rPr>
        <w:t>1、全市公务接待经费</w:t>
      </w:r>
    </w:p>
    <w:p w14:paraId="1EF454AA">
      <w:pPr>
        <w:numPr>
          <w:ilvl w:val="0"/>
          <w:numId w:val="0"/>
        </w:numPr>
        <w:ind w:firstLine="1292" w:firstLineChars="404"/>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1）项目概述</w:t>
      </w:r>
    </w:p>
    <w:p w14:paraId="2C3C6A31">
      <w:pPr>
        <w:rPr>
          <w:rFonts w:hint="eastAsia" w:ascii="Adobe 仿宋 Std R" w:hAnsi="Adobe 仿宋 Std R" w:eastAsia="Adobe 仿宋 Std R" w:cstheme="minorBidi"/>
          <w:kern w:val="2"/>
          <w:sz w:val="32"/>
          <w:szCs w:val="30"/>
          <w:lang w:val="en-US" w:eastAsia="zh-CN" w:bidi="ar-SA"/>
        </w:rPr>
      </w:pPr>
      <w:r>
        <w:rPr>
          <w:rFonts w:hint="eastAsia" w:ascii="仿宋_GB2312" w:hAnsi="仿宋_GB2312" w:eastAsia="仿宋_GB2312" w:cs="仿宋_GB2312"/>
          <w:sz w:val="32"/>
          <w:szCs w:val="32"/>
          <w:lang w:val="en-US" w:eastAsia="zh-CN"/>
        </w:rPr>
        <w:t xml:space="preserve">       </w:t>
      </w:r>
      <w:r>
        <w:rPr>
          <w:rFonts w:hint="eastAsia" w:ascii="Adobe 仿宋 Std R" w:hAnsi="Adobe 仿宋 Std R" w:eastAsia="Adobe 仿宋 Std R" w:cstheme="minorBidi"/>
          <w:kern w:val="2"/>
          <w:sz w:val="32"/>
          <w:szCs w:val="30"/>
          <w:lang w:val="en-US" w:eastAsia="zh-CN" w:bidi="ar-SA"/>
        </w:rPr>
        <w:t xml:space="preserve"> 保障全市公务接待经费支出。</w:t>
      </w:r>
    </w:p>
    <w:p w14:paraId="448A0347">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2</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立项依据</w:t>
      </w:r>
    </w:p>
    <w:p w14:paraId="3CE465BA">
      <w:pPr>
        <w:ind w:firstLine="1296" w:firstLineChars="405"/>
        <w:rPr>
          <w:rFonts w:hint="eastAsia" w:ascii="Adobe 仿宋 Std R" w:hAnsi="Adobe 仿宋 Std R" w:eastAsia="Adobe 仿宋 Std R" w:cstheme="minorBidi"/>
          <w:kern w:val="2"/>
          <w:sz w:val="32"/>
          <w:szCs w:val="30"/>
          <w:lang w:val="en-US" w:eastAsia="zh-CN" w:bidi="ar-SA"/>
        </w:rPr>
      </w:pPr>
      <w:r>
        <w:rPr>
          <w:rFonts w:hint="eastAsia" w:ascii="Adobe 仿宋 Std R" w:hAnsi="Adobe 仿宋 Std R" w:eastAsia="Adobe 仿宋 Std R" w:cstheme="minorBidi"/>
          <w:kern w:val="2"/>
          <w:sz w:val="32"/>
          <w:szCs w:val="30"/>
          <w:lang w:val="en-US" w:eastAsia="zh-CN" w:bidi="ar-SA"/>
        </w:rPr>
        <w:t>庐合字[2023]2号</w:t>
      </w:r>
    </w:p>
    <w:p w14:paraId="3D216D14">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3</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实施主体</w:t>
      </w:r>
    </w:p>
    <w:p w14:paraId="62AAC5D4">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庐山市合作交流中心</w:t>
      </w:r>
    </w:p>
    <w:p w14:paraId="469BFFA1">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4</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实施方案</w:t>
      </w:r>
    </w:p>
    <w:p w14:paraId="3F660736">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公务接待</w:t>
      </w:r>
      <w:r>
        <w:rPr>
          <w:rFonts w:hint="eastAsia" w:ascii="Adobe 仿宋 Std R" w:hAnsi="Adobe 仿宋 Std R" w:eastAsia="Adobe 仿宋 Std R"/>
          <w:sz w:val="32"/>
          <w:szCs w:val="32"/>
          <w:lang w:val="en-US" w:eastAsia="zh-CN"/>
        </w:rPr>
        <w:t>100万元</w:t>
      </w:r>
    </w:p>
    <w:p w14:paraId="5A1B9CDB">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5</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实施周期</w:t>
      </w:r>
    </w:p>
    <w:p w14:paraId="34AC6D90">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00FEB7C7">
      <w:pPr>
        <w:ind w:firstLine="1280" w:firstLineChars="400"/>
        <w:rPr>
          <w:rFonts w:hint="eastAsia" w:ascii="Adobe 仿宋 Std R" w:hAnsi="Adobe 仿宋 Std R" w:eastAsia="Adobe 仿宋 Std R"/>
          <w:sz w:val="32"/>
          <w:szCs w:val="32"/>
        </w:rPr>
      </w:pPr>
      <w:r>
        <w:rPr>
          <w:rFonts w:hint="eastAsia" w:ascii="仿宋_GB2312" w:hAnsi="仿宋_GB2312" w:eastAsia="仿宋_GB2312" w:cs="仿宋_GB2312"/>
          <w:sz w:val="32"/>
          <w:szCs w:val="32"/>
          <w:lang w:val="en-US" w:eastAsia="zh-CN"/>
        </w:rPr>
        <w:t>6</w:t>
      </w:r>
      <w:r>
        <w:rPr>
          <w:rFonts w:hint="eastAsia" w:ascii="Adobe 仿宋 Std R" w:hAnsi="Adobe 仿宋 Std R" w:eastAsia="Adobe 仿宋 Std R" w:cstheme="minorBidi"/>
          <w:kern w:val="2"/>
          <w:sz w:val="32"/>
          <w:szCs w:val="30"/>
          <w:lang w:val="en-US" w:eastAsia="zh-CN" w:bidi="ar-SA"/>
        </w:rPr>
        <w:t>）</w:t>
      </w:r>
      <w:r>
        <w:rPr>
          <w:rFonts w:hint="eastAsia" w:ascii="Adobe 仿宋 Std R" w:hAnsi="Adobe 仿宋 Std R" w:eastAsia="Adobe 仿宋 Std R"/>
          <w:sz w:val="32"/>
          <w:szCs w:val="32"/>
        </w:rPr>
        <w:t>年度预算安排</w:t>
      </w:r>
    </w:p>
    <w:p w14:paraId="78E75FA2">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100万元</w:t>
      </w:r>
    </w:p>
    <w:p w14:paraId="764B6FEB">
      <w:pPr>
        <w:ind w:firstLine="643" w:firstLineChars="200"/>
        <w:rPr>
          <w:rFonts w:hint="eastAsia" w:ascii="Adobe 仿宋 Std R" w:hAnsi="Adobe 仿宋 Std R" w:eastAsia="Adobe 仿宋 Std R" w:cstheme="minorBidi"/>
          <w:b/>
          <w:bCs/>
          <w:kern w:val="2"/>
          <w:sz w:val="32"/>
          <w:szCs w:val="30"/>
          <w:lang w:val="en-US" w:eastAsia="zh-CN" w:bidi="ar-SA"/>
        </w:rPr>
      </w:pPr>
      <w:r>
        <w:rPr>
          <w:rFonts w:hint="eastAsia" w:ascii="Adobe 仿宋 Std R" w:hAnsi="Adobe 仿宋 Std R" w:eastAsia="Adobe 仿宋 Std R" w:cstheme="minorBidi"/>
          <w:b/>
          <w:bCs/>
          <w:kern w:val="2"/>
          <w:sz w:val="32"/>
          <w:szCs w:val="30"/>
          <w:lang w:val="en-US" w:eastAsia="zh-CN" w:bidi="ar-SA"/>
        </w:rPr>
        <w:t>2、机关运行经费</w:t>
      </w:r>
    </w:p>
    <w:p w14:paraId="3507E5D9">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1）项目概述</w:t>
      </w:r>
      <w:r>
        <w:rPr>
          <w:rFonts w:hint="eastAsia" w:ascii="Adobe 仿宋 Std R" w:hAnsi="Adobe 仿宋 Std R" w:eastAsia="Adobe 仿宋 Std R"/>
          <w:sz w:val="32"/>
          <w:szCs w:val="32"/>
          <w:lang w:val="en-US" w:eastAsia="zh-CN"/>
        </w:rPr>
        <w:t xml:space="preserve"> </w:t>
      </w:r>
    </w:p>
    <w:p w14:paraId="5EF7EC3B">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保障机关基本运行支出</w:t>
      </w:r>
    </w:p>
    <w:p w14:paraId="1EF2DE78">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lang w:eastAsia="zh-CN"/>
        </w:rPr>
        <w:t>）立项依据</w:t>
      </w:r>
    </w:p>
    <w:p w14:paraId="6C270369">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庐合字</w:t>
      </w:r>
      <w:r>
        <w:rPr>
          <w:rFonts w:hint="eastAsia" w:ascii="Adobe 仿宋 Std R" w:hAnsi="Adobe 仿宋 Std R" w:eastAsia="Adobe 仿宋 Std R"/>
          <w:sz w:val="32"/>
          <w:szCs w:val="32"/>
          <w:lang w:val="en-US" w:eastAsia="zh-CN"/>
        </w:rPr>
        <w:t>[2023]3号</w:t>
      </w:r>
    </w:p>
    <w:p w14:paraId="433C60D9">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lang w:eastAsia="zh-CN"/>
        </w:rPr>
        <w:t>）实施主体</w:t>
      </w:r>
    </w:p>
    <w:p w14:paraId="51B2B09A">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庐山市合作交流中心</w:t>
      </w:r>
    </w:p>
    <w:p w14:paraId="08B50632">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）实施方案</w:t>
      </w:r>
    </w:p>
    <w:p w14:paraId="2992DDD3">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机关运行经费</w:t>
      </w:r>
      <w:r>
        <w:rPr>
          <w:rFonts w:hint="eastAsia" w:ascii="Adobe 仿宋 Std R" w:hAnsi="Adobe 仿宋 Std R" w:eastAsia="Adobe 仿宋 Std R"/>
          <w:sz w:val="32"/>
          <w:szCs w:val="32"/>
          <w:lang w:val="en-US" w:eastAsia="zh-CN"/>
        </w:rPr>
        <w:t>55.45万元</w:t>
      </w:r>
    </w:p>
    <w:p w14:paraId="65707D80">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lang w:eastAsia="zh-CN"/>
        </w:rPr>
        <w:t>）实施周期</w:t>
      </w:r>
    </w:p>
    <w:p w14:paraId="3EE419BE">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7F9C820F">
      <w:pPr>
        <w:ind w:firstLine="1280" w:firstLineChars="4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lang w:eastAsia="zh-CN"/>
        </w:rPr>
        <w:t>）年度预算安排</w:t>
      </w:r>
    </w:p>
    <w:p w14:paraId="5F87F59B">
      <w:pPr>
        <w:ind w:firstLine="1280" w:firstLineChars="400"/>
        <w:rPr>
          <w:rFonts w:hint="eastAsia" w:ascii="仿宋_GB2312" w:hAnsi="仿宋_GB2312" w:eastAsia="仿宋_GB2312" w:cs="仿宋_GB2312"/>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55.45万元</w:t>
      </w:r>
    </w:p>
    <w:p w14:paraId="6F95C9E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562BEA3">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lang w:eastAsia="zh-CN"/>
        </w:rPr>
        <w:t>年庐山市合作交流中心"三公"经费财政拨款安排</w:t>
      </w:r>
      <w:r>
        <w:rPr>
          <w:rFonts w:hint="eastAsia" w:ascii="Adobe 仿宋 Std R" w:hAnsi="Adobe 仿宋 Std R" w:eastAsia="Adobe 仿宋 Std R"/>
          <w:sz w:val="32"/>
          <w:szCs w:val="32"/>
          <w:lang w:val="en-US" w:eastAsia="zh-CN"/>
        </w:rPr>
        <w:t>100</w:t>
      </w:r>
      <w:r>
        <w:rPr>
          <w:rFonts w:hint="eastAsia" w:ascii="Adobe 仿宋 Std R" w:hAnsi="Adobe 仿宋 Std R" w:eastAsia="Adobe 仿宋 Std R"/>
          <w:sz w:val="32"/>
          <w:szCs w:val="32"/>
          <w:lang w:eastAsia="zh-CN"/>
        </w:rPr>
        <w:t>万元，其中：</w:t>
      </w:r>
    </w:p>
    <w:p w14:paraId="3C856C36">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因公出国</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lang w:eastAsia="zh-CN"/>
        </w:rPr>
        <w:t>万元,比上年增</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lang w:eastAsia="zh-CN"/>
        </w:rPr>
        <w:t>万元，主要原因是：前往澳门培训。</w:t>
      </w:r>
    </w:p>
    <w:p w14:paraId="62C1C1E5">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公务接待</w:t>
      </w:r>
      <w:r>
        <w:rPr>
          <w:rFonts w:hint="eastAsia" w:ascii="Adobe 仿宋 Std R" w:hAnsi="Adobe 仿宋 Std R" w:eastAsia="Adobe 仿宋 Std R"/>
          <w:sz w:val="32"/>
          <w:szCs w:val="32"/>
          <w:lang w:val="en-US" w:eastAsia="zh-CN"/>
        </w:rPr>
        <w:t>100</w:t>
      </w:r>
      <w:r>
        <w:rPr>
          <w:rFonts w:hint="eastAsia" w:ascii="Adobe 仿宋 Std R" w:hAnsi="Adobe 仿宋 Std R" w:eastAsia="Adobe 仿宋 Std R"/>
          <w:sz w:val="32"/>
          <w:szCs w:val="32"/>
          <w:lang w:eastAsia="zh-CN"/>
        </w:rPr>
        <w:t>万元,比上年增</w:t>
      </w:r>
      <w:r>
        <w:rPr>
          <w:rFonts w:hint="eastAsia" w:ascii="Adobe 仿宋 Std R" w:hAnsi="Adobe 仿宋 Std R" w:eastAsia="Adobe 仿宋 Std R"/>
          <w:sz w:val="32"/>
          <w:szCs w:val="32"/>
          <w:lang w:val="en-US" w:eastAsia="zh-CN"/>
        </w:rPr>
        <w:t>41.91</w:t>
      </w:r>
      <w:r>
        <w:rPr>
          <w:rFonts w:hint="eastAsia" w:ascii="Adobe 仿宋 Std R" w:hAnsi="Adobe 仿宋 Std R" w:eastAsia="Adobe 仿宋 Std R"/>
          <w:sz w:val="32"/>
          <w:szCs w:val="32"/>
          <w:lang w:eastAsia="zh-CN"/>
        </w:rPr>
        <w:t>万元，主要原因是：单位于</w:t>
      </w:r>
      <w:r>
        <w:rPr>
          <w:rFonts w:hint="eastAsia" w:ascii="Adobe 仿宋 Std R" w:hAnsi="Adobe 仿宋 Std R" w:eastAsia="Adobe 仿宋 Std R"/>
          <w:sz w:val="32"/>
          <w:szCs w:val="32"/>
          <w:lang w:val="en-US" w:eastAsia="zh-CN"/>
        </w:rPr>
        <w:t>2023年7月成立</w:t>
      </w:r>
      <w:r>
        <w:rPr>
          <w:rFonts w:hint="eastAsia" w:ascii="Adobe 仿宋 Std R" w:hAnsi="Adobe 仿宋 Std R" w:eastAsia="Adobe 仿宋 Std R"/>
          <w:sz w:val="32"/>
          <w:szCs w:val="32"/>
          <w:lang w:eastAsia="zh-CN"/>
        </w:rPr>
        <w:t>。</w:t>
      </w:r>
    </w:p>
    <w:p w14:paraId="1C927913">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公务用车运行</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lang w:eastAsia="zh-CN"/>
        </w:rPr>
        <w:t>万元，与上年保持一致。</w:t>
      </w:r>
    </w:p>
    <w:p w14:paraId="0B8D7A6D">
      <w:p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公务用车购置</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lang w:eastAsia="zh-CN"/>
        </w:rPr>
        <w:t>万元，与上年保持一致。</w:t>
      </w:r>
    </w:p>
    <w:p w14:paraId="3EBEAB8F">
      <w:pPr>
        <w:ind w:firstLine="640" w:firstLineChars="200"/>
        <w:jc w:val="left"/>
        <w:rPr>
          <w:rFonts w:ascii="仿宋" w:hAnsi="仿宋" w:eastAsia="仿宋"/>
          <w:bCs/>
          <w:sz w:val="32"/>
          <w:szCs w:val="32"/>
        </w:rPr>
      </w:pPr>
    </w:p>
    <w:p w14:paraId="23001144">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6864262">
      <w:pPr>
        <w:widowControl/>
        <w:shd w:val="clear" w:color="auto" w:fill="FFFFFF"/>
        <w:spacing w:line="640" w:lineRule="atLeast"/>
        <w:ind w:firstLine="800" w:firstLineChars="250"/>
        <w:jc w:val="left"/>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一、收入科目</w:t>
      </w:r>
    </w:p>
    <w:p w14:paraId="32AE2AEF">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（一）财政拨款：指市级财政当年拨付的资金。</w:t>
      </w:r>
    </w:p>
    <w:p w14:paraId="5BDC9D98">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（二）其他收入：指除财政拨款、事业收入、事业单位经营收入等以外的各项收入。</w:t>
      </w:r>
    </w:p>
    <w:p w14:paraId="5C6A1FBE">
      <w:pPr>
        <w:ind w:firstLine="640" w:firstLineChars="200"/>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二、支出科目</w:t>
      </w:r>
    </w:p>
    <w:p w14:paraId="1C2DDEAA">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C47356A">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（二）项目支出：指在基本支出之外为完成特定行政任务和事业发展目标所发生的支出。</w:t>
      </w:r>
    </w:p>
    <w:p w14:paraId="6AF2B2BF">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（三）经营支出：指事业单位在专业业务活动及其辅助活动之外开展非独立核算经营活动发生的支出。</w:t>
      </w:r>
    </w:p>
    <w:p w14:paraId="3AFFD26C">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（四）工资福利支出（支出经济分类科目类级）：反映单位开支的在职职工和编制外长期聘用人员的各类劳动报酬，以及为上述人员缴纳的各项社会保险费等。</w:t>
      </w:r>
    </w:p>
    <w:p w14:paraId="137322D0">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（五）商品和服务支出（支出经济分类科目类级）：反映单位购买商品和服务的支出（不包括用于购置固定资产的支出、战略性和应急储备支出）。</w:t>
      </w:r>
    </w:p>
    <w:p w14:paraId="441AE222">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（六）对个人和家庭的补助（支出经济分类科目类级）：反映用于对个人和家庭的补助支出。</w:t>
      </w:r>
    </w:p>
    <w:p w14:paraId="3C5DE428">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41C0A48">
      <w:pPr>
        <w:ind w:firstLine="640" w:firstLineChars="200"/>
        <w:rPr>
          <w:rFonts w:ascii="Adobe 仿宋 Std R" w:hAnsi="Adobe 仿宋 Std R" w:eastAsia="Adobe 仿宋 Std R"/>
          <w:b w:val="0"/>
          <w:bCs w:val="0"/>
          <w:sz w:val="32"/>
          <w:szCs w:val="32"/>
        </w:rPr>
      </w:pPr>
      <w:r>
        <w:rPr>
          <w:rFonts w:hint="eastAsia" w:ascii="Adobe 仿宋 Std R" w:hAnsi="Adobe 仿宋 Std R" w:eastAsia="Adobe 仿宋 Std R"/>
          <w:b w:val="0"/>
          <w:bCs w:val="0"/>
          <w:sz w:val="32"/>
          <w:szCs w:val="32"/>
        </w:rPr>
        <w:t>三、相关专业名词</w:t>
      </w:r>
    </w:p>
    <w:p w14:paraId="1A5A9CEE">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6D80A6C">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w:t>
      </w:r>
    </w:p>
    <w:p w14:paraId="6FD66F94">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务接待费反映单位按规定开支的各类公务接待（含外宾接待）支出。</w:t>
      </w:r>
    </w:p>
    <w:p w14:paraId="2CD24445">
      <w:pPr>
        <w:ind w:firstLine="640" w:firstLineChars="200"/>
        <w:rPr>
          <w:rFonts w:hint="eastAsia" w:ascii="Adobe 仿宋 Std R" w:hAnsi="Adobe 仿宋 Std R" w:eastAsia="Adobe 仿宋 Std R"/>
          <w:sz w:val="32"/>
          <w:szCs w:val="32"/>
          <w:lang w:val="en-US" w:eastAsia="zh-CN"/>
        </w:rPr>
      </w:pPr>
    </w:p>
    <w:p w14:paraId="05E646B7">
      <w:pPr>
        <w:ind w:firstLine="640" w:firstLineChars="200"/>
        <w:rPr>
          <w:rFonts w:hint="eastAsia" w:ascii="Adobe 仿宋 Std R" w:hAnsi="Adobe 仿宋 Std R" w:eastAsia="Adobe 仿宋 Std R"/>
          <w:sz w:val="32"/>
          <w:szCs w:val="32"/>
          <w:lang w:val="en-US" w:eastAsia="zh-CN"/>
        </w:rPr>
      </w:pPr>
    </w:p>
    <w:p w14:paraId="48A25D0E">
      <w:pPr>
        <w:ind w:firstLine="640" w:firstLineChars="200"/>
        <w:rPr>
          <w:rFonts w:hint="eastAsia" w:ascii="Adobe 仿宋 Std R" w:hAnsi="Adobe 仿宋 Std R" w:eastAsia="Adobe 仿宋 Std R"/>
          <w:sz w:val="32"/>
          <w:szCs w:val="32"/>
          <w:lang w:val="en-US" w:eastAsia="zh-CN"/>
        </w:rPr>
      </w:pPr>
    </w:p>
    <w:p w14:paraId="36DF8F73">
      <w:pPr>
        <w:ind w:firstLine="640" w:firstLineChars="200"/>
        <w:rPr>
          <w:rFonts w:hint="eastAsia" w:ascii="Adobe 仿宋 Std R" w:hAnsi="Adobe 仿宋 Std R" w:eastAsia="Adobe 仿宋 Std R"/>
          <w:sz w:val="32"/>
          <w:szCs w:val="32"/>
          <w:lang w:val="en-US" w:eastAsia="zh-CN"/>
        </w:rPr>
      </w:pPr>
    </w:p>
    <w:p w14:paraId="795618CE">
      <w:pPr>
        <w:ind w:firstLine="640" w:firstLineChars="200"/>
        <w:rPr>
          <w:rFonts w:hint="eastAsia" w:ascii="Adobe 仿宋 Std R" w:hAnsi="Adobe 仿宋 Std R" w:eastAsia="Adobe 仿宋 Std R"/>
          <w:sz w:val="32"/>
          <w:szCs w:val="32"/>
          <w:lang w:val="en-US" w:eastAsia="zh-CN"/>
        </w:rPr>
      </w:pPr>
    </w:p>
    <w:p w14:paraId="000B88BC">
      <w:pPr>
        <w:rPr>
          <w:rFonts w:hint="eastAsia" w:ascii="Adobe 仿宋 Std R" w:hAnsi="Adobe 仿宋 Std R" w:eastAsia="Adobe 仿宋 Std R"/>
          <w:sz w:val="32"/>
          <w:szCs w:val="3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CCC12">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2NmQyMDdlYjc4Zjg3OWQ4ZGFmNWU4MTE3YmM4Nj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307D73"/>
    <w:rsid w:val="03EA3071"/>
    <w:rsid w:val="0491132A"/>
    <w:rsid w:val="06543E82"/>
    <w:rsid w:val="067A6028"/>
    <w:rsid w:val="0C97247A"/>
    <w:rsid w:val="0DB3098E"/>
    <w:rsid w:val="138A29AA"/>
    <w:rsid w:val="15827B15"/>
    <w:rsid w:val="16C02AC7"/>
    <w:rsid w:val="1D861BB2"/>
    <w:rsid w:val="1FD77031"/>
    <w:rsid w:val="206D0602"/>
    <w:rsid w:val="212C5238"/>
    <w:rsid w:val="22430342"/>
    <w:rsid w:val="236148AD"/>
    <w:rsid w:val="23D41DEA"/>
    <w:rsid w:val="25B931E9"/>
    <w:rsid w:val="2828673B"/>
    <w:rsid w:val="2C57797E"/>
    <w:rsid w:val="32213853"/>
    <w:rsid w:val="3328400E"/>
    <w:rsid w:val="36031C0A"/>
    <w:rsid w:val="3A841EE9"/>
    <w:rsid w:val="3A9F1A72"/>
    <w:rsid w:val="3B7D1841"/>
    <w:rsid w:val="3D2909BB"/>
    <w:rsid w:val="3DF13D37"/>
    <w:rsid w:val="3E994615"/>
    <w:rsid w:val="3F383632"/>
    <w:rsid w:val="4052753A"/>
    <w:rsid w:val="417D021A"/>
    <w:rsid w:val="48A83B8E"/>
    <w:rsid w:val="502E68D6"/>
    <w:rsid w:val="53516268"/>
    <w:rsid w:val="565526B4"/>
    <w:rsid w:val="56C47F55"/>
    <w:rsid w:val="57CB2345"/>
    <w:rsid w:val="5D380FD7"/>
    <w:rsid w:val="61E0552E"/>
    <w:rsid w:val="62D6302D"/>
    <w:rsid w:val="63306EE5"/>
    <w:rsid w:val="633916A0"/>
    <w:rsid w:val="63E33020"/>
    <w:rsid w:val="6464197D"/>
    <w:rsid w:val="64EB571C"/>
    <w:rsid w:val="656A2922"/>
    <w:rsid w:val="65810156"/>
    <w:rsid w:val="6A272C4F"/>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autoRedefine/>
    <w:unhideWhenUsed/>
    <w:qFormat/>
    <w:uiPriority w:val="99"/>
    <w:pPr>
      <w:ind w:firstLine="420" w:firstLineChars="100"/>
    </w:pPr>
    <w:rPr>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3172</Words>
  <Characters>3501</Characters>
  <Lines>51</Lines>
  <Paragraphs>14</Paragraphs>
  <TotalTime>1</TotalTime>
  <ScaleCrop>false</ScaleCrop>
  <LinksUpToDate>false</LinksUpToDate>
  <CharactersWithSpaces>3540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神</cp:lastModifiedBy>
  <dcterms:modified xsi:type="dcterms:W3CDTF">2025-08-28T03:09:43Z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EC89982AEA68461696DB697BF2CBD693_13</vt:lpwstr>
  </property>
  <property fmtid="{D5CDD505-2E9C-101B-9397-08002B2CF9AE}" pid="4" name="KSOTemplateDocerSaveRecord">
    <vt:lpwstr>eyJoZGlkIjoiODE2NmQyMDdlYjc4Zjg3OWQ4ZGFmNWU4MTE3YmM4NjQiLCJ1c2VySWQiOiIyNzQwNDQ1NzQifQ==</vt:lpwstr>
  </property>
</Properties>
</file>