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54D19D">
      <w:pPr>
        <w:widowControl/>
        <w:spacing w:line="520" w:lineRule="atLeast"/>
        <w:jc w:val="center"/>
        <w:rPr>
          <w:rFonts w:hint="eastAsia" w:ascii="黑体" w:hAnsi="黑体" w:eastAsia="黑体" w:cs="Times New Roman"/>
          <w:b/>
          <w:bCs/>
          <w:color w:val="auto"/>
          <w:kern w:val="0"/>
          <w:sz w:val="44"/>
          <w:szCs w:val="44"/>
          <w:lang w:eastAsia="zh-CN"/>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庐山市（庐山风景名胜区管理局）</w:t>
      </w:r>
    </w:p>
    <w:p w14:paraId="562CE2D5">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lang w:eastAsia="zh-CN"/>
        </w:rPr>
        <w:t>庐山旅游发展委员会</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010D6481">
      <w:pPr>
        <w:pStyle w:val="12"/>
        <w:spacing w:line="600" w:lineRule="atLeast"/>
        <w:jc w:val="center"/>
        <w:rPr>
          <w:rFonts w:ascii="黑体" w:hAnsi="黑体" w:eastAsia="黑体"/>
          <w:color w:val="auto"/>
          <w:sz w:val="32"/>
          <w:szCs w:val="32"/>
        </w:rPr>
      </w:pPr>
    </w:p>
    <w:p w14:paraId="48CB28F4">
      <w:pPr>
        <w:pStyle w:val="12"/>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49ADCDE3">
      <w:pPr>
        <w:pStyle w:val="12"/>
        <w:rPr>
          <w:rFonts w:ascii="宋体" w:hAnsi="宋体"/>
          <w:color w:val="auto"/>
        </w:rPr>
      </w:pPr>
    </w:p>
    <w:p w14:paraId="60E34654">
      <w:pPr>
        <w:pStyle w:val="12"/>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w:t>
      </w:r>
      <w:r>
        <w:rPr>
          <w:rFonts w:hint="eastAsia" w:ascii="仿宋_GB2312" w:eastAsia="仿宋_GB2312"/>
          <w:b/>
          <w:bCs/>
          <w:color w:val="auto"/>
          <w:sz w:val="32"/>
          <w:szCs w:val="32"/>
          <w:lang w:val="en-US" w:eastAsia="zh-CN"/>
        </w:rPr>
        <w:t>庐山风景名胜区管理</w:t>
      </w:r>
      <w:r>
        <w:rPr>
          <w:rFonts w:hint="eastAsia" w:ascii="仿宋_GB2312" w:eastAsia="仿宋_GB2312"/>
          <w:b/>
          <w:bCs/>
          <w:color w:val="auto"/>
          <w:sz w:val="32"/>
          <w:szCs w:val="32"/>
          <w:lang w:eastAsia="zh-CN"/>
        </w:rPr>
        <w:t>局）庐山旅游发展委员会</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76BA01A7">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主要职责</w:t>
      </w:r>
    </w:p>
    <w:p w14:paraId="79F7F210">
      <w:pPr>
        <w:pStyle w:val="12"/>
        <w:spacing w:line="600" w:lineRule="atLeast"/>
        <w:ind w:firstLine="1280" w:firstLineChars="400"/>
        <w:jc w:val="left"/>
        <w:rPr>
          <w:rFonts w:hint="eastAsia"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324493CE">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w:t>
      </w:r>
      <w:r>
        <w:rPr>
          <w:rFonts w:hint="eastAsia" w:ascii="仿宋_GB2312" w:eastAsia="仿宋_GB2312"/>
          <w:b/>
          <w:bCs/>
          <w:color w:val="auto"/>
          <w:sz w:val="32"/>
          <w:szCs w:val="32"/>
          <w:lang w:val="en-US" w:eastAsia="zh-CN"/>
        </w:rPr>
        <w:t>庐山风景名胜区管理</w:t>
      </w:r>
      <w:r>
        <w:rPr>
          <w:rFonts w:hint="eastAsia" w:ascii="仿宋_GB2312" w:eastAsia="仿宋_GB2312"/>
          <w:b/>
          <w:bCs/>
          <w:color w:val="auto"/>
          <w:sz w:val="32"/>
          <w:szCs w:val="32"/>
          <w:lang w:eastAsia="zh-CN"/>
        </w:rPr>
        <w:t>局）庐山旅游发展委员会</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年单位预算表</w:t>
      </w:r>
    </w:p>
    <w:p w14:paraId="46665F84">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17DC9B84">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收入总表》</w:t>
      </w:r>
    </w:p>
    <w:p w14:paraId="46D77029">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支出总表》</w:t>
      </w:r>
    </w:p>
    <w:p w14:paraId="673D33D6">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2DD7EC09">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43A5F02D">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32DEC2DC">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0559E7D9">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5A1555FB">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21153D0D">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51FF371A">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p>
    <w:p w14:paraId="41C75279">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w:t>
      </w:r>
      <w:r>
        <w:rPr>
          <w:rFonts w:hint="eastAsia" w:ascii="仿宋_GB2312" w:eastAsia="仿宋_GB2312"/>
          <w:b/>
          <w:bCs/>
          <w:color w:val="auto"/>
          <w:sz w:val="32"/>
          <w:szCs w:val="32"/>
          <w:lang w:val="en-US" w:eastAsia="zh-CN"/>
        </w:rPr>
        <w:t>庐山风景名胜区管理</w:t>
      </w:r>
      <w:r>
        <w:rPr>
          <w:rFonts w:hint="eastAsia" w:ascii="仿宋_GB2312" w:eastAsia="仿宋_GB2312"/>
          <w:b/>
          <w:bCs/>
          <w:color w:val="auto"/>
          <w:sz w:val="32"/>
          <w:szCs w:val="32"/>
          <w:lang w:eastAsia="zh-CN"/>
        </w:rPr>
        <w:t>局）庐山旅游发展委员会</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年单位预算情况说明</w:t>
      </w:r>
    </w:p>
    <w:p w14:paraId="3C96C2D2">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预算收支情况说明</w:t>
      </w:r>
    </w:p>
    <w:p w14:paraId="7D7E95E2">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248ABE0C">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563E9640">
      <w:pPr>
        <w:widowControl/>
        <w:spacing w:line="580" w:lineRule="exact"/>
        <w:jc w:val="center"/>
        <w:rPr>
          <w:rFonts w:ascii="仿宋_GB2312" w:eastAsia="仿宋_GB2312"/>
          <w:b/>
          <w:color w:val="auto"/>
          <w:sz w:val="32"/>
          <w:szCs w:val="30"/>
        </w:rPr>
      </w:pPr>
    </w:p>
    <w:p w14:paraId="408D08CD">
      <w:pPr>
        <w:widowControl/>
        <w:spacing w:line="580" w:lineRule="exact"/>
        <w:jc w:val="center"/>
        <w:rPr>
          <w:rFonts w:ascii="仿宋_GB2312" w:eastAsia="仿宋_GB2312"/>
          <w:b/>
          <w:color w:val="auto"/>
          <w:sz w:val="32"/>
          <w:szCs w:val="30"/>
        </w:rPr>
      </w:pPr>
    </w:p>
    <w:p w14:paraId="3BD3A791">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w:t>
      </w:r>
      <w:r>
        <w:rPr>
          <w:rFonts w:hint="eastAsia" w:ascii="仿宋_GB2312" w:eastAsia="仿宋_GB2312"/>
          <w:b/>
          <w:bCs/>
          <w:color w:val="auto"/>
          <w:sz w:val="32"/>
          <w:szCs w:val="32"/>
          <w:lang w:val="en-US" w:eastAsia="zh-CN"/>
        </w:rPr>
        <w:t>庐山风景名胜区管理</w:t>
      </w:r>
      <w:r>
        <w:rPr>
          <w:rFonts w:hint="eastAsia" w:ascii="仿宋_GB2312" w:eastAsia="仿宋_GB2312"/>
          <w:b/>
          <w:color w:val="auto"/>
          <w:sz w:val="32"/>
          <w:szCs w:val="30"/>
          <w:lang w:eastAsia="zh-CN"/>
        </w:rPr>
        <w:t>局）庐山旅游发展委员会</w:t>
      </w:r>
      <w:r>
        <w:rPr>
          <w:color w:val="auto"/>
        </w:rPr>
        <w:fldChar w:fldCharType="end"/>
      </w:r>
      <w:r>
        <w:rPr>
          <w:rFonts w:hint="eastAsia" w:ascii="仿宋_GB2312" w:eastAsia="仿宋_GB2312"/>
          <w:b/>
          <w:color w:val="auto"/>
          <w:sz w:val="32"/>
          <w:szCs w:val="30"/>
        </w:rPr>
        <w:t>概况</w:t>
      </w:r>
    </w:p>
    <w:p w14:paraId="692DB72C">
      <w:pPr>
        <w:widowControl/>
        <w:spacing w:line="580" w:lineRule="exact"/>
        <w:jc w:val="left"/>
        <w:rPr>
          <w:rFonts w:asciiTheme="minorEastAsia" w:hAnsiTheme="minorEastAsia"/>
          <w:b/>
          <w:color w:val="auto"/>
          <w:sz w:val="36"/>
          <w:szCs w:val="36"/>
        </w:rPr>
      </w:pPr>
    </w:p>
    <w:p w14:paraId="527BAEE5">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一、单位主要职责</w:t>
      </w:r>
    </w:p>
    <w:p w14:paraId="4FD5AD46">
      <w:pPr>
        <w:ind w:firstLine="640" w:firstLineChars="200"/>
        <w:rPr>
          <w:rFonts w:hint="eastAsia" w:ascii="仿宋" w:hAnsi="仿宋" w:eastAsia="仿宋" w:cs="仿宋"/>
          <w:b/>
          <w:color w:val="auto"/>
          <w:sz w:val="32"/>
          <w:szCs w:val="32"/>
        </w:rPr>
      </w:pPr>
      <w:r>
        <w:rPr>
          <w:rFonts w:hint="eastAsia" w:ascii="仿宋" w:hAnsi="仿宋" w:eastAsia="仿宋" w:cs="仿宋"/>
          <w:color w:val="auto"/>
          <w:sz w:val="32"/>
          <w:szCs w:val="32"/>
        </w:rPr>
        <w:t>根据省委办公厅、省政府办公厅、省深化庐山管理体制改革工作协调组相关文件精神，依据九江市委编委《关于明确庐山管理体制改革有关机构编制事项的通知》（九编发[2020]4号）、《深化庐山管理体制改革涉及机构编制调整总体方案》（2020年12月15日），庐山旅游发展委员会为庐山市（庐山管理局）正处级行政单位。</w:t>
      </w:r>
      <w:r>
        <w:rPr>
          <w:rFonts w:hint="eastAsia" w:ascii="仿宋" w:hAnsi="仿宋" w:eastAsia="仿宋" w:cs="仿宋"/>
          <w:b w:val="0"/>
          <w:bCs/>
          <w:color w:val="auto"/>
          <w:sz w:val="32"/>
          <w:szCs w:val="32"/>
        </w:rPr>
        <w:t>主要职责：</w:t>
      </w:r>
    </w:p>
    <w:p w14:paraId="38E1CBAC">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（一）根据庐山市委（庐山管理局党委）、庐山市政府(庐山管理局)授权，综合管理庐山市全域旅游业发展和庐山风景名胜区相关工作；</w:t>
      </w:r>
    </w:p>
    <w:p w14:paraId="01EF626F">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（二）统筹协调全市旅游和世界遗产、世界地质公园以及风景名胜区保护、规划、建设等方面的工作；</w:t>
      </w:r>
    </w:p>
    <w:p w14:paraId="0BCD4DE0">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（三）负责拟订庐山市全域旅游产业政策和发展规划并组织实施；</w:t>
      </w:r>
    </w:p>
    <w:p w14:paraId="7B535836">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（四）负责庐山旅游整体形象的策划与宣传；</w:t>
      </w:r>
    </w:p>
    <w:p w14:paraId="0420A7AC">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（五）负责承担旅游资源普查、开发和保护工作，推进全域旅游，促进旅游与相关产业融合发展；</w:t>
      </w:r>
    </w:p>
    <w:p w14:paraId="41CA7C57">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六）保留旅发处全部职责；保留党政办政策法规、督查考核、调研统计、应急职责；保留安监分局安全生产职责，保留规建处协调防汛职责；保留风景处协调防火职责；保留国资处相关资产管理职责；保留国土分局地质灾害防治职责。</w:t>
      </w:r>
    </w:p>
    <w:p w14:paraId="54272F6C">
      <w:pPr>
        <w:ind w:firstLine="640" w:firstLineChars="200"/>
        <w:rPr>
          <w:rFonts w:hint="default" w:ascii="仿宋_GB2312" w:hAnsi="宋体" w:eastAsia="仿宋_GB2312" w:cs="宋体"/>
          <w:color w:val="auto"/>
          <w:kern w:val="0"/>
          <w:sz w:val="30"/>
          <w:szCs w:val="30"/>
          <w:lang w:val="en-US" w:eastAsia="zh-CN"/>
        </w:rPr>
      </w:pPr>
      <w:r>
        <w:rPr>
          <w:rFonts w:hint="eastAsia" w:ascii="仿宋" w:hAnsi="仿宋" w:eastAsia="仿宋" w:cs="仿宋"/>
          <w:color w:val="auto"/>
          <w:sz w:val="32"/>
          <w:szCs w:val="32"/>
        </w:rPr>
        <w:t>（七）完成庐山市委（庐山管理局党委）、庐山市政府（庐山管理局）交办的其他工作。</w:t>
      </w:r>
    </w:p>
    <w:p w14:paraId="40BEA8FA">
      <w:pPr>
        <w:rPr>
          <w:b/>
          <w:color w:val="auto"/>
          <w:sz w:val="36"/>
          <w:szCs w:val="36"/>
        </w:rPr>
      </w:pPr>
      <w:r>
        <w:rPr>
          <w:rFonts w:hint="eastAsia"/>
          <w:b/>
          <w:color w:val="auto"/>
          <w:sz w:val="36"/>
          <w:szCs w:val="36"/>
        </w:rPr>
        <w:t>二、机构设置及人员情况</w:t>
      </w:r>
    </w:p>
    <w:p w14:paraId="0CA7FD9B">
      <w:pPr>
        <w:ind w:firstLine="630"/>
        <w:jc w:val="left"/>
        <w:rPr>
          <w:rFonts w:hint="default" w:ascii="仿宋_GB2312" w:hAnsi="仿宋_GB2312" w:eastAsia="仿宋_GB2312"/>
          <w:color w:val="auto"/>
          <w:sz w:val="32"/>
          <w:szCs w:val="32"/>
          <w:lang w:val="en-US" w:eastAsia="zh-CN"/>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${page540426799.ds254512694_REP_JXJC_AGENCY_WZR_NAME}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庐山市（庐山风景名胜区管理局）庐山旅游发展委员会</w:t>
      </w:r>
      <w:r>
        <w:rPr>
          <w:color w:val="auto"/>
        </w:rPr>
        <w:fldChar w:fldCharType="end"/>
      </w:r>
      <w:r>
        <w:rPr>
          <w:rFonts w:hint="eastAsia" w:ascii="仿宋" w:hAnsi="仿宋" w:eastAsia="仿宋"/>
          <w:color w:val="auto"/>
          <w:sz w:val="32"/>
          <w:szCs w:val="32"/>
        </w:rPr>
        <w:t>内设处室</w:t>
      </w:r>
      <w:r>
        <w:rPr>
          <w:rFonts w:hint="eastAsia" w:ascii="仿宋_GB2312" w:eastAsia="仿宋_GB2312"/>
          <w:color w:val="auto"/>
          <w:sz w:val="32"/>
          <w:szCs w:val="30"/>
          <w:u w:val="none"/>
          <w:lang w:val="en-US" w:eastAsia="zh-CN"/>
        </w:rPr>
        <w:t>10</w:t>
      </w:r>
      <w:r>
        <w:rPr>
          <w:rFonts w:ascii="仿宋" w:hAnsi="仿宋" w:eastAsia="仿宋"/>
          <w:color w:val="auto"/>
          <w:sz w:val="32"/>
          <w:szCs w:val="32"/>
        </w:rPr>
        <w:t xml:space="preserve"> </w:t>
      </w:r>
      <w:r>
        <w:rPr>
          <w:rFonts w:hint="eastAsia" w:ascii="仿宋" w:hAnsi="仿宋" w:eastAsia="仿宋"/>
          <w:color w:val="auto"/>
          <w:sz w:val="32"/>
          <w:szCs w:val="32"/>
        </w:rPr>
        <w:t>个，</w:t>
      </w:r>
      <w:r>
        <w:rPr>
          <w:rFonts w:hint="eastAsia" w:ascii="仿宋_GB2312" w:hAnsi="仿宋_GB2312" w:eastAsia="仿宋_GB2312"/>
          <w:color w:val="auto"/>
          <w:sz w:val="32"/>
          <w:szCs w:val="32"/>
          <w:lang w:val="en-US" w:eastAsia="zh-CN"/>
        </w:rPr>
        <w:t>分别是办公室、政策法规科、调研统计科、监督检查科、全域旅游科、旅游促进科、产业发展科、旅游监管科、旅游安全科、公共服务科。</w:t>
      </w:r>
    </w:p>
    <w:p w14:paraId="6BE8AC7F">
      <w:pPr>
        <w:ind w:firstLine="640" w:firstLineChars="200"/>
        <w:rPr>
          <w:color w:val="auto"/>
        </w:rPr>
      </w:pP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lang w:val="en-US" w:eastAsia="zh-CN"/>
        </w:rPr>
        <w:t>89</w:t>
      </w:r>
      <w:r>
        <w:rPr>
          <w:rFonts w:ascii="仿宋" w:hAnsi="仿宋" w:eastAsia="仿宋"/>
          <w:color w:val="auto"/>
          <w:sz w:val="32"/>
          <w:szCs w:val="32"/>
        </w:rPr>
        <w:t>人,</w:t>
      </w:r>
      <w:r>
        <w:rPr>
          <w:color w:val="auto"/>
        </w:rPr>
        <w:fldChar w:fldCharType="end"/>
      </w:r>
      <w:r>
        <w:rPr>
          <w:rFonts w:hint="eastAsia"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${page540426799.ds376136392_REP_JX_BAS_AGENCY_INFO_DXQRSDW_S_BZRSMX}</w:instrText>
      </w:r>
      <w:r>
        <w:rPr>
          <w:rFonts w:ascii="仿宋" w:hAnsi="仿宋" w:eastAsia="仿宋"/>
          <w:color w:val="auto"/>
          <w:sz w:val="32"/>
          <w:szCs w:val="32"/>
        </w:rPr>
        <w:fldChar w:fldCharType="separate"/>
      </w:r>
      <w:r>
        <w:rPr>
          <w:rFonts w:ascii="仿宋" w:hAnsi="仿宋" w:eastAsia="仿宋"/>
          <w:color w:val="auto"/>
          <w:sz w:val="32"/>
          <w:szCs w:val="32"/>
        </w:rPr>
        <w:t>行政编制人数</w:t>
      </w:r>
      <w:r>
        <w:rPr>
          <w:rFonts w:hint="eastAsia" w:ascii="仿宋" w:hAnsi="仿宋" w:eastAsia="仿宋"/>
          <w:color w:val="auto"/>
          <w:sz w:val="32"/>
          <w:szCs w:val="32"/>
          <w:lang w:val="en-US" w:eastAsia="zh-CN"/>
        </w:rPr>
        <w:t>89</w:t>
      </w:r>
      <w:r>
        <w:rPr>
          <w:rFonts w:ascii="仿宋" w:hAnsi="仿宋" w:eastAsia="仿宋"/>
          <w:color w:val="auto"/>
          <w:sz w:val="32"/>
          <w:szCs w:val="32"/>
        </w:rPr>
        <w:t>人。</w:t>
      </w:r>
      <w:r>
        <w:rPr>
          <w:color w:val="auto"/>
        </w:rPr>
        <w:fldChar w:fldCharType="end"/>
      </w:r>
      <w:r>
        <w:rPr>
          <w:rFonts w:hint="eastAsia" w:ascii="仿宋" w:hAnsi="仿宋" w:eastAsia="仿宋"/>
          <w:color w:val="auto"/>
          <w:sz w:val="32"/>
          <w:szCs w:val="32"/>
        </w:rPr>
        <w:t>全部补助事业编制人数</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人,部分补助事业编制人数</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人</w:t>
      </w:r>
      <w:r>
        <w:rPr>
          <w:rFonts w:hint="eastAsia" w:ascii="仿宋" w:hAnsi="仿宋" w:eastAsia="仿宋" w:cs="仿宋"/>
          <w:color w:val="auto"/>
          <w:sz w:val="30"/>
          <w:szCs w:val="30"/>
        </w:rPr>
        <w:t>。</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auto"/>
          <w:sz w:val="32"/>
          <w:szCs w:val="32"/>
          <w:lang w:val="en-US" w:eastAsia="zh-CN"/>
        </w:rPr>
        <w:t>62</w:t>
      </w:r>
      <w:r>
        <w:rPr>
          <w:rFonts w:ascii="仿宋" w:hAnsi="仿宋" w:eastAsia="仿宋"/>
          <w:color w:val="auto"/>
          <w:sz w:val="32"/>
          <w:szCs w:val="32"/>
        </w:rPr>
        <w:t>人,</w:t>
      </w:r>
      <w:r>
        <w:rPr>
          <w:color w:val="auto"/>
        </w:rPr>
        <w:fldChar w:fldCharType="end"/>
      </w:r>
      <w:r>
        <w:rPr>
          <w:rFonts w:hint="eastAsia"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lang w:val="en-US" w:eastAsia="zh-CN"/>
        </w:rPr>
        <w:t>62</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${page540426799.ds376136392_REP_JX_BAS_AGENCY_INFO_DXQRSDW_S_ZZRSMX}</w:instrText>
      </w:r>
      <w:r>
        <w:rPr>
          <w:rFonts w:ascii="仿宋" w:hAnsi="仿宋" w:eastAsia="仿宋"/>
          <w:color w:val="auto"/>
          <w:sz w:val="32"/>
          <w:szCs w:val="32"/>
        </w:rPr>
        <w:fldChar w:fldCharType="separate"/>
      </w:r>
      <w:r>
        <w:rPr>
          <w:rFonts w:ascii="仿宋" w:hAnsi="仿宋" w:eastAsia="仿宋"/>
          <w:color w:val="auto"/>
          <w:sz w:val="32"/>
          <w:szCs w:val="32"/>
        </w:rPr>
        <w:t>行政在职人数</w:t>
      </w:r>
      <w:r>
        <w:rPr>
          <w:rFonts w:hint="eastAsia" w:ascii="仿宋" w:hAnsi="仿宋" w:eastAsia="仿宋"/>
          <w:color w:val="auto"/>
          <w:sz w:val="32"/>
          <w:szCs w:val="32"/>
          <w:lang w:val="en-US" w:eastAsia="zh-CN"/>
        </w:rPr>
        <w:t>62</w:t>
      </w:r>
      <w:r>
        <w:rPr>
          <w:rFonts w:ascii="仿宋" w:hAnsi="仿宋" w:eastAsia="仿宋"/>
          <w:color w:val="auto"/>
          <w:sz w:val="32"/>
          <w:szCs w:val="32"/>
        </w:rPr>
        <w:t>人。</w:t>
      </w:r>
      <w:r>
        <w:rPr>
          <w:color w:val="auto"/>
        </w:rPr>
        <w:fldChar w:fldCharType="end"/>
      </w:r>
      <w:r>
        <w:rPr>
          <w:rFonts w:hint="eastAsia" w:ascii="仿宋" w:hAnsi="仿宋" w:eastAsia="仿宋" w:cs="仿宋"/>
          <w:color w:val="auto"/>
          <w:sz w:val="30"/>
          <w:szCs w:val="30"/>
        </w:rPr>
        <w:t>全部补助事业在职人数</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人,部分补助事业在职人数</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人。</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${page540426799.ds376136392_REP_JX_BAS_AGENCY_INFO_DXQRSDW_S_QTRSMX}</w:instrText>
      </w:r>
      <w:r>
        <w:rPr>
          <w:rFonts w:ascii="仿宋" w:hAnsi="仿宋" w:eastAsia="仿宋"/>
          <w:color w:val="auto"/>
          <w:sz w:val="32"/>
          <w:szCs w:val="32"/>
        </w:rPr>
        <w:fldChar w:fldCharType="separate"/>
      </w:r>
      <w:r>
        <w:rPr>
          <w:rFonts w:ascii="仿宋" w:hAnsi="仿宋" w:eastAsia="仿宋"/>
          <w:color w:val="auto"/>
          <w:sz w:val="32"/>
          <w:szCs w:val="32"/>
        </w:rPr>
        <w:t>离休人数小计</w:t>
      </w:r>
      <w:r>
        <w:rPr>
          <w:rFonts w:hint="eastAsia" w:ascii="仿宋" w:hAnsi="仿宋" w:eastAsia="仿宋"/>
          <w:color w:val="auto"/>
          <w:sz w:val="32"/>
          <w:szCs w:val="32"/>
          <w:lang w:val="en-US" w:eastAsia="zh-CN"/>
        </w:rPr>
        <w:t>0</w:t>
      </w:r>
      <w:r>
        <w:rPr>
          <w:rFonts w:ascii="仿宋" w:hAnsi="仿宋" w:eastAsia="仿宋"/>
          <w:color w:val="auto"/>
          <w:sz w:val="32"/>
          <w:szCs w:val="32"/>
        </w:rPr>
        <w:t>人,退休人数小计</w:t>
      </w:r>
      <w:r>
        <w:rPr>
          <w:rFonts w:hint="eastAsia" w:ascii="仿宋" w:hAnsi="仿宋" w:eastAsia="仿宋"/>
          <w:color w:val="auto"/>
          <w:sz w:val="32"/>
          <w:szCs w:val="32"/>
          <w:lang w:val="en-US" w:eastAsia="zh-CN"/>
        </w:rPr>
        <w:t>129</w:t>
      </w:r>
      <w:r>
        <w:rPr>
          <w:rFonts w:ascii="仿宋" w:hAnsi="仿宋" w:eastAsia="仿宋"/>
          <w:color w:val="auto"/>
          <w:sz w:val="32"/>
          <w:szCs w:val="32"/>
        </w:rPr>
        <w:t>人,遗属人数</w:t>
      </w:r>
      <w:r>
        <w:rPr>
          <w:rFonts w:hint="eastAsia" w:ascii="仿宋" w:hAnsi="仿宋" w:eastAsia="仿宋"/>
          <w:color w:val="auto"/>
          <w:sz w:val="32"/>
          <w:szCs w:val="32"/>
          <w:lang w:val="en-US" w:eastAsia="zh-CN"/>
        </w:rPr>
        <w:t>1</w:t>
      </w:r>
      <w:r>
        <w:rPr>
          <w:rFonts w:ascii="仿宋" w:hAnsi="仿宋" w:eastAsia="仿宋"/>
          <w:color w:val="auto"/>
          <w:sz w:val="32"/>
          <w:szCs w:val="32"/>
        </w:rPr>
        <w:t>人。</w:t>
      </w:r>
      <w:r>
        <w:rPr>
          <w:color w:val="auto"/>
        </w:rPr>
        <w:fldChar w:fldCharType="end"/>
      </w:r>
    </w:p>
    <w:p w14:paraId="7E5AEC0A">
      <w:pPr>
        <w:ind w:firstLine="420" w:firstLineChars="200"/>
        <w:rPr>
          <w:color w:val="auto"/>
        </w:rPr>
      </w:pPr>
    </w:p>
    <w:p w14:paraId="4365754F">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庐山市（庐山风景名胜区管理局）庐山旅游发展委员会</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18D191FA">
      <w:pPr>
        <w:ind w:firstLine="3840" w:firstLineChars="1200"/>
        <w:jc w:val="left"/>
        <w:rPr>
          <w:rStyle w:val="11"/>
          <w:rFonts w:ascii="仿宋" w:hAnsi="仿宋" w:eastAsia="仿宋"/>
          <w:bCs/>
          <w:color w:val="auto"/>
          <w:sz w:val="32"/>
          <w:szCs w:val="32"/>
        </w:rPr>
      </w:pPr>
      <w:r>
        <w:rPr>
          <w:rFonts w:hint="eastAsia" w:ascii="仿宋" w:hAnsi="仿宋" w:eastAsia="仿宋"/>
          <w:bCs/>
          <w:color w:val="auto"/>
          <w:sz w:val="32"/>
          <w:szCs w:val="32"/>
        </w:rPr>
        <w:t>（详见附表）</w:t>
      </w:r>
    </w:p>
    <w:p w14:paraId="71769CE3">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庐山市（庐山风景名胜区管理局）庐山旅游发展委员会</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54AF79EC">
      <w:pPr>
        <w:widowControl/>
        <w:spacing w:line="580" w:lineRule="exact"/>
        <w:jc w:val="center"/>
        <w:rPr>
          <w:rFonts w:ascii="仿宋_GB2312" w:eastAsia="仿宋_GB2312"/>
          <w:b/>
          <w:color w:val="auto"/>
          <w:sz w:val="32"/>
          <w:szCs w:val="30"/>
        </w:rPr>
      </w:pPr>
    </w:p>
    <w:p w14:paraId="708F5C2B">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年单位预算收支情况说明</w:t>
      </w:r>
    </w:p>
    <w:p w14:paraId="479C664D">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(一)收入预算情况</w:t>
      </w:r>
    </w:p>
    <w:p w14:paraId="0C4EA0F3">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庐山市（庐山风景名胜区管理局）庐山旅游发展委员会</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3231.94</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692.55</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3081.94</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542.55</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增加的主要原因为上年度年初预算人员类支出未足额安排。其他收入150万元，</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较上年预算安排增加</w:t>
      </w:r>
      <w:r>
        <w:rPr>
          <w:rFonts w:hint="eastAsia" w:ascii="仿宋" w:hAnsi="仿宋" w:eastAsia="仿宋" w:cs="Times New Roman"/>
          <w:color w:val="auto"/>
          <w:kern w:val="0"/>
          <w:sz w:val="32"/>
          <w:szCs w:val="32"/>
          <w:lang w:val="en-US" w:eastAsia="zh-CN"/>
        </w:rPr>
        <w:t>150</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增加的主要原单位自有资金转入一体化平台管理。</w:t>
      </w:r>
    </w:p>
    <w:p w14:paraId="5B5B3FF5">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(二)支出预算情况</w:t>
      </w:r>
    </w:p>
    <w:p w14:paraId="2D5FBFA3">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庐山市（庐山风景名胜区管理局）庐山旅游发展委员会</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${page540426799.ds357974894_REP_BGT_T_HC1100002019_DXQ02DW_S_ZJ}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支出预算总额为</w:t>
      </w:r>
      <w:r>
        <w:rPr>
          <w:rStyle w:val="11"/>
          <w:rFonts w:hint="eastAsia" w:ascii="仿宋" w:hAnsi="仿宋" w:eastAsia="仿宋"/>
          <w:color w:val="auto"/>
          <w:sz w:val="32"/>
          <w:szCs w:val="32"/>
          <w:lang w:val="en-US" w:eastAsia="zh-CN"/>
        </w:rPr>
        <w:t>3231.94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692.55</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增加的主要原因为上年度年初预算人员类支出未足额安排。</w:t>
      </w:r>
    </w:p>
    <w:p w14:paraId="34178F99">
      <w:pPr>
        <w:widowControl/>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2225.92</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657.76</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2050.83</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166.45</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2.64</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color w:val="auto"/>
        </w:rPr>
        <w:fldChar w:fldCharType="end"/>
      </w:r>
      <w:r>
        <w:rPr>
          <w:rStyle w:val="11"/>
          <w:rFonts w:ascii="仿宋" w:hAnsi="仿宋" w:eastAsia="仿宋"/>
          <w:color w:val="auto"/>
          <w:sz w:val="32"/>
          <w:szCs w:val="32"/>
        </w:rPr>
        <w:t>资本性支出</w:t>
      </w:r>
      <w:r>
        <w:rPr>
          <w:rStyle w:val="11"/>
          <w:rFonts w:hint="eastAsia" w:ascii="仿宋" w:hAnsi="仿宋" w:eastAsia="仿宋"/>
          <w:color w:val="auto"/>
          <w:sz w:val="32"/>
          <w:szCs w:val="32"/>
          <w:lang w:val="en-US" w:eastAsia="zh-CN"/>
        </w:rPr>
        <w:t>6</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1006.02</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34.79</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107.37</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894.12</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4.54</w:t>
      </w:r>
      <w:r>
        <w:rPr>
          <w:rStyle w:val="11"/>
          <w:rFonts w:ascii="仿宋" w:hAnsi="仿宋" w:eastAsia="仿宋"/>
          <w:color w:val="auto"/>
          <w:sz w:val="32"/>
          <w:szCs w:val="32"/>
        </w:rPr>
        <w:t>万元。</w:t>
      </w:r>
      <w:r>
        <w:rPr>
          <w:color w:val="auto"/>
        </w:rPr>
        <w:fldChar w:fldCharType="end"/>
      </w:r>
    </w:p>
    <w:p w14:paraId="2593BEBD">
      <w:pPr>
        <w:ind w:firstLine="640" w:firstLineChars="200"/>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2843.45</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722.18</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lang w:val="en-US" w:eastAsia="zh-CN"/>
        </w:rPr>
        <w:t>191.60</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18.61</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92.41</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1.46</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104.48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12.49</w:t>
      </w:r>
      <w:r>
        <w:rPr>
          <w:rStyle w:val="11"/>
          <w:rFonts w:ascii="仿宋" w:hAnsi="仿宋" w:eastAsia="仿宋"/>
          <w:color w:val="auto"/>
          <w:sz w:val="32"/>
          <w:szCs w:val="32"/>
        </w:rPr>
        <w:t>万元。</w:t>
      </w:r>
      <w:r>
        <w:rPr>
          <w:color w:val="auto"/>
        </w:rPr>
        <w:fldChar w:fldCharType="end"/>
      </w:r>
    </w:p>
    <w:p w14:paraId="1343941E">
      <w:pPr>
        <w:ind w:firstLine="640" w:firstLineChars="200"/>
        <w:rPr>
          <w:color w:val="auto"/>
        </w:rPr>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2158.2</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869.31</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1060.57</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109.86</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2.64</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64.93</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10.54</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1.96</w:t>
      </w:r>
      <w:r>
        <w:rPr>
          <w:rStyle w:val="11"/>
          <w:rFonts w:ascii="仿宋" w:hAnsi="仿宋" w:eastAsia="仿宋"/>
          <w:color w:val="auto"/>
          <w:sz w:val="32"/>
          <w:szCs w:val="32"/>
        </w:rPr>
        <w:t>万元。</w:t>
      </w:r>
      <w:r>
        <w:rPr>
          <w:color w:val="auto"/>
        </w:rPr>
        <w:fldChar w:fldCharType="end"/>
      </w:r>
    </w:p>
    <w:p w14:paraId="5B37978B">
      <w:pPr>
        <w:ind w:firstLine="643" w:firstLineChars="200"/>
        <w:rPr>
          <w:rStyle w:val="11"/>
          <w:rFonts w:hint="eastAsia" w:ascii="Adobe 仿宋 Std R" w:hAnsi="Adobe 仿宋 Std R" w:eastAsia="Adobe 仿宋 Std R"/>
          <w:b/>
          <w:color w:val="auto"/>
          <w:sz w:val="32"/>
          <w:szCs w:val="32"/>
          <w:lang w:eastAsia="zh-CN"/>
        </w:rPr>
      </w:pPr>
      <w:r>
        <w:rPr>
          <w:rStyle w:val="11"/>
          <w:rFonts w:hint="eastAsia" w:ascii="Adobe 仿宋 Std R" w:hAnsi="Adobe 仿宋 Std R" w:eastAsia="Adobe 仿宋 Std R"/>
          <w:b/>
          <w:color w:val="auto"/>
          <w:sz w:val="32"/>
          <w:szCs w:val="32"/>
        </w:rPr>
        <w:t xml:space="preserve"> (三)财政拨款支出情况</w:t>
      </w:r>
    </w:p>
    <w:p w14:paraId="62E939C0">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庐山市（庐山风景名胜区管理局）庐山旅游发展委员会</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${page540426799.ds357974894_REP_BGT_T_HC1100002019_DXQ02DW_S_CBXJ}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财政拨款支出预算总额</w:t>
      </w:r>
      <w:r>
        <w:rPr>
          <w:rStyle w:val="11"/>
          <w:rFonts w:hint="eastAsia" w:ascii="仿宋" w:hAnsi="仿宋" w:eastAsia="仿宋"/>
          <w:color w:val="auto"/>
          <w:sz w:val="32"/>
          <w:szCs w:val="32"/>
          <w:lang w:val="en-US" w:eastAsia="zh-CN"/>
        </w:rPr>
        <w:t>3081.94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542.55</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增加的主要原因为上年度年初预算人员类支出未足额安排。</w:t>
      </w:r>
    </w:p>
    <w:p w14:paraId="254BF220">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${page400644146.ds247441498_REP_BGT_T_HC1100002019DXQ01_GNCBMX}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2693.45</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增加572.18</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191.6</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18.61</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卫生健康支出</w:t>
      </w:r>
      <w:r>
        <w:rPr>
          <w:rStyle w:val="11"/>
          <w:rFonts w:hint="eastAsia" w:ascii="仿宋" w:hAnsi="仿宋" w:eastAsia="仿宋"/>
          <w:color w:val="auto"/>
          <w:sz w:val="32"/>
          <w:szCs w:val="32"/>
          <w:lang w:val="en-US" w:eastAsia="zh-CN"/>
        </w:rPr>
        <w:t>92.41</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1.46</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住房保障支出</w:t>
      </w:r>
      <w:r>
        <w:rPr>
          <w:rStyle w:val="11"/>
          <w:rFonts w:hint="eastAsia" w:ascii="仿宋" w:hAnsi="仿宋" w:eastAsia="仿宋"/>
          <w:color w:val="auto"/>
          <w:sz w:val="32"/>
          <w:szCs w:val="32"/>
          <w:lang w:val="en-US" w:eastAsia="zh-CN"/>
        </w:rPr>
        <w:t>104.48</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较上年预算安排减少</w:t>
      </w:r>
      <w:r>
        <w:rPr>
          <w:rStyle w:val="11"/>
          <w:rFonts w:hint="eastAsia" w:ascii="仿宋" w:hAnsi="仿宋" w:eastAsia="仿宋"/>
          <w:color w:val="auto"/>
          <w:sz w:val="32"/>
          <w:szCs w:val="32"/>
          <w:lang w:val="en-US" w:eastAsia="zh-CN"/>
        </w:rPr>
        <w:t>12.49</w:t>
      </w:r>
      <w:r>
        <w:rPr>
          <w:rStyle w:val="11"/>
          <w:rFonts w:ascii="仿宋" w:hAnsi="仿宋" w:eastAsia="仿宋"/>
          <w:color w:val="auto"/>
          <w:sz w:val="32"/>
          <w:szCs w:val="32"/>
        </w:rPr>
        <w:t>万元。</w:t>
      </w:r>
      <w:r>
        <w:rPr>
          <w:color w:val="auto"/>
        </w:rPr>
        <w:fldChar w:fldCharType="end"/>
      </w:r>
    </w:p>
    <w:p w14:paraId="7D7D17E3">
      <w:pPr>
        <w:ind w:firstLine="640" w:firstLineChars="200"/>
        <w:rPr>
          <w:color w:val="auto"/>
        </w:rPr>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2225.92</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657.76</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2050.83</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166.45</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2.64</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856.02</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115.21</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107.37</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744.12</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4.54</w:t>
      </w:r>
      <w:r>
        <w:rPr>
          <w:rStyle w:val="11"/>
          <w:rFonts w:ascii="仿宋" w:hAnsi="仿宋" w:eastAsia="仿宋"/>
          <w:color w:val="auto"/>
          <w:sz w:val="32"/>
          <w:szCs w:val="32"/>
        </w:rPr>
        <w:t>万元。</w:t>
      </w:r>
      <w:r>
        <w:rPr>
          <w:color w:val="auto"/>
        </w:rPr>
        <w:fldChar w:fldCharType="end"/>
      </w:r>
    </w:p>
    <w:p w14:paraId="6ABB53AE">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(四)政府性基金情况</w:t>
      </w:r>
    </w:p>
    <w:p w14:paraId="5F0FB2DD">
      <w:pPr>
        <w:ind w:firstLine="643" w:firstLineChars="200"/>
        <w:rPr>
          <w:rStyle w:val="11"/>
          <w:rFonts w:ascii="仿宋" w:hAnsi="仿宋" w:eastAsia="仿宋"/>
          <w:color w:val="auto"/>
          <w:sz w:val="32"/>
          <w:szCs w:val="32"/>
        </w:rPr>
      </w:pPr>
      <w:r>
        <w:rPr>
          <w:rStyle w:val="11"/>
          <w:rFonts w:hint="eastAsia" w:ascii="仿宋" w:hAnsi="仿宋" w:eastAsia="仿宋"/>
          <w:b/>
          <w:color w:val="auto"/>
          <w:sz w:val="32"/>
          <w:szCs w:val="32"/>
        </w:rPr>
        <w:t>本单位没有使用政府性基金预算拨款安排的支出</w:t>
      </w:r>
    </w:p>
    <w:p w14:paraId="5C8E3696">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（五）国有资本经营情况</w:t>
      </w:r>
    </w:p>
    <w:p w14:paraId="3F557794">
      <w:pPr>
        <w:widowControl/>
        <w:ind w:firstLine="640" w:firstLineChars="200"/>
        <w:rPr>
          <w:rStyle w:val="11"/>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本单位没有使用国有资本经营预算拨款安排的支出</w:t>
      </w:r>
      <w:r>
        <w:rPr>
          <w:rStyle w:val="11"/>
          <w:rFonts w:hint="eastAsia" w:ascii="Adobe 仿宋 Std R" w:hAnsi="Adobe 仿宋 Std R" w:eastAsia="Adobe 仿宋 Std R"/>
          <w:color w:val="auto"/>
          <w:sz w:val="32"/>
          <w:szCs w:val="32"/>
          <w:lang w:eastAsia="zh-CN"/>
        </w:rPr>
        <w:t>。</w:t>
      </w:r>
    </w:p>
    <w:p w14:paraId="05687AA8">
      <w:pPr>
        <w:ind w:firstLine="321" w:firstLineChars="100"/>
        <w:rPr>
          <w:rStyle w:val="11"/>
          <w:rFonts w:ascii="Adobe 仿宋 Std R" w:hAnsi="Adobe 仿宋 Std R" w:eastAsia="Adobe 仿宋 Std R"/>
          <w:b/>
          <w:color w:val="auto"/>
          <w:sz w:val="32"/>
          <w:szCs w:val="32"/>
        </w:rPr>
      </w:pPr>
      <w:r>
        <w:rPr>
          <w:rStyle w:val="11"/>
          <w:rFonts w:hint="eastAsia" w:asciiTheme="majorEastAsia" w:hAnsiTheme="majorEastAsia" w:eastAsiaTheme="majorEastAsia"/>
          <w:b/>
          <w:color w:val="auto"/>
          <w:sz w:val="32"/>
          <w:szCs w:val="32"/>
        </w:rPr>
        <w:t xml:space="preserve"> </w:t>
      </w:r>
      <w:r>
        <w:rPr>
          <w:rStyle w:val="11"/>
          <w:rFonts w:hint="eastAsia" w:ascii="Adobe 仿宋 Std R" w:hAnsi="Adobe 仿宋 Std R" w:eastAsia="Adobe 仿宋 Std R"/>
          <w:b/>
          <w:color w:val="auto"/>
          <w:sz w:val="32"/>
          <w:szCs w:val="32"/>
        </w:rPr>
        <w:t>(六)机关运行经费等重要事项的说明</w:t>
      </w:r>
    </w:p>
    <w:p w14:paraId="4019AAED">
      <w:pPr>
        <w:widowControl/>
        <w:ind w:firstLine="640" w:firstLineChars="200"/>
        <w:rPr>
          <w:rFonts w:hint="default" w:ascii="仿宋" w:hAnsi="仿宋" w:eastAsia="仿宋" w:cs="Times New Roman"/>
          <w:color w:val="auto"/>
          <w:kern w:val="0"/>
          <w:sz w:val="32"/>
          <w:szCs w:val="32"/>
          <w:lang w:val="en-US" w:eastAsia="zh-CN"/>
        </w:rPr>
      </w:pPr>
      <w:r>
        <w:rPr>
          <w:rStyle w:val="11"/>
          <w:rFonts w:hint="eastAsia" w:ascii="Adobe 仿宋 Std R" w:hAnsi="Adobe 仿宋 Std R" w:eastAsia="Adobe 仿宋 Std R"/>
          <w:color w:val="auto"/>
          <w:sz w:val="32"/>
          <w:szCs w:val="32"/>
        </w:rPr>
        <w:t>202</w:t>
      </w:r>
      <w:r>
        <w:rPr>
          <w:rStyle w:val="11"/>
          <w:rFonts w:hint="eastAsia" w:ascii="Adobe 仿宋 Std R" w:hAnsi="Adobe 仿宋 Std R" w:eastAsia="Adobe 仿宋 Std R"/>
          <w:color w:val="auto"/>
          <w:sz w:val="32"/>
          <w:szCs w:val="32"/>
          <w:lang w:val="en-US" w:eastAsia="zh-CN"/>
        </w:rPr>
        <w:t>4</w:t>
      </w:r>
      <w:r>
        <w:rPr>
          <w:rStyle w:val="11"/>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Fonts w:hint="eastAsia" w:ascii="Adobe 仿宋 Std R" w:hAnsi="Adobe 仿宋 Std R" w:eastAsia="Adobe 仿宋 Std R"/>
          <w:color w:val="auto"/>
          <w:sz w:val="32"/>
          <w:szCs w:val="32"/>
          <w:lang w:val="en-US" w:eastAsia="zh-CN"/>
        </w:rPr>
        <w:t>172.45</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年预算减少</w:t>
      </w:r>
      <w:r>
        <w:rPr>
          <w:rFonts w:hint="eastAsia" w:ascii="Adobe 仿宋 Std R" w:hAnsi="Adobe 仿宋 Std R" w:eastAsia="Adobe 仿宋 Std R"/>
          <w:color w:val="auto"/>
          <w:sz w:val="32"/>
          <w:szCs w:val="32"/>
          <w:lang w:val="en-US" w:eastAsia="zh-CN"/>
        </w:rPr>
        <w:t>59.25</w:t>
      </w:r>
      <w:r>
        <w:rPr>
          <w:rFonts w:hint="eastAsia" w:ascii="Adobe 仿宋 Std R" w:hAnsi="Adobe 仿宋 Std R" w:eastAsia="Adobe 仿宋 Std R"/>
          <w:color w:val="auto"/>
          <w:sz w:val="32"/>
          <w:szCs w:val="32"/>
        </w:rPr>
        <w:t>万元，下降</w:t>
      </w:r>
      <w:r>
        <w:rPr>
          <w:rFonts w:hint="eastAsia" w:ascii="Adobe 仿宋 Std R" w:hAnsi="Adobe 仿宋 Std R" w:eastAsia="Adobe 仿宋 Std R"/>
          <w:color w:val="auto"/>
          <w:sz w:val="32"/>
          <w:szCs w:val="32"/>
          <w:lang w:val="en-US" w:eastAsia="zh-CN"/>
        </w:rPr>
        <w:t>25.57</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下降变化主要原因为压减</w:t>
      </w:r>
      <w:bookmarkStart w:id="0" w:name="_GoBack"/>
      <w:bookmarkEnd w:id="0"/>
      <w:r>
        <w:rPr>
          <w:rFonts w:hint="eastAsia" w:ascii="仿宋" w:hAnsi="仿宋" w:eastAsia="仿宋" w:cs="Times New Roman"/>
          <w:color w:val="auto"/>
          <w:kern w:val="0"/>
          <w:sz w:val="32"/>
          <w:szCs w:val="32"/>
          <w:lang w:val="en-US" w:eastAsia="zh-CN"/>
        </w:rPr>
        <w:t>一般性公用经费和“三公”经费支出。</w:t>
      </w:r>
    </w:p>
    <w:p w14:paraId="5781D14E">
      <w:pPr>
        <w:widowControl/>
        <w:ind w:firstLine="640" w:firstLineChars="200"/>
        <w:rPr>
          <w:rFonts w:hint="default" w:ascii="仿宋" w:hAnsi="仿宋" w:eastAsia="仿宋" w:cs="Times New Roman"/>
          <w:color w:val="auto"/>
          <w:kern w:val="0"/>
          <w:sz w:val="32"/>
          <w:szCs w:val="32"/>
          <w:lang w:val="en-US" w:eastAsia="zh-CN"/>
        </w:rPr>
      </w:pPr>
      <w:r>
        <w:rPr>
          <w:rFonts w:hint="eastAsia" w:ascii="仿宋" w:hAnsi="仿宋" w:eastAsia="仿宋" w:cs="Times New Roman"/>
          <w:color w:val="auto"/>
          <w:kern w:val="0"/>
          <w:sz w:val="32"/>
          <w:szCs w:val="32"/>
          <w:lang w:val="en-US" w:eastAsia="zh-CN"/>
        </w:rPr>
        <w:t>其中：办公费10万元，水费0.15万元，电费2.07万元，邮电费16.80万元，差旅费10万元，公务接待费2万元，劳务费3万元，工会经费42万元，福利费59万元，其他交通费用5万元，其他商品和服务支出16.43万元，办公设备购置6万元。</w:t>
      </w:r>
    </w:p>
    <w:p w14:paraId="339A9C95">
      <w:pPr>
        <w:widowControl/>
        <w:spacing w:line="580" w:lineRule="exact"/>
        <w:ind w:firstLine="636"/>
        <w:jc w:val="left"/>
        <w:rPr>
          <w:rFonts w:ascii="Adobe 仿宋 Std R" w:hAnsi="Adobe 仿宋 Std R" w:eastAsia="Adobe 仿宋 Std R"/>
          <w:color w:val="auto"/>
          <w:sz w:val="32"/>
          <w:szCs w:val="32"/>
        </w:rPr>
      </w:pPr>
    </w:p>
    <w:p w14:paraId="0D4CA85B">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(七)政府采购情况</w:t>
      </w:r>
    </w:p>
    <w:p w14:paraId="0377D052">
      <w:pPr>
        <w:rPr>
          <w:rFonts w:ascii="Adobe 仿宋 Std R" w:hAnsi="Adobe 仿宋 Std R" w:eastAsia="Adobe 仿宋 Std R"/>
          <w:color w:val="auto"/>
          <w:sz w:val="32"/>
          <w:szCs w:val="32"/>
        </w:rPr>
      </w:pPr>
      <w:r>
        <w:rPr>
          <w:rStyle w:val="11"/>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11.62</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7.62</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万元。</w:t>
      </w:r>
    </w:p>
    <w:p w14:paraId="0F25A5A9">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(八)国有资产占有使用情况</w:t>
      </w:r>
    </w:p>
    <w:p w14:paraId="2880DAC5">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31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单位共有车辆</w:t>
      </w:r>
      <w:r>
        <w:rPr>
          <w:rFonts w:hint="eastAsia" w:ascii="Adobe 仿宋 Std R" w:hAnsi="Adobe 仿宋 Std R" w:eastAsia="Adobe 仿宋 Std R"/>
          <w:color w:val="auto"/>
          <w:sz w:val="32"/>
          <w:szCs w:val="32"/>
          <w:lang w:val="en-US" w:eastAsia="zh-CN"/>
        </w:rPr>
        <w:t>35</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35</w:t>
      </w:r>
      <w:r>
        <w:rPr>
          <w:rFonts w:ascii="Adobe 仿宋 Std R" w:hAnsi="Adobe 仿宋 Std R" w:eastAsia="Adobe 仿宋 Std R"/>
          <w:color w:val="auto"/>
          <w:sz w:val="32"/>
          <w:szCs w:val="32"/>
        </w:rPr>
        <w:t>辆。</w:t>
      </w:r>
      <w:r>
        <w:rPr>
          <w:color w:val="auto"/>
        </w:rPr>
        <w:fldChar w:fldCharType="end"/>
      </w:r>
    </w:p>
    <w:p w14:paraId="4B8B0E96">
      <w:pPr>
        <w:ind w:firstLine="642"/>
        <w:rPr>
          <w:rStyle w:val="11"/>
          <w:rFonts w:ascii="Adobe 仿宋 Std R" w:hAnsi="Adobe 仿宋 Std R" w:eastAsia="Adobe 仿宋 Std R"/>
          <w:b/>
          <w:color w:val="auto"/>
          <w:sz w:val="32"/>
          <w:szCs w:val="32"/>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年单位预算安排购置车辆</w:t>
      </w:r>
      <w:r>
        <w:rPr>
          <w:rFonts w:hint="eastAsia" w:ascii="仿宋_GB2312" w:eastAsia="仿宋_GB2312"/>
          <w:color w:val="auto"/>
          <w:sz w:val="32"/>
          <w:szCs w:val="30"/>
          <w:u w:val="single"/>
          <w:lang w:val="en-US" w:eastAsia="zh-CN"/>
        </w:rPr>
        <w:t>0</w:t>
      </w:r>
      <w:r>
        <w:rPr>
          <w:rFonts w:hint="eastAsia" w:ascii="Adobe 仿宋 Std R" w:hAnsi="Adobe 仿宋 Std R" w:eastAsia="Adobe 仿宋 Std R"/>
          <w:color w:val="auto"/>
          <w:sz w:val="32"/>
          <w:szCs w:val="32"/>
        </w:rPr>
        <w:t>辆，安排购置单位价值200万元以上大型设备具体为：</w:t>
      </w:r>
      <w:r>
        <w:rPr>
          <w:rFonts w:hint="eastAsia" w:ascii="Adobe 仿宋 Std R" w:hAnsi="Adobe 仿宋 Std R" w:eastAsia="Adobe 仿宋 Std R"/>
          <w:color w:val="auto"/>
          <w:sz w:val="32"/>
          <w:szCs w:val="32"/>
          <w:u w:val="single"/>
          <w:lang w:val="en-US" w:eastAsia="zh-CN"/>
        </w:rPr>
        <w:t>无</w:t>
      </w:r>
      <w:r>
        <w:rPr>
          <w:rFonts w:hint="eastAsia" w:ascii="仿宋_GB2312" w:eastAsia="仿宋_GB2312"/>
          <w:color w:val="auto"/>
          <w:sz w:val="32"/>
          <w:szCs w:val="30"/>
        </w:rPr>
        <w:t>。</w:t>
      </w:r>
    </w:p>
    <w:p w14:paraId="3D646875">
      <w:pPr>
        <w:numPr>
          <w:ilvl w:val="0"/>
          <w:numId w:val="1"/>
        </w:numPr>
        <w:ind w:firstLine="321" w:firstLineChars="100"/>
        <w:rPr>
          <w:rStyle w:val="11"/>
          <w:rFonts w:hint="eastAsia"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lang w:val="en-US" w:eastAsia="zh-CN"/>
        </w:rPr>
        <w:t>特定类</w:t>
      </w:r>
      <w:r>
        <w:rPr>
          <w:rStyle w:val="11"/>
          <w:rFonts w:hint="eastAsia" w:ascii="Adobe 仿宋 Std R" w:hAnsi="Adobe 仿宋 Std R" w:eastAsia="Adobe 仿宋 Std R"/>
          <w:b/>
          <w:color w:val="auto"/>
          <w:sz w:val="32"/>
          <w:szCs w:val="32"/>
        </w:rPr>
        <w:t>项目情况说明</w:t>
      </w:r>
    </w:p>
    <w:p w14:paraId="1392BAE9">
      <w:pPr>
        <w:numPr>
          <w:ilvl w:val="0"/>
          <w:numId w:val="0"/>
        </w:numPr>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 xml:space="preserve">      1、品牌创建经费</w:t>
      </w:r>
    </w:p>
    <w:p w14:paraId="2362E18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庐山景区旅游品牌创建经费，打造品牌效应，吸引更多游客。</w:t>
      </w:r>
    </w:p>
    <w:p w14:paraId="1444EA6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7EFD7DC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773C204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3EE1EA0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0864D85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2.20万元</w:t>
      </w:r>
    </w:p>
    <w:p w14:paraId="48493757">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 xml:space="preserve"> 2、导游及旅游从业人员培训费</w:t>
      </w:r>
    </w:p>
    <w:p w14:paraId="4802A0B9">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庐山景区导游及旅游从业人员培训费，规范导游及旅游从业人员服务标准，加强导游及旅游从业人员管理</w:t>
      </w:r>
    </w:p>
    <w:p w14:paraId="32F07B1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09DC763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13134CC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40EBD9B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5BFC95D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2.41万元</w:t>
      </w:r>
    </w:p>
    <w:p w14:paraId="27923AEB">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 xml:space="preserve"> 3、上市、国企国资改革专项经费</w:t>
      </w:r>
    </w:p>
    <w:p w14:paraId="51EA3D08">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上市、国企国资改革专项经费，推动国企国资改革顺利完成。</w:t>
      </w:r>
    </w:p>
    <w:p w14:paraId="5DA8793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262383D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233BB3F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5925F89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16B22B4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6.73万元</w:t>
      </w:r>
    </w:p>
    <w:p w14:paraId="12A968EB">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 xml:space="preserve"> 4、旅游景区会员费</w:t>
      </w:r>
    </w:p>
    <w:p w14:paraId="41EA3CB2">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旅游景区会员费，不断提高庐山景区在旅游景区行业内会员地位。</w:t>
      </w:r>
    </w:p>
    <w:p w14:paraId="3BE59E5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731921B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14A1512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5B56426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3CC1A59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2万元</w:t>
      </w:r>
    </w:p>
    <w:p w14:paraId="7C285681">
      <w:pPr>
        <w:ind w:firstLine="964" w:firstLineChars="3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5、省深化庐山管理体制改革工作专班</w:t>
      </w:r>
    </w:p>
    <w:p w14:paraId="6995A445">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省深化庐山管理体制改革工作专班经费，进一步深化庐山管理体制改革工作，发展景区旅游经济。</w:t>
      </w:r>
    </w:p>
    <w:p w14:paraId="632F5B5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6A41D5A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31E3389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00D60B7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05C2AEE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2.59万元</w:t>
      </w:r>
    </w:p>
    <w:p w14:paraId="3AA2CC0F">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 xml:space="preserve"> 6、庐山市专业森林消防大队二中队经费保障</w:t>
      </w:r>
    </w:p>
    <w:p w14:paraId="06C2EF05">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：庐山旅游发展委员会-庐山市专业森林消防大队二中队经费保障，落实我市专业森林消防大队队员待遇和物资更新及工作经费等需要。</w:t>
      </w:r>
    </w:p>
    <w:p w14:paraId="385F337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：根据《庐山市贯彻落实江西省森林防灭火指挥部综合评估报告整改方案的通知》和《关于全省政府专职消防队员工资标准及岗位设置的通知》（赣应急字）【2021】196号），</w:t>
      </w:r>
    </w:p>
    <w:p w14:paraId="55BC5BB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1E33DB5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6D446CE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41F97E9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336.62万元</w:t>
      </w:r>
    </w:p>
    <w:p w14:paraId="7D8AB8A3">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 xml:space="preserve"> 7、“三区”创建办工作经费</w:t>
      </w:r>
    </w:p>
    <w:p w14:paraId="149B320A">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“三区”创建办工作经费，确保三区创建工作顺利开展，提升景区品牌旅游内涵。</w:t>
      </w:r>
    </w:p>
    <w:p w14:paraId="1936B24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根据“三区”创建工作需要确立项目</w:t>
      </w:r>
    </w:p>
    <w:p w14:paraId="390255E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0D53A83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2F51545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420BC77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5.96万元</w:t>
      </w:r>
    </w:p>
    <w:p w14:paraId="0E293C8F">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 xml:space="preserve"> 8、法治宣传教育费用</w:t>
      </w:r>
    </w:p>
    <w:p w14:paraId="245C0103">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法治宣传教育费用，印制宣传资料，购买法治书籍。</w:t>
      </w:r>
    </w:p>
    <w:p w14:paraId="666DF1E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23D24E9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6F88288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5164BE0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754C443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0.7万元</w:t>
      </w:r>
    </w:p>
    <w:p w14:paraId="6BBF19C7">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 xml:space="preserve"> 9、九江学院庐山发展战略研究院工作经费</w:t>
      </w:r>
    </w:p>
    <w:p w14:paraId="1BB447C6">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九江学院庐山发展战略研究院工作经费，加强校地合作， 推动双方实现互利互赢，共同发展。</w:t>
      </w:r>
    </w:p>
    <w:p w14:paraId="61D75F9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351667B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59C0DB5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0206EFF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6DFF035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50万元</w:t>
      </w:r>
    </w:p>
    <w:p w14:paraId="6BE327C2">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 xml:space="preserve"> 10、“庐山天下悠”品牌研究经费</w:t>
      </w:r>
    </w:p>
    <w:p w14:paraId="1A586213">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庐山天下悠</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品牌研究经费，打造庐山天下悠品牌营销影响力，不断创新庐山旅游宣传形式。</w:t>
      </w:r>
    </w:p>
    <w:p w14:paraId="640D447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根据庐旅文【2022】31号文确立项目</w:t>
      </w:r>
    </w:p>
    <w:p w14:paraId="3C73104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7EE939C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6C686B6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35920B6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16.5万元</w:t>
      </w:r>
    </w:p>
    <w:p w14:paraId="6CB1C52D">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 xml:space="preserve"> 11、研究“庐山山岳型景区转型升级规划研究课题”经费</w:t>
      </w:r>
    </w:p>
    <w:p w14:paraId="0CA8516A">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研究“庐山山岳型景区转型升级规划研究课题”经费，借鉴国内外山岳型景区发展经验，明确庐山发展的战略地位，提出前瞻性、针对性、可操作性性的庐山山岳型景区转型升级规划，实施山岳型景区转型与世界遗产保护传承的结合，促进庐山旅游高质量发展</w:t>
      </w:r>
    </w:p>
    <w:p w14:paraId="0467114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根据庐山山岳型景区转型升级工作需要确立项目</w:t>
      </w:r>
    </w:p>
    <w:p w14:paraId="695CEDA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48F3B7E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6C3BA89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2C968F1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21.49万元</w:t>
      </w:r>
    </w:p>
    <w:p w14:paraId="24B2F090">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 xml:space="preserve"> 12、福利保障经费</w:t>
      </w:r>
    </w:p>
    <w:p w14:paraId="13AED1BE">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福利保障经费</w:t>
      </w:r>
    </w:p>
    <w:p w14:paraId="774E2F8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根据庐山市财政批复确立</w:t>
      </w:r>
    </w:p>
    <w:p w14:paraId="4789C83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38C5DFA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按照文件要求实施</w:t>
      </w:r>
    </w:p>
    <w:p w14:paraId="71D3266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3203CEF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105.88万元</w:t>
      </w:r>
    </w:p>
    <w:p w14:paraId="6EAA47B4">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13、档案保护工作经费</w:t>
      </w:r>
    </w:p>
    <w:p w14:paraId="0D1C97EB">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档案保护工作经费，保证档案中心收集、保管、开发、利用等工作正常运行，保护档案实体、有效服务中心工作，持续满足群众查档用档需求。</w:t>
      </w:r>
    </w:p>
    <w:p w14:paraId="061AA64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根据庐旅文【2023】4号文确立项目</w:t>
      </w:r>
    </w:p>
    <w:p w14:paraId="7A72E83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4F283E0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28E813A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12BE0D8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6.19万元</w:t>
      </w:r>
    </w:p>
    <w:p w14:paraId="2C283075">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14、纪检组工作经费</w:t>
      </w:r>
    </w:p>
    <w:p w14:paraId="7F47F18C">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纪检组工作经费，履行政府赋予的纪律检查、国家监察和内部审计等职能。</w:t>
      </w:r>
    </w:p>
    <w:p w14:paraId="0278058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根据庐山市财政批复确立</w:t>
      </w:r>
    </w:p>
    <w:p w14:paraId="037C6BC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720C0E6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36D8B11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5965F3F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51万元</w:t>
      </w:r>
    </w:p>
    <w:p w14:paraId="5A816591">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15、在庐山管理局市级老领导绩效工资补差经费</w:t>
      </w:r>
    </w:p>
    <w:p w14:paraId="1D85331E">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在庐山管理局市级老领导绩效工资补差经费。</w:t>
      </w:r>
    </w:p>
    <w:p w14:paraId="2A38B99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根据庐山市财政批复确立</w:t>
      </w:r>
    </w:p>
    <w:p w14:paraId="3231CC4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6FACBD4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396C2D6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02429A5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20万元</w:t>
      </w:r>
    </w:p>
    <w:p w14:paraId="4D6EB1E0">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16、应急救援中心工作经费</w:t>
      </w:r>
    </w:p>
    <w:p w14:paraId="21E87AA6">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应急救援中心工作经费，应急救援、防火防汛物资准备，强化庐山景区应急救援队伍建设、保障庐山景区安全。</w:t>
      </w:r>
    </w:p>
    <w:p w14:paraId="34F2ECD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根据庐山市财政批复确立</w:t>
      </w:r>
    </w:p>
    <w:p w14:paraId="71A655C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43A35E1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30C6994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4CAC21C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79.86万元</w:t>
      </w:r>
    </w:p>
    <w:p w14:paraId="387A94B4">
      <w:pPr>
        <w:numPr>
          <w:ilvl w:val="0"/>
          <w:numId w:val="0"/>
        </w:numPr>
        <w:ind w:firstLine="643" w:firstLineChars="200"/>
        <w:rPr>
          <w:rStyle w:val="11"/>
          <w:rFonts w:hint="default" w:ascii="Adobe 仿宋 Std R" w:hAnsi="Adobe 仿宋 Std R" w:eastAsia="Adobe 仿宋 Std R"/>
          <w:b/>
          <w:color w:val="auto"/>
          <w:sz w:val="32"/>
          <w:szCs w:val="32"/>
          <w:lang w:val="en-US" w:eastAsia="zh-CN"/>
        </w:rPr>
      </w:pPr>
      <w:r>
        <w:rPr>
          <w:rStyle w:val="11"/>
          <w:rFonts w:hint="eastAsia" w:ascii="Adobe 仿宋 Std R" w:hAnsi="Adobe 仿宋 Std R" w:eastAsia="Adobe 仿宋 Std R"/>
          <w:b/>
          <w:color w:val="auto"/>
          <w:sz w:val="32"/>
          <w:szCs w:val="32"/>
          <w:lang w:val="en-US" w:eastAsia="zh-CN"/>
        </w:rPr>
        <w:t>17、商务接待经费</w:t>
      </w:r>
    </w:p>
    <w:p w14:paraId="369C6FD5">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1）项目概述</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商务接待经费，庐山景区招商引资经费。</w:t>
      </w:r>
    </w:p>
    <w:p w14:paraId="5C7BE5D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根据庐山市财政批复确立</w:t>
      </w:r>
    </w:p>
    <w:p w14:paraId="4C13951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3）实施主体</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庐山市（庐山风景名胜区管理局）庐山旅游发展委员会</w:t>
      </w:r>
    </w:p>
    <w:p w14:paraId="47E4A39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按照批复的文件实施</w:t>
      </w:r>
    </w:p>
    <w:p w14:paraId="695B6B5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w:t>
      </w:r>
    </w:p>
    <w:p w14:paraId="1B27D4F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8.52万元</w:t>
      </w:r>
    </w:p>
    <w:p w14:paraId="3DE60EDE">
      <w:pPr>
        <w:ind w:firstLine="642"/>
        <w:rPr>
          <w:rFonts w:hint="default" w:ascii="Adobe 仿宋 Std R" w:hAnsi="Adobe 仿宋 Std R" w:eastAsia="Adobe 仿宋 Std R"/>
          <w:color w:val="auto"/>
          <w:sz w:val="32"/>
          <w:szCs w:val="32"/>
          <w:lang w:val="en-US" w:eastAsia="zh-CN"/>
        </w:rPr>
      </w:pPr>
    </w:p>
    <w:p w14:paraId="069909F5">
      <w:pPr>
        <w:widowControl/>
        <w:spacing w:line="580" w:lineRule="exact"/>
        <w:jc w:val="left"/>
        <w:rPr>
          <w:rFonts w:ascii="Adobe 仿宋 Std R" w:hAnsi="Adobe 仿宋 Std R" w:eastAsia="Adobe 仿宋 Std R"/>
          <w:color w:val="auto"/>
          <w:sz w:val="32"/>
          <w:szCs w:val="32"/>
        </w:rPr>
      </w:pPr>
    </w:p>
    <w:p w14:paraId="215DA8E6">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2EC30E96">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庐山市（庐山风景名胜区管理局）庐山旅游发展委员会</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u w:val="single"/>
          <w:lang w:val="en-US" w:eastAsia="zh-CN"/>
        </w:rPr>
        <w:t>20.39</w:t>
      </w:r>
      <w:r>
        <w:rPr>
          <w:rFonts w:hint="eastAsia" w:ascii="仿宋" w:hAnsi="仿宋" w:eastAsia="仿宋"/>
          <w:bCs/>
          <w:color w:val="auto"/>
          <w:sz w:val="32"/>
          <w:szCs w:val="32"/>
        </w:rPr>
        <w:t>万元，其中：</w:t>
      </w:r>
    </w:p>
    <w:p w14:paraId="29833F4E">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u w:val="single"/>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u w:val="single"/>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val="en-US" w:eastAsia="zh-CN"/>
        </w:rPr>
        <w:t>与上年安排保持一致</w:t>
      </w:r>
      <w:r>
        <w:rPr>
          <w:rFonts w:ascii="仿宋" w:hAnsi="仿宋" w:eastAsia="仿宋"/>
          <w:bCs/>
          <w:color w:val="auto"/>
          <w:sz w:val="32"/>
          <w:szCs w:val="32"/>
        </w:rPr>
        <w:t>。</w:t>
      </w:r>
    </w:p>
    <w:p w14:paraId="00F0E3DE">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u w:val="single"/>
          <w:lang w:val="en-US" w:eastAsia="zh-CN"/>
        </w:rPr>
        <w:t>4.92</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少</w:t>
      </w:r>
      <w:r>
        <w:rPr>
          <w:rFonts w:hint="eastAsia" w:ascii="仿宋" w:hAnsi="仿宋" w:eastAsia="仿宋"/>
          <w:bCs/>
          <w:color w:val="auto"/>
          <w:sz w:val="32"/>
          <w:szCs w:val="32"/>
          <w:u w:val="single"/>
          <w:lang w:val="en-US" w:eastAsia="zh-CN"/>
        </w:rPr>
        <w:t>37.08</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val="en-US" w:eastAsia="zh-CN"/>
        </w:rPr>
        <w:t>本年度压减“三公”经费支出</w:t>
      </w:r>
      <w:r>
        <w:rPr>
          <w:rFonts w:ascii="仿宋" w:hAnsi="仿宋" w:eastAsia="仿宋"/>
          <w:bCs/>
          <w:color w:val="auto"/>
          <w:sz w:val="32"/>
          <w:szCs w:val="32"/>
        </w:rPr>
        <w:t>。</w:t>
      </w:r>
    </w:p>
    <w:p w14:paraId="7744B862">
      <w:pPr>
        <w:ind w:firstLine="640" w:firstLineChars="200"/>
        <w:jc w:val="left"/>
        <w:rPr>
          <w:rFonts w:ascii="仿宋" w:hAnsi="仿宋" w:eastAsia="仿宋"/>
          <w:bCs/>
          <w:color w:val="auto"/>
          <w:sz w:val="32"/>
          <w:szCs w:val="32"/>
          <w:u w:val="single"/>
        </w:rPr>
      </w:pPr>
      <w:r>
        <w:rPr>
          <w:rFonts w:ascii="仿宋" w:hAnsi="仿宋" w:eastAsia="仿宋"/>
          <w:bCs/>
          <w:color w:val="auto"/>
          <w:sz w:val="32"/>
          <w:szCs w:val="32"/>
        </w:rPr>
        <w:t>公务用车运行</w:t>
      </w:r>
      <w:r>
        <w:rPr>
          <w:rFonts w:hint="eastAsia" w:ascii="仿宋" w:hAnsi="仿宋" w:eastAsia="仿宋"/>
          <w:bCs/>
          <w:color w:val="auto"/>
          <w:sz w:val="32"/>
          <w:szCs w:val="32"/>
          <w:u w:val="single"/>
          <w:lang w:val="en-US" w:eastAsia="zh-CN"/>
        </w:rPr>
        <w:t>15.47</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加</w:t>
      </w:r>
      <w:r>
        <w:rPr>
          <w:rFonts w:hint="eastAsia" w:ascii="仿宋" w:hAnsi="仿宋" w:eastAsia="仿宋"/>
          <w:bCs/>
          <w:color w:val="auto"/>
          <w:sz w:val="32"/>
          <w:szCs w:val="32"/>
          <w:u w:val="single"/>
          <w:lang w:val="en-US" w:eastAsia="zh-CN"/>
        </w:rPr>
        <w:t>0.17</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val="en-US" w:eastAsia="zh-CN"/>
        </w:rPr>
        <w:t>森林防火队为打造一流的专业消防队伍，加强平时演练次数</w:t>
      </w:r>
      <w:r>
        <w:rPr>
          <w:rFonts w:ascii="仿宋" w:hAnsi="仿宋" w:eastAsia="仿宋"/>
          <w:bCs/>
          <w:color w:val="auto"/>
          <w:sz w:val="32"/>
          <w:szCs w:val="32"/>
          <w:u w:val="single"/>
        </w:rPr>
        <w:t>。</w:t>
      </w:r>
    </w:p>
    <w:p w14:paraId="04B49561">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u w:val="single"/>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u w:val="single"/>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u w:val="single"/>
          <w:lang w:val="en-US" w:eastAsia="zh-CN"/>
        </w:rPr>
        <w:t>与上年安排保持一致</w:t>
      </w:r>
      <w:r>
        <w:rPr>
          <w:rFonts w:ascii="仿宋" w:hAnsi="仿宋" w:eastAsia="仿宋"/>
          <w:bCs/>
          <w:color w:val="auto"/>
          <w:sz w:val="32"/>
          <w:szCs w:val="32"/>
        </w:rPr>
        <w:t>。</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${page400644146.ds215660413_REP_BGT_T_HC1100002019_DXQ02_ZCSGGZ}</w:instrText>
      </w:r>
      <w:r>
        <w:rPr>
          <w:rFonts w:ascii="仿宋" w:hAnsi="仿宋" w:eastAsia="仿宋"/>
          <w:bCs/>
          <w:color w:val="auto"/>
          <w:sz w:val="32"/>
          <w:szCs w:val="32"/>
        </w:rPr>
        <w:fldChar w:fldCharType="end"/>
      </w:r>
    </w:p>
    <w:p w14:paraId="77D24B67">
      <w:pPr>
        <w:widowControl/>
        <w:spacing w:line="580" w:lineRule="exact"/>
        <w:ind w:firstLine="636"/>
        <w:jc w:val="left"/>
        <w:rPr>
          <w:rStyle w:val="11"/>
          <w:rFonts w:hint="eastAsia" w:ascii="仿宋" w:hAnsi="仿宋" w:eastAsia="仿宋"/>
          <w:color w:val="auto"/>
          <w:sz w:val="32"/>
          <w:szCs w:val="32"/>
        </w:rPr>
      </w:pPr>
    </w:p>
    <w:p w14:paraId="3254E05E">
      <w:pPr>
        <w:widowControl/>
        <w:spacing w:line="580" w:lineRule="exact"/>
        <w:ind w:firstLine="636"/>
        <w:jc w:val="left"/>
        <w:rPr>
          <w:rStyle w:val="11"/>
          <w:rFonts w:hint="eastAsia" w:ascii="仿宋" w:hAnsi="仿宋" w:eastAsia="仿宋"/>
          <w:sz w:val="32"/>
          <w:szCs w:val="32"/>
        </w:rPr>
      </w:pPr>
    </w:p>
    <w:p w14:paraId="25B6B01B">
      <w:pPr>
        <w:widowControl/>
        <w:spacing w:line="580" w:lineRule="exact"/>
        <w:ind w:firstLine="636"/>
        <w:jc w:val="left"/>
        <w:rPr>
          <w:rStyle w:val="11"/>
          <w:rFonts w:hint="eastAsia" w:ascii="仿宋" w:hAnsi="仿宋" w:eastAsia="仿宋"/>
          <w:sz w:val="32"/>
          <w:szCs w:val="32"/>
        </w:rPr>
      </w:pPr>
    </w:p>
    <w:p w14:paraId="400A2EF7">
      <w:pPr>
        <w:widowControl/>
        <w:spacing w:line="580" w:lineRule="exact"/>
        <w:ind w:firstLine="636"/>
        <w:jc w:val="left"/>
        <w:rPr>
          <w:rStyle w:val="11"/>
          <w:rFonts w:hint="eastAsia" w:ascii="仿宋" w:hAnsi="仿宋" w:eastAsia="仿宋"/>
          <w:sz w:val="32"/>
          <w:szCs w:val="32"/>
        </w:rPr>
      </w:pPr>
    </w:p>
    <w:p w14:paraId="1B2C6103">
      <w:pPr>
        <w:widowControl/>
        <w:spacing w:line="580" w:lineRule="exact"/>
        <w:ind w:firstLine="636"/>
        <w:jc w:val="left"/>
        <w:rPr>
          <w:rStyle w:val="11"/>
          <w:rFonts w:hint="eastAsia" w:ascii="仿宋" w:hAnsi="仿宋" w:eastAsia="仿宋"/>
          <w:sz w:val="32"/>
          <w:szCs w:val="32"/>
        </w:rPr>
      </w:pPr>
    </w:p>
    <w:p w14:paraId="392B3122">
      <w:pPr>
        <w:widowControl/>
        <w:spacing w:line="580" w:lineRule="exact"/>
        <w:ind w:firstLine="636"/>
        <w:jc w:val="left"/>
        <w:rPr>
          <w:rStyle w:val="11"/>
          <w:rFonts w:hint="eastAsia" w:ascii="仿宋" w:hAnsi="仿宋" w:eastAsia="仿宋"/>
          <w:sz w:val="32"/>
          <w:szCs w:val="32"/>
        </w:rPr>
      </w:pPr>
    </w:p>
    <w:p w14:paraId="7C387F14">
      <w:pPr>
        <w:widowControl/>
        <w:spacing w:line="580" w:lineRule="exact"/>
        <w:ind w:firstLine="636"/>
        <w:jc w:val="left"/>
        <w:rPr>
          <w:rStyle w:val="11"/>
          <w:rFonts w:ascii="仿宋" w:hAnsi="仿宋" w:eastAsia="仿宋"/>
          <w:sz w:val="32"/>
          <w:szCs w:val="32"/>
        </w:rPr>
      </w:pPr>
    </w:p>
    <w:p w14:paraId="75C7AE52">
      <w:pPr>
        <w:widowControl/>
        <w:shd w:val="clear" w:color="auto" w:fill="FFFFFF"/>
        <w:spacing w:line="640" w:lineRule="atLeast"/>
        <w:ind w:firstLine="640"/>
        <w:jc w:val="center"/>
        <w:rPr>
          <w:rFonts w:ascii="仿宋_GB2312" w:eastAsia="仿宋_GB2312"/>
          <w:b/>
          <w:sz w:val="32"/>
          <w:szCs w:val="30"/>
        </w:rPr>
      </w:pPr>
    </w:p>
    <w:p w14:paraId="5663B42A">
      <w:pPr>
        <w:widowControl/>
        <w:shd w:val="clear" w:color="auto" w:fill="FFFFFF"/>
        <w:spacing w:line="640" w:lineRule="atLeast"/>
        <w:ind w:firstLine="640"/>
        <w:jc w:val="center"/>
        <w:rPr>
          <w:rFonts w:ascii="仿宋_GB2312" w:eastAsia="仿宋_GB2312"/>
          <w:b/>
          <w:sz w:val="32"/>
          <w:szCs w:val="30"/>
        </w:rPr>
      </w:pPr>
    </w:p>
    <w:p w14:paraId="4E12C97A">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000E5111">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1B45A4A0">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1F173F1D">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55D021A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0DD5993B">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2B96BB3F">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1F2137A1">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6C4C6FA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18A58AC0">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46FB23DA">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3805D69D">
      <w:pPr>
        <w:ind w:firstLine="640" w:firstLineChars="200"/>
        <w:rPr>
          <w:rFonts w:ascii="Adobe 仿宋 Std R" w:hAnsi="Adobe 仿宋 Std R" w:eastAsia="Adobe 仿宋 Std R"/>
          <w:sz w:val="32"/>
          <w:szCs w:val="32"/>
        </w:rPr>
      </w:pPr>
    </w:p>
    <w:p w14:paraId="2354CFEE">
      <w:pPr>
        <w:ind w:firstLine="640" w:firstLineChars="200"/>
        <w:rPr>
          <w:rFonts w:ascii="Adobe 仿宋 Std R" w:hAnsi="Adobe 仿宋 Std R" w:eastAsia="Adobe 仿宋 Std R"/>
          <w:sz w:val="32"/>
          <w:szCs w:val="32"/>
        </w:rPr>
      </w:pPr>
    </w:p>
    <w:p w14:paraId="6EC8CFBE">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BB50C2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CAD27C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73726FE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5FE09BF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66AFE9C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7E4426B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7DE3BDB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1C83EE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09D67E98">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F588D54">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323A887">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CA6ADD">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3AD89D"/>
    <w:multiLevelType w:val="singleLevel"/>
    <w:tmpl w:val="A63AD89D"/>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Q4MzUxNDhiMjBmYWEwOWZlMTIwOTdjMjIwMDM3Nz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0531A4"/>
    <w:rsid w:val="02263797"/>
    <w:rsid w:val="0270061D"/>
    <w:rsid w:val="03103BAE"/>
    <w:rsid w:val="034F46D6"/>
    <w:rsid w:val="038A570F"/>
    <w:rsid w:val="047343F5"/>
    <w:rsid w:val="04FD0162"/>
    <w:rsid w:val="052851DF"/>
    <w:rsid w:val="05CB200E"/>
    <w:rsid w:val="067A6028"/>
    <w:rsid w:val="068F47B3"/>
    <w:rsid w:val="06FD269B"/>
    <w:rsid w:val="072040E1"/>
    <w:rsid w:val="074958E1"/>
    <w:rsid w:val="076F5347"/>
    <w:rsid w:val="08EC3843"/>
    <w:rsid w:val="0A0925FF"/>
    <w:rsid w:val="0C811679"/>
    <w:rsid w:val="0C97247A"/>
    <w:rsid w:val="0D1A7920"/>
    <w:rsid w:val="0D2269B3"/>
    <w:rsid w:val="0DB3098E"/>
    <w:rsid w:val="0ECF2B6F"/>
    <w:rsid w:val="0FD0094D"/>
    <w:rsid w:val="0FD61CDB"/>
    <w:rsid w:val="10BE2E9B"/>
    <w:rsid w:val="12220323"/>
    <w:rsid w:val="1304005F"/>
    <w:rsid w:val="13AA7707"/>
    <w:rsid w:val="13FB007C"/>
    <w:rsid w:val="140C2170"/>
    <w:rsid w:val="161B48EC"/>
    <w:rsid w:val="16B036C0"/>
    <w:rsid w:val="1876405C"/>
    <w:rsid w:val="19137AFC"/>
    <w:rsid w:val="1A0E4C09"/>
    <w:rsid w:val="1A705E7F"/>
    <w:rsid w:val="1ABF2D84"/>
    <w:rsid w:val="1C876837"/>
    <w:rsid w:val="1E172FD7"/>
    <w:rsid w:val="1E491A3B"/>
    <w:rsid w:val="1F1F7406"/>
    <w:rsid w:val="206D0602"/>
    <w:rsid w:val="22430342"/>
    <w:rsid w:val="23977FB1"/>
    <w:rsid w:val="23F01166"/>
    <w:rsid w:val="245C3447"/>
    <w:rsid w:val="24727DCD"/>
    <w:rsid w:val="24C56885"/>
    <w:rsid w:val="24CF6FCD"/>
    <w:rsid w:val="257F27A2"/>
    <w:rsid w:val="259F4BF2"/>
    <w:rsid w:val="25B931E9"/>
    <w:rsid w:val="26CA3EF0"/>
    <w:rsid w:val="270311B0"/>
    <w:rsid w:val="28263441"/>
    <w:rsid w:val="2828673B"/>
    <w:rsid w:val="285717B4"/>
    <w:rsid w:val="28D94D1B"/>
    <w:rsid w:val="290B705B"/>
    <w:rsid w:val="29981D60"/>
    <w:rsid w:val="2B2339AC"/>
    <w:rsid w:val="2C35005E"/>
    <w:rsid w:val="2C57797E"/>
    <w:rsid w:val="2DB43204"/>
    <w:rsid w:val="2EAE2349"/>
    <w:rsid w:val="2F155F25"/>
    <w:rsid w:val="2F1877C3"/>
    <w:rsid w:val="304075B1"/>
    <w:rsid w:val="306C7DC6"/>
    <w:rsid w:val="311C29BA"/>
    <w:rsid w:val="318814ED"/>
    <w:rsid w:val="31931AC3"/>
    <w:rsid w:val="31BB2DB3"/>
    <w:rsid w:val="32FF4F22"/>
    <w:rsid w:val="3328400E"/>
    <w:rsid w:val="34D36666"/>
    <w:rsid w:val="351512FA"/>
    <w:rsid w:val="351A6043"/>
    <w:rsid w:val="362A0508"/>
    <w:rsid w:val="36B44275"/>
    <w:rsid w:val="374647FA"/>
    <w:rsid w:val="38BD5663"/>
    <w:rsid w:val="39A3581F"/>
    <w:rsid w:val="39A52FA9"/>
    <w:rsid w:val="39CE49D8"/>
    <w:rsid w:val="39F350B4"/>
    <w:rsid w:val="3A3000B7"/>
    <w:rsid w:val="3A841EE9"/>
    <w:rsid w:val="3A9F1A72"/>
    <w:rsid w:val="3ACF1B11"/>
    <w:rsid w:val="3B7D1841"/>
    <w:rsid w:val="3BA35A87"/>
    <w:rsid w:val="3BA6547C"/>
    <w:rsid w:val="3C795D45"/>
    <w:rsid w:val="3DD2151D"/>
    <w:rsid w:val="3F383632"/>
    <w:rsid w:val="3F6F51DD"/>
    <w:rsid w:val="3F79445A"/>
    <w:rsid w:val="3FA910A9"/>
    <w:rsid w:val="3FF84E58"/>
    <w:rsid w:val="4052753A"/>
    <w:rsid w:val="41737C65"/>
    <w:rsid w:val="41B11ADD"/>
    <w:rsid w:val="420F4A55"/>
    <w:rsid w:val="42823479"/>
    <w:rsid w:val="42DC038C"/>
    <w:rsid w:val="44C71617"/>
    <w:rsid w:val="45D833CA"/>
    <w:rsid w:val="464E5AFF"/>
    <w:rsid w:val="468477C0"/>
    <w:rsid w:val="472745EF"/>
    <w:rsid w:val="476615BC"/>
    <w:rsid w:val="4800731A"/>
    <w:rsid w:val="4ABF6A7A"/>
    <w:rsid w:val="4D1B0752"/>
    <w:rsid w:val="4DB628F2"/>
    <w:rsid w:val="4E0D4F31"/>
    <w:rsid w:val="4EC56BC8"/>
    <w:rsid w:val="4EFF051F"/>
    <w:rsid w:val="4FE63299"/>
    <w:rsid w:val="50593A6B"/>
    <w:rsid w:val="50D70E34"/>
    <w:rsid w:val="51C969CF"/>
    <w:rsid w:val="528E6F80"/>
    <w:rsid w:val="53516268"/>
    <w:rsid w:val="55924F68"/>
    <w:rsid w:val="55EE43AE"/>
    <w:rsid w:val="56C47F55"/>
    <w:rsid w:val="573A53AA"/>
    <w:rsid w:val="5814471C"/>
    <w:rsid w:val="581B1F4E"/>
    <w:rsid w:val="586C3CA8"/>
    <w:rsid w:val="5918723D"/>
    <w:rsid w:val="5A875679"/>
    <w:rsid w:val="5AB93E8B"/>
    <w:rsid w:val="5AD563E4"/>
    <w:rsid w:val="5B7F45A2"/>
    <w:rsid w:val="5CBD5382"/>
    <w:rsid w:val="5EA31F07"/>
    <w:rsid w:val="5EDA0640"/>
    <w:rsid w:val="5F193B70"/>
    <w:rsid w:val="61D17BB5"/>
    <w:rsid w:val="61E31A71"/>
    <w:rsid w:val="62283DE4"/>
    <w:rsid w:val="63E33020"/>
    <w:rsid w:val="650A1380"/>
    <w:rsid w:val="656229B9"/>
    <w:rsid w:val="658856FB"/>
    <w:rsid w:val="65E676F8"/>
    <w:rsid w:val="66833198"/>
    <w:rsid w:val="66E63727"/>
    <w:rsid w:val="67B10C38"/>
    <w:rsid w:val="67DC7D34"/>
    <w:rsid w:val="67EB7247"/>
    <w:rsid w:val="682C160E"/>
    <w:rsid w:val="684D7F02"/>
    <w:rsid w:val="68E97589"/>
    <w:rsid w:val="69937B96"/>
    <w:rsid w:val="69C53AC8"/>
    <w:rsid w:val="6A507835"/>
    <w:rsid w:val="6BE248E5"/>
    <w:rsid w:val="6BF3491C"/>
    <w:rsid w:val="6C617282"/>
    <w:rsid w:val="6CB57E24"/>
    <w:rsid w:val="6CCB135B"/>
    <w:rsid w:val="6E5A0C83"/>
    <w:rsid w:val="6EAF555B"/>
    <w:rsid w:val="6EDB6140"/>
    <w:rsid w:val="6F0E07CD"/>
    <w:rsid w:val="6F2C7111"/>
    <w:rsid w:val="701D01BA"/>
    <w:rsid w:val="714A36AC"/>
    <w:rsid w:val="719A3A8C"/>
    <w:rsid w:val="71AF11DD"/>
    <w:rsid w:val="72746F20"/>
    <w:rsid w:val="73543105"/>
    <w:rsid w:val="735F6D3B"/>
    <w:rsid w:val="73661E78"/>
    <w:rsid w:val="73A85115"/>
    <w:rsid w:val="73A91810"/>
    <w:rsid w:val="759E1500"/>
    <w:rsid w:val="76361FD5"/>
    <w:rsid w:val="7731279D"/>
    <w:rsid w:val="7A992B33"/>
    <w:rsid w:val="7BA06143"/>
    <w:rsid w:val="7C1C38B8"/>
    <w:rsid w:val="7D1C2D3E"/>
    <w:rsid w:val="7DAA5057"/>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6578</Words>
  <Characters>7123</Characters>
  <Lines>53</Lines>
  <Paragraphs>15</Paragraphs>
  <TotalTime>3</TotalTime>
  <ScaleCrop>false</ScaleCrop>
  <LinksUpToDate>false</LinksUpToDate>
  <CharactersWithSpaces>7487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2025-08-28T05:01:48Z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eyJoZGlkIjoiZWZkNTE3OWEwZjM5M2Y5ZTY0MjI4YjQyM2NmMGQzNjAiLCJ1c2VySWQiOiIyNzY4NzEyODQifQ==</vt:lpwstr>
  </property>
</Properties>
</file>