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庐山市城市管理局</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pPr>
        <w:pStyle w:val="12"/>
        <w:spacing w:line="600" w:lineRule="atLeast"/>
        <w:jc w:val="center"/>
        <w:rPr>
          <w:rFonts w:ascii="黑体" w:hAnsi="黑体" w:eastAsia="黑体"/>
          <w:color w:val="000000"/>
          <w:sz w:val="32"/>
          <w:szCs w:val="32"/>
        </w:rPr>
      </w:pPr>
    </w:p>
    <w:p>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2"/>
        <w:rPr>
          <w:rFonts w:ascii="宋体" w:hAnsi="宋体"/>
          <w:color w:val="000000"/>
        </w:rPr>
      </w:pPr>
    </w:p>
    <w:p>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庐山市城市管理局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庐山市城市管理局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庐山市城市管理局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2"/>
        <w:spacing w:line="600" w:lineRule="atLeast"/>
        <w:ind w:firstLine="640"/>
        <w:jc w:val="left"/>
        <w:rPr>
          <w:rFonts w:ascii="仿宋_GB2312" w:eastAsia="仿宋_GB2312"/>
          <w:b/>
          <w:sz w:val="32"/>
          <w:szCs w:val="30"/>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val="en-US" w:eastAsia="zh-CN"/>
        </w:rPr>
        <w:t>庐山市城市管理局</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负责市区市容和环境卫生、园林、绿化和景观管理工作。负责受理市民和单位关于城市管理方面的投诉和举报，行使市容、环境卫生、路灯、园林、绿化、景观管理等方面的行政处罚。协助建设规划部门，依法对建设工程规划、设计、施工的执行情况实施监督检查；依法查处有关城市规划管理中心的违规违法行为，监督检查市区规划区内建设项目，对未办理规划报建手续的建筑进行巡查、制止和处罚。负责组织开展市容秩序、环境卫生等城市管理方面的综合整治活动和落实城市创建工作的有关任务。负责市区“垃圾不落地计划”实施和“门前三包”责任制落实。负责非机动车辆、人行道机动车辆及摩托车停放的管理和违反违规的行为的纠正。负责城市规划区内市容环境卫生、园林、绿化和景观灯设施、设备的监督管理。承办</w:t>
      </w:r>
      <w:r>
        <w:rPr>
          <w:rFonts w:hint="eastAsia" w:ascii="Adobe 仿宋 Std R" w:hAnsi="Adobe 仿宋 Std R" w:eastAsia="Adobe 仿宋 Std R"/>
          <w:sz w:val="32"/>
          <w:szCs w:val="30"/>
          <w:lang w:val="en-US" w:eastAsia="zh-CN"/>
        </w:rPr>
        <w:t>市</w:t>
      </w:r>
      <w:r>
        <w:rPr>
          <w:rFonts w:hint="eastAsia" w:ascii="Adobe 仿宋 Std R" w:hAnsi="Adobe 仿宋 Std R" w:eastAsia="Adobe 仿宋 Std R"/>
          <w:sz w:val="32"/>
          <w:szCs w:val="30"/>
        </w:rPr>
        <w:t>政府交办的其他工作。</w:t>
      </w:r>
    </w:p>
    <w:p>
      <w:pPr>
        <w:rPr>
          <w:b/>
          <w:sz w:val="36"/>
          <w:szCs w:val="36"/>
        </w:rPr>
      </w:pPr>
      <w:r>
        <w:rPr>
          <w:rFonts w:hint="eastAsia"/>
          <w:b/>
          <w:sz w:val="36"/>
          <w:szCs w:val="36"/>
        </w:rPr>
        <w:t>二、机构设置及人员情况</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_GB2312" w:eastAsia="仿宋_GB2312"/>
          <w:b w:val="0"/>
          <w:bCs w:val="0"/>
          <w:color w:val="000000"/>
          <w:sz w:val="32"/>
          <w:szCs w:val="32"/>
          <w:lang w:val="en-US" w:eastAsia="zh-CN"/>
        </w:rPr>
        <w:t>庐山市城市管理局</w:t>
      </w:r>
      <w:r>
        <w:rPr>
          <w:rFonts w:hint="eastAsia" w:ascii="仿宋" w:hAnsi="仿宋" w:eastAsia="仿宋"/>
          <w:b w:val="0"/>
          <w:bCs w:val="0"/>
          <w:sz w:val="32"/>
          <w:szCs w:val="32"/>
        </w:rPr>
        <w:t>内设</w:t>
      </w:r>
      <w:r>
        <w:rPr>
          <w:rFonts w:hint="eastAsia" w:ascii="仿宋" w:hAnsi="仿宋" w:eastAsia="仿宋"/>
          <w:sz w:val="32"/>
          <w:szCs w:val="32"/>
        </w:rPr>
        <w:t>处室</w:t>
      </w:r>
      <w:r>
        <w:rPr>
          <w:rFonts w:hint="eastAsia" w:ascii="仿宋_GB2312" w:eastAsia="仿宋_GB2312"/>
          <w:sz w:val="32"/>
          <w:szCs w:val="30"/>
          <w:u w:val="none"/>
          <w:lang w:val="en-US" w:eastAsia="zh-CN"/>
        </w:rPr>
        <w:t>3</w:t>
      </w:r>
      <w:r>
        <w:rPr>
          <w:rFonts w:hint="eastAsia" w:ascii="仿宋" w:hAnsi="仿宋" w:eastAsia="仿宋"/>
          <w:sz w:val="32"/>
          <w:szCs w:val="32"/>
        </w:rPr>
        <w:t>个，包括：办公室、法规股、综合业务股。</w:t>
      </w:r>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1</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bCs/>
          <w:color w:val="000000"/>
          <w:sz w:val="32"/>
          <w:szCs w:val="32"/>
          <w:lang w:val="en-US" w:eastAsia="zh-CN"/>
        </w:rPr>
        <w:t>庐山市城市管理局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65420" cy="5443220"/>
            <wp:effectExtent l="0" t="0" r="7620" b="12700"/>
            <wp:docPr id="1" name="图片 1" descr="1.收支预算总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收支预算总表"/>
                    <pic:cNvPicPr>
                      <a:picLocks noChangeAspect="1"/>
                    </pic:cNvPicPr>
                  </pic:nvPicPr>
                  <pic:blipFill>
                    <a:blip r:embed="rId5"/>
                    <a:stretch>
                      <a:fillRect/>
                    </a:stretch>
                  </pic:blipFill>
                  <pic:spPr>
                    <a:xfrm>
                      <a:off x="0" y="0"/>
                      <a:ext cx="5265420" cy="5443220"/>
                    </a:xfrm>
                    <a:prstGeom prst="rect">
                      <a:avLst/>
                    </a:prstGeom>
                  </pic:spPr>
                </pic:pic>
              </a:graphicData>
            </a:graphic>
          </wp:inline>
        </w:drawing>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64150" cy="2347595"/>
            <wp:effectExtent l="0" t="0" r="8890" b="14605"/>
            <wp:docPr id="2" name="图片 2" descr="2.单位收入总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单位收入总表"/>
                    <pic:cNvPicPr>
                      <a:picLocks noChangeAspect="1"/>
                    </pic:cNvPicPr>
                  </pic:nvPicPr>
                  <pic:blipFill>
                    <a:blip r:embed="rId6"/>
                    <a:stretch>
                      <a:fillRect/>
                    </a:stretch>
                  </pic:blipFill>
                  <pic:spPr>
                    <a:xfrm>
                      <a:off x="0" y="0"/>
                      <a:ext cx="5264150" cy="2347595"/>
                    </a:xfrm>
                    <a:prstGeom prst="rect">
                      <a:avLst/>
                    </a:prstGeom>
                  </pic:spPr>
                </pic:pic>
              </a:graphicData>
            </a:graphic>
          </wp:inline>
        </w:drawing>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69230" cy="3640455"/>
            <wp:effectExtent l="0" t="0" r="3810" b="1905"/>
            <wp:docPr id="3" name="图片 3" descr="3.单位支出总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单位支出总表"/>
                    <pic:cNvPicPr>
                      <a:picLocks noChangeAspect="1"/>
                    </pic:cNvPicPr>
                  </pic:nvPicPr>
                  <pic:blipFill>
                    <a:blip r:embed="rId7"/>
                    <a:stretch>
                      <a:fillRect/>
                    </a:stretch>
                  </pic:blipFill>
                  <pic:spPr>
                    <a:xfrm>
                      <a:off x="0" y="0"/>
                      <a:ext cx="5269230" cy="3640455"/>
                    </a:xfrm>
                    <a:prstGeom prst="rect">
                      <a:avLst/>
                    </a:prstGeom>
                  </pic:spPr>
                </pic:pic>
              </a:graphicData>
            </a:graphic>
          </wp:inline>
        </w:drawing>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64785" cy="5022215"/>
            <wp:effectExtent l="0" t="0" r="8255" b="6985"/>
            <wp:docPr id="4" name="图片 4" descr="4.财政拨款收支总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财政拨款收支总表"/>
                    <pic:cNvPicPr>
                      <a:picLocks noChangeAspect="1"/>
                    </pic:cNvPicPr>
                  </pic:nvPicPr>
                  <pic:blipFill>
                    <a:blip r:embed="rId8"/>
                    <a:stretch>
                      <a:fillRect/>
                    </a:stretch>
                  </pic:blipFill>
                  <pic:spPr>
                    <a:xfrm>
                      <a:off x="0" y="0"/>
                      <a:ext cx="5264785" cy="5022215"/>
                    </a:xfrm>
                    <a:prstGeom prst="rect">
                      <a:avLst/>
                    </a:prstGeom>
                  </pic:spPr>
                </pic:pic>
              </a:graphicData>
            </a:graphic>
          </wp:inline>
        </w:drawing>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68595" cy="3905885"/>
            <wp:effectExtent l="0" t="0" r="4445" b="10795"/>
            <wp:docPr id="5" name="图片 5" descr="5.一般公共预算支出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一般公共预算支出表"/>
                    <pic:cNvPicPr>
                      <a:picLocks noChangeAspect="1"/>
                    </pic:cNvPicPr>
                  </pic:nvPicPr>
                  <pic:blipFill>
                    <a:blip r:embed="rId9"/>
                    <a:stretch>
                      <a:fillRect/>
                    </a:stretch>
                  </pic:blipFill>
                  <pic:spPr>
                    <a:xfrm>
                      <a:off x="0" y="0"/>
                      <a:ext cx="5268595" cy="3905885"/>
                    </a:xfrm>
                    <a:prstGeom prst="rect">
                      <a:avLst/>
                    </a:prstGeom>
                  </pic:spPr>
                </pic:pic>
              </a:graphicData>
            </a:graphic>
          </wp:inline>
        </w:drawing>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71135" cy="4182110"/>
            <wp:effectExtent l="0" t="0" r="1905" b="8890"/>
            <wp:docPr id="6" name="图片 6" descr="6.一般公共预算基本支出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6.一般公共预算基本支出表"/>
                    <pic:cNvPicPr>
                      <a:picLocks noChangeAspect="1"/>
                    </pic:cNvPicPr>
                  </pic:nvPicPr>
                  <pic:blipFill>
                    <a:blip r:embed="rId10"/>
                    <a:stretch>
                      <a:fillRect/>
                    </a:stretch>
                  </pic:blipFill>
                  <pic:spPr>
                    <a:xfrm>
                      <a:off x="0" y="0"/>
                      <a:ext cx="5271135" cy="4182110"/>
                    </a:xfrm>
                    <a:prstGeom prst="rect">
                      <a:avLst/>
                    </a:prstGeom>
                  </pic:spPr>
                </pic:pic>
              </a:graphicData>
            </a:graphic>
          </wp:inline>
        </w:drawing>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73040" cy="1022350"/>
            <wp:effectExtent l="0" t="0" r="0" b="13970"/>
            <wp:docPr id="7" name="图片 7" descr="7.财政拨款三公经费支出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7.财政拨款三公经费支出表"/>
                    <pic:cNvPicPr>
                      <a:picLocks noChangeAspect="1"/>
                    </pic:cNvPicPr>
                  </pic:nvPicPr>
                  <pic:blipFill>
                    <a:blip r:embed="rId11"/>
                    <a:stretch>
                      <a:fillRect/>
                    </a:stretch>
                  </pic:blipFill>
                  <pic:spPr>
                    <a:xfrm>
                      <a:off x="0" y="0"/>
                      <a:ext cx="5273040" cy="1022350"/>
                    </a:xfrm>
                    <a:prstGeom prst="rect">
                      <a:avLst/>
                    </a:prstGeom>
                  </pic:spPr>
                </pic:pic>
              </a:graphicData>
            </a:graphic>
          </wp:inline>
        </w:drawing>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66055" cy="1015365"/>
            <wp:effectExtent l="0" t="0" r="6985" b="5715"/>
            <wp:docPr id="8" name="图片 8" descr="8.政府性基金预算支出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8.政府性基金预算支出表"/>
                    <pic:cNvPicPr>
                      <a:picLocks noChangeAspect="1"/>
                    </pic:cNvPicPr>
                  </pic:nvPicPr>
                  <pic:blipFill>
                    <a:blip r:embed="rId12"/>
                    <a:stretch>
                      <a:fillRect/>
                    </a:stretch>
                  </pic:blipFill>
                  <pic:spPr>
                    <a:xfrm>
                      <a:off x="0" y="0"/>
                      <a:ext cx="5266055" cy="1015365"/>
                    </a:xfrm>
                    <a:prstGeom prst="rect">
                      <a:avLst/>
                    </a:prstGeom>
                  </pic:spPr>
                </pic:pic>
              </a:graphicData>
            </a:graphic>
          </wp:inline>
        </w:drawing>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66055" cy="954405"/>
            <wp:effectExtent l="0" t="0" r="6985" b="5715"/>
            <wp:docPr id="9" name="图片 9" descr="9.国有资本经营预算支出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9.国有资本经营预算支出表"/>
                    <pic:cNvPicPr>
                      <a:picLocks noChangeAspect="1"/>
                    </pic:cNvPicPr>
                  </pic:nvPicPr>
                  <pic:blipFill>
                    <a:blip r:embed="rId13"/>
                    <a:stretch>
                      <a:fillRect/>
                    </a:stretch>
                  </pic:blipFill>
                  <pic:spPr>
                    <a:xfrm>
                      <a:off x="0" y="0"/>
                      <a:ext cx="5266055" cy="954405"/>
                    </a:xfrm>
                    <a:prstGeom prst="rect">
                      <a:avLst/>
                    </a:prstGeom>
                  </pic:spPr>
                </pic:pic>
              </a:graphicData>
            </a:graphic>
          </wp:inline>
        </w:drawing>
      </w:r>
    </w:p>
    <w:p>
      <w:pPr>
        <w:jc w:val="left"/>
        <w:rPr>
          <w:rStyle w:val="11"/>
          <w:rFonts w:hint="eastAsia" w:ascii="仿宋" w:hAnsi="仿宋" w:eastAsia="仿宋"/>
          <w:bCs/>
          <w:sz w:val="32"/>
          <w:szCs w:val="32"/>
          <w:lang w:eastAsia="zh-CN"/>
        </w:rPr>
      </w:pPr>
      <w:r>
        <w:rPr>
          <w:rStyle w:val="11"/>
          <w:rFonts w:hint="eastAsia" w:ascii="仿宋" w:hAnsi="仿宋" w:eastAsia="仿宋"/>
          <w:bCs/>
          <w:sz w:val="32"/>
          <w:szCs w:val="32"/>
          <w:lang w:eastAsia="zh-CN"/>
        </w:rPr>
        <w:drawing>
          <wp:inline distT="0" distB="0" distL="114300" distR="114300">
            <wp:extent cx="5274310" cy="6998970"/>
            <wp:effectExtent l="0" t="0" r="13970" b="11430"/>
            <wp:docPr id="10" name="图片 10" descr="10.项目绩效目标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0.项目绩效目标表"/>
                    <pic:cNvPicPr>
                      <a:picLocks noChangeAspect="1"/>
                    </pic:cNvPicPr>
                  </pic:nvPicPr>
                  <pic:blipFill>
                    <a:blip r:embed="rId14"/>
                    <a:stretch>
                      <a:fillRect/>
                    </a:stretch>
                  </pic:blipFill>
                  <pic:spPr>
                    <a:xfrm>
                      <a:off x="0" y="0"/>
                      <a:ext cx="5274310" cy="6998970"/>
                    </a:xfrm>
                    <a:prstGeom prst="rect">
                      <a:avLst/>
                    </a:prstGeom>
                  </pic:spPr>
                </pic:pic>
              </a:graphicData>
            </a:graphic>
          </wp:inline>
        </w:drawing>
      </w:r>
    </w:p>
    <w:p>
      <w:pPr>
        <w:ind w:firstLine="640" w:firstLineChars="200"/>
        <w:jc w:val="left"/>
        <w:rPr>
          <w:rStyle w:val="11"/>
          <w:rFonts w:ascii="仿宋" w:hAnsi="仿宋" w:eastAsia="仿宋"/>
          <w:bCs/>
          <w:sz w:val="32"/>
          <w:szCs w:val="32"/>
        </w:rPr>
      </w:pPr>
    </w:p>
    <w:p>
      <w:pPr>
        <w:ind w:firstLine="640" w:firstLineChars="200"/>
        <w:jc w:val="left"/>
        <w:rPr>
          <w:rStyle w:val="11"/>
          <w:rFonts w:ascii="仿宋" w:hAnsi="仿宋" w:eastAsia="仿宋"/>
          <w:bCs/>
          <w:sz w:val="32"/>
          <w:szCs w:val="32"/>
        </w:rPr>
      </w:pPr>
    </w:p>
    <w:p>
      <w:pPr>
        <w:widowControl/>
        <w:spacing w:line="580" w:lineRule="exact"/>
        <w:jc w:val="center"/>
        <w:rPr>
          <w:rFonts w:hint="eastAsia" w:ascii="仿宋_GB2312" w:hAnsi="Calibri" w:eastAsia="仿宋_GB2312" w:cs="宋体"/>
          <w:b/>
          <w:kern w:val="0"/>
          <w:sz w:val="32"/>
          <w:szCs w:val="32"/>
        </w:rPr>
      </w:pPr>
    </w:p>
    <w:p>
      <w:pPr>
        <w:widowControl/>
        <w:spacing w:line="580" w:lineRule="exact"/>
        <w:jc w:val="center"/>
        <w:rPr>
          <w:rFonts w:hint="eastAsia" w:ascii="仿宋_GB2312" w:hAnsi="Calibri" w:eastAsia="仿宋_GB2312" w:cs="宋体"/>
          <w:b/>
          <w:kern w:val="0"/>
          <w:sz w:val="32"/>
          <w:szCs w:val="32"/>
        </w:rPr>
      </w:pPr>
    </w:p>
    <w:p>
      <w:pPr>
        <w:widowControl/>
        <w:spacing w:line="580" w:lineRule="exact"/>
        <w:jc w:val="center"/>
        <w:rPr>
          <w:rFonts w:ascii="仿宋_GB2312" w:eastAsia="仿宋_GB2312"/>
          <w:b/>
          <w:sz w:val="32"/>
          <w:szCs w:val="30"/>
        </w:rPr>
      </w:pPr>
      <w:bookmarkStart w:id="0" w:name="_GoBack"/>
      <w:bookmarkEnd w:id="0"/>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bCs/>
          <w:color w:val="000000"/>
          <w:sz w:val="32"/>
          <w:szCs w:val="32"/>
          <w:lang w:val="en-US" w:eastAsia="zh-CN"/>
        </w:rPr>
        <w:t>庐山市城市管理局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b w:val="0"/>
          <w:bCs w:val="0"/>
          <w:kern w:val="0"/>
          <w:sz w:val="32"/>
          <w:szCs w:val="32"/>
        </w:rPr>
        <w:t>年</w:t>
      </w:r>
      <w:r>
        <w:rPr>
          <w:rFonts w:hint="eastAsia" w:ascii="仿宋_GB2312" w:eastAsia="仿宋_GB2312"/>
          <w:b w:val="0"/>
          <w:bCs w:val="0"/>
          <w:color w:val="000000"/>
          <w:sz w:val="32"/>
          <w:szCs w:val="32"/>
          <w:lang w:val="en-US" w:eastAsia="zh-CN"/>
        </w:rPr>
        <w:t>庐山市城市管理局</w:t>
      </w:r>
      <w:r>
        <w:rPr>
          <w:rFonts w:ascii="仿宋" w:hAnsi="仿宋" w:eastAsia="仿宋" w:cs="Times New Roman"/>
          <w:b w:val="0"/>
          <w:bCs w:val="0"/>
          <w:kern w:val="0"/>
          <w:sz w:val="32"/>
          <w:szCs w:val="32"/>
        </w:rPr>
        <w:fldChar w:fldCharType="begin"/>
      </w:r>
      <w:r>
        <w:rPr>
          <w:rFonts w:ascii="仿宋" w:hAnsi="仿宋" w:eastAsia="仿宋" w:cs="Times New Roman"/>
          <w:b w:val="0"/>
          <w:bCs w:val="0"/>
          <w:kern w:val="0"/>
          <w:sz w:val="32"/>
          <w:szCs w:val="32"/>
        </w:rPr>
        <w:instrText xml:space="preserve">MERGEFIELD ${page540426799.ds254512694_V_BGT_DEP_INCOME_DXQDW01_ZJ}</w:instrText>
      </w:r>
      <w:r>
        <w:rPr>
          <w:rFonts w:ascii="仿宋" w:hAnsi="仿宋" w:eastAsia="仿宋" w:cs="Times New Roman"/>
          <w:b w:val="0"/>
          <w:bCs w:val="0"/>
          <w:kern w:val="0"/>
          <w:sz w:val="32"/>
          <w:szCs w:val="32"/>
        </w:rPr>
        <w:fldChar w:fldCharType="separate"/>
      </w:r>
      <w:r>
        <w:rPr>
          <w:rFonts w:ascii="仿宋" w:hAnsi="仿宋" w:eastAsia="仿宋" w:cs="Times New Roman"/>
          <w:b w:val="0"/>
          <w:bCs w:val="0"/>
          <w:kern w:val="0"/>
          <w:sz w:val="32"/>
          <w:szCs w:val="32"/>
        </w:rPr>
        <w:t>收入预算总额为</w:t>
      </w:r>
      <w:r>
        <w:rPr>
          <w:rFonts w:hint="eastAsia" w:ascii="仿宋" w:hAnsi="仿宋" w:eastAsia="仿宋" w:cs="Times New Roman"/>
          <w:b w:val="0"/>
          <w:bCs w:val="0"/>
          <w:kern w:val="0"/>
          <w:sz w:val="32"/>
          <w:szCs w:val="32"/>
          <w:lang w:val="en-US" w:eastAsia="zh-CN"/>
        </w:rPr>
        <w:t>317.51</w:t>
      </w:r>
      <w:r>
        <w:rPr>
          <w:rFonts w:ascii="仿宋" w:hAnsi="仿宋" w:eastAsia="仿宋" w:cs="Times New Roman"/>
          <w:b w:val="0"/>
          <w:bCs w:val="0"/>
          <w:kern w:val="0"/>
          <w:sz w:val="32"/>
          <w:szCs w:val="32"/>
        </w:rPr>
        <w:t>万元,较上年预算安排增加</w:t>
      </w:r>
      <w:r>
        <w:rPr>
          <w:rFonts w:hint="eastAsia" w:ascii="仿宋" w:hAnsi="仿宋" w:eastAsia="仿宋" w:cs="Times New Roman"/>
          <w:b w:val="0"/>
          <w:bCs w:val="0"/>
          <w:kern w:val="0"/>
          <w:sz w:val="32"/>
          <w:szCs w:val="32"/>
          <w:lang w:val="en-US" w:eastAsia="zh-CN"/>
        </w:rPr>
        <w:t>50.18</w:t>
      </w:r>
      <w:r>
        <w:rPr>
          <w:rFonts w:ascii="仿宋" w:hAnsi="仿宋" w:eastAsia="仿宋" w:cs="Times New Roman"/>
          <w:b w:val="0"/>
          <w:bCs w:val="0"/>
          <w:kern w:val="0"/>
          <w:sz w:val="32"/>
          <w:szCs w:val="32"/>
        </w:rPr>
        <w:t>万元;</w:t>
      </w:r>
      <w:r>
        <w:rPr>
          <w:b w:val="0"/>
          <w:bCs w:val="0"/>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317.51</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50.18</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增加变化原因为行政事业性收费收入增长。</w:t>
      </w:r>
    </w:p>
    <w:p>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_GB2312" w:eastAsia="仿宋_GB2312"/>
          <w:b w:val="0"/>
          <w:bCs w:val="0"/>
          <w:color w:val="000000"/>
          <w:sz w:val="32"/>
          <w:szCs w:val="32"/>
          <w:lang w:val="en-US" w:eastAsia="zh-CN"/>
        </w:rPr>
        <w:t>庐山市城市管理局</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317.51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50.18</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增加变化原因为行政事业性收费收入增长。</w:t>
      </w:r>
    </w:p>
    <w:p>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auto"/>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177.51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18.38</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166.48</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11.03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0.01</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140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31.8</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102.7</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0.5</w:t>
      </w:r>
      <w:r>
        <w:rPr>
          <w:rStyle w:val="11"/>
          <w:rFonts w:ascii="仿宋" w:hAnsi="仿宋" w:eastAsia="仿宋"/>
          <w:sz w:val="32"/>
          <w:szCs w:val="32"/>
        </w:rPr>
        <w:t>万元。</w:t>
      </w:r>
      <w:r>
        <w:fldChar w:fldCharType="end"/>
      </w:r>
    </w:p>
    <w:p>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271.96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42.16</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23.85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4.31</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8.45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2.68</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13.25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1.03</w:t>
      </w:r>
      <w:r>
        <w:rPr>
          <w:rStyle w:val="11"/>
          <w:rFonts w:ascii="仿宋" w:hAnsi="仿宋" w:eastAsia="仿宋"/>
          <w:sz w:val="32"/>
          <w:szCs w:val="32"/>
        </w:rPr>
        <w:t>万元。</w:t>
      </w:r>
      <w: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166.48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26.34</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113.73</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减少13.46</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2.01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0.51</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w:t>
      </w:r>
      <w:r>
        <w:rPr>
          <w:rStyle w:val="11"/>
          <w:rFonts w:ascii="仿宋" w:hAnsi="仿宋" w:eastAsia="仿宋"/>
          <w:sz w:val="32"/>
          <w:szCs w:val="32"/>
        </w:rPr>
        <w:t>万元。</w:t>
      </w:r>
      <w:r>
        <w:fldChar w:fldCharType="end"/>
      </w:r>
    </w:p>
    <w:p>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_GB2312" w:eastAsia="仿宋_GB2312"/>
          <w:b w:val="0"/>
          <w:bCs w:val="0"/>
          <w:color w:val="000000"/>
          <w:sz w:val="32"/>
          <w:szCs w:val="32"/>
          <w:lang w:val="en-US" w:eastAsia="zh-CN"/>
        </w:rPr>
        <w:t>庐山市城市管理局</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317.51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50.18</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增加（减少）变化原因为行政事业性收费收入增长。</w:t>
      </w:r>
    </w:p>
    <w:p>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271.96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42.16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23.85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4.31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8.45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2.68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13.25</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1.03</w:t>
      </w:r>
      <w:r>
        <w:rPr>
          <w:rStyle w:val="11"/>
          <w:rFonts w:ascii="仿宋" w:hAnsi="仿宋" w:eastAsia="仿宋"/>
          <w:sz w:val="32"/>
          <w:szCs w:val="32"/>
        </w:rPr>
        <w:t>万元。</w:t>
      </w:r>
      <w:r>
        <w:fldChar w:fldCharType="end"/>
      </w:r>
    </w:p>
    <w:p>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177.51</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18.38</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166.48</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11.03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0.01</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140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31.8</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102.7</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0.5</w:t>
      </w:r>
      <w:r>
        <w:rPr>
          <w:rStyle w:val="11"/>
          <w:rFonts w:ascii="仿宋" w:hAnsi="仿宋" w:eastAsia="仿宋"/>
          <w:sz w:val="32"/>
          <w:szCs w:val="32"/>
        </w:rPr>
        <w:t>万元。</w:t>
      </w:r>
      <w:r>
        <w:fldChar w:fldCharType="end"/>
      </w:r>
    </w:p>
    <w:p>
      <w:pPr>
        <w:ind w:firstLine="420" w:firstLineChars="200"/>
      </w:pP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pPr>
        <w:ind w:firstLine="640" w:firstLineChars="200"/>
        <w:rPr>
          <w:rStyle w:val="11"/>
          <w:rFonts w:ascii="仿宋" w:hAnsi="仿宋" w:eastAsia="仿宋"/>
          <w:b w:val="0"/>
          <w:bCs/>
          <w:color w:val="auto"/>
          <w:sz w:val="32"/>
          <w:szCs w:val="32"/>
        </w:rPr>
      </w:pPr>
      <w:r>
        <w:rPr>
          <w:rStyle w:val="11"/>
          <w:rFonts w:hint="eastAsia" w:ascii="仿宋" w:hAnsi="仿宋" w:eastAsia="仿宋"/>
          <w:b w:val="0"/>
          <w:bCs/>
          <w:color w:val="auto"/>
          <w:sz w:val="32"/>
          <w:szCs w:val="32"/>
        </w:rPr>
        <w:t>本单位没有使用政府性基金预算拨款安排的支出</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pPr>
        <w:widowControl/>
        <w:ind w:firstLine="640" w:firstLineChars="200"/>
        <w:rPr>
          <w:rFonts w:hint="default"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none"/>
          <w:lang w:val="en-US" w:eastAsia="zh-CN"/>
        </w:rPr>
        <w:t>11.02</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年预算增加</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万元，增长（下降）</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增长（下降）无变化。</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sz w:val="32"/>
          <w:szCs w:val="32"/>
          <w:lang w:val="en-US" w:eastAsia="zh-CN"/>
        </w:rPr>
        <w:t>其他商品和服务支出11.02万元。</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0万</w:t>
      </w:r>
      <w:r>
        <w:rPr>
          <w:rFonts w:hint="eastAsia" w:ascii="Adobe 仿宋 Std R" w:hAnsi="Adobe 仿宋 Std R" w:eastAsia="Adobe 仿宋 Std R"/>
          <w:sz w:val="32"/>
          <w:szCs w:val="32"/>
        </w:rPr>
        <w:t>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0</w:t>
      </w:r>
      <w:r>
        <w:rPr>
          <w:rFonts w:hint="eastAsia" w:ascii="仿宋_GB2312" w:eastAsia="仿宋_GB2312"/>
          <w:sz w:val="32"/>
          <w:szCs w:val="30"/>
        </w:rPr>
        <w:t>。</w:t>
      </w:r>
    </w:p>
    <w:p>
      <w:pPr>
        <w:numPr>
          <w:ilvl w:val="0"/>
          <w:numId w:val="1"/>
        </w:numPr>
        <w:ind w:firstLine="321" w:firstLineChars="10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lang w:val="en-US" w:eastAsia="zh-CN"/>
        </w:rPr>
        <w:t>城市管理局</w:t>
      </w:r>
      <w:r>
        <w:rPr>
          <w:rStyle w:val="11"/>
          <w:rFonts w:hint="eastAsia" w:ascii="Adobe 仿宋 Std R" w:hAnsi="Adobe 仿宋 Std R" w:eastAsia="Adobe 仿宋 Std R"/>
          <w:b/>
          <w:sz w:val="32"/>
          <w:szCs w:val="32"/>
        </w:rPr>
        <w:t>项目情况说明</w:t>
      </w:r>
    </w:p>
    <w:p>
      <w:pPr>
        <w:numPr>
          <w:numId w:val="0"/>
        </w:numPr>
        <w:rPr>
          <w:rStyle w:val="11"/>
          <w:rFonts w:hint="default" w:ascii="Adobe 仿宋 Std R" w:hAnsi="Adobe 仿宋 Std R" w:eastAsia="Adobe 仿宋 Std R"/>
          <w:b w:val="0"/>
          <w:bCs/>
          <w:sz w:val="32"/>
          <w:szCs w:val="32"/>
          <w:lang w:val="en-US" w:eastAsia="zh-CN"/>
        </w:rPr>
      </w:pPr>
      <w:r>
        <w:rPr>
          <w:rStyle w:val="11"/>
          <w:rFonts w:hint="eastAsia" w:ascii="Adobe 仿宋 Std R" w:hAnsi="Adobe 仿宋 Std R" w:eastAsia="Adobe 仿宋 Std R"/>
          <w:b/>
          <w:sz w:val="32"/>
          <w:szCs w:val="32"/>
          <w:lang w:val="en-US" w:eastAsia="zh-CN"/>
        </w:rPr>
        <w:t xml:space="preserve">     </w:t>
      </w:r>
      <w:r>
        <w:rPr>
          <w:rStyle w:val="11"/>
          <w:rFonts w:hint="eastAsia" w:ascii="Adobe 仿宋 Std R" w:hAnsi="Adobe 仿宋 Std R" w:eastAsia="Adobe 仿宋 Std R"/>
          <w:b w:val="0"/>
          <w:bCs/>
          <w:sz w:val="32"/>
          <w:szCs w:val="32"/>
          <w:lang w:val="en-US" w:eastAsia="zh-CN"/>
        </w:rPr>
        <w:t>1.行政事业性收费收入项目</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：非税收入用于日常经费支出，保障机关中心工作运转。</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：非税收入测算表</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庐山市城市管理局</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：按日常支出编制预算，按政府经济分类支出。</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一年</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90万元</w:t>
      </w:r>
    </w:p>
    <w:p>
      <w:pPr>
        <w:ind w:firstLine="642"/>
        <w:rPr>
          <w:rFonts w:hint="eastAsia" w:ascii="Adobe 仿宋 Std R" w:hAnsi="Adobe 仿宋 Std R" w:eastAsia="Adobe 仿宋 Std R"/>
          <w:sz w:val="32"/>
          <w:szCs w:val="32"/>
          <w:lang w:val="en-US" w:eastAsia="zh-CN"/>
        </w:rPr>
      </w:pP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w:t>
      </w:r>
      <w:r>
        <w:rPr>
          <w:rFonts w:hint="default" w:ascii="Adobe 仿宋 Std R" w:hAnsi="Adobe 仿宋 Std R" w:eastAsia="Adobe 仿宋 Std R"/>
          <w:sz w:val="32"/>
          <w:szCs w:val="32"/>
          <w:lang w:val="en-US" w:eastAsia="zh-CN"/>
        </w:rPr>
        <w:t>.</w:t>
      </w:r>
      <w:r>
        <w:rPr>
          <w:rFonts w:hint="eastAsia" w:ascii="Adobe 仿宋 Std R" w:hAnsi="Adobe 仿宋 Std R" w:eastAsia="Adobe 仿宋 Std R"/>
          <w:sz w:val="32"/>
          <w:szCs w:val="32"/>
          <w:lang w:val="en-US" w:eastAsia="zh-CN"/>
        </w:rPr>
        <w:t>两违办经费</w:t>
      </w:r>
      <w:r>
        <w:rPr>
          <w:rFonts w:hint="default" w:ascii="Adobe 仿宋 Std R" w:hAnsi="Adobe 仿宋 Std R" w:eastAsia="Adobe 仿宋 Std R"/>
          <w:sz w:val="32"/>
          <w:szCs w:val="32"/>
          <w:lang w:val="en-US" w:eastAsia="zh-CN"/>
        </w:rPr>
        <w:t>项目</w:t>
      </w:r>
    </w:p>
    <w:p>
      <w:pPr>
        <w:ind w:firstLine="642"/>
        <w:rPr>
          <w:rFonts w:hint="eastAsia"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eastAsia="zh-CN"/>
        </w:rPr>
        <w:t xml:space="preserve">   1）项目概述：市委市政府成立</w:t>
      </w:r>
      <w:r>
        <w:rPr>
          <w:rFonts w:hint="eastAsia" w:ascii="Adobe 仿宋 Std R" w:hAnsi="Adobe 仿宋 Std R" w:eastAsia="Adobe 仿宋 Std R"/>
          <w:sz w:val="32"/>
          <w:szCs w:val="32"/>
          <w:lang w:val="en-US" w:eastAsia="zh-CN"/>
        </w:rPr>
        <w:t>的</w:t>
      </w:r>
      <w:r>
        <w:rPr>
          <w:rFonts w:hint="default" w:ascii="Adobe 仿宋 Std R" w:hAnsi="Adobe 仿宋 Std R" w:eastAsia="Adobe 仿宋 Std R"/>
          <w:sz w:val="32"/>
          <w:szCs w:val="32"/>
          <w:lang w:val="en-US" w:eastAsia="zh-CN"/>
        </w:rPr>
        <w:t>违法违规建设管理领导小组</w:t>
      </w:r>
      <w:r>
        <w:rPr>
          <w:rFonts w:hint="eastAsia" w:ascii="Adobe 仿宋 Std R" w:hAnsi="Adobe 仿宋 Std R" w:eastAsia="Adobe 仿宋 Std R"/>
          <w:sz w:val="32"/>
          <w:szCs w:val="32"/>
          <w:lang w:val="en-US" w:eastAsia="zh-CN"/>
        </w:rPr>
        <w:t>工作经费。</w:t>
      </w:r>
    </w:p>
    <w:p>
      <w:pPr>
        <w:ind w:firstLine="642"/>
        <w:rPr>
          <w:rFonts w:hint="default"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eastAsia="zh-CN"/>
        </w:rPr>
        <w:t xml:space="preserve">   2）立项依据：中共星子县委办公室文件（星办发</w:t>
      </w:r>
      <w:r>
        <w:rPr>
          <w:rFonts w:hint="eastAsia" w:ascii="仿宋" w:hAnsi="仿宋" w:eastAsia="仿宋" w:cs="仿宋"/>
          <w:sz w:val="32"/>
          <w:szCs w:val="32"/>
          <w:lang w:val="en-US" w:eastAsia="zh-CN"/>
        </w:rPr>
        <w:t>[</w:t>
      </w:r>
      <w:r>
        <w:rPr>
          <w:rFonts w:hint="default" w:ascii="Adobe 仿宋 Std R" w:hAnsi="Adobe 仿宋 Std R" w:eastAsia="Adobe 仿宋 Std R"/>
          <w:sz w:val="32"/>
          <w:szCs w:val="32"/>
          <w:lang w:val="en-US" w:eastAsia="zh-CN"/>
        </w:rPr>
        <w:t>2013</w:t>
      </w:r>
      <w:r>
        <w:rPr>
          <w:rFonts w:hint="eastAsia" w:ascii="仿宋" w:hAnsi="仿宋" w:eastAsia="仿宋" w:cs="仿宋"/>
          <w:sz w:val="32"/>
          <w:szCs w:val="32"/>
          <w:lang w:val="en-US" w:eastAsia="zh-CN"/>
        </w:rPr>
        <w:t>]</w:t>
      </w:r>
      <w:r>
        <w:rPr>
          <w:rFonts w:hint="default" w:ascii="Adobe 仿宋 Std R" w:hAnsi="Adobe 仿宋 Std R" w:eastAsia="Adobe 仿宋 Std R"/>
          <w:sz w:val="32"/>
          <w:szCs w:val="32"/>
          <w:lang w:val="en-US" w:eastAsia="zh-CN"/>
        </w:rPr>
        <w:t>2 号）</w:t>
      </w:r>
    </w:p>
    <w:p>
      <w:pPr>
        <w:ind w:firstLine="642"/>
        <w:rPr>
          <w:rFonts w:hint="eastAsia"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eastAsia="zh-CN"/>
        </w:rPr>
        <w:t xml:space="preserve">   3）实施主体：</w:t>
      </w:r>
      <w:r>
        <w:rPr>
          <w:rFonts w:hint="eastAsia" w:ascii="Adobe 仿宋 Std R" w:hAnsi="Adobe 仿宋 Std R" w:eastAsia="Adobe 仿宋 Std R"/>
          <w:sz w:val="32"/>
          <w:szCs w:val="32"/>
          <w:lang w:val="en-US" w:eastAsia="zh-CN"/>
        </w:rPr>
        <w:t>二违办</w:t>
      </w:r>
    </w:p>
    <w:p>
      <w:pPr>
        <w:ind w:firstLine="642"/>
        <w:rPr>
          <w:rFonts w:hint="default"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eastAsia="zh-CN"/>
        </w:rPr>
        <w:t xml:space="preserve">   4）实施方案：按日常支出编制预算，按政府经济分类支出。</w:t>
      </w:r>
    </w:p>
    <w:p>
      <w:pPr>
        <w:ind w:firstLine="642"/>
        <w:rPr>
          <w:rFonts w:hint="default"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eastAsia="zh-CN"/>
        </w:rPr>
        <w:t xml:space="preserve">   5）实施周期：一年</w:t>
      </w:r>
    </w:p>
    <w:p>
      <w:pPr>
        <w:ind w:firstLine="642"/>
        <w:rPr>
          <w:rFonts w:hint="default"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eastAsia="zh-CN"/>
        </w:rPr>
        <w:t xml:space="preserve">   6）年度预算安排：</w:t>
      </w:r>
      <w:r>
        <w:rPr>
          <w:rFonts w:hint="eastAsia" w:ascii="Adobe 仿宋 Std R" w:hAnsi="Adobe 仿宋 Std R" w:eastAsia="Adobe 仿宋 Std R"/>
          <w:sz w:val="32"/>
          <w:szCs w:val="32"/>
          <w:lang w:val="en-US" w:eastAsia="zh-CN"/>
        </w:rPr>
        <w:t>50</w:t>
      </w:r>
      <w:r>
        <w:rPr>
          <w:rFonts w:hint="default" w:ascii="Adobe 仿宋 Std R" w:hAnsi="Adobe 仿宋 Std R" w:eastAsia="Adobe 仿宋 Std R"/>
          <w:sz w:val="32"/>
          <w:szCs w:val="32"/>
          <w:lang w:val="en-US" w:eastAsia="zh-CN"/>
        </w:rPr>
        <w:t>万元</w:t>
      </w:r>
    </w:p>
    <w:p>
      <w:pPr>
        <w:widowControl/>
        <w:spacing w:line="580" w:lineRule="exact"/>
        <w:jc w:val="left"/>
        <w:rPr>
          <w:rFonts w:ascii="Adobe 仿宋 Std R" w:hAnsi="Adobe 仿宋 Std R" w:eastAsia="Adobe 仿宋 Std R"/>
          <w:sz w:val="32"/>
          <w:szCs w:val="32"/>
        </w:rPr>
      </w:pP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_GB2312" w:eastAsia="仿宋_GB2312"/>
          <w:b w:val="0"/>
          <w:bCs w:val="0"/>
          <w:color w:val="000000"/>
          <w:sz w:val="32"/>
          <w:szCs w:val="32"/>
          <w:lang w:val="en-US" w:eastAsia="zh-CN"/>
        </w:rPr>
        <w:t>庐山市城市管理局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1.06</w:t>
      </w:r>
      <w:r>
        <w:rPr>
          <w:rFonts w:hint="eastAsia" w:ascii="仿宋" w:hAnsi="仿宋" w:eastAsia="仿宋"/>
          <w:bCs/>
          <w:sz w:val="32"/>
          <w:szCs w:val="32"/>
        </w:rPr>
        <w:t>万元，其中：</w:t>
      </w:r>
    </w:p>
    <w:p>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1.06</w:t>
      </w:r>
      <w:r>
        <w:rPr>
          <w:rFonts w:ascii="仿宋" w:hAnsi="仿宋" w:eastAsia="仿宋"/>
          <w:bCs/>
          <w:sz w:val="32"/>
          <w:szCs w:val="32"/>
        </w:rPr>
        <w:t>万元,比上年减</w:t>
      </w:r>
      <w:r>
        <w:rPr>
          <w:rFonts w:hint="eastAsia" w:ascii="仿宋" w:hAnsi="仿宋" w:eastAsia="仿宋"/>
          <w:bCs/>
          <w:sz w:val="32"/>
          <w:szCs w:val="32"/>
          <w:lang w:val="en-US" w:eastAsia="zh-CN"/>
        </w:rPr>
        <w:t>0.28</w:t>
      </w:r>
      <w:r>
        <w:rPr>
          <w:rFonts w:ascii="仿宋" w:hAnsi="仿宋" w:eastAsia="仿宋"/>
          <w:bCs/>
          <w:sz w:val="32"/>
          <w:szCs w:val="32"/>
        </w:rPr>
        <w:t>万元，主要原因是：</w:t>
      </w:r>
      <w:r>
        <w:rPr>
          <w:rFonts w:hint="eastAsia" w:ascii="仿宋" w:hAnsi="仿宋" w:eastAsia="仿宋"/>
          <w:bCs/>
          <w:sz w:val="32"/>
          <w:szCs w:val="32"/>
          <w:lang w:val="en-US" w:eastAsia="zh-CN"/>
        </w:rPr>
        <w:t>厉行节俭</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pPr>
        <w:widowControl/>
        <w:shd w:val="clear" w:color="auto" w:fill="FFFFFF"/>
        <w:spacing w:line="640" w:lineRule="atLeast"/>
        <w:jc w:val="both"/>
        <w:rPr>
          <w:rFonts w:ascii="仿宋_GB2312" w:eastAsia="仿宋_GB2312"/>
          <w:b/>
          <w:sz w:val="32"/>
          <w:szCs w:val="30"/>
        </w:rPr>
      </w:pPr>
    </w:p>
    <w:p>
      <w:pPr>
        <w:widowControl/>
        <w:shd w:val="clear" w:color="auto" w:fill="FFFFFF"/>
        <w:spacing w:line="640" w:lineRule="atLeast"/>
        <w:jc w:val="both"/>
        <w:rPr>
          <w:rFonts w:ascii="仿宋_GB2312" w:eastAsia="仿宋_GB2312"/>
          <w:b/>
          <w:sz w:val="32"/>
          <w:szCs w:val="30"/>
        </w:rPr>
      </w:pPr>
    </w:p>
    <w:p>
      <w:pPr>
        <w:widowControl/>
        <w:shd w:val="clear" w:color="auto" w:fill="FFFFFF"/>
        <w:spacing w:line="640" w:lineRule="atLeast"/>
        <w:jc w:val="both"/>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pPr>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dobe 仿宋 Std R">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101DEA"/>
    <w:multiLevelType w:val="singleLevel"/>
    <w:tmpl w:val="83101DEA"/>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ZkOTdlY2FkZTcxYWVlOWRiNWIyM2MxNThkNDg0NTI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970421F"/>
    <w:rsid w:val="0A0925FF"/>
    <w:rsid w:val="0C97247A"/>
    <w:rsid w:val="0D1A7920"/>
    <w:rsid w:val="0D2269B3"/>
    <w:rsid w:val="0DB3098E"/>
    <w:rsid w:val="12220323"/>
    <w:rsid w:val="13FB007C"/>
    <w:rsid w:val="16B036C0"/>
    <w:rsid w:val="19F8741E"/>
    <w:rsid w:val="1A705E7F"/>
    <w:rsid w:val="1ABF2D84"/>
    <w:rsid w:val="1E172FD7"/>
    <w:rsid w:val="1E491A3B"/>
    <w:rsid w:val="1F1F7406"/>
    <w:rsid w:val="206D0602"/>
    <w:rsid w:val="22430342"/>
    <w:rsid w:val="23977FB1"/>
    <w:rsid w:val="245C3447"/>
    <w:rsid w:val="25B931E9"/>
    <w:rsid w:val="28263441"/>
    <w:rsid w:val="2828673B"/>
    <w:rsid w:val="28A57C14"/>
    <w:rsid w:val="290B705B"/>
    <w:rsid w:val="29981D60"/>
    <w:rsid w:val="2B2339AC"/>
    <w:rsid w:val="2BF35EF6"/>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0B05AAD"/>
    <w:rsid w:val="41737C65"/>
    <w:rsid w:val="42DC038C"/>
    <w:rsid w:val="45D833CA"/>
    <w:rsid w:val="464949DA"/>
    <w:rsid w:val="464E5AFF"/>
    <w:rsid w:val="4DB628F2"/>
    <w:rsid w:val="4E0D4F31"/>
    <w:rsid w:val="4EFF051F"/>
    <w:rsid w:val="528E6F80"/>
    <w:rsid w:val="53516268"/>
    <w:rsid w:val="54396C69"/>
    <w:rsid w:val="55924F68"/>
    <w:rsid w:val="55EE43AE"/>
    <w:rsid w:val="56C47F55"/>
    <w:rsid w:val="573A53AA"/>
    <w:rsid w:val="58C85C32"/>
    <w:rsid w:val="5AB93E8B"/>
    <w:rsid w:val="5E227B93"/>
    <w:rsid w:val="5EA31F07"/>
    <w:rsid w:val="5EDA0640"/>
    <w:rsid w:val="5F193B70"/>
    <w:rsid w:val="6169035E"/>
    <w:rsid w:val="61D17BB5"/>
    <w:rsid w:val="61E31A71"/>
    <w:rsid w:val="62283DE4"/>
    <w:rsid w:val="63E33020"/>
    <w:rsid w:val="656229B9"/>
    <w:rsid w:val="658856FB"/>
    <w:rsid w:val="67B10C38"/>
    <w:rsid w:val="67C23855"/>
    <w:rsid w:val="67DC7D34"/>
    <w:rsid w:val="68E97589"/>
    <w:rsid w:val="6A9736B6"/>
    <w:rsid w:val="6BE248E5"/>
    <w:rsid w:val="6C617282"/>
    <w:rsid w:val="6CCB135B"/>
    <w:rsid w:val="6EAF555B"/>
    <w:rsid w:val="6EDB6140"/>
    <w:rsid w:val="6F2C7111"/>
    <w:rsid w:val="714A36AC"/>
    <w:rsid w:val="71AF11DD"/>
    <w:rsid w:val="72746F20"/>
    <w:rsid w:val="73543105"/>
    <w:rsid w:val="73886292"/>
    <w:rsid w:val="73A85115"/>
    <w:rsid w:val="759E1500"/>
    <w:rsid w:val="7C1C38B8"/>
    <w:rsid w:val="7D1C2D3E"/>
    <w:rsid w:val="7EAD5634"/>
    <w:rsid w:val="7F1E5CFC"/>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371</TotalTime>
  <ScaleCrop>false</ScaleCrop>
  <LinksUpToDate>false</LinksUpToDate>
  <CharactersWithSpaces>3275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杨lifen</cp:lastModifiedBy>
  <cp:lastPrinted>2024-01-31T02:22:05Z</cp:lastPrinted>
  <dcterms:modified xsi:type="dcterms:W3CDTF">2024-01-31T09:05:36Z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71ECD1639C7F45DE85E3DE8D80F2018C</vt:lpwstr>
  </property>
</Properties>
</file>