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566C9">
      <w:pPr>
        <w:widowControl/>
        <w:spacing w:line="520" w:lineRule="atLeast"/>
        <w:ind w:firstLine="883" w:firstLineChars="200"/>
        <w:rPr>
          <w:rFonts w:ascii="黑体" w:hAnsi="黑体" w:eastAsia="黑体" w:cs="Times New Roman"/>
          <w:b/>
          <w:bCs/>
          <w:color w:val="000000"/>
          <w:kern w:val="0"/>
          <w:sz w:val="44"/>
          <w:szCs w:val="44"/>
        </w:rPr>
      </w:pPr>
      <w:r>
        <w:rPr>
          <w:rFonts w:hint="eastAsia" w:ascii="黑体" w:hAnsi="黑体" w:eastAsia="黑体" w:cs="黑体"/>
          <w:b/>
          <w:bCs/>
          <w:sz w:val="44"/>
          <w:szCs w:val="52"/>
        </w:rPr>
        <w:t>庐山市</w:t>
      </w:r>
      <w:r>
        <w:rPr>
          <w:rFonts w:hint="eastAsia" w:ascii="黑体" w:hAnsi="黑体" w:eastAsia="黑体" w:cs="黑体"/>
          <w:b/>
          <w:bCs/>
          <w:sz w:val="44"/>
          <w:szCs w:val="52"/>
          <w:lang w:eastAsia="zh-CN"/>
        </w:rPr>
        <w:t>疾控中心</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60881C22">
      <w:pPr>
        <w:pStyle w:val="12"/>
        <w:spacing w:line="600" w:lineRule="atLeast"/>
        <w:jc w:val="center"/>
        <w:rPr>
          <w:rFonts w:ascii="黑体" w:hAnsi="黑体" w:eastAsia="黑体"/>
          <w:color w:val="000000"/>
          <w:sz w:val="32"/>
          <w:szCs w:val="32"/>
        </w:rPr>
      </w:pPr>
    </w:p>
    <w:p w14:paraId="1F64B0E1">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F322980">
      <w:pPr>
        <w:pStyle w:val="12"/>
        <w:rPr>
          <w:rFonts w:ascii="宋体" w:hAnsi="宋体"/>
          <w:color w:val="000000"/>
        </w:rPr>
      </w:pPr>
    </w:p>
    <w:p w14:paraId="0548500A">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 w:hAnsi="仿宋" w:eastAsia="仿宋" w:cs="仿宋"/>
          <w:b/>
          <w:bCs/>
          <w:color w:val="000000"/>
          <w:sz w:val="32"/>
          <w:szCs w:val="32"/>
        </w:rPr>
        <w:t xml:space="preserve">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70D14DE">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5CBB938">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213C73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F7E165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83C88E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99FCA6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308AF5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60F5AD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5DD096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652BE2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3A65F0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AFBCA8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3D3B3F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3F8AD4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6C9C24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8F0705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A5AA12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57A9F3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DE0BAE8">
      <w:pPr>
        <w:widowControl/>
        <w:spacing w:line="580" w:lineRule="exact"/>
        <w:jc w:val="center"/>
        <w:rPr>
          <w:rFonts w:ascii="仿宋_GB2312" w:eastAsia="仿宋_GB2312"/>
          <w:b/>
          <w:sz w:val="32"/>
          <w:szCs w:val="30"/>
        </w:rPr>
      </w:pPr>
    </w:p>
    <w:p w14:paraId="2397F3F0">
      <w:pPr>
        <w:widowControl/>
        <w:spacing w:line="580" w:lineRule="exact"/>
        <w:jc w:val="center"/>
        <w:rPr>
          <w:rFonts w:ascii="仿宋_GB2312" w:eastAsia="仿宋_GB2312"/>
          <w:b/>
          <w:sz w:val="32"/>
          <w:szCs w:val="30"/>
        </w:rPr>
      </w:pPr>
    </w:p>
    <w:p w14:paraId="052878C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sz w:val="32"/>
          <w:szCs w:val="30"/>
        </w:rPr>
        <w:t>概况</w:t>
      </w:r>
    </w:p>
    <w:p w14:paraId="03E95ADB">
      <w:pPr>
        <w:widowControl/>
        <w:spacing w:line="580" w:lineRule="exact"/>
        <w:jc w:val="left"/>
        <w:rPr>
          <w:rFonts w:asciiTheme="minorEastAsia" w:hAnsiTheme="minorEastAsia"/>
          <w:b/>
          <w:sz w:val="36"/>
          <w:szCs w:val="36"/>
        </w:rPr>
      </w:pPr>
    </w:p>
    <w:p w14:paraId="701FCF68">
      <w:pPr>
        <w:widowControl/>
        <w:spacing w:line="580" w:lineRule="exact"/>
        <w:jc w:val="left"/>
        <w:rPr>
          <w:rFonts w:hint="eastAsia" w:ascii="仿宋_GB2312" w:hAnsi="仿宋_GB2312" w:eastAsia="仿宋_GB2312" w:cs="仿宋_GB2312"/>
          <w:sz w:val="32"/>
          <w:szCs w:val="32"/>
        </w:rPr>
      </w:pPr>
      <w:r>
        <w:rPr>
          <w:rFonts w:hint="eastAsia" w:asciiTheme="minorEastAsia" w:hAnsiTheme="minorEastAsia"/>
          <w:b/>
          <w:sz w:val="36"/>
          <w:szCs w:val="36"/>
        </w:rPr>
        <w:t>一、单位主要职责</w:t>
      </w:r>
    </w:p>
    <w:p w14:paraId="5DE8E341">
      <w:pPr>
        <w:numPr>
          <w:ilvl w:val="0"/>
          <w:numId w:val="1"/>
        </w:numPr>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疾病预防与控制。</w:t>
      </w:r>
    </w:p>
    <w:p w14:paraId="5B5B0D84">
      <w:pPr>
        <w:numPr>
          <w:ilvl w:val="0"/>
          <w:numId w:val="1"/>
        </w:numPr>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突发公共卫生事件应急处置。</w:t>
      </w:r>
    </w:p>
    <w:p w14:paraId="135E3E5C">
      <w:pPr>
        <w:numPr>
          <w:ilvl w:val="0"/>
          <w:numId w:val="1"/>
        </w:numPr>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疫情及健康相关因素信息管理。</w:t>
      </w:r>
    </w:p>
    <w:p w14:paraId="5B4737DE">
      <w:pPr>
        <w:numPr>
          <w:ilvl w:val="0"/>
          <w:numId w:val="1"/>
        </w:numPr>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健康危害因素监测与干预。</w:t>
      </w:r>
    </w:p>
    <w:p w14:paraId="6751E55A">
      <w:pPr>
        <w:numPr>
          <w:ilvl w:val="0"/>
          <w:numId w:val="1"/>
        </w:numPr>
        <w:ind w:firstLine="63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实验室检测检验与评价。</w:t>
      </w:r>
    </w:p>
    <w:p w14:paraId="31869B10">
      <w:pPr>
        <w:numPr>
          <w:ilvl w:val="0"/>
          <w:numId w:val="1"/>
        </w:numPr>
        <w:ind w:firstLine="630"/>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健康教育与健康促进。</w:t>
      </w:r>
    </w:p>
    <w:p w14:paraId="16F11991">
      <w:pPr>
        <w:widowControl/>
        <w:spacing w:line="580" w:lineRule="exact"/>
        <w:ind w:firstLine="640"/>
        <w:jc w:val="left"/>
        <w:rPr>
          <w:rFonts w:hint="eastAsia" w:ascii="Adobe 仿宋 Std R" w:hAnsi="Adobe 仿宋 Std R" w:eastAsia="Adobe 仿宋 Std R"/>
          <w:sz w:val="32"/>
          <w:szCs w:val="30"/>
        </w:rPr>
      </w:pPr>
    </w:p>
    <w:p w14:paraId="4A9E5ABC">
      <w:pPr>
        <w:rPr>
          <w:b/>
          <w:sz w:val="36"/>
          <w:szCs w:val="36"/>
        </w:rPr>
      </w:pPr>
      <w:r>
        <w:rPr>
          <w:rFonts w:hint="eastAsia"/>
          <w:b/>
          <w:sz w:val="36"/>
          <w:szCs w:val="36"/>
        </w:rPr>
        <w:t>二、机构设置及人员情况</w:t>
      </w:r>
    </w:p>
    <w:p w14:paraId="5A61C8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b w:val="0"/>
          <w:bCs w:val="0"/>
          <w:sz w:val="32"/>
          <w:szCs w:val="32"/>
        </w:rPr>
        <w:t>庐山市</w:t>
      </w:r>
      <w:r>
        <w:rPr>
          <w:rFonts w:hint="eastAsia" w:ascii="仿宋" w:hAnsi="仿宋" w:eastAsia="仿宋" w:cs="仿宋"/>
          <w:b w:val="0"/>
          <w:bCs w:val="0"/>
          <w:sz w:val="32"/>
          <w:szCs w:val="32"/>
          <w:lang w:eastAsia="zh-CN"/>
        </w:rPr>
        <w:t>疾控中心</w:t>
      </w:r>
      <w:r>
        <w:rPr>
          <w:rFonts w:hint="eastAsia" w:ascii="仿宋" w:hAnsi="仿宋" w:eastAsia="仿宋" w:cs="仿宋"/>
          <w:sz w:val="32"/>
          <w:szCs w:val="32"/>
        </w:rPr>
        <w:t>内设处室</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7</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个，包括：</w:t>
      </w:r>
      <w:r>
        <w:rPr>
          <w:rFonts w:hint="eastAsia" w:ascii="仿宋" w:hAnsi="仿宋" w:eastAsia="仿宋" w:cs="仿宋"/>
          <w:sz w:val="32"/>
          <w:szCs w:val="32"/>
          <w:lang w:eastAsia="zh-CN"/>
        </w:rPr>
        <w:t>疾控科、免规科、检验科、结防科、卫生监测科、健康教育科及办公室。</w:t>
      </w:r>
    </w:p>
    <w:p w14:paraId="324B565F">
      <w:pPr>
        <w:ind w:firstLine="640" w:firstLineChars="20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w:t>
      </w:r>
      <w:r>
        <w:rPr>
          <w:rFonts w:hint="eastAsia" w:ascii="仿宋" w:hAnsi="仿宋" w:eastAsia="仿宋" w:cs="仿宋"/>
          <w:sz w:val="32"/>
          <w:szCs w:val="32"/>
          <w:lang w:val="en-US" w:eastAsia="zh-CN"/>
        </w:rPr>
        <w:t xml:space="preserve"> 27</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${page540426799.ds376136392_REP_JX_BAS_AGENCY_INFO_DXQRSDW_S_BZRSMX}</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事业</w:t>
      </w:r>
      <w:r>
        <w:rPr>
          <w:rFonts w:hint="eastAsia" w:ascii="仿宋" w:hAnsi="仿宋" w:eastAsia="仿宋" w:cs="仿宋"/>
          <w:sz w:val="32"/>
          <w:szCs w:val="32"/>
        </w:rPr>
        <w:t>编制人数</w:t>
      </w:r>
      <w:r>
        <w:rPr>
          <w:rFonts w:hint="eastAsia" w:ascii="仿宋" w:hAnsi="仿宋" w:eastAsia="仿宋" w:cs="仿宋"/>
          <w:sz w:val="32"/>
          <w:szCs w:val="32"/>
          <w:lang w:val="en-US" w:eastAsia="zh-CN"/>
        </w:rPr>
        <w:t xml:space="preserve"> 27</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w:t>
      </w:r>
      <w:r>
        <w:rPr>
          <w:rFonts w:hint="eastAsia" w:ascii="仿宋" w:hAnsi="仿宋" w:eastAsia="仿宋" w:cs="仿宋"/>
          <w:sz w:val="32"/>
          <w:szCs w:val="32"/>
          <w:lang w:val="en-US" w:eastAsia="zh-CN"/>
        </w:rPr>
        <w:t>32</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其中：其中：全部补助事业编制</w:t>
      </w:r>
      <w:r>
        <w:rPr>
          <w:rFonts w:hint="eastAsia" w:ascii="仿宋" w:hAnsi="仿宋" w:eastAsia="仿宋" w:cs="仿宋"/>
          <w:sz w:val="32"/>
          <w:szCs w:val="32"/>
          <w:lang w:val="en-US" w:eastAsia="zh-CN"/>
        </w:rPr>
        <w:t>26</w:t>
      </w:r>
      <w:r>
        <w:rPr>
          <w:rFonts w:hint="eastAsia" w:ascii="仿宋" w:hAnsi="仿宋" w:eastAsia="仿宋" w:cs="仿宋"/>
          <w:sz w:val="32"/>
          <w:szCs w:val="32"/>
        </w:rPr>
        <w:t>人；</w:t>
      </w:r>
      <w:r>
        <w:rPr>
          <w:rFonts w:hint="eastAsia" w:ascii="仿宋" w:hAnsi="仿宋" w:eastAsia="仿宋" w:cs="仿宋"/>
          <w:sz w:val="32"/>
          <w:szCs w:val="32"/>
          <w:lang w:eastAsia="zh-CN"/>
        </w:rPr>
        <w:t>自收自支</w:t>
      </w:r>
      <w:r>
        <w:rPr>
          <w:rFonts w:hint="eastAsia" w:ascii="仿宋" w:hAnsi="仿宋" w:eastAsia="仿宋" w:cs="仿宋"/>
          <w:sz w:val="32"/>
          <w:szCs w:val="32"/>
          <w:lang w:val="en-US" w:eastAsia="zh-CN"/>
        </w:rPr>
        <w:t>1人，聘用</w:t>
      </w:r>
      <w:bookmarkStart w:id="0" w:name="_GoBack"/>
      <w:bookmarkEnd w:id="0"/>
      <w:r>
        <w:rPr>
          <w:rFonts w:hint="eastAsia" w:ascii="仿宋" w:hAnsi="仿宋" w:eastAsia="仿宋" w:cs="仿宋"/>
          <w:sz w:val="32"/>
          <w:szCs w:val="32"/>
          <w:lang w:val="en-US" w:eastAsia="zh-CN"/>
        </w:rPr>
        <w:t>5人。</w:t>
      </w:r>
      <w:r>
        <w:rPr>
          <w:rFonts w:hint="eastAsia" w:ascii="仿宋" w:hAnsi="仿宋" w:eastAsia="仿宋" w:cs="仿宋"/>
          <w:sz w:val="32"/>
          <w:szCs w:val="32"/>
        </w:rPr>
        <w:t>退休人员</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p>
    <w:p w14:paraId="3008125D">
      <w:pPr>
        <w:widowControl/>
        <w:spacing w:line="580" w:lineRule="exact"/>
        <w:jc w:val="center"/>
        <w:rPr>
          <w:rFonts w:ascii="仿宋_GB2312" w:eastAsia="仿宋_GB2312"/>
          <w:b/>
          <w:sz w:val="32"/>
          <w:szCs w:val="32"/>
        </w:rPr>
      </w:pPr>
    </w:p>
    <w:p w14:paraId="30F7422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62682F2">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B208AAF">
      <w:pPr>
        <w:jc w:val="left"/>
        <w:rPr>
          <w:rStyle w:val="11"/>
          <w:rFonts w:ascii="仿宋" w:hAnsi="仿宋" w:eastAsia="仿宋"/>
          <w:bCs/>
          <w:sz w:val="32"/>
          <w:szCs w:val="32"/>
        </w:rPr>
      </w:pPr>
    </w:p>
    <w:p w14:paraId="24B040D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hAnsi="仿宋_GB2312" w:eastAsia="仿宋_GB2312" w:cs="仿宋_GB2312"/>
          <w:b/>
          <w:bCs/>
          <w:sz w:val="32"/>
          <w:szCs w:val="32"/>
        </w:rPr>
        <w:t>庐山市</w:t>
      </w:r>
      <w:r>
        <w:rPr>
          <w:rFonts w:hint="eastAsia" w:ascii="仿宋_GB2312" w:hAnsi="仿宋_GB2312" w:eastAsia="仿宋_GB2312" w:cs="仿宋_GB2312"/>
          <w:b/>
          <w:bCs/>
          <w:sz w:val="32"/>
          <w:szCs w:val="32"/>
          <w:lang w:eastAsia="zh-CN"/>
        </w:rPr>
        <w:t>疾控中心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38569D85">
      <w:pPr>
        <w:widowControl/>
        <w:spacing w:line="580" w:lineRule="exact"/>
        <w:jc w:val="center"/>
        <w:rPr>
          <w:rFonts w:ascii="仿宋_GB2312" w:eastAsia="仿宋_GB2312"/>
          <w:b/>
          <w:sz w:val="32"/>
          <w:szCs w:val="30"/>
        </w:rPr>
      </w:pPr>
    </w:p>
    <w:p w14:paraId="332BA0C5">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8B6578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514222B7">
      <w:pPr>
        <w:widowControl/>
        <w:ind w:firstLine="640" w:firstLineChars="200"/>
        <w:rPr>
          <w:rFonts w:hint="default" w:ascii="仿宋" w:hAnsi="仿宋" w:eastAsia="仿宋" w:cs="仿宋"/>
          <w:color w:val="FF0000"/>
          <w:kern w:val="0"/>
          <w:sz w:val="32"/>
          <w:szCs w:val="32"/>
          <w:highlight w:val="yellow"/>
          <w:lang w:val="en-US" w:eastAsia="zh-CN"/>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b w:val="0"/>
          <w:bCs w:val="0"/>
          <w:sz w:val="32"/>
          <w:szCs w:val="32"/>
        </w:rPr>
        <w:t>庐山市</w:t>
      </w:r>
      <w:r>
        <w:rPr>
          <w:rFonts w:hint="eastAsia" w:ascii="仿宋" w:hAnsi="仿宋" w:eastAsia="仿宋" w:cs="仿宋"/>
          <w:b w:val="0"/>
          <w:bCs w:val="0"/>
          <w:sz w:val="32"/>
          <w:szCs w:val="32"/>
          <w:lang w:eastAsia="zh-CN"/>
        </w:rPr>
        <w:t>疾控中心</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w:t>
      </w:r>
      <w:r>
        <w:rPr>
          <w:rFonts w:hint="eastAsia" w:ascii="仿宋" w:hAnsi="仿宋" w:eastAsia="仿宋" w:cs="仿宋"/>
          <w:kern w:val="0"/>
          <w:sz w:val="32"/>
          <w:szCs w:val="32"/>
          <w:lang w:val="en-US" w:eastAsia="zh-CN"/>
        </w:rPr>
        <w:t>2050.72</w:t>
      </w:r>
      <w:r>
        <w:rPr>
          <w:rFonts w:hint="eastAsia" w:ascii="仿宋" w:hAnsi="仿宋" w:eastAsia="仿宋" w:cs="仿宋"/>
          <w:kern w:val="0"/>
          <w:sz w:val="32"/>
          <w:szCs w:val="32"/>
        </w:rPr>
        <w:t>万元,较上年预算安排增加</w:t>
      </w:r>
      <w:r>
        <w:rPr>
          <w:rFonts w:hint="eastAsia" w:ascii="仿宋" w:hAnsi="仿宋" w:eastAsia="仿宋" w:cs="仿宋"/>
          <w:kern w:val="0"/>
          <w:sz w:val="32"/>
          <w:szCs w:val="32"/>
          <w:lang w:val="en-US" w:eastAsia="zh-CN"/>
        </w:rPr>
        <w:t>414.94</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w:t>
      </w:r>
      <w:r>
        <w:rPr>
          <w:rFonts w:hint="eastAsia" w:ascii="仿宋" w:hAnsi="仿宋" w:eastAsia="仿宋" w:cs="仿宋"/>
          <w:kern w:val="0"/>
          <w:sz w:val="32"/>
          <w:szCs w:val="32"/>
          <w:lang w:val="en-US" w:eastAsia="zh-CN"/>
        </w:rPr>
        <w:t>684.23</w:t>
      </w:r>
      <w:r>
        <w:rPr>
          <w:rFonts w:hint="eastAsia" w:ascii="仿宋" w:hAnsi="仿宋" w:eastAsia="仿宋" w:cs="仿宋"/>
          <w:kern w:val="0"/>
          <w:sz w:val="32"/>
          <w:szCs w:val="32"/>
        </w:rPr>
        <w:t>万元,较上年预算安排增加</w:t>
      </w:r>
      <w:r>
        <w:rPr>
          <w:rFonts w:hint="eastAsia" w:ascii="仿宋" w:hAnsi="仿宋" w:eastAsia="仿宋" w:cs="仿宋"/>
          <w:kern w:val="0"/>
          <w:sz w:val="32"/>
          <w:szCs w:val="32"/>
          <w:lang w:val="en-US" w:eastAsia="zh-CN"/>
        </w:rPr>
        <w:t>210.45</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，增幅</w:t>
      </w:r>
      <w:r>
        <w:rPr>
          <w:rFonts w:hint="eastAsia" w:ascii="仿宋" w:hAnsi="仿宋" w:eastAsia="仿宋" w:cs="仿宋"/>
          <w:kern w:val="0"/>
          <w:sz w:val="32"/>
          <w:szCs w:val="32"/>
          <w:lang w:val="en-US" w:eastAsia="zh-CN"/>
        </w:rPr>
        <w:t>44.42%</w:t>
      </w:r>
      <w:r>
        <w:rPr>
          <w:rFonts w:hint="eastAsia" w:ascii="仿宋" w:hAnsi="仿宋" w:eastAsia="仿宋" w:cs="仿宋"/>
          <w:kern w:val="0"/>
          <w:sz w:val="32"/>
          <w:szCs w:val="32"/>
          <w:lang w:eastAsia="zh-CN"/>
        </w:rPr>
        <w:t>；</w:t>
      </w:r>
      <w:r>
        <w:rPr>
          <w:rFonts w:hint="eastAsia" w:ascii="仿宋" w:hAnsi="仿宋" w:eastAsia="仿宋" w:cs="仿宋"/>
          <w:sz w:val="32"/>
          <w:szCs w:val="32"/>
        </w:rPr>
        <w:fldChar w:fldCharType="end"/>
      </w:r>
      <w:r>
        <w:rPr>
          <w:rFonts w:hint="eastAsia" w:ascii="仿宋" w:hAnsi="仿宋" w:eastAsia="仿宋" w:cs="仿宋"/>
          <w:kern w:val="0"/>
          <w:sz w:val="32"/>
          <w:szCs w:val="32"/>
          <w:lang w:val="en-US" w:eastAsia="zh-CN"/>
        </w:rPr>
        <w:t>增加变化原因为收入包括提前下达和上年结转资金；人员增加，薪资、社保及住房公积金正常调整调标。</w:t>
      </w:r>
      <w:r>
        <w:rPr>
          <w:rFonts w:hint="eastAsia" w:ascii="仿宋" w:hAnsi="仿宋" w:eastAsia="仿宋" w:cs="仿宋"/>
          <w:kern w:val="0"/>
          <w:sz w:val="32"/>
          <w:szCs w:val="32"/>
          <w:highlight w:val="none"/>
          <w:lang w:val="en-US" w:eastAsia="zh-CN"/>
        </w:rPr>
        <w:t>事业单位经营收入1362万元，</w:t>
      </w:r>
      <w:r>
        <w:rPr>
          <w:rFonts w:hint="eastAsia" w:ascii="仿宋" w:hAnsi="仿宋" w:eastAsia="仿宋" w:cs="仿宋"/>
          <w:sz w:val="32"/>
          <w:szCs w:val="32"/>
          <w:highlight w:val="none"/>
          <w:lang w:val="en-US" w:eastAsia="zh-CN"/>
        </w:rPr>
        <w:t>较上年预算安排增加200万元，增幅17.21%；</w:t>
      </w:r>
      <w:r>
        <w:rPr>
          <w:rFonts w:hint="eastAsia" w:ascii="仿宋" w:hAnsi="仿宋" w:eastAsia="仿宋" w:cs="仿宋"/>
          <w:kern w:val="0"/>
          <w:sz w:val="32"/>
          <w:szCs w:val="32"/>
          <w:highlight w:val="none"/>
          <w:lang w:val="en-US" w:eastAsia="zh-CN"/>
        </w:rPr>
        <w:t>增加变化原因为疫苗药品购销增加。上年结转（结余）4.50万元，减少变化的原因为2024年事业单位经营收入按照2023年支出数预估。</w:t>
      </w:r>
    </w:p>
    <w:p w14:paraId="043DC942">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5F616C60">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val="0"/>
          <w:bCs w:val="0"/>
          <w:sz w:val="32"/>
          <w:szCs w:val="32"/>
        </w:rPr>
        <w:t>庐山市</w:t>
      </w:r>
      <w:r>
        <w:rPr>
          <w:rFonts w:hint="eastAsia" w:ascii="仿宋" w:hAnsi="仿宋" w:eastAsia="仿宋" w:cs="仿宋"/>
          <w:b w:val="0"/>
          <w:bCs w:val="0"/>
          <w:sz w:val="32"/>
          <w:szCs w:val="32"/>
          <w:lang w:eastAsia="zh-CN"/>
        </w:rPr>
        <w:t>疾控中心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2050.72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414.94</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仿宋"/>
          <w:kern w:val="0"/>
          <w:sz w:val="32"/>
          <w:szCs w:val="32"/>
          <w:lang w:val="en-US" w:eastAsia="zh-CN"/>
        </w:rPr>
        <w:t>人员变动，薪资、社保及住房公积金正常调整调标；专项资金提前下达及上年结转，疫苗药品购销增加支出</w:t>
      </w:r>
      <w:r>
        <w:rPr>
          <w:rFonts w:hint="eastAsia" w:ascii="仿宋" w:hAnsi="仿宋" w:eastAsia="仿宋" w:cs="Times New Roman"/>
          <w:kern w:val="0"/>
          <w:sz w:val="32"/>
          <w:szCs w:val="32"/>
          <w:lang w:val="en-US" w:eastAsia="zh-CN"/>
        </w:rPr>
        <w:t>。</w:t>
      </w:r>
    </w:p>
    <w:p w14:paraId="5BB6AA3D">
      <w:pPr>
        <w:widowControl/>
        <w:ind w:firstLine="640" w:firstLineChars="200"/>
        <w:rPr>
          <w:rStyle w:val="11"/>
          <w:rFonts w:ascii="仿宋" w:hAnsi="仿宋" w:eastAsia="仿宋"/>
          <w:sz w:val="32"/>
          <w:szCs w:val="32"/>
        </w:rPr>
      </w:pPr>
      <w:r>
        <w:rPr>
          <w:rStyle w:val="11"/>
          <w:rFonts w:hint="eastAsia" w:ascii="仿宋" w:hAnsi="仿宋" w:eastAsia="仿宋" w:cs="仿宋"/>
          <w:color w:val="auto"/>
          <w:sz w:val="32"/>
          <w:szCs w:val="32"/>
        </w:rPr>
        <w:t xml:space="preserve">其中：按支出项目类别划分： </w:t>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${page540426799.ds357974894_REP_BGT_T_HC1100002019_DXQ02DW_JBZCQK}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基本支出</w:t>
      </w:r>
      <w:r>
        <w:rPr>
          <w:rStyle w:val="11"/>
          <w:rFonts w:hint="eastAsia" w:ascii="仿宋" w:hAnsi="仿宋" w:eastAsia="仿宋" w:cs="仿宋"/>
          <w:color w:val="auto"/>
          <w:sz w:val="32"/>
          <w:szCs w:val="32"/>
          <w:lang w:val="en-US" w:eastAsia="zh-CN"/>
        </w:rPr>
        <w:t>486.51</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12.73</w:t>
      </w:r>
      <w:r>
        <w:rPr>
          <w:rStyle w:val="11"/>
          <w:rFonts w:hint="eastAsia" w:ascii="仿宋" w:hAnsi="仿宋" w:eastAsia="仿宋" w:cs="仿宋"/>
          <w:color w:val="auto"/>
          <w:sz w:val="32"/>
          <w:szCs w:val="32"/>
        </w:rPr>
        <w:t>万元;其中：工资福利支出</w:t>
      </w:r>
      <w:r>
        <w:rPr>
          <w:rStyle w:val="11"/>
          <w:rFonts w:hint="eastAsia" w:ascii="仿宋" w:hAnsi="仿宋" w:eastAsia="仿宋" w:cs="仿宋"/>
          <w:color w:val="auto"/>
          <w:sz w:val="32"/>
          <w:szCs w:val="32"/>
          <w:lang w:val="en-US" w:eastAsia="zh-CN"/>
        </w:rPr>
        <w:t>450.36</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36</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0.15</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${page540426799.ds357974894_REP_BGT_T_HC1100002019_DXQ02DW_XMZCQK}</w:instrText>
      </w:r>
      <w:r>
        <w:rPr>
          <w:rStyle w:val="11"/>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项目支出</w:t>
      </w:r>
      <w:r>
        <w:rPr>
          <w:rStyle w:val="11"/>
          <w:rFonts w:hint="eastAsia" w:ascii="仿宋" w:hAnsi="仿宋" w:eastAsia="仿宋" w:cs="仿宋"/>
          <w:color w:val="auto"/>
          <w:sz w:val="32"/>
          <w:szCs w:val="32"/>
          <w:lang w:val="en-US" w:eastAsia="zh-CN"/>
        </w:rPr>
        <w:t>1564.22</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402.22</w:t>
      </w:r>
      <w:r>
        <w:rPr>
          <w:rStyle w:val="11"/>
          <w:rFonts w:hint="eastAsia" w:ascii="仿宋" w:hAnsi="仿宋" w:eastAsia="仿宋" w:cs="仿宋"/>
          <w:color w:val="auto"/>
          <w:sz w:val="32"/>
          <w:szCs w:val="32"/>
        </w:rPr>
        <w:t>万元;其中：</w:t>
      </w:r>
      <w:r>
        <w:rPr>
          <w:rFonts w:hint="eastAsia" w:ascii="仿宋" w:hAnsi="仿宋" w:eastAsia="仿宋" w:cs="仿宋"/>
          <w:color w:val="auto"/>
          <w:sz w:val="32"/>
          <w:szCs w:val="32"/>
          <w:lang w:val="en-US" w:eastAsia="zh-CN"/>
        </w:rPr>
        <w:t>工资福利支出45.66万元，商品和服务支出1462.54万元，对个人和家庭的补助8万元，资本性支出48.02万元</w:t>
      </w:r>
      <w:r>
        <w:rPr>
          <w:rStyle w:val="11"/>
          <w:rFonts w:hint="eastAsia" w:ascii="仿宋" w:hAnsi="仿宋" w:eastAsia="仿宋" w:cs="仿宋"/>
          <w:color w:val="auto"/>
          <w:sz w:val="32"/>
          <w:szCs w:val="32"/>
        </w:rPr>
        <w:t>。</w:t>
      </w:r>
      <w:r>
        <w:rPr>
          <w:rFonts w:hint="eastAsia" w:ascii="仿宋" w:hAnsi="仿宋" w:eastAsia="仿宋" w:cs="仿宋"/>
          <w:color w:val="auto"/>
          <w:sz w:val="32"/>
          <w:szCs w:val="32"/>
        </w:rPr>
        <w:fldChar w:fldCharType="end"/>
      </w:r>
    </w:p>
    <w:p w14:paraId="6383C406">
      <w:pPr>
        <w:ind w:firstLine="640" w:firstLineChars="200"/>
        <w:rPr>
          <w:rStyle w:val="11"/>
          <w:rFonts w:ascii="仿宋" w:hAnsi="仿宋" w:eastAsia="仿宋"/>
          <w:b/>
          <w:sz w:val="20"/>
          <w:szCs w:val="32"/>
        </w:rPr>
      </w:pPr>
      <w:r>
        <w:rPr>
          <w:rStyle w:val="11"/>
          <w:rFonts w:hint="eastAsia" w:ascii="仿宋" w:hAnsi="仿宋" w:eastAsia="仿宋"/>
          <w:color w:val="auto"/>
          <w:sz w:val="32"/>
          <w:szCs w:val="32"/>
        </w:rPr>
        <w:t>按支出功能科目划</w:t>
      </w:r>
      <w:r>
        <w:rPr>
          <w:rStyle w:val="11"/>
          <w:rFonts w:hint="eastAsia" w:ascii="仿宋" w:hAnsi="仿宋" w:eastAsia="仿宋"/>
          <w:sz w:val="32"/>
          <w:szCs w:val="32"/>
        </w:rPr>
        <w:t>分：</w:t>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val="en-US" w:eastAsia="zh-CN"/>
        </w:rPr>
        <w:t>;</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68.73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12.11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1948.03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403.34</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33.96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0.51</w:t>
      </w:r>
      <w:r>
        <w:rPr>
          <w:rStyle w:val="11"/>
          <w:rFonts w:ascii="仿宋" w:hAnsi="仿宋" w:eastAsia="仿宋"/>
          <w:sz w:val="32"/>
          <w:szCs w:val="32"/>
        </w:rPr>
        <w:t>万元。</w:t>
      </w:r>
      <w:r>
        <w:fldChar w:fldCharType="end"/>
      </w:r>
    </w:p>
    <w:p w14:paraId="7EE36C06">
      <w:pPr>
        <w:ind w:firstLine="640" w:firstLineChars="200"/>
      </w:pPr>
      <w:r>
        <w:rPr>
          <w:rStyle w:val="11"/>
          <w:rFonts w:hint="eastAsia" w:ascii="仿宋" w:hAnsi="仿宋" w:eastAsia="仿宋"/>
          <w:color w:val="auto"/>
          <w:sz w:val="32"/>
          <w:szCs w:val="32"/>
        </w:rPr>
        <w:t>按支出经济分类划分</w:t>
      </w:r>
      <w:r>
        <w:rPr>
          <w:rStyle w:val="11"/>
          <w:rFonts w:hint="eastAsia" w:ascii="仿宋" w:hAnsi="仿宋" w:eastAsia="仿宋"/>
          <w:sz w:val="32"/>
          <w:szCs w:val="32"/>
        </w:rPr>
        <w:t>：</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496.02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4.54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1498.54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370.39</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8.14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3.01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48.02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43.02</w:t>
      </w:r>
      <w:r>
        <w:rPr>
          <w:rStyle w:val="11"/>
          <w:rFonts w:ascii="仿宋" w:hAnsi="仿宋" w:eastAsia="仿宋"/>
          <w:sz w:val="32"/>
          <w:szCs w:val="32"/>
        </w:rPr>
        <w:t>万元。</w:t>
      </w:r>
      <w:r>
        <w:fldChar w:fldCharType="end"/>
      </w:r>
    </w:p>
    <w:p w14:paraId="4C25C760">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1A420832">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val="0"/>
          <w:bCs w:val="0"/>
          <w:sz w:val="32"/>
          <w:szCs w:val="32"/>
        </w:rPr>
        <w:t>庐山市</w:t>
      </w:r>
      <w:r>
        <w:rPr>
          <w:rFonts w:hint="eastAsia" w:ascii="仿宋" w:hAnsi="仿宋" w:eastAsia="仿宋" w:cs="仿宋"/>
          <w:b w:val="0"/>
          <w:bCs w:val="0"/>
          <w:sz w:val="32"/>
          <w:szCs w:val="32"/>
          <w:lang w:eastAsia="zh-CN"/>
        </w:rPr>
        <w:t>疾控中心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684.23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210.45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仿宋"/>
          <w:kern w:val="0"/>
          <w:sz w:val="32"/>
          <w:szCs w:val="32"/>
          <w:lang w:val="en-US" w:eastAsia="zh-CN"/>
        </w:rPr>
        <w:t>收入包括提前下达和上年结转资金；人员增加，薪资、社保及住房公积金正常调整调标</w:t>
      </w:r>
      <w:r>
        <w:rPr>
          <w:rFonts w:hint="eastAsia" w:ascii="仿宋" w:hAnsi="仿宋" w:eastAsia="仿宋" w:cs="Times New Roman"/>
          <w:kern w:val="0"/>
          <w:sz w:val="32"/>
          <w:szCs w:val="32"/>
          <w:lang w:val="en-US" w:eastAsia="zh-CN"/>
        </w:rPr>
        <w:t>。</w:t>
      </w:r>
    </w:p>
    <w:p w14:paraId="643EC827">
      <w:pPr>
        <w:ind w:firstLine="640" w:firstLineChars="200"/>
        <w:rPr>
          <w:rStyle w:val="11"/>
          <w:rFonts w:ascii="仿宋" w:hAnsi="仿宋" w:eastAsia="仿宋"/>
          <w:sz w:val="32"/>
          <w:szCs w:val="32"/>
        </w:rPr>
      </w:pPr>
      <w:r>
        <w:rPr>
          <w:rStyle w:val="11"/>
          <w:rFonts w:hint="eastAsia" w:ascii="仿宋" w:hAnsi="仿宋" w:eastAsia="仿宋"/>
          <w:color w:val="auto"/>
          <w:sz w:val="32"/>
          <w:szCs w:val="32"/>
        </w:rPr>
        <w:t>按支出功能科目</w:t>
      </w:r>
      <w:r>
        <w:rPr>
          <w:rStyle w:val="11"/>
          <w:rFonts w:hint="eastAsia" w:ascii="仿宋" w:hAnsi="仿宋" w:eastAsia="仿宋"/>
          <w:sz w:val="32"/>
          <w:szCs w:val="32"/>
        </w:rPr>
        <w:t>划分：</w:t>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68.73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12.10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581.54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198.86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33.96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0.51</w:t>
      </w:r>
      <w:r>
        <w:rPr>
          <w:rStyle w:val="11"/>
          <w:rFonts w:ascii="仿宋" w:hAnsi="仿宋" w:eastAsia="仿宋"/>
          <w:sz w:val="32"/>
          <w:szCs w:val="32"/>
        </w:rPr>
        <w:t>万元。</w:t>
      </w:r>
      <w:r>
        <w:fldChar w:fldCharType="end"/>
      </w:r>
    </w:p>
    <w:p w14:paraId="396057E0">
      <w:pPr>
        <w:ind w:firstLine="640" w:firstLineChars="200"/>
      </w:pPr>
      <w:r>
        <w:rPr>
          <w:rStyle w:val="11"/>
          <w:rFonts w:hint="eastAsia" w:ascii="仿宋" w:hAnsi="仿宋" w:eastAsia="仿宋"/>
          <w:color w:val="auto"/>
          <w:sz w:val="32"/>
          <w:szCs w:val="32"/>
        </w:rPr>
        <w:t>按支出项目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486.51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12.73</w:t>
      </w:r>
      <w:r>
        <w:rPr>
          <w:rStyle w:val="11"/>
          <w:rFonts w:ascii="仿宋" w:hAnsi="仿宋" w:eastAsia="仿宋"/>
          <w:sz w:val="32"/>
          <w:szCs w:val="32"/>
        </w:rPr>
        <w:t>万元;其中：</w:t>
      </w:r>
      <w:r>
        <w:rPr>
          <w:rStyle w:val="11"/>
          <w:rFonts w:hint="eastAsia" w:ascii="仿宋" w:hAnsi="仿宋" w:eastAsia="仿宋" w:cs="仿宋"/>
          <w:color w:val="auto"/>
          <w:sz w:val="32"/>
          <w:szCs w:val="32"/>
        </w:rPr>
        <w:t>工资福利支出</w:t>
      </w:r>
      <w:r>
        <w:rPr>
          <w:rStyle w:val="11"/>
          <w:rFonts w:hint="eastAsia" w:ascii="仿宋" w:hAnsi="仿宋" w:eastAsia="仿宋" w:cs="仿宋"/>
          <w:color w:val="auto"/>
          <w:sz w:val="32"/>
          <w:szCs w:val="32"/>
          <w:lang w:val="en-US" w:eastAsia="zh-CN"/>
        </w:rPr>
        <w:t>450.36</w:t>
      </w:r>
      <w:r>
        <w:rPr>
          <w:rStyle w:val="11"/>
          <w:rFonts w:hint="eastAsia" w:ascii="仿宋" w:hAnsi="仿宋" w:eastAsia="仿宋" w:cs="仿宋"/>
          <w:color w:val="auto"/>
          <w:sz w:val="32"/>
          <w:szCs w:val="32"/>
        </w:rPr>
        <w:t>万元,商品和服务支出</w:t>
      </w:r>
      <w:r>
        <w:rPr>
          <w:rStyle w:val="11"/>
          <w:rFonts w:hint="eastAsia" w:ascii="仿宋" w:hAnsi="仿宋" w:eastAsia="仿宋" w:cs="仿宋"/>
          <w:color w:val="auto"/>
          <w:sz w:val="32"/>
          <w:szCs w:val="32"/>
          <w:lang w:val="en-US" w:eastAsia="zh-CN"/>
        </w:rPr>
        <w:t>36</w:t>
      </w:r>
      <w:r>
        <w:rPr>
          <w:rStyle w:val="11"/>
          <w:rFonts w:hint="eastAsia" w:ascii="仿宋" w:hAnsi="仿宋" w:eastAsia="仿宋" w:cs="仿宋"/>
          <w:color w:val="auto"/>
          <w:sz w:val="32"/>
          <w:szCs w:val="32"/>
        </w:rPr>
        <w:t>万元,对个人和家庭的补助</w:t>
      </w:r>
      <w:r>
        <w:rPr>
          <w:rStyle w:val="11"/>
          <w:rFonts w:hint="eastAsia" w:ascii="仿宋" w:hAnsi="仿宋" w:eastAsia="仿宋" w:cs="仿宋"/>
          <w:color w:val="auto"/>
          <w:sz w:val="32"/>
          <w:szCs w:val="32"/>
          <w:lang w:val="en-US" w:eastAsia="zh-CN"/>
        </w:rPr>
        <w:t>0.15</w:t>
      </w:r>
      <w:r>
        <w:rPr>
          <w:rStyle w:val="11"/>
          <w:rFonts w:hint="eastAsia" w:ascii="仿宋" w:hAnsi="仿宋" w:eastAsia="仿宋" w:cs="仿宋"/>
          <w:color w:val="auto"/>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197.72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197.72</w:t>
      </w:r>
      <w:r>
        <w:rPr>
          <w:rStyle w:val="11"/>
          <w:rFonts w:ascii="仿宋" w:hAnsi="仿宋" w:eastAsia="仿宋"/>
          <w:sz w:val="32"/>
          <w:szCs w:val="32"/>
        </w:rPr>
        <w:t>万元;其中：</w:t>
      </w:r>
      <w:r>
        <w:rPr>
          <w:rStyle w:val="11"/>
          <w:rFonts w:hint="eastAsia" w:ascii="仿宋" w:hAnsi="仿宋" w:eastAsia="仿宋" w:cs="仿宋"/>
          <w:color w:val="auto"/>
          <w:sz w:val="32"/>
          <w:szCs w:val="32"/>
        </w:rPr>
        <w:t>工资福利支出</w:t>
      </w:r>
      <w:r>
        <w:rPr>
          <w:rStyle w:val="11"/>
          <w:rFonts w:hint="eastAsia" w:ascii="仿宋" w:hAnsi="仿宋" w:eastAsia="仿宋" w:cs="仿宋"/>
          <w:color w:val="auto"/>
          <w:sz w:val="32"/>
          <w:szCs w:val="32"/>
          <w:lang w:val="en-US" w:eastAsia="zh-CN"/>
        </w:rPr>
        <w:t>6.66</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151.91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39.15</w:t>
      </w:r>
      <w:r>
        <w:rPr>
          <w:rStyle w:val="11"/>
          <w:rFonts w:ascii="仿宋" w:hAnsi="仿宋" w:eastAsia="仿宋"/>
          <w:sz w:val="32"/>
          <w:szCs w:val="32"/>
        </w:rPr>
        <w:t>万元。</w:t>
      </w:r>
      <w:r>
        <w:fldChar w:fldCharType="end"/>
      </w:r>
    </w:p>
    <w:p w14:paraId="43791F97">
      <w:pPr>
        <w:ind w:firstLine="640" w:firstLineChars="200"/>
        <w:rPr>
          <w:sz w:val="32"/>
          <w:szCs w:val="32"/>
        </w:rPr>
      </w:pPr>
    </w:p>
    <w:p w14:paraId="35E9D0F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BE06B06">
      <w:pPr>
        <w:ind w:firstLine="640" w:firstLineChars="200"/>
        <w:rPr>
          <w:rFonts w:ascii="Adobe 仿宋 Std R" w:hAnsi="Adobe 仿宋 Std R" w:eastAsia="Adobe 仿宋 Std R"/>
        </w:rPr>
      </w:pPr>
      <w:r>
        <w:rPr>
          <w:rFonts w:hint="eastAsia" w:ascii="仿宋" w:hAnsi="仿宋" w:eastAsia="仿宋" w:cs="仿宋"/>
          <w:sz w:val="32"/>
          <w:szCs w:val="32"/>
          <w:lang w:val="en-US" w:eastAsia="zh-CN"/>
        </w:rPr>
        <w:t>本单位没有使用政府性基金预算拨款安排的支出。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2A63CCB7">
      <w:pPr>
        <w:ind w:firstLine="640" w:firstLineChars="200"/>
        <w:rPr>
          <w:rStyle w:val="11"/>
          <w:rFonts w:ascii="仿宋" w:hAnsi="仿宋" w:eastAsia="仿宋"/>
          <w:color w:val="FF0000"/>
          <w:sz w:val="32"/>
          <w:szCs w:val="32"/>
        </w:rPr>
      </w:pPr>
    </w:p>
    <w:p w14:paraId="586B260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1C73AAF">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466C3F69">
      <w:pPr>
        <w:ind w:firstLine="321" w:firstLineChars="100"/>
        <w:rPr>
          <w:rStyle w:val="11"/>
          <w:rFonts w:hint="eastAsia" w:asciiTheme="majorEastAsia" w:hAnsiTheme="majorEastAsia" w:eastAsiaTheme="majorEastAsia"/>
          <w:b/>
          <w:sz w:val="32"/>
          <w:szCs w:val="32"/>
        </w:rPr>
      </w:pPr>
      <w:r>
        <w:rPr>
          <w:rStyle w:val="11"/>
          <w:rFonts w:hint="eastAsia" w:asciiTheme="majorEastAsia" w:hAnsiTheme="majorEastAsia" w:eastAsiaTheme="majorEastAsia"/>
          <w:b/>
          <w:sz w:val="32"/>
          <w:szCs w:val="32"/>
        </w:rPr>
        <w:t xml:space="preserve"> </w:t>
      </w:r>
    </w:p>
    <w:p w14:paraId="0EB05F5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6E2FAEE8">
      <w:pPr>
        <w:widowControl/>
        <w:spacing w:line="580" w:lineRule="exact"/>
        <w:ind w:firstLine="636"/>
        <w:jc w:val="left"/>
        <w:rPr>
          <w:rFonts w:hint="eastAsia" w:ascii="仿宋_GB2312" w:hAnsi="仿宋_GB2312" w:eastAsia="仿宋_GB2312" w:cs="仿宋_GB2312"/>
          <w:color w:val="FF0000"/>
          <w:sz w:val="32"/>
          <w:szCs w:val="32"/>
          <w:lang w:eastAsia="zh-CN"/>
        </w:rPr>
      </w:pPr>
      <w:r>
        <w:rPr>
          <w:rStyle w:val="11"/>
          <w:rFonts w:hint="eastAsia" w:ascii="仿宋_GB2312" w:hAnsi="仿宋_GB2312" w:eastAsia="仿宋_GB2312" w:cs="仿宋_GB2312"/>
          <w:b w:val="0"/>
          <w:bCs/>
          <w:color w:val="auto"/>
          <w:sz w:val="32"/>
          <w:szCs w:val="32"/>
        </w:rPr>
        <w:t>本单位非行政参公单位，无机关运行经费</w:t>
      </w:r>
    </w:p>
    <w:p w14:paraId="61C216E0">
      <w:pPr>
        <w:widowControl/>
        <w:spacing w:line="580" w:lineRule="exact"/>
        <w:jc w:val="left"/>
        <w:rPr>
          <w:rFonts w:ascii="Adobe 仿宋 Std R" w:hAnsi="Adobe 仿宋 Std R" w:eastAsia="Adobe 仿宋 Std R"/>
          <w:sz w:val="32"/>
          <w:szCs w:val="32"/>
        </w:rPr>
      </w:pPr>
    </w:p>
    <w:p w14:paraId="04EDB1C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6CB061DD">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9.15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9.15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7F71A9D2">
      <w:pPr>
        <w:ind w:firstLine="643"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23A27C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fldChar w:fldCharType="end"/>
      </w:r>
    </w:p>
    <w:p w14:paraId="7EA1DA9C">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6E0EEBA1">
      <w:pPr>
        <w:rPr>
          <w:rStyle w:val="11"/>
          <w:rFonts w:ascii="Adobe 仿宋 Std R" w:hAnsi="Adobe 仿宋 Std R" w:eastAsia="Adobe 仿宋 Std R"/>
          <w:b/>
          <w:sz w:val="32"/>
          <w:szCs w:val="32"/>
        </w:rPr>
      </w:pPr>
    </w:p>
    <w:p w14:paraId="52E79808">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eastAsia="zh-CN"/>
        </w:rPr>
        <w:t>特定目标类</w:t>
      </w:r>
      <w:r>
        <w:rPr>
          <w:rStyle w:val="11"/>
          <w:rFonts w:hint="eastAsia" w:ascii="Adobe 仿宋 Std R" w:hAnsi="Adobe 仿宋 Std R" w:eastAsia="Adobe 仿宋 Std R"/>
          <w:b/>
          <w:sz w:val="32"/>
          <w:szCs w:val="32"/>
        </w:rPr>
        <w:t>项目情况说明</w:t>
      </w:r>
    </w:p>
    <w:p w14:paraId="50C262BA">
      <w:pPr>
        <w:widowControl/>
        <w:spacing w:line="580" w:lineRule="exact"/>
        <w:ind w:firstLine="636"/>
        <w:jc w:val="left"/>
        <w:rPr>
          <w:rStyle w:val="11"/>
          <w:rFonts w:hint="eastAsia" w:ascii="仿宋" w:hAnsi="仿宋" w:eastAsia="仿宋"/>
          <w:color w:val="FF0000"/>
          <w:sz w:val="32"/>
          <w:szCs w:val="32"/>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 xml:space="preserve">疾病防控、卫生应急等专业业务活动收入及其他收入   </w:t>
      </w:r>
    </w:p>
    <w:p w14:paraId="5854865A">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事业单位经营收入（医疗收入及其他收入等），及时支付疫苗、药品等购置款，妥善应对各种传染病的发生，保障单位人员和工作正常开展</w:t>
      </w:r>
      <w:r>
        <w:rPr>
          <w:rFonts w:hint="eastAsia" w:ascii="Adobe 仿宋 Std R" w:hAnsi="Adobe 仿宋 Std R" w:eastAsia="Adobe 仿宋 Std R"/>
          <w:sz w:val="32"/>
          <w:szCs w:val="32"/>
          <w:lang w:eastAsia="zh-CN"/>
        </w:rPr>
        <w:t>。</w:t>
      </w:r>
    </w:p>
    <w:p w14:paraId="4DA13070">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：根据上年单位资金预估经财政审批</w:t>
      </w:r>
    </w:p>
    <w:p w14:paraId="265DA098">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：庐山市疾病预防控制中心</w:t>
      </w:r>
    </w:p>
    <w:p w14:paraId="75DA559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：范工作程序，提高工作效率，及时支付二类疫苗及药品等购置款，妥善应对各种传染病的发生。提高群众防病意识、治病意识，提高防控疫情抗疫能力，保障人员及业务工作正常运转。</w:t>
      </w:r>
    </w:p>
    <w:p w14:paraId="103518FB">
      <w:pPr>
        <w:ind w:firstLine="642"/>
        <w:rPr>
          <w:rFonts w:hint="default" w:ascii="Adobe 仿宋 Std R" w:hAnsi="Adobe 仿宋 Std R" w:eastAsia="Adobe 仿宋 Std R"/>
          <w:sz w:val="32"/>
          <w:szCs w:val="32"/>
          <w:lang w:val="en-US" w:eastAsia="zh-CN"/>
          <w14:glow w14:rad="0">
            <w14:srgbClr w14:val="000000"/>
          </w14:glow>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2AA7FF6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1362万元</w:t>
      </w:r>
    </w:p>
    <w:p w14:paraId="3FD7AAA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健康体检、卫生监测、检测等卫生健康项目</w:t>
      </w:r>
    </w:p>
    <w:p w14:paraId="4EEB2C91">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公共卫生服务（我市从业人员约9000人进行免费健康体检、10家公共场所、14家医疗机构及120份水样进行免费卫生监测、检测）</w:t>
      </w:r>
      <w:r>
        <w:rPr>
          <w:rFonts w:hint="eastAsia" w:ascii="Adobe 仿宋 Std R" w:hAnsi="Adobe 仿宋 Std R" w:eastAsia="Adobe 仿宋 Std R"/>
          <w:sz w:val="32"/>
          <w:szCs w:val="32"/>
          <w:lang w:eastAsia="zh-CN"/>
        </w:rPr>
        <w:t>。</w:t>
      </w:r>
    </w:p>
    <w:p w14:paraId="35841D0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庐卫文【2023】56号关于将部分卫生健康项目资金列入财政以后年度预算</w:t>
      </w:r>
      <w:r>
        <w:rPr>
          <w:rFonts w:hint="eastAsia" w:ascii="Adobe 仿宋 Std R" w:hAnsi="Adobe 仿宋 Std R" w:eastAsia="Adobe 仿宋 Std R"/>
          <w:sz w:val="32"/>
          <w:szCs w:val="32"/>
          <w:lang w:eastAsia="zh-CN"/>
        </w:rPr>
        <w:t>经财政审批核算</w:t>
      </w:r>
    </w:p>
    <w:p w14:paraId="496E672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：庐山市疾病预防控制中心</w:t>
      </w:r>
    </w:p>
    <w:p w14:paraId="752D226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：对我市公共场所、食品行业从业人员约9000人进行免费健康体检。对全市10家公共场所、14家医疗机构及120份水样进行免费卫生监测、检测。开展疾控业务专业指导评价、工作场所监测覆盖率达</w:t>
      </w:r>
      <w:r>
        <w:rPr>
          <w:rFonts w:hint="eastAsia" w:ascii="Adobe 仿宋 Std R" w:hAnsi="Adobe 仿宋 Std R" w:eastAsia="Adobe 仿宋 Std R"/>
          <w:sz w:val="32"/>
          <w:szCs w:val="32"/>
          <w:lang w:val="en-US" w:eastAsia="zh-CN"/>
        </w:rPr>
        <w:t>100%。</w:t>
      </w:r>
    </w:p>
    <w:p w14:paraId="7F6D143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25C1B5B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37.46万元</w:t>
      </w:r>
    </w:p>
    <w:p w14:paraId="62503D5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3、为适龄女生免费接种人乳头瘤病毒疫苗</w:t>
      </w:r>
    </w:p>
    <w:p w14:paraId="09678B5C">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项目概述</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为处于初中阶段、未满14周岁、未接种过HPV疫苗的女学生免费接种国产二价HPV疫苗</w:t>
      </w:r>
      <w:r>
        <w:rPr>
          <w:rFonts w:hint="eastAsia" w:ascii="仿宋" w:hAnsi="仿宋" w:eastAsia="仿宋" w:cs="仿宋"/>
          <w:sz w:val="32"/>
          <w:szCs w:val="32"/>
          <w:lang w:eastAsia="zh-CN"/>
        </w:rPr>
        <w:t>购置成本</w:t>
      </w:r>
      <w:r>
        <w:rPr>
          <w:rFonts w:hint="eastAsia" w:ascii="Adobe 仿宋 Std R" w:hAnsi="Adobe 仿宋 Std R" w:eastAsia="Adobe 仿宋 Std R"/>
          <w:sz w:val="32"/>
          <w:szCs w:val="32"/>
        </w:rPr>
        <w:t>。</w:t>
      </w:r>
    </w:p>
    <w:p w14:paraId="493D5832">
      <w:pPr>
        <w:ind w:left="638" w:leftChars="304"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 xml:space="preserve">2024年基本民生及省十件民生实事项目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：庐山市疾病预防控制中心</w:t>
      </w:r>
    </w:p>
    <w:p w14:paraId="53DC038A">
      <w:pPr>
        <w:ind w:firstLine="640" w:firstLineChars="200"/>
        <w:rPr>
          <w:rFonts w:hint="eastAsia" w:ascii="仿宋" w:hAnsi="仿宋" w:eastAsia="仿宋" w:cs="仿宋"/>
          <w:i w:val="0"/>
          <w:iCs w:val="0"/>
          <w:caps w:val="0"/>
          <w:color w:val="333333"/>
          <w:spacing w:val="0"/>
          <w:sz w:val="32"/>
          <w:szCs w:val="32"/>
          <w:shd w:val="clear" w:fill="EDF4FF"/>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：按规定</w:t>
      </w:r>
      <w:r>
        <w:rPr>
          <w:rFonts w:hint="eastAsia" w:ascii="仿宋" w:hAnsi="仿宋" w:eastAsia="仿宋" w:cs="仿宋"/>
          <w:sz w:val="32"/>
          <w:szCs w:val="32"/>
        </w:rPr>
        <w:t>为处于初中阶段、未满14周岁、未接种过HPV疫苗的女学生</w:t>
      </w:r>
      <w:r>
        <w:rPr>
          <w:rFonts w:hint="eastAsia" w:ascii="仿宋" w:hAnsi="仿宋" w:eastAsia="仿宋" w:cs="仿宋"/>
          <w:sz w:val="32"/>
          <w:szCs w:val="32"/>
          <w:lang w:eastAsia="zh-CN"/>
        </w:rPr>
        <w:t>约</w:t>
      </w:r>
      <w:r>
        <w:rPr>
          <w:rFonts w:hint="eastAsia" w:ascii="仿宋" w:hAnsi="仿宋" w:eastAsia="仿宋" w:cs="仿宋"/>
          <w:sz w:val="32"/>
          <w:szCs w:val="32"/>
          <w:lang w:val="en-US" w:eastAsia="zh-CN"/>
        </w:rPr>
        <w:t>4300人</w:t>
      </w:r>
      <w:r>
        <w:rPr>
          <w:rFonts w:hint="eastAsia" w:ascii="仿宋" w:hAnsi="仿宋" w:eastAsia="仿宋" w:cs="仿宋"/>
          <w:sz w:val="32"/>
          <w:szCs w:val="32"/>
        </w:rPr>
        <w:t>免费接种国产二价HPV</w:t>
      </w:r>
      <w:r>
        <w:rPr>
          <w:rFonts w:hint="eastAsia" w:ascii="仿宋" w:hAnsi="仿宋" w:eastAsia="仿宋" w:cs="仿宋"/>
          <w:sz w:val="32"/>
          <w:szCs w:val="32"/>
          <w:lang w:eastAsia="zh-CN"/>
        </w:rPr>
        <w:t>购置疫苗。</w:t>
      </w:r>
    </w:p>
    <w:p w14:paraId="1E80607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14:paraId="53A094DE">
      <w:pPr>
        <w:ind w:firstLine="642"/>
        <w:rPr>
          <w:rStyle w:val="11"/>
          <w:rFonts w:hint="eastAsia" w:ascii="仿宋" w:hAnsi="仿宋" w:eastAsia="仿宋"/>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117.60万元</w:t>
      </w:r>
    </w:p>
    <w:p w14:paraId="5A5AC3DF">
      <w:pPr>
        <w:widowControl/>
        <w:spacing w:line="580" w:lineRule="exact"/>
        <w:ind w:firstLine="636"/>
        <w:jc w:val="left"/>
        <w:rPr>
          <w:rFonts w:ascii="Adobe 仿宋 Std R" w:hAnsi="Adobe 仿宋 Std R" w:eastAsia="Adobe 仿宋 Std R"/>
          <w:sz w:val="32"/>
          <w:szCs w:val="32"/>
        </w:rPr>
      </w:pPr>
    </w:p>
    <w:p w14:paraId="1D2D0F00">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EEF2D98">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w:t>
      </w:r>
      <w:r>
        <w:rPr>
          <w:rFonts w:hint="eastAsia" w:ascii="仿宋" w:hAnsi="仿宋" w:eastAsia="仿宋" w:cs="仿宋"/>
          <w:b w:val="0"/>
          <w:bCs w:val="0"/>
          <w:sz w:val="32"/>
          <w:szCs w:val="32"/>
        </w:rPr>
        <w:t>庐山市</w:t>
      </w:r>
      <w:r>
        <w:rPr>
          <w:rFonts w:hint="eastAsia" w:ascii="仿宋" w:hAnsi="仿宋" w:eastAsia="仿宋" w:cs="仿宋"/>
          <w:b w:val="0"/>
          <w:bCs w:val="0"/>
          <w:sz w:val="32"/>
          <w:szCs w:val="32"/>
          <w:lang w:eastAsia="zh-CN"/>
        </w:rPr>
        <w:t>疾控中心</w:t>
      </w:r>
      <w:r>
        <w:rPr>
          <w:rFonts w:hint="eastAsia" w:ascii="仿宋" w:hAnsi="仿宋" w:eastAsia="仿宋" w:cs="仿宋"/>
          <w:bCs/>
          <w:sz w:val="32"/>
          <w:szCs w:val="32"/>
        </w:rPr>
        <w:t>"三公"经费财政拨款安排</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万元，其中：</w:t>
      </w:r>
    </w:p>
    <w:p w14:paraId="76685812">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Style w:val="11"/>
          <w:rFonts w:hint="eastAsia" w:ascii="仿宋" w:hAnsi="仿宋" w:eastAsia="仿宋" w:cs="仿宋"/>
          <w:b w:val="0"/>
          <w:bCs w:val="0"/>
          <w:color w:val="auto"/>
          <w:sz w:val="32"/>
          <w:szCs w:val="32"/>
        </w:rPr>
        <w:t>与上年安排保持一致</w:t>
      </w:r>
      <w:r>
        <w:rPr>
          <w:rFonts w:hint="eastAsia" w:ascii="仿宋" w:hAnsi="仿宋" w:eastAsia="仿宋" w:cs="仿宋"/>
          <w:bCs/>
          <w:sz w:val="32"/>
          <w:szCs w:val="32"/>
        </w:rPr>
        <w:t>。</w:t>
      </w:r>
    </w:p>
    <w:p w14:paraId="2A7667E0">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公务接待</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Style w:val="11"/>
          <w:rFonts w:hint="eastAsia" w:ascii="仿宋" w:hAnsi="仿宋" w:eastAsia="仿宋" w:cs="仿宋"/>
          <w:b w:val="0"/>
          <w:bCs w:val="0"/>
          <w:color w:val="auto"/>
          <w:sz w:val="32"/>
          <w:szCs w:val="32"/>
        </w:rPr>
        <w:t>上年安排保持一致</w:t>
      </w:r>
      <w:r>
        <w:rPr>
          <w:rFonts w:hint="eastAsia" w:ascii="仿宋" w:hAnsi="仿宋" w:eastAsia="仿宋" w:cs="仿宋"/>
          <w:bCs/>
          <w:sz w:val="32"/>
          <w:szCs w:val="32"/>
        </w:rPr>
        <w:t>。</w:t>
      </w:r>
    </w:p>
    <w:p w14:paraId="5DA2E294">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公务用车运行</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Style w:val="11"/>
          <w:rFonts w:hint="eastAsia" w:ascii="仿宋" w:hAnsi="仿宋" w:eastAsia="仿宋" w:cs="仿宋"/>
          <w:b w:val="0"/>
          <w:bCs w:val="0"/>
          <w:color w:val="auto"/>
          <w:sz w:val="32"/>
          <w:szCs w:val="32"/>
        </w:rPr>
        <w:t>上年安排保持一致</w:t>
      </w:r>
      <w:r>
        <w:rPr>
          <w:rFonts w:hint="eastAsia" w:ascii="仿宋" w:hAnsi="仿宋" w:eastAsia="仿宋" w:cs="仿宋"/>
          <w:bCs/>
          <w:sz w:val="32"/>
          <w:szCs w:val="32"/>
        </w:rPr>
        <w:t>。</w:t>
      </w:r>
    </w:p>
    <w:p w14:paraId="103939F2">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Style w:val="11"/>
          <w:rFonts w:hint="eastAsia" w:ascii="仿宋" w:hAnsi="仿宋" w:eastAsia="仿宋" w:cs="仿宋"/>
          <w:b w:val="0"/>
          <w:bCs w:val="0"/>
          <w:color w:val="auto"/>
          <w:sz w:val="32"/>
          <w:szCs w:val="32"/>
        </w:rPr>
        <w:t>上年安排保持一致</w:t>
      </w:r>
      <w:r>
        <w:rPr>
          <w:rFonts w:hint="eastAsia" w:ascii="仿宋" w:hAnsi="仿宋" w:eastAsia="仿宋" w:cs="仿宋"/>
          <w:bCs/>
          <w:sz w:val="32"/>
          <w:szCs w:val="32"/>
        </w:rPr>
        <w:t>。</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2DF48EC1">
      <w:pPr>
        <w:widowControl/>
        <w:shd w:val="clear" w:color="auto" w:fill="FFFFFF"/>
        <w:spacing w:line="640" w:lineRule="atLeast"/>
        <w:jc w:val="both"/>
        <w:rPr>
          <w:rFonts w:ascii="仿宋_GB2312" w:eastAsia="仿宋_GB2312"/>
          <w:b/>
          <w:sz w:val="32"/>
          <w:szCs w:val="30"/>
        </w:rPr>
      </w:pPr>
    </w:p>
    <w:p w14:paraId="2E140A73">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F40B75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6014AC6">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227133E3">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5D443F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9F8E75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575675CB">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7498BCC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D72DC8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F9F2B69">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105200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C2C06C1">
      <w:pPr>
        <w:ind w:firstLine="640" w:firstLineChars="200"/>
        <w:rPr>
          <w:rFonts w:ascii="Adobe 仿宋 Std R" w:hAnsi="Adobe 仿宋 Std R" w:eastAsia="Adobe 仿宋 Std R"/>
          <w:sz w:val="32"/>
          <w:szCs w:val="32"/>
        </w:rPr>
      </w:pPr>
    </w:p>
    <w:p w14:paraId="22BCB096">
      <w:pPr>
        <w:ind w:firstLine="640" w:firstLineChars="200"/>
        <w:rPr>
          <w:rFonts w:ascii="Adobe 仿宋 Std R" w:hAnsi="Adobe 仿宋 Std R" w:eastAsia="Adobe 仿宋 Std R"/>
          <w:sz w:val="32"/>
          <w:szCs w:val="32"/>
        </w:rPr>
      </w:pPr>
    </w:p>
    <w:p w14:paraId="2881480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E97271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CA641B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5F59FB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7440D0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3CECB56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E6B729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499045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BE37C3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A21FF7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346590">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38A06DC">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938A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B26BC"/>
    <w:multiLevelType w:val="singleLevel"/>
    <w:tmpl w:val="0B3B26BC"/>
    <w:lvl w:ilvl="0" w:tentative="0">
      <w:start w:val="1"/>
      <w:numFmt w:val="decimal"/>
      <w:lvlText w:val="%1."/>
      <w:lvlJc w:val="left"/>
      <w:pPr>
        <w:tabs>
          <w:tab w:val="left" w:pos="312"/>
        </w:tabs>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M2UwNDA3MjRjMzEwMjU2NTdiMDAwYTMwNzgyY2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8A186A"/>
    <w:rsid w:val="067A6028"/>
    <w:rsid w:val="068F47B3"/>
    <w:rsid w:val="088A2098"/>
    <w:rsid w:val="08EC3843"/>
    <w:rsid w:val="0A0925FF"/>
    <w:rsid w:val="0BBF10E1"/>
    <w:rsid w:val="0C97247A"/>
    <w:rsid w:val="0D1A7920"/>
    <w:rsid w:val="0D2269B3"/>
    <w:rsid w:val="0DB3098E"/>
    <w:rsid w:val="0DCE1532"/>
    <w:rsid w:val="12220323"/>
    <w:rsid w:val="13FB007C"/>
    <w:rsid w:val="16B036C0"/>
    <w:rsid w:val="1A705E7F"/>
    <w:rsid w:val="1ABF2D84"/>
    <w:rsid w:val="1CF048AB"/>
    <w:rsid w:val="1E172FD7"/>
    <w:rsid w:val="1E491A3B"/>
    <w:rsid w:val="1F1F7406"/>
    <w:rsid w:val="206D0602"/>
    <w:rsid w:val="22430342"/>
    <w:rsid w:val="22C55999"/>
    <w:rsid w:val="23977FB1"/>
    <w:rsid w:val="245C3447"/>
    <w:rsid w:val="25B931E9"/>
    <w:rsid w:val="25D80B0A"/>
    <w:rsid w:val="26531734"/>
    <w:rsid w:val="28263441"/>
    <w:rsid w:val="2828673B"/>
    <w:rsid w:val="290B705B"/>
    <w:rsid w:val="29981D60"/>
    <w:rsid w:val="2B2339AC"/>
    <w:rsid w:val="2C57797E"/>
    <w:rsid w:val="2D5B7B33"/>
    <w:rsid w:val="2D634AEF"/>
    <w:rsid w:val="2DB35D5D"/>
    <w:rsid w:val="304075B1"/>
    <w:rsid w:val="311C29BA"/>
    <w:rsid w:val="318814ED"/>
    <w:rsid w:val="31931AC3"/>
    <w:rsid w:val="3328400E"/>
    <w:rsid w:val="334E3036"/>
    <w:rsid w:val="34E06621"/>
    <w:rsid w:val="351512FA"/>
    <w:rsid w:val="352C084C"/>
    <w:rsid w:val="374647FA"/>
    <w:rsid w:val="381F475B"/>
    <w:rsid w:val="39A3581F"/>
    <w:rsid w:val="39CE49D8"/>
    <w:rsid w:val="3A841EE9"/>
    <w:rsid w:val="3A9F1A72"/>
    <w:rsid w:val="3ACF1B11"/>
    <w:rsid w:val="3B7D1841"/>
    <w:rsid w:val="3BA35A87"/>
    <w:rsid w:val="3BA6547C"/>
    <w:rsid w:val="3DD2151D"/>
    <w:rsid w:val="3F383632"/>
    <w:rsid w:val="3FA910A9"/>
    <w:rsid w:val="3FF84E58"/>
    <w:rsid w:val="4052753A"/>
    <w:rsid w:val="40EE4838"/>
    <w:rsid w:val="41737C65"/>
    <w:rsid w:val="418F3850"/>
    <w:rsid w:val="42DC038C"/>
    <w:rsid w:val="43A00E80"/>
    <w:rsid w:val="45D833CA"/>
    <w:rsid w:val="464E5AFF"/>
    <w:rsid w:val="47FA01A5"/>
    <w:rsid w:val="4DB628F2"/>
    <w:rsid w:val="4E0D4F31"/>
    <w:rsid w:val="4EFF051F"/>
    <w:rsid w:val="50083B43"/>
    <w:rsid w:val="528E6F80"/>
    <w:rsid w:val="53516268"/>
    <w:rsid w:val="55924F68"/>
    <w:rsid w:val="55EE43AE"/>
    <w:rsid w:val="56C47F55"/>
    <w:rsid w:val="573A53AA"/>
    <w:rsid w:val="5AB93E8B"/>
    <w:rsid w:val="5AE71B6C"/>
    <w:rsid w:val="5EA31F07"/>
    <w:rsid w:val="5EDA0640"/>
    <w:rsid w:val="5F193B70"/>
    <w:rsid w:val="61D17BB5"/>
    <w:rsid w:val="61E31A71"/>
    <w:rsid w:val="62283DE4"/>
    <w:rsid w:val="63E33020"/>
    <w:rsid w:val="65536911"/>
    <w:rsid w:val="656229B9"/>
    <w:rsid w:val="658856FB"/>
    <w:rsid w:val="67B10C38"/>
    <w:rsid w:val="67DC7D34"/>
    <w:rsid w:val="68E97589"/>
    <w:rsid w:val="6BE248E5"/>
    <w:rsid w:val="6C617282"/>
    <w:rsid w:val="6CCB135B"/>
    <w:rsid w:val="6E4965FC"/>
    <w:rsid w:val="6EAF555B"/>
    <w:rsid w:val="6EDB6140"/>
    <w:rsid w:val="6F2C7111"/>
    <w:rsid w:val="70F03058"/>
    <w:rsid w:val="714A36AC"/>
    <w:rsid w:val="71AF11DD"/>
    <w:rsid w:val="72746F20"/>
    <w:rsid w:val="73543105"/>
    <w:rsid w:val="73A85115"/>
    <w:rsid w:val="759E1500"/>
    <w:rsid w:val="77274014"/>
    <w:rsid w:val="7A522B90"/>
    <w:rsid w:val="7C1C38B8"/>
    <w:rsid w:val="7C7E0BF1"/>
    <w:rsid w:val="7D1C2D3E"/>
    <w:rsid w:val="7E546EB5"/>
    <w:rsid w:val="7EAD5634"/>
    <w:rsid w:val="7F4D1868"/>
    <w:rsid w:val="7FB03B0B"/>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3889</Words>
  <Characters>4246</Characters>
  <Lines>53</Lines>
  <Paragraphs>15</Paragraphs>
  <TotalTime>34</TotalTime>
  <ScaleCrop>false</ScaleCrop>
  <LinksUpToDate>false</LinksUpToDate>
  <CharactersWithSpaces>4313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WPS_1678155492</cp:lastModifiedBy>
  <dcterms:modified xsi:type="dcterms:W3CDTF">2025-08-28T08:36:54Z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077AFE47142740259A2A9D9845B389A5_13</vt:lpwstr>
  </property>
  <property fmtid="{D5CDD505-2E9C-101B-9397-08002B2CF9AE}" pid="4" name="KSOTemplateDocerSaveRecord">
    <vt:lpwstr>eyJoZGlkIjoiNDlkM2UwNDA3MjRjMzEwMjU2NTdiMDAwYTMwNzgyY2EiLCJ1c2VySWQiOiIxNDc5NDA3Mjk2In0=</vt:lpwstr>
  </property>
</Properties>
</file>