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B400EF">
      <w:pPr>
        <w:widowControl/>
        <w:spacing w:line="520" w:lineRule="atLeast"/>
        <w:jc w:val="center"/>
        <w:rPr>
          <w:rFonts w:hint="eastAsia"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庐山市民政局</w:t>
      </w:r>
      <w:r>
        <w:rPr>
          <w:rFonts w:hint="eastAsia" w:ascii="黑体" w:hAnsi="黑体" w:eastAsia="黑体" w:cs="Times New Roman"/>
          <w:b/>
          <w:bCs/>
          <w:color w:val="000000"/>
          <w:kern w:val="0"/>
          <w:sz w:val="44"/>
          <w:szCs w:val="44"/>
          <w:lang w:val="en-US" w:eastAsia="zh-CN"/>
        </w:rPr>
        <w:t>2024</w:t>
      </w:r>
      <w:r>
        <w:rPr>
          <w:rFonts w:hint="eastAsia" w:ascii="黑体" w:hAnsi="黑体" w:eastAsia="黑体" w:cs="Times New Roman"/>
          <w:b/>
          <w:bCs/>
          <w:color w:val="000000"/>
          <w:kern w:val="0"/>
          <w:sz w:val="44"/>
          <w:szCs w:val="44"/>
        </w:rPr>
        <w:t>年单位预算</w:t>
      </w:r>
    </w:p>
    <w:p w14:paraId="472A49C0">
      <w:pPr>
        <w:pStyle w:val="13"/>
        <w:spacing w:line="600" w:lineRule="atLeast"/>
        <w:jc w:val="center"/>
        <w:rPr>
          <w:rFonts w:ascii="黑体" w:hAnsi="黑体" w:eastAsia="黑体"/>
          <w:color w:val="000000"/>
          <w:sz w:val="32"/>
          <w:szCs w:val="32"/>
        </w:rPr>
      </w:pPr>
    </w:p>
    <w:p w14:paraId="39B60636">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56DAB4C0">
      <w:pPr>
        <w:pStyle w:val="13"/>
        <w:rPr>
          <w:rFonts w:ascii="宋体" w:hAnsi="宋体"/>
          <w:color w:val="000000"/>
        </w:rPr>
      </w:pPr>
    </w:p>
    <w:p w14:paraId="3369D363">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庐山市民政局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51494A3F">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08775323">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9CC63DC">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庐山市民政局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13D81D8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B2F7D8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7E029663">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35B460F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3408F8C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071EBC15">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245D557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09BBC61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18F2BC9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5332C386">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BA72732">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庐山市民政局</w:t>
      </w:r>
      <w:r>
        <w:rPr>
          <w:rFonts w:ascii="仿宋_GB2312" w:eastAsia="仿宋_GB2312"/>
          <w:b/>
          <w:bCs/>
          <w:color w:val="0000FF"/>
          <w:sz w:val="32"/>
          <w:szCs w:val="32"/>
        </w:rPr>
        <w:fldChar w:fldCharType="begin"/>
      </w:r>
      <w:r>
        <w:rPr>
          <w:rFonts w:ascii="仿宋_GB2312" w:eastAsia="仿宋_GB2312"/>
          <w:b/>
          <w:bCs/>
          <w:color w:val="0000FF"/>
          <w:sz w:val="32"/>
          <w:szCs w:val="32"/>
        </w:rPr>
        <w:instrText xml:space="preserve">MERGEFIELD ${page540426799.ds254512694_REP_JXJC_AGENCY_WZR_NAME}</w:instrText>
      </w:r>
      <w:r>
        <w:rPr>
          <w:rFonts w:ascii="仿宋_GB2312" w:eastAsia="仿宋_GB2312"/>
          <w:b/>
          <w:bCs/>
          <w:color w:val="0000FF"/>
          <w:sz w:val="32"/>
          <w:szCs w:val="32"/>
        </w:rPr>
        <w:fldChar w:fldCharType="separate"/>
      </w:r>
      <w:r>
        <w:rPr>
          <w:color w:val="0000FF"/>
        </w:rPr>
        <w:fldChar w:fldCharType="end"/>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34CC7E3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1C19FF4A">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6729535">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86587DC">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庐山市民政局</w:t>
      </w:r>
      <w:r>
        <w:rPr>
          <w:rFonts w:hint="eastAsia" w:ascii="仿宋_GB2312" w:eastAsia="仿宋_GB2312"/>
          <w:b/>
          <w:sz w:val="32"/>
          <w:szCs w:val="30"/>
        </w:rPr>
        <w:t>概况</w:t>
      </w:r>
    </w:p>
    <w:p w14:paraId="00EA2D8B">
      <w:pPr>
        <w:widowControl/>
        <w:spacing w:line="580" w:lineRule="exact"/>
        <w:jc w:val="left"/>
        <w:rPr>
          <w:rFonts w:asciiTheme="minorEastAsia" w:hAnsiTheme="minorEastAsia"/>
          <w:b/>
          <w:sz w:val="36"/>
          <w:szCs w:val="36"/>
        </w:rPr>
      </w:pPr>
    </w:p>
    <w:p w14:paraId="6F626965">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706CF8E7">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（一）在全市经济社会发展总体规划的框架内，拟订全市民政事业发展规划和政策，草拟有关地方规范性文件，并组织实施和监督检查。</w:t>
      </w:r>
    </w:p>
    <w:p w14:paraId="3C7144C0">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（二）拟订全市社会团体、基金会、社会服务机构登记管理办法，并按照管辖权限进行登记管理和执法监察；承担社会组织信息管理工作；参与指导全市社会组织党建工作。</w:t>
      </w:r>
    </w:p>
    <w:p w14:paraId="2CC08408">
      <w:pPr>
        <w:numPr>
          <w:ilvl w:val="0"/>
          <w:numId w:val="0"/>
        </w:numPr>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   （三）牵头拟订全市社会救助规划、政策和标准，健全城乡社会救助体系，组织实施全市城乡居民最低生活保障、临时救助、精减退职老职工救助工作；牵头负责巩固拓展脱贫攻坚成果兜底保障和城镇困难群众解困脱困工作；健全完善居民家庭收入核对平台建设；负责全市流浪乞讨人员救助管理和救助机构建设管理工作。</w:t>
      </w:r>
    </w:p>
    <w:p w14:paraId="70CADFDE">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（四）牵头拟订全市城乡社区治理政策规划，统筹推进、督促指导城乡社区治理工作；组织实施全市城乡基层群众自治建设工作，推动城乡基层民主政治建设；提出加强和改进城乡基层政权建设的建议。</w:t>
      </w:r>
    </w:p>
    <w:p w14:paraId="52AC6CF8">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五）落实行政区划管理政策和行政区域界线、地名管理办法。承办乡（镇）、村委会、社区居委会的设立、撤销、命名更名的报批工作；承办毗邻县（市）及市内乡（镇）之间的边界线勘定并配合政府相关部门处理边界争议工作；负责全市的地名管理及标志设置工作。</w:t>
      </w:r>
    </w:p>
    <w:p w14:paraId="2D07A2DF">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（六）拟订全市养老服务体系建设规划、政策并组织实施，负责统筹推进、督促指导、监督管理养老服务工作，承担城乡特困人员救助供养、老年人福利和特殊困难老年人救助工作，指导特困人员供养机构建设。</w:t>
      </w:r>
    </w:p>
    <w:p w14:paraId="14645087">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（七）拟订全市慈善事业发展政策，监督指导慈善活动。履行社会人才工作职责，推进全市社会工作人才队伍建设和相关志愿者队伍建设。</w:t>
      </w:r>
    </w:p>
    <w:p w14:paraId="64A15935">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（八）拟订全市婚姻管理、殡葬管理政策，负责推进婚俗和殡葬改革，指导婚姻、殡葬服务机构管理工作。指导残疾人权益保障工作。</w:t>
      </w:r>
    </w:p>
    <w:p w14:paraId="75176F77">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（九）拟订全市儿童福利和未成年人保护政策，牵头推进农村留守儿童关爱保护和困境儿童保护工作，指导各地儿童福利机构、未成年人保护机构建设。</w:t>
      </w:r>
    </w:p>
    <w:p w14:paraId="2FCDD1BA">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（十）按职责负责民政系统行业安全生产监督管理工作。指导养老服务、特困供养、儿童福利、未成年人保护、救助管理、殡葬服务等民政服务机构的安全生产监督管理工作。</w:t>
      </w:r>
    </w:p>
    <w:p w14:paraId="3122AE33">
      <w:pPr>
        <w:numPr>
          <w:ilvl w:val="0"/>
          <w:numId w:val="0"/>
        </w:num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（十一）按职责负责福利彩票管理工作。</w:t>
      </w:r>
    </w:p>
    <w:p w14:paraId="506EF11F">
      <w:p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（十二）完成市委、市政府交办的其他任务。</w:t>
      </w:r>
    </w:p>
    <w:p w14:paraId="17AA2854">
      <w:pPr>
        <w:rPr>
          <w:b/>
          <w:sz w:val="36"/>
          <w:szCs w:val="36"/>
        </w:rPr>
      </w:pPr>
      <w:r>
        <w:rPr>
          <w:rFonts w:hint="eastAsia"/>
          <w:b/>
          <w:sz w:val="36"/>
          <w:szCs w:val="36"/>
        </w:rPr>
        <w:t>二、机构设置及人员情况</w:t>
      </w:r>
    </w:p>
    <w:p w14:paraId="18740324">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2023年</w:t>
      </w:r>
      <w:r>
        <w:rPr>
          <w:rFonts w:hint="eastAsia" w:ascii="仿宋_GB2312" w:hAnsi="仿宋_GB2312" w:eastAsia="仿宋_GB2312" w:cs="仿宋_GB2312"/>
          <w:color w:val="auto"/>
          <w:sz w:val="32"/>
          <w:szCs w:val="32"/>
          <w:lang w:eastAsia="zh-CN"/>
        </w:rPr>
        <w:t>庐山市民政局</w:t>
      </w:r>
      <w:r>
        <w:rPr>
          <w:rFonts w:hint="eastAsia" w:ascii="仿宋_GB2312" w:hAnsi="仿宋_GB2312" w:eastAsia="仿宋_GB2312" w:cs="仿宋_GB2312"/>
          <w:color w:val="auto"/>
          <w:sz w:val="32"/>
          <w:szCs w:val="32"/>
        </w:rPr>
        <w:t>内设处室</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个，包括：</w:t>
      </w:r>
      <w:r>
        <w:rPr>
          <w:rFonts w:hint="eastAsia" w:ascii="仿宋_GB2312" w:hAnsi="仿宋_GB2312" w:eastAsia="仿宋_GB2312" w:cs="仿宋_GB2312"/>
          <w:color w:val="auto"/>
          <w:sz w:val="32"/>
          <w:szCs w:val="32"/>
          <w:lang w:val="en-US" w:eastAsia="zh-CN"/>
        </w:rPr>
        <w:t>办公室（社会组织管理股、政务服务股）、社会救助股（福利和慈善股）、社会事务股（基层政权和区划地名股）</w:t>
      </w:r>
      <w:r>
        <w:rPr>
          <w:rFonts w:hint="eastAsia" w:ascii="仿宋_GB2312" w:hAnsi="仿宋_GB2312" w:eastAsia="仿宋_GB2312" w:cs="仿宋_GB2312"/>
          <w:color w:val="auto"/>
          <w:sz w:val="32"/>
          <w:szCs w:val="32"/>
        </w:rPr>
        <w:t>。</w:t>
      </w:r>
    </w:p>
    <w:p w14:paraId="5F3B4614">
      <w:pPr>
        <w:widowControl/>
        <w:spacing w:line="240" w:lineRule="auto"/>
        <w:ind w:firstLine="640"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MERGEFIELD ${page540426799.ds376136392_REP_JX_BAS_AGENCY_INFO_DXQRSDW_S_BZRSXJ}</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lang w:eastAsia="zh-CN"/>
        </w:rPr>
        <w:t>编制人数小计</w:t>
      </w:r>
      <w:r>
        <w:rPr>
          <w:rFonts w:hint="eastAsia" w:ascii="仿宋_GB2312" w:hAnsi="仿宋_GB2312" w:eastAsia="仿宋_GB2312" w:cs="仿宋_GB2312"/>
          <w:color w:val="auto"/>
          <w:sz w:val="32"/>
          <w:szCs w:val="32"/>
          <w:lang w:val="en-US" w:eastAsia="zh-CN"/>
        </w:rPr>
        <w:t>32名，其中：行政编制7名，机关工勤编制1名，参照公务员管理的事业0名，全额拨款事业编制24名。实有人数61人,其中：在职人数25人（包括行政人员8人，机关参照公务员管理的事业0人，机关工勤0人，全额拨款事业编制12人，自收自支事业编制5人）,退休人员26人，遗属4人，临聘人员6人。</w:t>
      </w:r>
    </w:p>
    <w:p w14:paraId="39BC4115">
      <w:pPr>
        <w:widowControl/>
        <w:spacing w:line="580" w:lineRule="exact"/>
        <w:jc w:val="center"/>
        <w:rPr>
          <w:rFonts w:ascii="仿宋_GB2312" w:eastAsia="仿宋_GB2312"/>
          <w:b/>
          <w:szCs w:val="30"/>
        </w:rPr>
      </w:pPr>
    </w:p>
    <w:p w14:paraId="0D2C6CE8">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sz w:val="32"/>
          <w:szCs w:val="30"/>
          <w:lang w:eastAsia="zh-CN"/>
        </w:rPr>
        <w:t>庐山市民政局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48D6DDCA">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4238CE83">
      <w:pPr>
        <w:ind w:firstLine="640" w:firstLineChars="200"/>
        <w:jc w:val="left"/>
        <w:rPr>
          <w:rStyle w:val="12"/>
          <w:rFonts w:ascii="仿宋" w:hAnsi="仿宋" w:eastAsia="仿宋"/>
          <w:bCs/>
          <w:sz w:val="32"/>
          <w:szCs w:val="32"/>
        </w:rPr>
      </w:pPr>
    </w:p>
    <w:p w14:paraId="0F2D30B1">
      <w:pPr>
        <w:ind w:firstLine="640" w:firstLineChars="200"/>
        <w:jc w:val="left"/>
        <w:rPr>
          <w:rStyle w:val="12"/>
          <w:rFonts w:ascii="仿宋" w:hAnsi="仿宋" w:eastAsia="仿宋"/>
          <w:bCs/>
          <w:sz w:val="32"/>
          <w:szCs w:val="32"/>
        </w:rPr>
      </w:pPr>
    </w:p>
    <w:p w14:paraId="2B20DBC0">
      <w:pPr>
        <w:ind w:firstLine="640" w:firstLineChars="200"/>
        <w:jc w:val="left"/>
        <w:rPr>
          <w:rStyle w:val="12"/>
          <w:rFonts w:ascii="仿宋" w:hAnsi="仿宋" w:eastAsia="仿宋"/>
          <w:bCs/>
          <w:sz w:val="32"/>
          <w:szCs w:val="32"/>
        </w:rPr>
      </w:pPr>
    </w:p>
    <w:p w14:paraId="259821C2">
      <w:pPr>
        <w:ind w:firstLine="640" w:firstLineChars="200"/>
        <w:jc w:val="left"/>
        <w:rPr>
          <w:rStyle w:val="12"/>
          <w:rFonts w:ascii="仿宋" w:hAnsi="仿宋" w:eastAsia="仿宋"/>
          <w:bCs/>
          <w:sz w:val="32"/>
          <w:szCs w:val="32"/>
        </w:rPr>
      </w:pPr>
    </w:p>
    <w:p w14:paraId="0AD15230">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hAnsi="Calibri" w:eastAsia="仿宋_GB2312" w:cs="宋体"/>
          <w:b/>
          <w:kern w:val="0"/>
          <w:sz w:val="32"/>
          <w:szCs w:val="32"/>
          <w:lang w:eastAsia="zh-CN"/>
        </w:rPr>
        <w:t>庐山市民政局</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5794905">
      <w:pPr>
        <w:widowControl/>
        <w:spacing w:line="580" w:lineRule="exact"/>
        <w:jc w:val="center"/>
        <w:rPr>
          <w:rFonts w:ascii="仿宋_GB2312" w:eastAsia="仿宋_GB2312"/>
          <w:b/>
          <w:sz w:val="32"/>
          <w:szCs w:val="30"/>
        </w:rPr>
      </w:pPr>
    </w:p>
    <w:p w14:paraId="20969BE1">
      <w:pPr>
        <w:widowControl/>
        <w:spacing w:line="580" w:lineRule="exact"/>
        <w:jc w:val="left"/>
        <w:rPr>
          <w:rFonts w:hint="eastAsia"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1585E56A">
      <w:pPr>
        <w:widowControl/>
        <w:spacing w:line="580" w:lineRule="exact"/>
        <w:ind w:firstLine="643" w:firstLineChars="200"/>
        <w:jc w:val="left"/>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(一)收入预算情况</w:t>
      </w:r>
    </w:p>
    <w:p w14:paraId="2F4A65AD">
      <w:pPr>
        <w:widowControl/>
        <w:spacing w:line="240" w:lineRule="auto"/>
        <w:ind w:firstLine="640" w:firstLineChars="200"/>
        <w:jc w:val="both"/>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color w:val="auto"/>
          <w:sz w:val="32"/>
          <w:szCs w:val="32"/>
          <w:lang w:eastAsia="zh-CN"/>
        </w:rPr>
        <w:instrText xml:space="preserve">MERGEFIELD ${page540426799.ds254512694_REP_JXJC_AGENCY_WZR_NAME}</w:instrText>
      </w:r>
      <w:r>
        <w:rPr>
          <w:rFonts w:hint="eastAsia" w:ascii="仿宋_GB2312" w:hAnsi="仿宋_GB2312" w:eastAsia="仿宋_GB2312" w:cs="仿宋_GB2312"/>
          <w:color w:val="auto"/>
          <w:sz w:val="32"/>
          <w:szCs w:val="32"/>
          <w:lang w:eastAsia="zh-CN"/>
        </w:rPr>
        <w:fldChar w:fldCharType="separate"/>
      </w:r>
      <w:r>
        <w:rPr>
          <w:rFonts w:hint="eastAsia" w:ascii="仿宋_GB2312" w:hAnsi="仿宋_GB2312" w:eastAsia="仿宋_GB2312" w:cs="仿宋_GB2312"/>
          <w:color w:val="auto"/>
          <w:sz w:val="32"/>
          <w:szCs w:val="32"/>
          <w:lang w:eastAsia="zh-CN"/>
        </w:rPr>
        <w:t>庐山市民政局</w:t>
      </w:r>
      <w:r>
        <w:rPr>
          <w:rFonts w:hint="eastAsia" w:ascii="仿宋_GB2312" w:hAnsi="仿宋_GB2312" w:eastAsia="仿宋_GB2312" w:cs="仿宋_GB2312"/>
          <w:color w:val="auto"/>
          <w:sz w:val="32"/>
          <w:szCs w:val="32"/>
          <w:lang w:eastAsia="zh-CN"/>
        </w:rPr>
        <w:fldChar w:fldCharType="end"/>
      </w: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color w:val="auto"/>
          <w:sz w:val="32"/>
          <w:szCs w:val="32"/>
          <w:lang w:eastAsia="zh-CN"/>
        </w:rPr>
        <w:instrText xml:space="preserve">MERGEFIELD ${page540426799.ds254512694_V_BGT_DEP_INCOME_DXQDW01_ZJ}</w:instrText>
      </w:r>
      <w:r>
        <w:rPr>
          <w:rFonts w:hint="eastAsia" w:ascii="仿宋_GB2312" w:hAnsi="仿宋_GB2312" w:eastAsia="仿宋_GB2312" w:cs="仿宋_GB2312"/>
          <w:color w:val="auto"/>
          <w:sz w:val="32"/>
          <w:szCs w:val="32"/>
          <w:lang w:eastAsia="zh-CN"/>
        </w:rPr>
        <w:fldChar w:fldCharType="separate"/>
      </w:r>
      <w:r>
        <w:rPr>
          <w:rFonts w:hint="eastAsia" w:ascii="仿宋_GB2312" w:hAnsi="仿宋_GB2312" w:eastAsia="仿宋_GB2312" w:cs="仿宋_GB2312"/>
          <w:color w:val="auto"/>
          <w:sz w:val="32"/>
          <w:szCs w:val="32"/>
          <w:lang w:eastAsia="zh-CN"/>
        </w:rPr>
        <w:t>收入预算总额为</w:t>
      </w:r>
      <w:r>
        <w:rPr>
          <w:rFonts w:hint="eastAsia" w:ascii="仿宋_GB2312" w:hAnsi="仿宋_GB2312" w:eastAsia="仿宋_GB2312" w:cs="仿宋_GB2312"/>
          <w:color w:val="auto"/>
          <w:sz w:val="32"/>
          <w:szCs w:val="32"/>
          <w:lang w:val="en-US" w:eastAsia="zh-CN"/>
        </w:rPr>
        <w:t>9538.13</w:t>
      </w:r>
      <w:r>
        <w:rPr>
          <w:rFonts w:hint="eastAsia" w:ascii="仿宋_GB2312" w:hAnsi="仿宋_GB2312" w:eastAsia="仿宋_GB2312" w:cs="仿宋_GB2312"/>
          <w:color w:val="auto"/>
          <w:sz w:val="32"/>
          <w:szCs w:val="32"/>
          <w:lang w:eastAsia="zh-CN"/>
        </w:rPr>
        <w:t>万元,较上年预算安</w:t>
      </w:r>
      <w:bookmarkStart w:id="0" w:name="_GoBack"/>
      <w:bookmarkEnd w:id="0"/>
      <w:r>
        <w:rPr>
          <w:rFonts w:hint="eastAsia" w:ascii="仿宋_GB2312" w:hAnsi="仿宋_GB2312" w:eastAsia="仿宋_GB2312" w:cs="仿宋_GB2312"/>
          <w:color w:val="auto"/>
          <w:sz w:val="32"/>
          <w:szCs w:val="32"/>
          <w:lang w:eastAsia="zh-CN"/>
        </w:rPr>
        <w:t>排增加</w:t>
      </w:r>
      <w:r>
        <w:rPr>
          <w:rFonts w:hint="eastAsia" w:ascii="仿宋_GB2312" w:hAnsi="仿宋_GB2312" w:eastAsia="仿宋_GB2312" w:cs="仿宋_GB2312"/>
          <w:color w:val="auto"/>
          <w:sz w:val="32"/>
          <w:szCs w:val="32"/>
          <w:lang w:val="en-US" w:eastAsia="zh-CN"/>
        </w:rPr>
        <w:t>6310.05</w:t>
      </w:r>
      <w:r>
        <w:rPr>
          <w:rFonts w:hint="eastAsia" w:ascii="仿宋_GB2312" w:hAnsi="仿宋_GB2312" w:eastAsia="仿宋_GB2312" w:cs="仿宋_GB2312"/>
          <w:color w:val="auto"/>
          <w:sz w:val="32"/>
          <w:szCs w:val="32"/>
          <w:lang w:eastAsia="zh-CN"/>
        </w:rPr>
        <w:t>万元;</w:t>
      </w:r>
      <w:r>
        <w:rPr>
          <w:rFonts w:hint="eastAsia" w:ascii="仿宋_GB2312" w:hAnsi="仿宋_GB2312" w:eastAsia="仿宋_GB2312" w:cs="仿宋_GB2312"/>
          <w:color w:val="auto"/>
          <w:sz w:val="32"/>
          <w:szCs w:val="32"/>
          <w:lang w:eastAsia="zh-CN"/>
        </w:rPr>
        <w:fldChar w:fldCharType="end"/>
      </w:r>
      <w:r>
        <w:rPr>
          <w:rFonts w:hint="eastAsia" w:ascii="仿宋_GB2312" w:hAnsi="仿宋_GB2312" w:eastAsia="仿宋_GB2312" w:cs="仿宋_GB2312"/>
          <w:color w:val="auto"/>
          <w:sz w:val="32"/>
          <w:szCs w:val="32"/>
          <w:lang w:eastAsia="zh-CN"/>
        </w:rPr>
        <w:fldChar w:fldCharType="begin"/>
      </w:r>
      <w:r>
        <w:rPr>
          <w:rFonts w:hint="eastAsia" w:ascii="仿宋_GB2312" w:hAnsi="仿宋_GB2312" w:eastAsia="仿宋_GB2312" w:cs="仿宋_GB2312"/>
          <w:color w:val="auto"/>
          <w:sz w:val="32"/>
          <w:szCs w:val="32"/>
          <w:lang w:eastAsia="zh-CN"/>
        </w:rPr>
        <w:instrText xml:space="preserve">MERGEFIELD ${page540426799.ds254512694_V_BGT_DEP_INCOME_DXQDW01_SRXMMX}</w:instrText>
      </w:r>
      <w:r>
        <w:rPr>
          <w:rFonts w:hint="eastAsia" w:ascii="仿宋_GB2312" w:hAnsi="仿宋_GB2312" w:eastAsia="仿宋_GB2312" w:cs="仿宋_GB2312"/>
          <w:color w:val="auto"/>
          <w:sz w:val="32"/>
          <w:szCs w:val="32"/>
          <w:lang w:eastAsia="zh-CN"/>
        </w:rPr>
        <w:fldChar w:fldCharType="separate"/>
      </w:r>
      <w:r>
        <w:rPr>
          <w:rFonts w:hint="eastAsia" w:ascii="仿宋_GB2312" w:hAnsi="仿宋_GB2312" w:eastAsia="仿宋_GB2312" w:cs="仿宋_GB2312"/>
          <w:color w:val="auto"/>
          <w:sz w:val="32"/>
          <w:szCs w:val="32"/>
          <w:lang w:eastAsia="zh-CN"/>
        </w:rPr>
        <w:t>财政拨款收入</w:t>
      </w:r>
      <w:r>
        <w:rPr>
          <w:rFonts w:hint="eastAsia" w:ascii="仿宋_GB2312" w:hAnsi="仿宋_GB2312" w:eastAsia="仿宋_GB2312" w:cs="仿宋_GB2312"/>
          <w:color w:val="auto"/>
          <w:sz w:val="32"/>
          <w:szCs w:val="32"/>
          <w:lang w:val="en-US" w:eastAsia="zh-CN"/>
        </w:rPr>
        <w:t>9369.78</w:t>
      </w:r>
      <w:r>
        <w:rPr>
          <w:rFonts w:hint="eastAsia" w:ascii="仿宋_GB2312" w:hAnsi="仿宋_GB2312" w:eastAsia="仿宋_GB2312" w:cs="仿宋_GB2312"/>
          <w:color w:val="auto"/>
          <w:sz w:val="32"/>
          <w:szCs w:val="32"/>
          <w:lang w:eastAsia="zh-CN"/>
        </w:rPr>
        <w:t>万元,较上年预算安排增加</w:t>
      </w:r>
      <w:r>
        <w:rPr>
          <w:rFonts w:hint="eastAsia" w:ascii="仿宋_GB2312" w:hAnsi="仿宋_GB2312" w:eastAsia="仿宋_GB2312" w:cs="仿宋_GB2312"/>
          <w:color w:val="auto"/>
          <w:sz w:val="32"/>
          <w:szCs w:val="32"/>
          <w:lang w:val="en-US" w:eastAsia="zh-CN"/>
        </w:rPr>
        <w:t>6141.70万元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fldChar w:fldCharType="end"/>
      </w:r>
      <w:r>
        <w:rPr>
          <w:rFonts w:hint="eastAsia" w:ascii="仿宋_GB2312" w:hAnsi="仿宋_GB2312" w:eastAsia="仿宋_GB2312" w:cs="仿宋_GB2312"/>
          <w:color w:val="auto"/>
          <w:sz w:val="32"/>
          <w:szCs w:val="32"/>
          <w:lang w:val="en-US" w:eastAsia="zh-CN"/>
        </w:rPr>
        <w:t>增加变化原因为民生资金提标提补，新增乡镇区域性中心养老院建设项目，本年上级补助收入包含在预算编报中；上年结转168.35万元，较上年预算安排增加168.35万元，主要原因是上级补助收入无条件结转。</w:t>
      </w:r>
    </w:p>
    <w:p w14:paraId="5929443E">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w:t>
      </w:r>
      <w:r>
        <w:rPr>
          <w:rStyle w:val="12"/>
          <w:rFonts w:hint="eastAsia" w:ascii="Adobe 仿宋 Std R" w:hAnsi="Adobe 仿宋 Std R" w:eastAsia="Adobe 仿宋 Std R"/>
          <w:b/>
          <w:sz w:val="32"/>
          <w:szCs w:val="32"/>
          <w:lang w:val="en-US" w:eastAsia="zh-CN"/>
        </w:rPr>
        <w:t xml:space="preserve">  </w:t>
      </w:r>
      <w:r>
        <w:rPr>
          <w:rStyle w:val="12"/>
          <w:rFonts w:hint="eastAsia" w:ascii="Adobe 仿宋 Std R" w:hAnsi="Adobe 仿宋 Std R" w:eastAsia="Adobe 仿宋 Std R"/>
          <w:b/>
          <w:sz w:val="32"/>
          <w:szCs w:val="32"/>
        </w:rPr>
        <w:t>(二)支出预算情况</w:t>
      </w:r>
    </w:p>
    <w:p w14:paraId="1D44BC56">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sz w:val="32"/>
          <w:szCs w:val="32"/>
          <w:lang w:eastAsia="zh-CN"/>
        </w:rPr>
        <w:t>庐山市民政局</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9538.13</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6310.05</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仿宋_GB2312" w:eastAsia="仿宋_GB2312" w:cs="仿宋_GB2312"/>
          <w:color w:val="auto"/>
          <w:sz w:val="32"/>
          <w:szCs w:val="32"/>
          <w:lang w:val="en-US" w:eastAsia="zh-CN"/>
        </w:rPr>
        <w:t>民生资金提标提补，新增乡镇区域性中心养老院建设项目，本年上级补助收入包含在预算编报中。</w:t>
      </w:r>
    </w:p>
    <w:p w14:paraId="7F44A71D">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Fonts w:hint="eastAsia" w:ascii="仿宋_GB2312" w:hAnsi="仿宋_GB2312" w:eastAsia="仿宋_GB2312" w:cs="仿宋_GB2312"/>
          <w:color w:val="auto"/>
          <w:sz w:val="32"/>
          <w:szCs w:val="32"/>
          <w:lang w:val="en-US" w:eastAsia="zh-CN"/>
        </w:rPr>
        <w:t>支出项目类别</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362.62</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lang w:val="en-US" w:eastAsia="zh-CN"/>
        </w:rPr>
        <w:t>50.3</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334.76</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18.3</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8.36</w:t>
      </w:r>
      <w:r>
        <w:rPr>
          <w:rStyle w:val="12"/>
          <w:rFonts w:ascii="仿宋" w:hAnsi="仿宋" w:eastAsia="仿宋"/>
          <w:sz w:val="32"/>
          <w:szCs w:val="32"/>
        </w:rPr>
        <w:t>万元</w:t>
      </w:r>
      <w:r>
        <w:rPr>
          <w:rStyle w:val="12"/>
          <w:rFonts w:hint="eastAsia" w:ascii="仿宋" w:hAnsi="仿宋" w:eastAsia="仿宋"/>
          <w:sz w:val="32"/>
          <w:szCs w:val="32"/>
          <w:lang w:eastAsia="zh-CN"/>
        </w:rPr>
        <w:t>，资本性支出</w:t>
      </w:r>
      <w:r>
        <w:rPr>
          <w:rStyle w:val="12"/>
          <w:rFonts w:hint="eastAsia" w:ascii="仿宋" w:hAnsi="仿宋" w:eastAsia="仿宋"/>
          <w:sz w:val="32"/>
          <w:szCs w:val="32"/>
          <w:lang w:val="en-US" w:eastAsia="zh-CN"/>
        </w:rPr>
        <w:t>1.2万元</w:t>
      </w:r>
      <w:r>
        <w:rPr>
          <w:rStyle w:val="12"/>
          <w:rFonts w:ascii="仿宋" w:hAnsi="仿宋" w:eastAsia="仿宋"/>
          <w:sz w:val="32"/>
          <w:szCs w:val="32"/>
        </w:rPr>
        <w:t>。</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9175.51</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6360.35</w:t>
      </w:r>
      <w:r>
        <w:rPr>
          <w:rStyle w:val="12"/>
          <w:rFonts w:ascii="仿宋" w:hAnsi="仿宋" w:eastAsia="仿宋"/>
          <w:sz w:val="32"/>
          <w:szCs w:val="32"/>
        </w:rPr>
        <w:t>万元;其中：</w:t>
      </w:r>
      <w:r>
        <w:rPr>
          <w:rStyle w:val="12"/>
          <w:rFonts w:hint="eastAsia" w:ascii="仿宋" w:hAnsi="仿宋" w:eastAsia="仿宋"/>
          <w:sz w:val="32"/>
          <w:szCs w:val="32"/>
          <w:lang w:eastAsia="zh-CN"/>
        </w:rPr>
        <w:t>工资福利支出</w:t>
      </w:r>
      <w:r>
        <w:rPr>
          <w:rStyle w:val="12"/>
          <w:rFonts w:hint="eastAsia" w:ascii="仿宋" w:hAnsi="仿宋" w:eastAsia="仿宋"/>
          <w:sz w:val="32"/>
          <w:szCs w:val="32"/>
          <w:lang w:val="en-US" w:eastAsia="zh-CN"/>
        </w:rPr>
        <w:t>87.24万元，</w:t>
      </w:r>
      <w:r>
        <w:rPr>
          <w:rStyle w:val="12"/>
          <w:rFonts w:ascii="仿宋" w:hAnsi="仿宋" w:eastAsia="仿宋"/>
          <w:sz w:val="32"/>
          <w:szCs w:val="32"/>
        </w:rPr>
        <w:t>商品和服务支出</w:t>
      </w:r>
      <w:r>
        <w:rPr>
          <w:rStyle w:val="12"/>
          <w:rFonts w:hint="eastAsia" w:ascii="仿宋" w:hAnsi="仿宋" w:eastAsia="仿宋"/>
          <w:sz w:val="32"/>
          <w:szCs w:val="32"/>
          <w:lang w:val="en-US" w:eastAsia="zh-CN"/>
        </w:rPr>
        <w:t>442.69</w:t>
      </w:r>
      <w:r>
        <w:rPr>
          <w:rStyle w:val="12"/>
          <w:rFonts w:ascii="仿宋" w:hAnsi="仿宋" w:eastAsia="仿宋"/>
          <w:sz w:val="32"/>
          <w:szCs w:val="32"/>
        </w:rPr>
        <w:t>万元,</w:t>
      </w:r>
      <w:r>
        <w:rPr>
          <w:rStyle w:val="12"/>
          <w:rFonts w:hint="eastAsia" w:ascii="仿宋" w:hAnsi="仿宋" w:eastAsia="仿宋"/>
          <w:sz w:val="32"/>
          <w:szCs w:val="32"/>
          <w:lang w:eastAsia="zh-CN"/>
        </w:rPr>
        <w:t>对个人和家庭的补助</w:t>
      </w:r>
      <w:r>
        <w:rPr>
          <w:rStyle w:val="12"/>
          <w:rFonts w:hint="eastAsia" w:ascii="仿宋" w:hAnsi="仿宋" w:eastAsia="仿宋"/>
          <w:sz w:val="32"/>
          <w:szCs w:val="32"/>
          <w:lang w:val="en-US" w:eastAsia="zh-CN"/>
        </w:rPr>
        <w:t>6170.58万元，</w:t>
      </w:r>
      <w:r>
        <w:rPr>
          <w:rStyle w:val="12"/>
          <w:rFonts w:ascii="仿宋" w:hAnsi="仿宋" w:eastAsia="仿宋"/>
          <w:sz w:val="32"/>
          <w:szCs w:val="32"/>
        </w:rPr>
        <w:t>资本性支出</w:t>
      </w:r>
      <w:r>
        <w:rPr>
          <w:rStyle w:val="12"/>
          <w:rFonts w:hint="eastAsia" w:ascii="仿宋" w:hAnsi="仿宋" w:eastAsia="仿宋"/>
          <w:sz w:val="32"/>
          <w:szCs w:val="32"/>
          <w:lang w:val="en-US" w:eastAsia="zh-CN"/>
        </w:rPr>
        <w:t>2445</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lang w:val="en-US" w:eastAsia="zh-CN"/>
        </w:rPr>
        <w:t>30万元</w:t>
      </w:r>
      <w:r>
        <w:rPr>
          <w:rStyle w:val="12"/>
          <w:rFonts w:ascii="仿宋" w:hAnsi="仿宋" w:eastAsia="仿宋"/>
          <w:sz w:val="32"/>
          <w:szCs w:val="32"/>
        </w:rPr>
        <w:t>。</w:t>
      </w:r>
      <w:r>
        <w:fldChar w:fldCharType="end"/>
      </w:r>
    </w:p>
    <w:p w14:paraId="7E12C013">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Fonts w:hint="eastAsia" w:ascii="仿宋_GB2312" w:hAnsi="仿宋_GB2312" w:eastAsia="仿宋_GB2312" w:cs="仿宋_GB2312"/>
          <w:color w:val="auto"/>
          <w:sz w:val="32"/>
          <w:szCs w:val="32"/>
          <w:lang w:val="en-US" w:eastAsia="zh-CN"/>
        </w:rPr>
        <w:t>支出功能科目</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6.5</w:t>
      </w:r>
      <w:r>
        <w:rPr>
          <w:rStyle w:val="12"/>
          <w:rFonts w:ascii="仿宋" w:hAnsi="仿宋" w:eastAsia="仿宋"/>
          <w:sz w:val="32"/>
          <w:szCs w:val="32"/>
        </w:rPr>
        <w:t>万元,</w:t>
      </w:r>
      <w:r>
        <w:rPr>
          <w:rStyle w:val="12"/>
          <w:rFonts w:hint="eastAsia" w:ascii="仿宋" w:hAnsi="仿宋" w:eastAsia="仿宋"/>
          <w:sz w:val="32"/>
          <w:szCs w:val="32"/>
          <w:lang w:eastAsia="zh-CN"/>
        </w:rPr>
        <w:t>与</w:t>
      </w:r>
      <w:r>
        <w:rPr>
          <w:rStyle w:val="12"/>
          <w:rFonts w:ascii="仿宋" w:hAnsi="仿宋" w:eastAsia="仿宋"/>
          <w:sz w:val="32"/>
          <w:szCs w:val="32"/>
        </w:rPr>
        <w:t>上年预算安排</w:t>
      </w:r>
      <w:r>
        <w:rPr>
          <w:rStyle w:val="12"/>
          <w:rFonts w:hint="eastAsia" w:ascii="仿宋" w:hAnsi="仿宋" w:eastAsia="仿宋"/>
          <w:sz w:val="32"/>
          <w:szCs w:val="32"/>
          <w:lang w:eastAsia="zh-CN"/>
        </w:rPr>
        <w:t>无变化</w:t>
      </w:r>
      <w:r>
        <w:rPr>
          <w:rStyle w:val="12"/>
          <w:rFonts w:ascii="仿宋" w:hAnsi="仿宋" w:eastAsia="仿宋"/>
          <w:sz w:val="32"/>
          <w:szCs w:val="32"/>
        </w:rPr>
        <w:t>;社会保障和就业支出</w:t>
      </w:r>
      <w:r>
        <w:rPr>
          <w:rStyle w:val="12"/>
          <w:rFonts w:hint="eastAsia" w:ascii="仿宋" w:hAnsi="仿宋" w:eastAsia="仿宋"/>
          <w:sz w:val="32"/>
          <w:szCs w:val="32"/>
          <w:lang w:val="en-US" w:eastAsia="zh-CN"/>
        </w:rPr>
        <w:t>6664.84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3582.7</w:t>
      </w:r>
      <w:r>
        <w:rPr>
          <w:rStyle w:val="12"/>
          <w:rFonts w:ascii="仿宋" w:hAnsi="仿宋" w:eastAsia="仿宋"/>
          <w:sz w:val="32"/>
          <w:szCs w:val="32"/>
        </w:rPr>
        <w:t>万元;卫生健康支出</w:t>
      </w:r>
      <w:r>
        <w:rPr>
          <w:rStyle w:val="12"/>
          <w:rFonts w:hint="eastAsia" w:ascii="仿宋" w:hAnsi="仿宋" w:eastAsia="仿宋"/>
          <w:sz w:val="32"/>
          <w:szCs w:val="32"/>
          <w:lang w:val="en-US" w:eastAsia="zh-CN"/>
        </w:rPr>
        <w:t>17.46</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5.28</w:t>
      </w:r>
      <w:r>
        <w:rPr>
          <w:rStyle w:val="12"/>
          <w:rFonts w:ascii="仿宋" w:hAnsi="仿宋" w:eastAsia="仿宋"/>
          <w:sz w:val="32"/>
          <w:szCs w:val="32"/>
        </w:rPr>
        <w:t>万元;住房保障支出</w:t>
      </w:r>
      <w:r>
        <w:rPr>
          <w:rStyle w:val="12"/>
          <w:rFonts w:hint="eastAsia" w:ascii="仿宋" w:hAnsi="仿宋" w:eastAsia="仿宋"/>
          <w:sz w:val="32"/>
          <w:szCs w:val="32"/>
          <w:lang w:val="en-US" w:eastAsia="zh-CN"/>
        </w:rPr>
        <w:t>21.66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5.6</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lang w:val="en-US" w:eastAsia="zh-CN"/>
        </w:rPr>
        <w:t>2827.67万元，较上年预算安排增加2727.67万元</w:t>
      </w:r>
      <w:r>
        <w:rPr>
          <w:rStyle w:val="12"/>
          <w:rFonts w:ascii="仿宋" w:hAnsi="仿宋" w:eastAsia="仿宋"/>
          <w:sz w:val="32"/>
          <w:szCs w:val="32"/>
        </w:rPr>
        <w:t>。</w:t>
      </w:r>
      <w:r>
        <w:fldChar w:fldCharType="end"/>
      </w:r>
    </w:p>
    <w:p w14:paraId="163C4D25">
      <w:pPr>
        <w:ind w:firstLine="640" w:firstLineChars="200"/>
        <w:rPr>
          <w:rFonts w:hint="default" w:eastAsiaTheme="minorEastAsia"/>
          <w:color w:val="FF0000"/>
          <w:lang w:val="en-US" w:eastAsia="zh-CN"/>
        </w:rPr>
      </w:pPr>
      <w:r>
        <w:rPr>
          <w:rStyle w:val="12"/>
          <w:rFonts w:hint="eastAsia" w:ascii="仿宋" w:hAnsi="仿宋" w:eastAsia="仿宋"/>
          <w:sz w:val="32"/>
          <w:szCs w:val="32"/>
        </w:rPr>
        <w:t>按支出经济分类划分：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422</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28.18</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460.99</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420.07</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6178.94</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3562.45</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2446.2</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2325.7</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lang w:val="en-US" w:eastAsia="zh-CN"/>
        </w:rPr>
        <w:t>30万元，较上年预算安排增加30万元</w:t>
      </w:r>
      <w:r>
        <w:rPr>
          <w:rStyle w:val="12"/>
          <w:rFonts w:ascii="仿宋" w:hAnsi="仿宋" w:eastAsia="仿宋"/>
          <w:sz w:val="32"/>
          <w:szCs w:val="32"/>
        </w:rPr>
        <w:t>。</w:t>
      </w:r>
      <w:r>
        <w:fldChar w:fldCharType="end"/>
      </w:r>
    </w:p>
    <w:p w14:paraId="381F5D17">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0EEC0541">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sz w:val="32"/>
          <w:szCs w:val="32"/>
          <w:lang w:eastAsia="zh-CN"/>
        </w:rPr>
        <w:t>庐山市民政局</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9369.78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6041.7</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增加变化原因为</w:t>
      </w:r>
      <w:r>
        <w:rPr>
          <w:rFonts w:hint="eastAsia" w:ascii="仿宋_GB2312" w:hAnsi="仿宋_GB2312" w:eastAsia="仿宋_GB2312" w:cs="仿宋_GB2312"/>
          <w:color w:val="auto"/>
          <w:sz w:val="32"/>
          <w:szCs w:val="32"/>
          <w:lang w:val="en-US" w:eastAsia="zh-CN"/>
        </w:rPr>
        <w:t>民生资金提标提补，新增乡镇区域性中心养老院建设项目，本年上级补助收入包含在预算编报中。</w:t>
      </w:r>
    </w:p>
    <w:p w14:paraId="71F88D92">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Fonts w:hint="eastAsia" w:ascii="仿宋_GB2312" w:hAnsi="仿宋_GB2312" w:eastAsia="仿宋_GB2312" w:cs="仿宋_GB2312"/>
          <w:color w:val="auto"/>
          <w:sz w:val="32"/>
          <w:szCs w:val="32"/>
          <w:lang w:val="en-US" w:eastAsia="zh-CN"/>
        </w:rPr>
        <w:t>支出功能科目划</w:t>
      </w:r>
      <w:r>
        <w:rPr>
          <w:rStyle w:val="12"/>
          <w:rFonts w:hint="eastAsia" w:ascii="仿宋" w:hAnsi="仿宋" w:eastAsia="仿宋"/>
          <w:sz w:val="32"/>
          <w:szCs w:val="32"/>
        </w:rPr>
        <w:t>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6.5</w:t>
      </w:r>
      <w:r>
        <w:rPr>
          <w:rStyle w:val="12"/>
          <w:rFonts w:ascii="仿宋" w:hAnsi="仿宋" w:eastAsia="仿宋"/>
          <w:sz w:val="32"/>
          <w:szCs w:val="32"/>
        </w:rPr>
        <w:t>万元,</w:t>
      </w:r>
      <w:r>
        <w:rPr>
          <w:rStyle w:val="12"/>
          <w:rFonts w:hint="eastAsia" w:ascii="仿宋" w:hAnsi="仿宋" w:eastAsia="仿宋"/>
          <w:sz w:val="32"/>
          <w:szCs w:val="32"/>
          <w:lang w:eastAsia="zh-CN"/>
        </w:rPr>
        <w:t>与</w:t>
      </w:r>
      <w:r>
        <w:rPr>
          <w:rStyle w:val="12"/>
          <w:rFonts w:ascii="仿宋" w:hAnsi="仿宋" w:eastAsia="仿宋"/>
          <w:sz w:val="32"/>
          <w:szCs w:val="32"/>
        </w:rPr>
        <w:t>上年预算安排</w:t>
      </w:r>
      <w:r>
        <w:rPr>
          <w:rStyle w:val="12"/>
          <w:rFonts w:hint="eastAsia" w:ascii="仿宋" w:hAnsi="仿宋" w:eastAsia="仿宋"/>
          <w:sz w:val="32"/>
          <w:szCs w:val="32"/>
          <w:lang w:eastAsia="zh-CN"/>
        </w:rPr>
        <w:t>无变化；</w:t>
      </w:r>
      <w:r>
        <w:rPr>
          <w:rStyle w:val="12"/>
          <w:rFonts w:ascii="仿宋" w:hAnsi="仿宋" w:eastAsia="仿宋"/>
          <w:sz w:val="32"/>
          <w:szCs w:val="32"/>
        </w:rPr>
        <w:t>社会保障和就业支出</w:t>
      </w:r>
      <w:r>
        <w:rPr>
          <w:rStyle w:val="12"/>
          <w:rFonts w:hint="eastAsia" w:ascii="仿宋" w:hAnsi="仿宋" w:eastAsia="仿宋"/>
          <w:sz w:val="32"/>
          <w:szCs w:val="32"/>
          <w:lang w:val="en-US" w:eastAsia="zh-CN"/>
        </w:rPr>
        <w:t>6496.5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3414.36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卫生健康支出</w:t>
      </w:r>
      <w:r>
        <w:rPr>
          <w:rStyle w:val="12"/>
          <w:rFonts w:hint="eastAsia" w:ascii="仿宋" w:hAnsi="仿宋" w:eastAsia="仿宋"/>
          <w:sz w:val="32"/>
          <w:szCs w:val="32"/>
          <w:lang w:val="en-US" w:eastAsia="zh-CN"/>
        </w:rPr>
        <w:t>17.46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5.28</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住房保障支出</w:t>
      </w:r>
      <w:r>
        <w:rPr>
          <w:rStyle w:val="12"/>
          <w:rFonts w:hint="eastAsia" w:ascii="仿宋" w:hAnsi="仿宋" w:eastAsia="仿宋"/>
          <w:sz w:val="32"/>
          <w:szCs w:val="32"/>
          <w:lang w:val="en-US" w:eastAsia="zh-CN"/>
        </w:rPr>
        <w:t>21.66</w:t>
      </w:r>
      <w:r>
        <w:rPr>
          <w:rStyle w:val="12"/>
          <w:rFonts w:ascii="仿宋" w:hAnsi="仿宋" w:eastAsia="仿宋"/>
          <w:sz w:val="32"/>
          <w:szCs w:val="32"/>
        </w:rPr>
        <w:t>万元</w:t>
      </w:r>
      <w:r>
        <w:rPr>
          <w:rStyle w:val="12"/>
          <w:rFonts w:hint="eastAsia" w:ascii="仿宋" w:hAnsi="仿宋" w:eastAsia="仿宋"/>
          <w:sz w:val="32"/>
          <w:szCs w:val="32"/>
          <w:lang w:eastAsia="zh-CN"/>
        </w:rPr>
        <w:t>，</w:t>
      </w:r>
      <w:r>
        <w:rPr>
          <w:rStyle w:val="12"/>
          <w:rFonts w:ascii="仿宋" w:hAnsi="仿宋" w:eastAsia="仿宋"/>
          <w:sz w:val="32"/>
          <w:szCs w:val="32"/>
        </w:rPr>
        <w:t>较上年预算安排减少</w:t>
      </w:r>
      <w:r>
        <w:rPr>
          <w:rStyle w:val="12"/>
          <w:rFonts w:hint="eastAsia" w:ascii="仿宋" w:hAnsi="仿宋" w:eastAsia="仿宋"/>
          <w:sz w:val="32"/>
          <w:szCs w:val="32"/>
          <w:lang w:val="en-US" w:eastAsia="zh-CN"/>
        </w:rPr>
        <w:t>5.5</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lang w:val="en-US" w:eastAsia="zh-CN"/>
        </w:rPr>
        <w:t>2827.67万元，较上年预算安排增加2727.67万元</w:t>
      </w:r>
      <w:r>
        <w:rPr>
          <w:rStyle w:val="12"/>
          <w:rFonts w:ascii="仿宋" w:hAnsi="仿宋" w:eastAsia="仿宋"/>
          <w:sz w:val="32"/>
          <w:szCs w:val="32"/>
        </w:rPr>
        <w:t>。</w:t>
      </w:r>
      <w:r>
        <w:fldChar w:fldCharType="end"/>
      </w:r>
    </w:p>
    <w:p w14:paraId="4DBA1CDC">
      <w:pPr>
        <w:ind w:firstLine="640" w:firstLineChars="200"/>
      </w:pPr>
      <w:r>
        <w:rPr>
          <w:rStyle w:val="12"/>
          <w:rFonts w:hint="eastAsia" w:ascii="仿宋" w:hAnsi="仿宋" w:eastAsia="仿宋"/>
          <w:sz w:val="32"/>
          <w:szCs w:val="32"/>
        </w:rPr>
        <w:t>按</w:t>
      </w:r>
      <w:r>
        <w:rPr>
          <w:rFonts w:hint="eastAsia" w:ascii="仿宋_GB2312" w:hAnsi="仿宋_GB2312" w:eastAsia="仿宋_GB2312" w:cs="仿宋_GB2312"/>
          <w:color w:val="auto"/>
          <w:sz w:val="32"/>
          <w:szCs w:val="32"/>
          <w:lang w:val="en-US" w:eastAsia="zh-CN"/>
        </w:rPr>
        <w:t>支出项目</w:t>
      </w:r>
      <w:r>
        <w:rPr>
          <w:rStyle w:val="12"/>
          <w:rFonts w:hint="eastAsia" w:ascii="仿宋" w:hAnsi="仿宋" w:eastAsia="仿宋"/>
          <w:sz w:val="32"/>
          <w:szCs w:val="32"/>
        </w:rPr>
        <w:t>类别划分：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362.62</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减少</w:t>
      </w:r>
      <w:r>
        <w:rPr>
          <w:rStyle w:val="12"/>
          <w:rFonts w:hint="eastAsia" w:ascii="仿宋" w:hAnsi="仿宋" w:eastAsia="仿宋"/>
          <w:sz w:val="32"/>
          <w:szCs w:val="32"/>
          <w:lang w:val="en-US" w:eastAsia="zh-CN"/>
        </w:rPr>
        <w:t>50.3</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334.76</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18.3</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8.36</w:t>
      </w:r>
      <w:r>
        <w:rPr>
          <w:rStyle w:val="12"/>
          <w:rFonts w:ascii="仿宋" w:hAnsi="仿宋" w:eastAsia="仿宋"/>
          <w:sz w:val="32"/>
          <w:szCs w:val="32"/>
        </w:rPr>
        <w:t>万元</w:t>
      </w:r>
      <w:r>
        <w:rPr>
          <w:rStyle w:val="12"/>
          <w:rFonts w:hint="eastAsia" w:ascii="仿宋" w:hAnsi="仿宋" w:eastAsia="仿宋"/>
          <w:sz w:val="32"/>
          <w:szCs w:val="32"/>
          <w:lang w:eastAsia="zh-CN"/>
        </w:rPr>
        <w:t>，资本性支出</w:t>
      </w:r>
      <w:r>
        <w:rPr>
          <w:rStyle w:val="12"/>
          <w:rFonts w:hint="eastAsia" w:ascii="仿宋" w:hAnsi="仿宋" w:eastAsia="仿宋"/>
          <w:sz w:val="32"/>
          <w:szCs w:val="32"/>
          <w:lang w:val="en-US" w:eastAsia="zh-CN"/>
        </w:rPr>
        <w:t>1.2万元</w:t>
      </w:r>
      <w:r>
        <w:rPr>
          <w:rStyle w:val="12"/>
          <w:rFonts w:ascii="仿宋" w:hAnsi="仿宋" w:eastAsia="仿宋"/>
          <w:sz w:val="32"/>
          <w:szCs w:val="32"/>
        </w:rPr>
        <w:t>。</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9007.16</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6192</w:t>
      </w:r>
      <w:r>
        <w:rPr>
          <w:rStyle w:val="12"/>
          <w:rFonts w:ascii="仿宋" w:hAnsi="仿宋" w:eastAsia="仿宋"/>
          <w:sz w:val="32"/>
          <w:szCs w:val="32"/>
        </w:rPr>
        <w:t>万元;其中：</w:t>
      </w:r>
      <w:r>
        <w:rPr>
          <w:rStyle w:val="12"/>
          <w:rFonts w:hint="eastAsia" w:ascii="仿宋" w:hAnsi="仿宋" w:eastAsia="仿宋"/>
          <w:sz w:val="32"/>
          <w:szCs w:val="32"/>
          <w:lang w:eastAsia="zh-CN"/>
        </w:rPr>
        <w:t>工资和福利支出</w:t>
      </w:r>
      <w:r>
        <w:rPr>
          <w:rStyle w:val="12"/>
          <w:rFonts w:hint="eastAsia" w:ascii="仿宋" w:hAnsi="仿宋" w:eastAsia="仿宋"/>
          <w:sz w:val="32"/>
          <w:szCs w:val="32"/>
          <w:lang w:val="en-US" w:eastAsia="zh-CN"/>
        </w:rPr>
        <w:t>87.24万元，</w:t>
      </w:r>
      <w:r>
        <w:rPr>
          <w:rStyle w:val="12"/>
          <w:rFonts w:ascii="仿宋" w:hAnsi="仿宋" w:eastAsia="仿宋"/>
          <w:sz w:val="32"/>
          <w:szCs w:val="32"/>
        </w:rPr>
        <w:t>商品和服务支出</w:t>
      </w:r>
      <w:r>
        <w:rPr>
          <w:rStyle w:val="12"/>
          <w:rFonts w:hint="eastAsia" w:ascii="仿宋" w:hAnsi="仿宋" w:eastAsia="仿宋"/>
          <w:sz w:val="32"/>
          <w:szCs w:val="32"/>
          <w:lang w:val="en-US" w:eastAsia="zh-CN"/>
        </w:rPr>
        <w:t>415.18</w:t>
      </w:r>
      <w:r>
        <w:rPr>
          <w:rStyle w:val="12"/>
          <w:rFonts w:ascii="仿宋" w:hAnsi="仿宋" w:eastAsia="仿宋"/>
          <w:sz w:val="32"/>
          <w:szCs w:val="32"/>
        </w:rPr>
        <w:t>万元,</w:t>
      </w:r>
      <w:r>
        <w:rPr>
          <w:rStyle w:val="12"/>
          <w:rFonts w:hint="eastAsia" w:ascii="仿宋" w:hAnsi="仿宋" w:eastAsia="仿宋"/>
          <w:sz w:val="32"/>
          <w:szCs w:val="32"/>
          <w:lang w:eastAsia="zh-CN"/>
        </w:rPr>
        <w:t>对个人和家庭的补助</w:t>
      </w:r>
      <w:r>
        <w:rPr>
          <w:rStyle w:val="12"/>
          <w:rFonts w:hint="eastAsia" w:ascii="仿宋" w:hAnsi="仿宋" w:eastAsia="仿宋"/>
          <w:sz w:val="32"/>
          <w:szCs w:val="32"/>
          <w:lang w:val="en-US" w:eastAsia="zh-CN"/>
        </w:rPr>
        <w:t>6029.74万元，</w:t>
      </w:r>
      <w:r>
        <w:rPr>
          <w:rStyle w:val="12"/>
          <w:rFonts w:ascii="仿宋" w:hAnsi="仿宋" w:eastAsia="仿宋"/>
          <w:sz w:val="32"/>
          <w:szCs w:val="32"/>
        </w:rPr>
        <w:t>资本性支出</w:t>
      </w:r>
      <w:r>
        <w:rPr>
          <w:rStyle w:val="12"/>
          <w:rFonts w:hint="eastAsia" w:ascii="仿宋" w:hAnsi="仿宋" w:eastAsia="仿宋"/>
          <w:sz w:val="32"/>
          <w:szCs w:val="32"/>
          <w:lang w:val="en-US" w:eastAsia="zh-CN"/>
        </w:rPr>
        <w:t>2445</w:t>
      </w:r>
      <w:r>
        <w:rPr>
          <w:rStyle w:val="12"/>
          <w:rFonts w:ascii="仿宋" w:hAnsi="仿宋" w:eastAsia="仿宋"/>
          <w:sz w:val="32"/>
          <w:szCs w:val="32"/>
        </w:rPr>
        <w:t>万元</w:t>
      </w:r>
      <w:r>
        <w:rPr>
          <w:rStyle w:val="12"/>
          <w:rFonts w:hint="eastAsia" w:ascii="仿宋" w:hAnsi="仿宋" w:eastAsia="仿宋"/>
          <w:sz w:val="32"/>
          <w:szCs w:val="32"/>
          <w:lang w:eastAsia="zh-CN"/>
        </w:rPr>
        <w:t>，其他支出</w:t>
      </w:r>
      <w:r>
        <w:rPr>
          <w:rStyle w:val="12"/>
          <w:rFonts w:hint="eastAsia" w:ascii="仿宋" w:hAnsi="仿宋" w:eastAsia="仿宋"/>
          <w:sz w:val="32"/>
          <w:szCs w:val="32"/>
          <w:lang w:val="en-US" w:eastAsia="zh-CN"/>
        </w:rPr>
        <w:t>30万元</w:t>
      </w:r>
      <w:r>
        <w:rPr>
          <w:rStyle w:val="12"/>
          <w:rFonts w:ascii="仿宋" w:hAnsi="仿宋" w:eastAsia="仿宋"/>
          <w:sz w:val="32"/>
          <w:szCs w:val="32"/>
        </w:rPr>
        <w:t>。</w:t>
      </w:r>
      <w:r>
        <w:fldChar w:fldCharType="end"/>
      </w:r>
    </w:p>
    <w:p w14:paraId="5DC2CC68">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3EC0D95B">
      <w:pPr>
        <w:ind w:firstLine="640" w:firstLineChars="200"/>
        <w:rPr>
          <w:rStyle w:val="12"/>
          <w:rFonts w:hint="eastAsia" w:ascii="仿宋" w:hAnsi="仿宋" w:eastAsia="仿宋"/>
          <w:sz w:val="32"/>
          <w:szCs w:val="32"/>
          <w:lang w:val="en-US" w:eastAsia="zh-CN"/>
        </w:rPr>
      </w:pPr>
      <w:r>
        <w:rPr>
          <w:rStyle w:val="12"/>
          <w:rFonts w:hint="eastAsia" w:ascii="仿宋" w:hAnsi="仿宋" w:eastAsia="仿宋"/>
          <w:sz w:val="32"/>
          <w:szCs w:val="32"/>
          <w:lang w:val="en-US" w:eastAsia="zh-CN"/>
        </w:rPr>
        <w:t>（1）政府性基金收入预算情况</w:t>
      </w:r>
    </w:p>
    <w:p w14:paraId="1F852BC0">
      <w:pPr>
        <w:ind w:firstLine="640" w:firstLineChars="200"/>
        <w:rPr>
          <w:rFonts w:hint="eastAsia" w:ascii="仿宋_GB2312" w:hAnsi="仿宋_GB2312" w:eastAsia="仿宋_GB2312" w:cs="仿宋_GB2312"/>
          <w:color w:val="auto"/>
          <w:sz w:val="32"/>
          <w:szCs w:val="32"/>
          <w:lang w:val="en-US" w:eastAsia="zh-CN"/>
        </w:rPr>
      </w:pPr>
      <w:r>
        <w:rPr>
          <w:rStyle w:val="12"/>
          <w:rFonts w:hint="eastAsia" w:ascii="仿宋" w:hAnsi="仿宋" w:eastAsia="仿宋"/>
          <w:sz w:val="32"/>
          <w:szCs w:val="32"/>
          <w:lang w:val="en-US" w:eastAsia="zh-CN"/>
        </w:rPr>
        <w:t>2024年庐山市民政局政府性基金收入预算为2827.67万元，较上年预算安排增加2727.67万元，主要原因为</w:t>
      </w:r>
      <w:r>
        <w:rPr>
          <w:rFonts w:hint="eastAsia" w:ascii="仿宋_GB2312" w:hAnsi="仿宋_GB2312" w:eastAsia="仿宋_GB2312" w:cs="仿宋_GB2312"/>
          <w:color w:val="auto"/>
          <w:sz w:val="32"/>
          <w:szCs w:val="32"/>
          <w:lang w:val="en-US" w:eastAsia="zh-CN"/>
        </w:rPr>
        <w:t>新增乡镇区域性中心养老院建设项目。</w:t>
      </w:r>
    </w:p>
    <w:p w14:paraId="202334B1">
      <w:pPr>
        <w:ind w:firstLine="640" w:firstLineChars="200"/>
        <w:rPr>
          <w:rStyle w:val="12"/>
          <w:rFonts w:hint="eastAsia" w:ascii="仿宋" w:hAnsi="仿宋" w:eastAsia="仿宋"/>
          <w:sz w:val="32"/>
          <w:szCs w:val="32"/>
          <w:lang w:val="en-US" w:eastAsia="zh-CN"/>
        </w:rPr>
      </w:pPr>
      <w:r>
        <w:rPr>
          <w:rStyle w:val="12"/>
          <w:rFonts w:hint="eastAsia" w:ascii="仿宋" w:hAnsi="仿宋" w:eastAsia="仿宋"/>
          <w:sz w:val="32"/>
          <w:szCs w:val="32"/>
          <w:lang w:val="en-US" w:eastAsia="zh-CN"/>
        </w:rPr>
        <w:t>（2）政府性基金支出预算情况</w:t>
      </w:r>
    </w:p>
    <w:p w14:paraId="6C57DDC6">
      <w:pPr>
        <w:ind w:firstLine="640" w:firstLineChars="200"/>
        <w:rPr>
          <w:rFonts w:hint="eastAsia" w:ascii="仿宋_GB2312" w:hAnsi="仿宋_GB2312" w:eastAsia="仿宋_GB2312" w:cs="仿宋_GB2312"/>
          <w:color w:val="auto"/>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${page540426799.ds254512694_REP_JXJC_AGENCY_WZR_NAME}</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庐山市民政局</w:t>
      </w:r>
      <w:r>
        <w:rPr>
          <w:rFonts w:ascii="Adobe 仿宋 Std R" w:hAnsi="Adobe 仿宋 Std R" w:eastAsia="Adobe 仿宋 Std R"/>
          <w:sz w:val="32"/>
          <w:szCs w:val="32"/>
        </w:rPr>
        <w:fldChar w:fldCharType="end"/>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2827.67万元</w:t>
      </w:r>
      <w:r>
        <w:rPr>
          <w:rStyle w:val="12"/>
          <w:rFonts w:hint="eastAsia" w:ascii="仿宋" w:hAnsi="仿宋" w:eastAsia="仿宋"/>
          <w:sz w:val="32"/>
          <w:szCs w:val="32"/>
          <w:lang w:val="en-US" w:eastAsia="zh-CN"/>
        </w:rPr>
        <w:t>，较上年预算安排增加2727.67万元，主要原因为</w:t>
      </w:r>
      <w:r>
        <w:rPr>
          <w:rFonts w:hint="eastAsia" w:ascii="仿宋_GB2312" w:hAnsi="仿宋_GB2312" w:eastAsia="仿宋_GB2312" w:cs="仿宋_GB2312"/>
          <w:color w:val="auto"/>
          <w:sz w:val="32"/>
          <w:szCs w:val="32"/>
          <w:lang w:val="en-US" w:eastAsia="zh-CN"/>
        </w:rPr>
        <w:t>新增乡镇区域性中心养老院建设项目。</w:t>
      </w:r>
    </w:p>
    <w:p w14:paraId="58B2512F">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Fonts w:hint="eastAsia" w:ascii="仿宋_GB2312" w:hAnsi="仿宋_GB2312" w:eastAsia="仿宋_GB2312" w:cs="仿宋_GB2312"/>
          <w:color w:val="auto"/>
          <w:sz w:val="32"/>
          <w:szCs w:val="32"/>
          <w:lang w:val="en-US" w:eastAsia="zh-CN"/>
        </w:rPr>
        <w:t>支出功能科目划</w:t>
      </w:r>
      <w:r>
        <w:rPr>
          <w:rStyle w:val="12"/>
          <w:rFonts w:hint="eastAsia" w:ascii="仿宋" w:hAnsi="仿宋" w:eastAsia="仿宋"/>
          <w:sz w:val="32"/>
          <w:szCs w:val="32"/>
        </w:rPr>
        <w:t>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${page400644146.ds247441498_REP_BGT_T_HC1100002019DXQ01_GNCBMX}</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其他支出</w:t>
      </w:r>
      <w:r>
        <w:rPr>
          <w:rStyle w:val="12"/>
          <w:rFonts w:hint="eastAsia" w:ascii="仿宋" w:hAnsi="仿宋" w:eastAsia="仿宋"/>
          <w:sz w:val="32"/>
          <w:szCs w:val="32"/>
          <w:lang w:val="en-US" w:eastAsia="zh-CN"/>
        </w:rPr>
        <w:t>2827.67万元，较上年预算安排增加2727.67万元</w:t>
      </w:r>
      <w:r>
        <w:rPr>
          <w:rStyle w:val="12"/>
          <w:rFonts w:ascii="仿宋" w:hAnsi="仿宋" w:eastAsia="仿宋"/>
          <w:sz w:val="32"/>
          <w:szCs w:val="32"/>
        </w:rPr>
        <w:t>。</w:t>
      </w:r>
      <w:r>
        <w:fldChar w:fldCharType="end"/>
      </w:r>
    </w:p>
    <w:p w14:paraId="30D63D20">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Fonts w:hint="eastAsia" w:ascii="Adobe 仿宋 Std R" w:hAnsi="Adobe 仿宋 Std R" w:eastAsia="Adobe 仿宋 Std R"/>
          <w:sz w:val="32"/>
          <w:szCs w:val="32"/>
        </w:rPr>
        <w:t>支出项目类别</w:t>
      </w:r>
      <w:r>
        <w:rPr>
          <w:rStyle w:val="12"/>
          <w:rFonts w:hint="eastAsia" w:ascii="仿宋" w:hAnsi="仿宋" w:eastAsia="仿宋"/>
          <w:sz w:val="32"/>
          <w:szCs w:val="32"/>
        </w:rPr>
        <w:t>划分：</w:t>
      </w:r>
      <w:r>
        <w:rPr>
          <w:rStyle w:val="12"/>
          <w:rFonts w:hint="eastAsia" w:ascii="仿宋" w:hAnsi="仿宋" w:eastAsia="仿宋"/>
          <w:sz w:val="32"/>
          <w:szCs w:val="32"/>
          <w:lang w:eastAsia="zh-CN"/>
        </w:rPr>
        <w:t>项目支出</w:t>
      </w:r>
      <w:r>
        <w:rPr>
          <w:rStyle w:val="12"/>
          <w:rFonts w:hint="eastAsia" w:ascii="仿宋" w:hAnsi="仿宋" w:eastAsia="仿宋"/>
          <w:sz w:val="32"/>
          <w:szCs w:val="32"/>
          <w:lang w:val="en-US" w:eastAsia="zh-CN"/>
        </w:rPr>
        <w:t>2827.67万元，较上年预算安排增加2727.67万元，其中商品和服务支出382.67万元，资本性支出2445万元。</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${page400644146.ds215660413_REP_BGT_T_HC1100002019_DXQ02_JBZCQKJJ}</w:instrText>
      </w:r>
      <w:r>
        <w:rPr>
          <w:rStyle w:val="12"/>
          <w:rFonts w:ascii="仿宋" w:hAnsi="仿宋" w:eastAsia="仿宋"/>
          <w:sz w:val="32"/>
          <w:szCs w:val="32"/>
        </w:rP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${page400644146.ds215660413_REP_BGT_T_HC1100002019_DXQ02_XMZCQKJJ}</w:instrText>
      </w:r>
      <w:r>
        <w:rPr>
          <w:rStyle w:val="12"/>
          <w:rFonts w:ascii="仿宋" w:hAnsi="仿宋" w:eastAsia="仿宋"/>
          <w:sz w:val="32"/>
          <w:szCs w:val="32"/>
        </w:rPr>
        <w:fldChar w:fldCharType="end"/>
      </w:r>
    </w:p>
    <w:p w14:paraId="2E83075D">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784724D9">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7904791D">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14:paraId="775D7E88">
      <w:pPr>
        <w:widowControl/>
        <w:ind w:firstLine="640" w:firstLineChars="200"/>
        <w:rPr>
          <w:rFonts w:hint="default" w:ascii="Adobe 仿宋 Std R" w:hAnsi="Adobe 仿宋 Std R" w:eastAsia="Adobe 仿宋 Std R"/>
          <w:sz w:val="32"/>
          <w:szCs w:val="32"/>
          <w:lang w:val="en-US"/>
        </w:rPr>
      </w:pPr>
      <w:r>
        <w:rPr>
          <w:rStyle w:val="12"/>
          <w:rFonts w:hint="eastAsia" w:ascii="Adobe 仿宋 Std R" w:hAnsi="Adobe 仿宋 Std R" w:eastAsia="Adobe 仿宋 Std R"/>
          <w:sz w:val="32"/>
          <w:szCs w:val="32"/>
        </w:rPr>
        <w:t>202</w:t>
      </w:r>
      <w:r>
        <w:rPr>
          <w:rStyle w:val="12"/>
          <w:rFonts w:hint="eastAsia" w:ascii="Adobe 仿宋 Std R" w:hAnsi="Adobe 仿宋 Std R" w:eastAsia="Adobe 仿宋 Std R"/>
          <w:sz w:val="32"/>
          <w:szCs w:val="32"/>
          <w:lang w:val="en-US" w:eastAsia="zh-CN"/>
        </w:rPr>
        <w:t>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rPr>
        <w:t>单位机关运行费预算</w:t>
      </w:r>
      <w:r>
        <w:rPr>
          <w:rFonts w:hint="eastAsia" w:ascii="Adobe 仿宋 Std R" w:hAnsi="Adobe 仿宋 Std R" w:eastAsia="Adobe 仿宋 Std R"/>
          <w:sz w:val="32"/>
          <w:szCs w:val="32"/>
          <w:lang w:val="en-US" w:eastAsia="zh-CN"/>
        </w:rPr>
        <w:t>21.304</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年预算减少</w:t>
      </w:r>
      <w:r>
        <w:rPr>
          <w:rFonts w:hint="eastAsia" w:ascii="Adobe 仿宋 Std R" w:hAnsi="Adobe 仿宋 Std R" w:eastAsia="Adobe 仿宋 Std R"/>
          <w:sz w:val="32"/>
          <w:szCs w:val="32"/>
          <w:lang w:val="en-US" w:eastAsia="zh-CN"/>
        </w:rPr>
        <w:t>11.116</w:t>
      </w:r>
      <w:r>
        <w:rPr>
          <w:rFonts w:hint="eastAsia" w:ascii="Adobe 仿宋 Std R" w:hAnsi="Adobe 仿宋 Std R" w:eastAsia="Adobe 仿宋 Std R"/>
          <w:sz w:val="32"/>
          <w:szCs w:val="32"/>
        </w:rPr>
        <w:t>万元，下降</w:t>
      </w:r>
      <w:r>
        <w:rPr>
          <w:rFonts w:hint="eastAsia" w:ascii="Adobe 仿宋 Std R" w:hAnsi="Adobe 仿宋 Std R" w:eastAsia="Adobe 仿宋 Std R"/>
          <w:sz w:val="32"/>
          <w:szCs w:val="32"/>
          <w:lang w:val="en-US" w:eastAsia="zh-CN"/>
        </w:rPr>
        <w:t>34.29</w:t>
      </w:r>
      <w:r>
        <w:rPr>
          <w:rFonts w:hint="eastAsia" w:ascii="Adobe 仿宋 Std R" w:hAnsi="Adobe 仿宋 Std R" w:eastAsia="Adobe 仿宋 Std R"/>
          <w:sz w:val="32"/>
          <w:szCs w:val="32"/>
        </w:rPr>
        <w:t>%。</w:t>
      </w:r>
      <w:r>
        <w:rPr>
          <w:rFonts w:hint="eastAsia" w:ascii="仿宋" w:hAnsi="仿宋" w:eastAsia="仿宋" w:cs="Times New Roman"/>
          <w:kern w:val="0"/>
          <w:sz w:val="32"/>
          <w:szCs w:val="32"/>
          <w:lang w:val="en-US" w:eastAsia="zh-CN"/>
        </w:rPr>
        <w:t>下降变化原因为年初预算经费不足。其中：办公费2万元，水费0.1万元，电费1.2万元，邮电费0.5万元，差旅费0.6万元，公务接待费3.5万元，劳务费1.3万元，工会经费5.404万元，福利费5.5万元，信息网络及软件购置更新1.2万元。</w:t>
      </w:r>
    </w:p>
    <w:p w14:paraId="700D0FB9">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0FC840DA">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BD12B2E">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0F5F4F0A">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 xml:space="preserve">日, </w:t>
      </w:r>
      <w:r>
        <w:rPr>
          <w:rFonts w:hint="eastAsia" w:ascii="Adobe 仿宋 Std R" w:hAnsi="Adobe 仿宋 Std R" w:eastAsia="Adobe 仿宋 Std R"/>
          <w:sz w:val="32"/>
          <w:szCs w:val="32"/>
        </w:rPr>
        <w:fldChar w:fldCharType="begin"/>
      </w:r>
      <w:r>
        <w:rPr>
          <w:rFonts w:hint="eastAsia" w:ascii="Adobe 仿宋 Std R" w:hAnsi="Adobe 仿宋 Std R" w:eastAsia="Adobe 仿宋 Std R"/>
          <w:sz w:val="32"/>
          <w:szCs w:val="32"/>
        </w:rPr>
        <w:instrText xml:space="preserve">MERGEFIELD ${page540426799.ds376136392_REP_JX_BAS_AGENCY_INFO_DXQRSDW_S_CLSYS}</w:instrText>
      </w:r>
      <w:r>
        <w:rPr>
          <w:rFonts w:hint="eastAsia" w:ascii="Adobe 仿宋 Std R" w:hAnsi="Adobe 仿宋 Std R" w:eastAsia="Adobe 仿宋 Std R"/>
          <w:sz w:val="32"/>
          <w:szCs w:val="32"/>
        </w:rPr>
        <w:fldChar w:fldCharType="separate"/>
      </w:r>
      <w:r>
        <w:rPr>
          <w:rFonts w:hint="eastAsia"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w:t>
      </w:r>
      <w:r>
        <w:rPr>
          <w:rFonts w:hint="eastAsia" w:ascii="Adobe 仿宋 Std R" w:hAnsi="Adobe 仿宋 Std R" w:eastAsia="Adobe 仿宋 Std R"/>
          <w:sz w:val="32"/>
          <w:szCs w:val="32"/>
        </w:rPr>
        <w:fldChar w:fldCharType="end"/>
      </w:r>
    </w:p>
    <w:p w14:paraId="0C8085E5">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Adobe 仿宋 Std R" w:hAnsi="Adobe 仿宋 Std R" w:eastAsia="Adobe 仿宋 Std R"/>
          <w:sz w:val="32"/>
          <w:szCs w:val="32"/>
          <w:lang w:eastAsia="zh-CN"/>
        </w:rPr>
        <w:t>无</w:t>
      </w:r>
      <w:r>
        <w:rPr>
          <w:rFonts w:hint="eastAsia" w:ascii="Adobe 仿宋 Std R" w:hAnsi="Adobe 仿宋 Std R" w:eastAsia="Adobe 仿宋 Std R"/>
          <w:sz w:val="32"/>
          <w:szCs w:val="32"/>
        </w:rPr>
        <w:t>。</w:t>
      </w:r>
    </w:p>
    <w:p w14:paraId="62CA3649">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b/>
          <w:sz w:val="32"/>
          <w:szCs w:val="32"/>
          <w:lang w:eastAsia="zh-CN"/>
        </w:rPr>
        <w:t>民政局</w:t>
      </w:r>
      <w:r>
        <w:rPr>
          <w:rStyle w:val="12"/>
          <w:rFonts w:hint="eastAsia" w:ascii="Adobe 仿宋 Std R" w:hAnsi="Adobe 仿宋 Std R" w:eastAsia="Adobe 仿宋 Std R"/>
          <w:b/>
          <w:sz w:val="32"/>
          <w:szCs w:val="32"/>
        </w:rPr>
        <w:t>项目情况说明</w:t>
      </w:r>
    </w:p>
    <w:p w14:paraId="2710B2F9">
      <w:pPr>
        <w:ind w:firstLine="642"/>
        <w:rPr>
          <w:rFonts w:hint="eastAsia" w:ascii="仿宋_GB2312" w:hAnsi="仿宋_GB2312" w:eastAsia="仿宋_GB2312" w:cs="仿宋_GB2312"/>
          <w:color w:val="auto"/>
          <w:sz w:val="32"/>
          <w:szCs w:val="32"/>
        </w:rPr>
      </w:pPr>
      <w:r>
        <w:rPr>
          <w:rFonts w:hint="eastAsia" w:ascii="Adobe 仿宋 Std R" w:hAnsi="Adobe 仿宋 Std R" w:eastAsia="Adobe 仿宋 Std R"/>
          <w:sz w:val="32"/>
          <w:szCs w:val="32"/>
        </w:rPr>
        <w:t xml:space="preserve"> </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最低生活保障项目</w:t>
      </w:r>
    </w:p>
    <w:p w14:paraId="1262E75C">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城乡困难群众最低生活保障，应保尽保，应退尽退，阳光透明，维护社会公正和稳定；按月及时足额发放城乡低保金。</w:t>
      </w:r>
    </w:p>
    <w:p w14:paraId="097F146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《江西省民政厅关于印发江西省最低生活保障操作规程的通知》（赣民发[2020]7号）</w:t>
      </w:r>
    </w:p>
    <w:p w14:paraId="73929B0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5AAE9734">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定期核查享受对象，按月足额发放城市最低生活保障金。</w:t>
      </w:r>
    </w:p>
    <w:p w14:paraId="0210D06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1073781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本级配套资金1102万元。</w:t>
      </w:r>
    </w:p>
    <w:p w14:paraId="7F25C1CE">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最低生活保障项目</w:t>
      </w:r>
    </w:p>
    <w:p w14:paraId="1AB0BF88">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城乡困难群众最低生活保障，应保尽保，应退尽退，阳光透明，维护社会公正和稳定；按月及时足额发放城乡低保金。</w:t>
      </w:r>
    </w:p>
    <w:p w14:paraId="2487E24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《江西省民政厅关于印发江西省最低生活保障操作规程的通知》（赣民发[2020]7号）</w:t>
      </w:r>
    </w:p>
    <w:p w14:paraId="0A07A9C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341767D6">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定期核查享受对象，按月足额发放城市最低生活保障金。</w:t>
      </w:r>
    </w:p>
    <w:p w14:paraId="7ABD151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095F202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上级补助收入2100万元。</w:t>
      </w:r>
    </w:p>
    <w:p w14:paraId="6D84A3CE">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最低生活保障项目</w:t>
      </w:r>
    </w:p>
    <w:p w14:paraId="50601A2D">
      <w:pPr>
        <w:ind w:firstLine="64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城乡困难群众最低生活保障，应保尽保，应退尽退，阳光透明，维护社会公正和稳定；按月及时足额发放城乡低保金。</w:t>
      </w:r>
    </w:p>
    <w:p w14:paraId="562DF2F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《江西省民政厅关于印发江西省最低生活保障操作规程的通知》（赣民发[2020]7号）</w:t>
      </w:r>
    </w:p>
    <w:p w14:paraId="7014152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66F6D96A">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定期核查享受对象，按月足额发放城市最低生活保障金。</w:t>
      </w:r>
    </w:p>
    <w:p w14:paraId="3172C3F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03AB45A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上年结转5.33万元。</w:t>
      </w:r>
    </w:p>
    <w:p w14:paraId="483E4F60">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特困人员救助供养</w:t>
      </w:r>
      <w:r>
        <w:rPr>
          <w:rFonts w:hint="eastAsia" w:ascii="仿宋_GB2312" w:hAnsi="仿宋_GB2312" w:eastAsia="仿宋_GB2312" w:cs="仿宋_GB2312"/>
          <w:color w:val="auto"/>
          <w:sz w:val="32"/>
          <w:szCs w:val="32"/>
        </w:rPr>
        <w:t>项目</w:t>
      </w:r>
    </w:p>
    <w:p w14:paraId="1561B35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14:paraId="2E4A3EC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14:paraId="17846D4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27D89FE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定期核查享受对象，按月足额发放特困人员生活和护理补贴。</w:t>
      </w:r>
    </w:p>
    <w:p w14:paraId="03EC67C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7C4DCED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上级补助收入350万元。</w:t>
      </w:r>
    </w:p>
    <w:p w14:paraId="4E40A8EE">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特困人员救助供养</w:t>
      </w:r>
      <w:r>
        <w:rPr>
          <w:rFonts w:hint="eastAsia" w:ascii="仿宋_GB2312" w:hAnsi="仿宋_GB2312" w:eastAsia="仿宋_GB2312" w:cs="仿宋_GB2312"/>
          <w:color w:val="auto"/>
          <w:sz w:val="32"/>
          <w:szCs w:val="32"/>
        </w:rPr>
        <w:t>项目</w:t>
      </w:r>
    </w:p>
    <w:p w14:paraId="0EC4B5D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14:paraId="4DE20DE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14:paraId="1606076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20B60EC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定期核查享受对象，按月足额发放特困人员生活补贴。</w:t>
      </w:r>
    </w:p>
    <w:p w14:paraId="2FD6031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56D88EA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本级财政配套136万元。</w:t>
      </w:r>
    </w:p>
    <w:p w14:paraId="63FC336A">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特困人员护理补贴</w:t>
      </w:r>
      <w:r>
        <w:rPr>
          <w:rFonts w:hint="eastAsia" w:ascii="仿宋_GB2312" w:hAnsi="仿宋_GB2312" w:eastAsia="仿宋_GB2312" w:cs="仿宋_GB2312"/>
          <w:color w:val="auto"/>
          <w:sz w:val="32"/>
          <w:szCs w:val="32"/>
        </w:rPr>
        <w:t>项目</w:t>
      </w:r>
    </w:p>
    <w:p w14:paraId="1BFDC85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14:paraId="6E0384E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14:paraId="7CD15F0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603489C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定期核查享受对象，按月足额发放特困人员护理补贴。</w:t>
      </w:r>
    </w:p>
    <w:p w14:paraId="25CFC03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10578F1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本级财政配套191万元。</w:t>
      </w:r>
    </w:p>
    <w:p w14:paraId="45131C02">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特困人员救助供养</w:t>
      </w:r>
      <w:r>
        <w:rPr>
          <w:rFonts w:hint="eastAsia" w:ascii="仿宋_GB2312" w:hAnsi="仿宋_GB2312" w:eastAsia="仿宋_GB2312" w:cs="仿宋_GB2312"/>
          <w:color w:val="auto"/>
          <w:sz w:val="32"/>
          <w:szCs w:val="32"/>
        </w:rPr>
        <w:t>项目</w:t>
      </w:r>
    </w:p>
    <w:p w14:paraId="1B91B0C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符合条件的困难群众全部纳入特困人员救助供养，应救尽救，应养尽养。</w:t>
      </w:r>
    </w:p>
    <w:p w14:paraId="7321B14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《江西省民政厅关于印发江西省特困人员认定实施细则的通知》（赣民发[2021]7号）、 《江西省民政厅关于印发江西省分散供养特困人员照料服务指引的通知》（赣民发[2020]1号）。</w:t>
      </w:r>
    </w:p>
    <w:p w14:paraId="6A69608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592E224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定期核查享受对象，按月足额发放特困人员生活和护理补贴。</w:t>
      </w:r>
    </w:p>
    <w:p w14:paraId="5F9DD9E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71D560B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上年结转68.79万元。</w:t>
      </w:r>
    </w:p>
    <w:p w14:paraId="47AFF5DC">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临时救助</w:t>
      </w:r>
      <w:r>
        <w:rPr>
          <w:rFonts w:hint="eastAsia" w:ascii="仿宋_GB2312" w:hAnsi="仿宋_GB2312" w:eastAsia="仿宋_GB2312" w:cs="仿宋_GB2312"/>
          <w:color w:val="auto"/>
          <w:sz w:val="32"/>
          <w:szCs w:val="32"/>
        </w:rPr>
        <w:t>项目</w:t>
      </w:r>
    </w:p>
    <w:p w14:paraId="46E2C66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以解决城乡群众突发性、紧迫性、临时性基本生活困难，帮助受助对象尽早摆脱临时困难。确保有困难的群众都能求助有门，按规定得到及时救助。努力做到应救尽救，既尽力而为，又量力而行。</w:t>
      </w:r>
    </w:p>
    <w:p w14:paraId="06C5A1A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《江西省民政厅关于印发&lt;江西省临时救助操作规程&gt;的通知》（赣民字[2016]141号）</w:t>
      </w:r>
    </w:p>
    <w:p w14:paraId="256301A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3B3A5E8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积极受理困难群众临时救助申请资料核查，确认审批审核后，及时拨付临时救助救助资金</w:t>
      </w:r>
    </w:p>
    <w:p w14:paraId="29769C0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58210F9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本级配套资金27万元。</w:t>
      </w:r>
    </w:p>
    <w:p w14:paraId="5D2D79A8">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临时救助</w:t>
      </w:r>
      <w:r>
        <w:rPr>
          <w:rFonts w:hint="eastAsia" w:ascii="仿宋_GB2312" w:hAnsi="仿宋_GB2312" w:eastAsia="仿宋_GB2312" w:cs="仿宋_GB2312"/>
          <w:color w:val="auto"/>
          <w:sz w:val="32"/>
          <w:szCs w:val="32"/>
        </w:rPr>
        <w:t>项目</w:t>
      </w:r>
    </w:p>
    <w:p w14:paraId="705E278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以解决城乡群众突发性、紧迫性、临时性基本生活困难，帮助受助对象尽早摆脱临时困难。确保有困难的群众都能求助有门，按规定得到及时救助。努力做到应救尽救，既尽力而为，又量力而行。</w:t>
      </w:r>
    </w:p>
    <w:p w14:paraId="5A34496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《江西省民政厅关于印发&lt;江西省临时救助操作规程&gt;的通知》（赣民字[2016]141号）</w:t>
      </w:r>
    </w:p>
    <w:p w14:paraId="6005088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7A5D56E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积极受理困难群众临时救助申请资料核查，确认审批审核后，及时拨付临时救助救助资金</w:t>
      </w:r>
    </w:p>
    <w:p w14:paraId="372093D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6D4F606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上年结转49.21万元。</w:t>
      </w:r>
    </w:p>
    <w:p w14:paraId="6C0ED4D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特困儿童群众基本生活保障</w:t>
      </w:r>
      <w:r>
        <w:rPr>
          <w:rFonts w:hint="eastAsia" w:ascii="仿宋_GB2312" w:hAnsi="仿宋_GB2312" w:eastAsia="仿宋_GB2312" w:cs="仿宋_GB2312"/>
          <w:color w:val="auto"/>
          <w:sz w:val="32"/>
          <w:szCs w:val="32"/>
        </w:rPr>
        <w:t>项目</w:t>
      </w:r>
    </w:p>
    <w:p w14:paraId="6FA1270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保障孤儿和事实无人抚养儿童基本生活，提高孤残儿童生活水平。</w:t>
      </w:r>
    </w:p>
    <w:p w14:paraId="380CFC3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 江西省财政厅关于发放孤儿基本生活费的通知》（赣民发[2011]12号）、《关于进一步加强事实无人抚养儿童保障工作的通知》（赣民发[2019]4号）、《江西省财政厅关于建立残疾孤儿（残疾事实无人抚养儿童）照料护理补贴制度的通知》（赣民字[2021]23号）。</w:t>
      </w:r>
    </w:p>
    <w:p w14:paraId="5B77357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3366020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为全市孤儿和事实无人抚养儿童提供基本生活保障，孤儿生活费发放标准为每人每月1360元，事实无人抚养儿童基本生活补贴发放标准为每人每月1360元，实行补差发放，残疾孤儿（事实无人抚养儿童）居家照护费每人每月1380元。</w:t>
      </w:r>
    </w:p>
    <w:p w14:paraId="14020F0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09BDD64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上级补助收入20万元。</w:t>
      </w:r>
    </w:p>
    <w:p w14:paraId="2B752286">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事实无人抚养儿童生活补贴及残疾孤儿居家照护费</w:t>
      </w:r>
      <w:r>
        <w:rPr>
          <w:rFonts w:hint="eastAsia" w:ascii="仿宋_GB2312" w:hAnsi="仿宋_GB2312" w:eastAsia="仿宋_GB2312" w:cs="仿宋_GB2312"/>
          <w:color w:val="auto"/>
          <w:sz w:val="32"/>
          <w:szCs w:val="32"/>
        </w:rPr>
        <w:t>项目</w:t>
      </w:r>
    </w:p>
    <w:p w14:paraId="3639499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保障事实无人抚养儿童基本生活，提高孤残儿童生活水平。</w:t>
      </w:r>
    </w:p>
    <w:p w14:paraId="46356F1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《关于进一步加强事实无人抚养儿童保障工作的通知》（赣民发[2019]4号）、《江西省财政厅关于建立残疾孤儿（残疾事实无人抚养儿童）照料护理补贴制度的通知》（赣民字[2021]23号）。</w:t>
      </w:r>
    </w:p>
    <w:p w14:paraId="3D02F99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1F39E8E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为全市事实无人抚养儿童提供基本生活保障，事实无人抚养儿童基本生活补贴发放标准为每人每月1360元，实行补差发放，残疾孤儿（事实无人抚养儿童）居家照护费每人每月1380元。</w:t>
      </w:r>
    </w:p>
    <w:p w14:paraId="112AC31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10D89E0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本级财政配套资金184万元。</w:t>
      </w:r>
    </w:p>
    <w:p w14:paraId="4192E496">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lang w:eastAsia="zh-CN"/>
        </w:rPr>
        <w:t>特困儿童群众基本生活保障</w:t>
      </w:r>
      <w:r>
        <w:rPr>
          <w:rFonts w:hint="eastAsia" w:ascii="仿宋_GB2312" w:hAnsi="仿宋_GB2312" w:eastAsia="仿宋_GB2312" w:cs="仿宋_GB2312"/>
          <w:color w:val="auto"/>
          <w:sz w:val="32"/>
          <w:szCs w:val="32"/>
        </w:rPr>
        <w:t>项目</w:t>
      </w:r>
    </w:p>
    <w:p w14:paraId="3851C30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保障孤儿基本生活，提高孤儿生活水平。</w:t>
      </w:r>
    </w:p>
    <w:p w14:paraId="2F28A20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《江西省民政厅 江西省财政厅关于发放孤儿基本生活费的通知》（赣民发[2011]12号）。</w:t>
      </w:r>
    </w:p>
    <w:p w14:paraId="7065D57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5317569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为全市孤儿提供基本生活保障，孤儿生活费发放标准为每人每月1360元。</w:t>
      </w:r>
    </w:p>
    <w:p w14:paraId="157CCAC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33F2A17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本级财政配套3.5万元。</w:t>
      </w:r>
    </w:p>
    <w:p w14:paraId="3D845E6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13.支持困难失能老年人基本养老服务救助项目</w:t>
      </w:r>
    </w:p>
    <w:p w14:paraId="62A569D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支持困难失能老年人基本养老服务救助。</w:t>
      </w:r>
    </w:p>
    <w:p w14:paraId="11C925D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关于下达2023年中央财政困难群众救助补助资金（支持困难失能老年人基本养老服务救助方向）预算的通知 九财社指[20223]50号文件安排。</w:t>
      </w:r>
    </w:p>
    <w:p w14:paraId="09AE0D3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48CF9D1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支持困难失能老年人基本养老服务救助。</w:t>
      </w:r>
    </w:p>
    <w:p w14:paraId="56559F8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1D07612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上年结转19.5万元。</w:t>
      </w:r>
    </w:p>
    <w:p w14:paraId="57484896">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lang w:eastAsia="zh-CN"/>
        </w:rPr>
        <w:t>老年人福利补贴</w:t>
      </w:r>
      <w:r>
        <w:rPr>
          <w:rFonts w:hint="eastAsia" w:ascii="仿宋_GB2312" w:hAnsi="仿宋_GB2312" w:eastAsia="仿宋_GB2312" w:cs="仿宋_GB2312"/>
          <w:color w:val="auto"/>
          <w:sz w:val="32"/>
          <w:szCs w:val="32"/>
        </w:rPr>
        <w:t>项目</w:t>
      </w:r>
    </w:p>
    <w:p w14:paraId="4814EF9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本辖区内且年满80周岁以上的老年人发放高龄津贴；经济困难的高龄、失能等老年人发放养老服务补贴和护理补贴；70周岁及以上老年人意外伤害保险；重阳节走访百岁老人。</w:t>
      </w:r>
    </w:p>
    <w:p w14:paraId="4A8CEA4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《九江市民政局 九江市财政局 九江市老龄工作委员会办公室关于印发&lt;九江市80周岁以上老人高龄津贴实施办法&gt;的通知》（九民字[2015]58号）、《 九江市老龄工作委员会办公室 九江市民政局 九江市财政局&lt;九江市开展老年人意外伤害险工作实施方案&gt;》（九老龄办[2017]7号）、《九江市民政局 九江市财政局 九江市老龄工作委员会办公室关于转发&lt;江西省经济困难的高龄失能老年人补贴实施办法&gt;的通知》（九民字[2018]183号）。</w:t>
      </w:r>
    </w:p>
    <w:p w14:paraId="7463B11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680DD70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定期核查享受对象，按月足额发放高龄津贴、经济困难老年人两项补贴；70周岁及以上老年人意外伤害保险；重阳节走访百岁老人</w:t>
      </w:r>
    </w:p>
    <w:p w14:paraId="10D515E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1C11919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本级配套资金846万元。</w:t>
      </w:r>
    </w:p>
    <w:p w14:paraId="67B90FB9">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lang w:eastAsia="zh-CN"/>
        </w:rPr>
        <w:t>绿色惠民文明殡葬</w:t>
      </w:r>
      <w:r>
        <w:rPr>
          <w:rFonts w:hint="eastAsia" w:ascii="仿宋_GB2312" w:hAnsi="仿宋_GB2312" w:eastAsia="仿宋_GB2312" w:cs="仿宋_GB2312"/>
          <w:color w:val="auto"/>
          <w:sz w:val="32"/>
          <w:szCs w:val="32"/>
        </w:rPr>
        <w:t>项目</w:t>
      </w:r>
    </w:p>
    <w:p w14:paraId="2EFF96D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落实殡葬五项基本免费服务、节地生态安葬奖补等惠民绿色文明殡葬政策，应补尽补</w:t>
      </w:r>
    </w:p>
    <w:p w14:paraId="0338238F">
      <w:pPr>
        <w:ind w:firstLine="64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根据《江西省人民政府办公厅关于加快推进殡葬改革促进殡葬事业发展的实施意见》（赣府厅发【2018】23号）、《九江市人民政府办公厅关于全面深化殡葬改革促进殡葬事业发展的实施意见》（九府厅发【2018】38号）、《庐山市人民政府办公室关于全面深化殡葬改革促进殡葬事业发展的实施意见》（庐府办发【2018】105号）、《庐山市推行节地生态安葬奖补实施办法》（庐府办发【2018】107号）、《庐山市殡葬改革奖补激励办法》（庐府办发【2018】101号）</w:t>
      </w:r>
    </w:p>
    <w:p w14:paraId="1FF78F9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76963FB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按季度提供火化人员名单，依据名单确定殡葬五项基本免费服务补贴资金数额；及时报批节地生态安葬奖补补贴资金。</w:t>
      </w:r>
    </w:p>
    <w:p w14:paraId="49CD28F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6ADF997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本级配套资金183.6万元</w:t>
      </w:r>
    </w:p>
    <w:p w14:paraId="659A8DAB">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16.残疾人两项补贴项目</w:t>
      </w:r>
      <w:r>
        <w:rPr>
          <w:rFonts w:hint="eastAsia" w:ascii="仿宋_GB2312" w:hAnsi="仿宋_GB2312" w:eastAsia="仿宋_GB2312" w:cs="仿宋_GB2312"/>
          <w:color w:val="auto"/>
          <w:sz w:val="32"/>
          <w:szCs w:val="32"/>
        </w:rPr>
        <w:t xml:space="preserve"> </w:t>
      </w:r>
    </w:p>
    <w:p w14:paraId="027E5869">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落实困难残疾人生活补贴和重度残疾人护理补贴制度，逐步提高残疾人生活水平</w:t>
      </w:r>
    </w:p>
    <w:p w14:paraId="1078FEB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14:paraId="5D95649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3046D47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14:paraId="659CC07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14:paraId="3EDFAC9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14:paraId="218A56F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0F76DCF9">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上年结转24.58万元</w:t>
      </w:r>
    </w:p>
    <w:p w14:paraId="549DC5D5">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17.困难残疾人生活补贴项目</w:t>
      </w:r>
      <w:r>
        <w:rPr>
          <w:rFonts w:hint="eastAsia" w:ascii="仿宋_GB2312" w:hAnsi="仿宋_GB2312" w:eastAsia="仿宋_GB2312" w:cs="仿宋_GB2312"/>
          <w:color w:val="auto"/>
          <w:sz w:val="32"/>
          <w:szCs w:val="32"/>
        </w:rPr>
        <w:t xml:space="preserve"> </w:t>
      </w:r>
    </w:p>
    <w:p w14:paraId="456C03B3">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落实困难残疾人生活补贴制度，逐步提高残疾人生活水平</w:t>
      </w:r>
    </w:p>
    <w:p w14:paraId="19B08A3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14:paraId="311ADD7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2868B33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14:paraId="2E34D29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14:paraId="65B9167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14:paraId="494F80C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209F236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本级配套资金127万元</w:t>
      </w:r>
    </w:p>
    <w:p w14:paraId="1A835B85">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18.重度残疾人护理补贴项目</w:t>
      </w:r>
      <w:r>
        <w:rPr>
          <w:rFonts w:hint="eastAsia" w:ascii="仿宋_GB2312" w:hAnsi="仿宋_GB2312" w:eastAsia="仿宋_GB2312" w:cs="仿宋_GB2312"/>
          <w:color w:val="auto"/>
          <w:sz w:val="32"/>
          <w:szCs w:val="32"/>
        </w:rPr>
        <w:t xml:space="preserve"> </w:t>
      </w:r>
    </w:p>
    <w:p w14:paraId="06DF4636">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落实重度残疾人护理补贴制度，逐步提高残疾人生活水平</w:t>
      </w:r>
    </w:p>
    <w:p w14:paraId="76043B9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14:paraId="24CF97F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53A212C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14:paraId="3F44B17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14:paraId="0787E25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14:paraId="62838D1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16E3382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本级配套资金107万元</w:t>
      </w:r>
    </w:p>
    <w:p w14:paraId="564BEB55">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19.困难残疾人生活补贴项目</w:t>
      </w:r>
      <w:r>
        <w:rPr>
          <w:rFonts w:hint="eastAsia" w:ascii="仿宋_GB2312" w:hAnsi="仿宋_GB2312" w:eastAsia="仿宋_GB2312" w:cs="仿宋_GB2312"/>
          <w:color w:val="auto"/>
          <w:sz w:val="32"/>
          <w:szCs w:val="32"/>
        </w:rPr>
        <w:t xml:space="preserve"> </w:t>
      </w:r>
    </w:p>
    <w:p w14:paraId="7143EE54">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落实困难残疾人生活补贴制度，逐步提高残疾人生活水平</w:t>
      </w:r>
    </w:p>
    <w:p w14:paraId="79AABBD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14:paraId="0589409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5CB6318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14:paraId="7570E72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14:paraId="48FF196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14:paraId="5566A5C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3A13D1D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上级补助收入120万元</w:t>
      </w:r>
    </w:p>
    <w:p w14:paraId="38038862">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20.重度残疾人护理补贴项目</w:t>
      </w:r>
      <w:r>
        <w:rPr>
          <w:rFonts w:hint="eastAsia" w:ascii="仿宋_GB2312" w:hAnsi="仿宋_GB2312" w:eastAsia="仿宋_GB2312" w:cs="仿宋_GB2312"/>
          <w:color w:val="auto"/>
          <w:sz w:val="32"/>
          <w:szCs w:val="32"/>
        </w:rPr>
        <w:t xml:space="preserve"> </w:t>
      </w:r>
    </w:p>
    <w:p w14:paraId="7D44A6CB">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落实重度残疾人护理补贴制度，逐步提高残疾人生活水平</w:t>
      </w:r>
    </w:p>
    <w:p w14:paraId="2B34C06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根据《江西人民政府关于印发江西省困难残疾人生活补贴和重度残疾人护理补贴制度实施办法的通知》（赣府发【2015】63号）等文件</w:t>
      </w:r>
    </w:p>
    <w:p w14:paraId="5B26162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0E6B559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14:paraId="605660C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14:paraId="1CDEBFA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14:paraId="4BA7969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306A239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上级补助收入122.73万元</w:t>
      </w:r>
    </w:p>
    <w:p w14:paraId="5DD003C4">
      <w:pPr>
        <w:numPr>
          <w:ilvl w:val="0"/>
          <w:numId w:val="0"/>
        </w:num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21.建档立卡贫困重度失能残疾人居家照护费项目</w:t>
      </w:r>
      <w:r>
        <w:rPr>
          <w:rFonts w:hint="eastAsia" w:ascii="仿宋_GB2312" w:hAnsi="仿宋_GB2312" w:eastAsia="仿宋_GB2312" w:cs="仿宋_GB2312"/>
          <w:color w:val="auto"/>
          <w:sz w:val="32"/>
          <w:szCs w:val="32"/>
        </w:rPr>
        <w:t xml:space="preserve"> </w:t>
      </w:r>
    </w:p>
    <w:p w14:paraId="49873575">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落实困难残疾人生活补贴和重度残疾人护理补贴制度，逐步提高残疾人生活水平</w:t>
      </w:r>
    </w:p>
    <w:p w14:paraId="158E53E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根据《关于建立困难残疾人生活补贴和重度残疾人护理补贴的实施细则》（九民字【2016】22号）等文件</w:t>
      </w:r>
    </w:p>
    <w:p w14:paraId="1A68BBA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46547C9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1、按月发放残疾人两项补贴资金，每月10日前依托社保卡发放系统完成资金发放。</w:t>
      </w:r>
    </w:p>
    <w:p w14:paraId="78146E8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2、做好动态核对管理工作，每月月底前通过比对残疾人证变更、死亡、特困、低保等数据，统筹做好两项补贴对象新增与退出管理，确保资金精准发放和政策有效衔接。</w:t>
      </w:r>
    </w:p>
    <w:p w14:paraId="7B5C050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3、做好今年残疾人两项补贴调标提补工作，确保残疾人两项补贴资金及时足额发放。</w:t>
      </w:r>
    </w:p>
    <w:p w14:paraId="31C1452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525F7ED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本级配套资金61.2万元</w:t>
      </w:r>
    </w:p>
    <w:p w14:paraId="579461B4">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lang w:eastAsia="zh-CN"/>
        </w:rPr>
        <w:t>婚姻登记中心保障经费</w:t>
      </w:r>
    </w:p>
    <w:p w14:paraId="437C8C9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保障在职人员工资福利、日常工作开展</w:t>
      </w:r>
    </w:p>
    <w:p w14:paraId="6F63719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江西省财政厅 江西省发展和改革委员会 江西省民政厅关于实行婚姻登记免费制度的通知 赣财综（2012）88号、江西省民政厅办公室关于做好停征婚姻和收养登记费有关工作的通知 赣民办字（2017）64号</w:t>
      </w:r>
    </w:p>
    <w:p w14:paraId="29AEB05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12D7E09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保障在职人员工资福利、日常工作开展</w:t>
      </w:r>
    </w:p>
    <w:p w14:paraId="4B879F0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6FD7AA8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本级配套资金85.06万元</w:t>
      </w:r>
    </w:p>
    <w:p w14:paraId="5801BFDB">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农村“离任”两老生活补助</w:t>
      </w:r>
    </w:p>
    <w:p w14:paraId="7EBF9C6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发放农村支书和村主任生活补贴</w:t>
      </w:r>
    </w:p>
    <w:p w14:paraId="33FAB36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关于认真做好农村离任老村党组织书记和老村委会主任生活补助发放工作的通知 九民字&lt;2009&gt;163号</w:t>
      </w:r>
    </w:p>
    <w:p w14:paraId="2A16F4C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1B999AD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每月对符合条件的对象进行核查；每月按时发放补助资金</w:t>
      </w:r>
    </w:p>
    <w:p w14:paraId="3547EE2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连续性长期项目</w:t>
      </w:r>
    </w:p>
    <w:p w14:paraId="510FEBC4">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lang w:eastAsia="zh-CN"/>
        </w:rPr>
        <w:t>本级配套资金</w:t>
      </w:r>
      <w:r>
        <w:rPr>
          <w:rFonts w:hint="eastAsia" w:ascii="仿宋_GB2312" w:hAnsi="仿宋_GB2312" w:eastAsia="仿宋_GB2312" w:cs="仿宋_GB2312"/>
          <w:color w:val="auto"/>
          <w:sz w:val="32"/>
          <w:szCs w:val="32"/>
          <w:lang w:val="en-US" w:eastAsia="zh-CN"/>
        </w:rPr>
        <w:t>24万元</w:t>
      </w:r>
    </w:p>
    <w:p w14:paraId="5F3AC7BD">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lang w:eastAsia="zh-CN"/>
        </w:rPr>
        <w:t>“两新</w:t>
      </w:r>
      <w:r>
        <w:rPr>
          <w:rFonts w:hint="eastAsia" w:ascii="仿宋_GB2312" w:hAnsi="仿宋_GB2312" w:eastAsia="仿宋_GB2312" w:cs="仿宋_GB2312"/>
          <w:color w:val="auto"/>
          <w:sz w:val="32"/>
          <w:szCs w:val="32"/>
          <w:lang w:val="en-US" w:eastAsia="zh-CN"/>
        </w:rPr>
        <w:t>”组织专职党建工作指导员经费</w:t>
      </w:r>
    </w:p>
    <w:p w14:paraId="38F6530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1）项目概述</w:t>
      </w:r>
      <w:r>
        <w:rPr>
          <w:rFonts w:hint="eastAsia" w:ascii="仿宋_GB2312" w:hAnsi="仿宋_GB2312" w:eastAsia="仿宋_GB2312" w:cs="仿宋_GB2312"/>
          <w:color w:val="auto"/>
          <w:sz w:val="32"/>
          <w:szCs w:val="32"/>
          <w:lang w:val="en-US" w:eastAsia="zh-CN"/>
        </w:rPr>
        <w:t xml:space="preserve"> 全面落实党中央和省委关于加强“两新”组织党的建设工作的部署要求，以提高“两新”组织基层党建“三化”建设水平</w:t>
      </w:r>
    </w:p>
    <w:p w14:paraId="013EB7A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2）立项依据</w:t>
      </w:r>
      <w:r>
        <w:rPr>
          <w:rFonts w:hint="eastAsia" w:ascii="仿宋_GB2312" w:hAnsi="仿宋_GB2312" w:eastAsia="仿宋_GB2312" w:cs="仿宋_GB2312"/>
          <w:color w:val="auto"/>
          <w:sz w:val="32"/>
          <w:szCs w:val="32"/>
          <w:lang w:val="en-US" w:eastAsia="zh-CN"/>
        </w:rPr>
        <w:t xml:space="preserve"> 关于下达2022年“两新”组织专职党建工作指导员经费资金的通知 庐财行指（2022）8号</w:t>
      </w:r>
    </w:p>
    <w:p w14:paraId="6A9B3E1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3）实施主体</w:t>
      </w:r>
      <w:r>
        <w:rPr>
          <w:rFonts w:hint="eastAsia" w:ascii="仿宋_GB2312" w:hAnsi="仿宋_GB2312" w:eastAsia="仿宋_GB2312" w:cs="仿宋_GB2312"/>
          <w:color w:val="auto"/>
          <w:sz w:val="32"/>
          <w:szCs w:val="32"/>
          <w:lang w:val="en-US" w:eastAsia="zh-CN"/>
        </w:rPr>
        <w:t xml:space="preserve"> 庐山市民政局</w:t>
      </w:r>
    </w:p>
    <w:p w14:paraId="738C2CE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4）实施方案</w:t>
      </w:r>
      <w:r>
        <w:rPr>
          <w:rFonts w:hint="eastAsia" w:ascii="仿宋_GB2312" w:hAnsi="仿宋_GB2312" w:eastAsia="仿宋_GB2312" w:cs="仿宋_GB2312"/>
          <w:color w:val="auto"/>
          <w:sz w:val="32"/>
          <w:szCs w:val="32"/>
          <w:lang w:val="en-US" w:eastAsia="zh-CN"/>
        </w:rPr>
        <w:t xml:space="preserve"> 按月发放</w:t>
      </w:r>
      <w:r>
        <w:rPr>
          <w:rFonts w:hint="eastAsia" w:ascii="仿宋_GB2312" w:hAnsi="仿宋_GB2312" w:eastAsia="仿宋_GB2312" w:cs="仿宋_GB2312"/>
          <w:color w:val="auto"/>
          <w:sz w:val="32"/>
          <w:szCs w:val="32"/>
          <w:lang w:eastAsia="zh-CN"/>
        </w:rPr>
        <w:t>“两新</w:t>
      </w:r>
      <w:r>
        <w:rPr>
          <w:rFonts w:hint="eastAsia" w:ascii="仿宋_GB2312" w:hAnsi="仿宋_GB2312" w:eastAsia="仿宋_GB2312" w:cs="仿宋_GB2312"/>
          <w:color w:val="auto"/>
          <w:sz w:val="32"/>
          <w:szCs w:val="32"/>
          <w:lang w:val="en-US" w:eastAsia="zh-CN"/>
        </w:rPr>
        <w:t>”组织专职党建工作人员工资及福利等</w:t>
      </w:r>
    </w:p>
    <w:p w14:paraId="23CA4F8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5）实施周期</w:t>
      </w:r>
      <w:r>
        <w:rPr>
          <w:rFonts w:hint="eastAsia" w:ascii="仿宋_GB2312" w:hAnsi="仿宋_GB2312" w:eastAsia="仿宋_GB2312" w:cs="仿宋_GB2312"/>
          <w:color w:val="auto"/>
          <w:sz w:val="32"/>
          <w:szCs w:val="32"/>
          <w:lang w:val="en-US" w:eastAsia="zh-CN"/>
        </w:rPr>
        <w:t xml:space="preserve"> 一年</w:t>
      </w:r>
    </w:p>
    <w:p w14:paraId="615FCD0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本级配套资金</w:t>
      </w:r>
      <w:r>
        <w:rPr>
          <w:rFonts w:hint="eastAsia" w:ascii="仿宋_GB2312" w:hAnsi="仿宋_GB2312" w:eastAsia="仿宋_GB2312" w:cs="仿宋_GB2312"/>
          <w:color w:val="auto"/>
          <w:sz w:val="32"/>
          <w:szCs w:val="32"/>
          <w:lang w:val="en-US" w:eastAsia="zh-CN"/>
        </w:rPr>
        <w:t>6.5万元</w:t>
      </w:r>
    </w:p>
    <w:p w14:paraId="2AFAB2F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25.春节走访慰问困难群众项目</w:t>
      </w:r>
    </w:p>
    <w:p w14:paraId="2B026FB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根据2024年春节走访慰问城乡困难群众工作，确保资金及时足额拨付到位。</w:t>
      </w:r>
    </w:p>
    <w:p w14:paraId="703A69B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2024年春节走访慰问城乡困难群众工作</w:t>
      </w:r>
    </w:p>
    <w:p w14:paraId="0CC0318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0958606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及时足额拨付到位</w:t>
      </w:r>
    </w:p>
    <w:p w14:paraId="4BDB9B2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5DDAF869">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本级财政补助10万元</w:t>
      </w:r>
    </w:p>
    <w:p w14:paraId="12BDC3E2">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26.慈善会经费项目</w:t>
      </w:r>
    </w:p>
    <w:p w14:paraId="79D4081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推动我市社会公益事业发展，助力大美庐山建设，保障慈善会工作顺利开展</w:t>
      </w:r>
    </w:p>
    <w:p w14:paraId="33C4FD2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根据庐山市慈善会申请资金文件报告</w:t>
      </w:r>
    </w:p>
    <w:p w14:paraId="75FC7F9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4364665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推动我市社会公益事业发展，助力大美庐山建设，保障慈善会工作顺利开展</w:t>
      </w:r>
    </w:p>
    <w:p w14:paraId="7C420F3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255FFB25">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本级财政补助20万元</w:t>
      </w:r>
    </w:p>
    <w:p w14:paraId="5ED02DC8">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27.慈善会工作经费项目</w:t>
      </w:r>
    </w:p>
    <w:p w14:paraId="214A58E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推动我市社会公益事业发展，助力大美庐山建设，保障慈善会工作顺利开展</w:t>
      </w:r>
    </w:p>
    <w:p w14:paraId="092DC8C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根据庐山市慈善会申请资金文件报告</w:t>
      </w:r>
    </w:p>
    <w:p w14:paraId="755248B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2DC4143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推动我市社会公益事业发展，助力大美庐山建设，保障慈善会工作顺利开展</w:t>
      </w:r>
    </w:p>
    <w:p w14:paraId="2743D8C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4C73E327">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本级财政补助30万元</w:t>
      </w:r>
    </w:p>
    <w:p w14:paraId="63FE69D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28.春节走访慰问项目</w:t>
      </w:r>
    </w:p>
    <w:p w14:paraId="422E871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根据2024年春节走访慰问城乡困难群众工作，确保资金及时足额拨付到位。</w:t>
      </w:r>
    </w:p>
    <w:p w14:paraId="3555659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2024年春节走访慰问城乡困难群众工作</w:t>
      </w:r>
    </w:p>
    <w:p w14:paraId="07BD1E5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363D05A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及时足额拨付到位</w:t>
      </w:r>
    </w:p>
    <w:p w14:paraId="35033E6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42A6CEAD">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上年结转16.57万元</w:t>
      </w:r>
    </w:p>
    <w:p w14:paraId="1DAC3E1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29.民政保障项目</w:t>
      </w:r>
    </w:p>
    <w:p w14:paraId="7795262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贯彻执行党和国家关于民政工作的法律法规和方针政策；拟定全市民政事业发展规划和政策，制度全市民政事业中长期发展规划和年度计划，并组织实施和监督检查，确保我市民政工作顺利有序的开展</w:t>
      </w:r>
    </w:p>
    <w:p w14:paraId="7DD2229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庐山市民政局资金申请文件</w:t>
      </w:r>
    </w:p>
    <w:p w14:paraId="7EA83F0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1DB9116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确保单位职工工资福利及日常运转支出</w:t>
      </w:r>
    </w:p>
    <w:p w14:paraId="585D308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413ACE6C">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上年结转10.76万元</w:t>
      </w:r>
    </w:p>
    <w:p w14:paraId="38EFE64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30.养老机构床位综合责任险</w:t>
      </w:r>
    </w:p>
    <w:p w14:paraId="382FDDC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根据《九江市民政局办公室关于做好2023年养老机构综合责任保险工作的通知》九民办字【2023】14号，积极发挥责任保险的经济补偿和风险预防功能，推动养老机构综合责任保险工作，进一步提高养老机构抵御风险能力</w:t>
      </w:r>
    </w:p>
    <w:p w14:paraId="6FCB802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根据《九江市民政局办公室关于做好2023年养老机构综合责任保险工作的通知》九民办字【2023】14号文件要求</w:t>
      </w:r>
    </w:p>
    <w:p w14:paraId="7DB2EE0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1F06C8C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及时做好养老机构综合责任保险工作</w:t>
      </w:r>
    </w:p>
    <w:p w14:paraId="3EF85EB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41257B57">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本级财政预算补助2.99万元</w:t>
      </w:r>
    </w:p>
    <w:p w14:paraId="6F2D5E6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31.社工站建设项目</w:t>
      </w:r>
    </w:p>
    <w:p w14:paraId="574D776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加强乡镇（街道）社会工作人才队伍建设，增强基层民政服务能力，以人民为中心的发展思想，加快社会工作人才队伍建设，提供为民服务人才支撑，全面推进社工站（点）规模化建设，打造基层为民服务平台，建立覆盖城乡的社会工作服务体系，持续改善提升基层社会治理水平。</w:t>
      </w:r>
    </w:p>
    <w:p w14:paraId="6547289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关于提前下达2023年中央财政困难群众救助补助资金预算的通知 九财社指【2022】90号</w:t>
      </w:r>
    </w:p>
    <w:p w14:paraId="16FFDFD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2A6A3C0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及时拨付社工站建设资金</w:t>
      </w:r>
    </w:p>
    <w:p w14:paraId="413A09D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6540B952">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上年结转25.51万元</w:t>
      </w:r>
    </w:p>
    <w:p w14:paraId="405F2D12">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32.城镇困难群众脱贫解困项目</w:t>
      </w:r>
    </w:p>
    <w:p w14:paraId="09815A1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规范特困供养人员政策实施，合理确定保障标准，使得特困供养人员基本生活得到有效保障；统筹残疾人、孤儿工作，合理确定保障标准；为符合条件的城镇困难群众购买防贫责任保险，降低困难群众返贫致贫风险。符合条件的城镇对象均可享受补贴政策，确保资金按时足额发放到位。</w:t>
      </w:r>
    </w:p>
    <w:p w14:paraId="12975B22">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根据关于下达2023年中央财政困难群众救助补助资金（支持困难失能老年人基本养老服务救助方向）预算的通知 赣财社指【2023】65号、关于下达2023年城镇困难群众解困脱困省级补助资金的通知 九财社指【2023】37号等文件依据</w:t>
      </w:r>
    </w:p>
    <w:p w14:paraId="12489A9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712995BB">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w:t>
      </w:r>
    </w:p>
    <w:p w14:paraId="7FE6709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10676283">
      <w:pPr>
        <w:widowControl/>
        <w:spacing w:line="580" w:lineRule="exact"/>
        <w:ind w:firstLine="636"/>
        <w:jc w:val="left"/>
        <w:rPr>
          <w:rFonts w:ascii="Adobe 仿宋 Std R" w:hAnsi="Adobe 仿宋 Std R" w:eastAsia="Adobe 仿宋 Std R"/>
          <w:sz w:val="32"/>
          <w:szCs w:val="32"/>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上年结转75.10万元</w:t>
      </w:r>
    </w:p>
    <w:p w14:paraId="74910E5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33.城镇困难群众脱贫解困第一批项目</w:t>
      </w:r>
    </w:p>
    <w:p w14:paraId="0BD4D79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规范特困供养人员政策实施，合理确定保障标准，使得特困供养人员基本生活得到有效保障；统筹残疾人、孤儿工作，合理确定保障标准；为符合条件的城镇困难群众购买防贫责任保险，降低困难群众返贫致贫风险。符合条件的城镇对象均可享受补贴政策，确保资金按时足额发放到位。</w:t>
      </w:r>
    </w:p>
    <w:p w14:paraId="462333A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根据关于提前下达2024年社会保障省级补助资金（第一批）的通知 九财社指[2023]61号文件要求</w:t>
      </w:r>
    </w:p>
    <w:p w14:paraId="0D4F7E3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3AC358D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w:t>
      </w:r>
    </w:p>
    <w:p w14:paraId="6C292E1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24929BB0">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上级补助收入152万元</w:t>
      </w:r>
    </w:p>
    <w:p w14:paraId="7C2AF6C3">
      <w:pPr>
        <w:widowControl/>
        <w:spacing w:line="580" w:lineRule="exact"/>
        <w:ind w:firstLine="636"/>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34.民政其他社会保障项目</w:t>
      </w:r>
    </w:p>
    <w:p w14:paraId="7EE76399">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2023年上级补助收入结余，用于2024年提高二十世纪六十年代精简退职老弱残职工救济补助标准，农村离任老村支书、村主任生活补贴，三院工作人员工作补贴，确保资金按时足额发放到位。</w:t>
      </w:r>
    </w:p>
    <w:p w14:paraId="28495B90">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根据赣关于下达2023年中央财政困难群众救助补助资金（支持困难失能老年人基本养老服务救助方向）预算的通知 财社指【2023】65号文件要求</w:t>
      </w:r>
    </w:p>
    <w:p w14:paraId="6030FF7D">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3D60802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确保资金按时足额发放到位</w:t>
      </w:r>
    </w:p>
    <w:p w14:paraId="32A1697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58A9D4D5">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上年结转8.9万元</w:t>
      </w:r>
    </w:p>
    <w:p w14:paraId="6FD8183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35.精简退职省级第一批项目</w:t>
      </w:r>
    </w:p>
    <w:p w14:paraId="5ECA636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用于2024年提高二十世纪六十年代精简退职老弱残职工救济补助标准，确保资金按时足额发放到位。</w:t>
      </w:r>
    </w:p>
    <w:p w14:paraId="632C45A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根据关于提前下达2024年社会保障省级补助资金（第一批）的通知 九财社指[2023]61号文件要求</w:t>
      </w:r>
    </w:p>
    <w:p w14:paraId="68F43736">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13DAAFB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确保资金按时足额发放到位。</w:t>
      </w:r>
    </w:p>
    <w:p w14:paraId="449BD5D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338F1F6F">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上级补助收入32万元</w:t>
      </w:r>
    </w:p>
    <w:p w14:paraId="477D3DE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36.乡镇区域性中心养老院建设项目</w:t>
      </w:r>
    </w:p>
    <w:p w14:paraId="492CFA73">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庐山市乡镇区域性中心养老院建设项目。建设地点：庐山市星子镇、温泉镇、华林镇、蛟塘镇、蓼南乡、横塘镇；建设规模：项目总用地面积约38408平方米，总建筑面积22841平方米，床位约394张。</w:t>
      </w:r>
    </w:p>
    <w:p w14:paraId="1FD8E01A">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根据发改委立项批复报告</w:t>
      </w:r>
    </w:p>
    <w:p w14:paraId="2859C7C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5A1189F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支持庐山市乡镇区域性中心养老院建设项目，确保资金及时拨付</w:t>
      </w:r>
    </w:p>
    <w:p w14:paraId="5AFAFF4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3A9E558B">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本级财政预算安排2600万元</w:t>
      </w:r>
    </w:p>
    <w:p w14:paraId="5901A75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37.社会组织培育发展创新基地、社会组织党群服务中心、社会工作服务中心三合一场所建设项目</w:t>
      </w:r>
    </w:p>
    <w:p w14:paraId="56AC62D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加强乡镇（街道）社会工作人才队伍建设，增强基层民政服务能力，以人民为中心的发展思想，加快社会工作人才队伍建设，提供为民服务人才支撑，全面推进社工站（点）规模化建设，打造基层为民服务平台，建立覆盖城乡的社会工作服务体系，持续改善提升基层社会治理水平。</w:t>
      </w:r>
    </w:p>
    <w:p w14:paraId="34F9B29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立项申请批复报告</w:t>
      </w:r>
    </w:p>
    <w:p w14:paraId="60FBE46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5C2C4EA1">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社会组织培育发展创新基地、社会组织党群服务中心、社会工作服务中心三合一场所建设</w:t>
      </w:r>
    </w:p>
    <w:p w14:paraId="3B963DB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7582EF57">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本级财政预算安排50万元</w:t>
      </w:r>
    </w:p>
    <w:p w14:paraId="48678F54">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38.民办养老机构建设和运营补助项目</w:t>
      </w:r>
    </w:p>
    <w:p w14:paraId="2F65D3A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为引导和扶持社会力量参与养老服务，增加有效供给，促进全市养老服务业持续健康发展，给予民办养老机构建设和运营资金补贴</w:t>
      </w:r>
    </w:p>
    <w:p w14:paraId="3DDA8D28">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根据九江市民政局九江市财政局关于印发《九江市民办养老机构建设和运营资金补助实施办法》的通知 九民发（2023）号文件安排</w:t>
      </w:r>
    </w:p>
    <w:p w14:paraId="0686D845">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3096DBA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确保资金及时足额拨付到位</w:t>
      </w:r>
    </w:p>
    <w:p w14:paraId="0F69A420">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58FDB6D1">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本级财政预算安排57.67万元</w:t>
      </w:r>
    </w:p>
    <w:p w14:paraId="46A0AED7">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39.颐养之家运行补助项目</w:t>
      </w:r>
    </w:p>
    <w:p w14:paraId="5A63152C">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1）项目概述 在全市推进颐养之家建设，为当地老人提供日间生活照料、娱乐休闲等服务，丰富老人物质生活和精神文化生活，为老人创造相互关照、相互帮助、消除孤独、快乐生活的环境，真正实现老人开心、子女安心、组织放心。</w:t>
      </w:r>
    </w:p>
    <w:p w14:paraId="05CA3469">
      <w:pPr>
        <w:ind w:firstLine="642"/>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立项依据</w:t>
      </w:r>
      <w:r>
        <w:rPr>
          <w:rFonts w:hint="eastAsia" w:ascii="仿宋_GB2312" w:hAnsi="仿宋_GB2312" w:eastAsia="仿宋_GB2312" w:cs="仿宋_GB2312"/>
          <w:color w:val="auto"/>
          <w:sz w:val="32"/>
          <w:szCs w:val="32"/>
          <w:lang w:val="en-US" w:eastAsia="zh-CN"/>
        </w:rPr>
        <w:t xml:space="preserve">  根据关于印发《关于全面推进颐养之家建设工作方案》的通知 庐府办字（2023）36号文件安排</w:t>
      </w:r>
    </w:p>
    <w:p w14:paraId="34C2CB48">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实施主体</w:t>
      </w:r>
      <w:r>
        <w:rPr>
          <w:rFonts w:hint="eastAsia" w:ascii="仿宋_GB2312" w:hAnsi="仿宋_GB2312" w:eastAsia="仿宋_GB2312" w:cs="仿宋_GB2312"/>
          <w:color w:val="auto"/>
          <w:sz w:val="32"/>
          <w:szCs w:val="32"/>
          <w:lang w:val="en-US" w:eastAsia="zh-CN"/>
        </w:rPr>
        <w:t xml:space="preserve"> 庐山市民政局</w:t>
      </w:r>
    </w:p>
    <w:p w14:paraId="4D79D97E">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4）实施方案 确保资金及时足额拨付到位</w:t>
      </w:r>
    </w:p>
    <w:p w14:paraId="295C8F5F">
      <w:pPr>
        <w:ind w:firstLine="64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实施周期</w:t>
      </w:r>
      <w:r>
        <w:rPr>
          <w:rFonts w:hint="eastAsia" w:ascii="仿宋_GB2312" w:hAnsi="仿宋_GB2312" w:eastAsia="仿宋_GB2312" w:cs="仿宋_GB2312"/>
          <w:color w:val="auto"/>
          <w:sz w:val="32"/>
          <w:szCs w:val="32"/>
          <w:lang w:val="en-US" w:eastAsia="zh-CN"/>
        </w:rPr>
        <w:t xml:space="preserve"> 一年</w:t>
      </w:r>
    </w:p>
    <w:p w14:paraId="4AA8027D">
      <w:pPr>
        <w:widowControl/>
        <w:spacing w:line="580" w:lineRule="exact"/>
        <w:ind w:firstLine="636"/>
        <w:jc w:val="left"/>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6）年度预算安排</w:t>
      </w:r>
      <w:r>
        <w:rPr>
          <w:rFonts w:hint="eastAsia" w:ascii="仿宋_GB2312" w:hAnsi="仿宋_GB2312" w:eastAsia="仿宋_GB2312" w:cs="仿宋_GB2312"/>
          <w:color w:val="auto"/>
          <w:sz w:val="32"/>
          <w:szCs w:val="32"/>
          <w:lang w:val="en-US" w:eastAsia="zh-CN"/>
        </w:rPr>
        <w:t xml:space="preserve"> 本级财政预算安排120万元</w:t>
      </w:r>
    </w:p>
    <w:p w14:paraId="37CBBD26">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7F425DE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庐山市民政局</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3.5</w:t>
      </w:r>
      <w:r>
        <w:rPr>
          <w:rFonts w:hint="eastAsia" w:ascii="仿宋" w:hAnsi="仿宋" w:eastAsia="仿宋"/>
          <w:bCs/>
          <w:sz w:val="32"/>
          <w:szCs w:val="32"/>
        </w:rPr>
        <w:t>万元，其中：</w:t>
      </w:r>
    </w:p>
    <w:p w14:paraId="12EEC643">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06F9FC3E">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公务接待</w:t>
      </w:r>
      <w:r>
        <w:rPr>
          <w:rFonts w:hint="eastAsia" w:ascii="仿宋" w:hAnsi="仿宋" w:eastAsia="仿宋"/>
          <w:bCs/>
          <w:sz w:val="32"/>
          <w:szCs w:val="32"/>
          <w:lang w:val="en-US" w:eastAsia="zh-CN"/>
        </w:rPr>
        <w:t>3.5</w:t>
      </w:r>
      <w:r>
        <w:rPr>
          <w:rFonts w:ascii="仿宋" w:hAnsi="仿宋" w:eastAsia="仿宋"/>
          <w:bCs/>
          <w:sz w:val="32"/>
          <w:szCs w:val="32"/>
        </w:rPr>
        <w:t>万元,比上年</w:t>
      </w:r>
      <w:r>
        <w:rPr>
          <w:rFonts w:hint="eastAsia" w:ascii="仿宋" w:hAnsi="仿宋" w:eastAsia="仿宋"/>
          <w:bCs/>
          <w:sz w:val="32"/>
          <w:szCs w:val="32"/>
          <w:lang w:val="en-US" w:eastAsia="zh-CN"/>
        </w:rPr>
        <w:t>1.71</w:t>
      </w:r>
      <w:r>
        <w:rPr>
          <w:rFonts w:ascii="仿宋" w:hAnsi="仿宋" w:eastAsia="仿宋"/>
          <w:bCs/>
          <w:sz w:val="32"/>
          <w:szCs w:val="32"/>
        </w:rPr>
        <w:t>万元，主要原因是：</w:t>
      </w:r>
      <w:r>
        <w:rPr>
          <w:rFonts w:hint="eastAsia" w:ascii="仿宋" w:hAnsi="仿宋" w:eastAsia="仿宋"/>
          <w:bCs/>
          <w:sz w:val="32"/>
          <w:szCs w:val="32"/>
          <w:lang w:eastAsia="zh-CN"/>
        </w:rPr>
        <w:t>上年预算安排补助。</w:t>
      </w:r>
    </w:p>
    <w:p w14:paraId="36034E9F">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14676695">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14:paraId="38F3A3F8">
      <w:pPr>
        <w:widowControl/>
        <w:spacing w:line="580" w:lineRule="exact"/>
        <w:ind w:firstLine="636"/>
        <w:jc w:val="left"/>
        <w:rPr>
          <w:rStyle w:val="12"/>
          <w:rFonts w:hint="eastAsia" w:ascii="仿宋" w:hAnsi="仿宋" w:eastAsia="仿宋"/>
          <w:color w:val="FF0000"/>
          <w:sz w:val="32"/>
          <w:szCs w:val="32"/>
        </w:rPr>
      </w:pPr>
    </w:p>
    <w:p w14:paraId="744815BD">
      <w:pPr>
        <w:widowControl/>
        <w:spacing w:line="580" w:lineRule="exact"/>
        <w:ind w:firstLine="636"/>
        <w:jc w:val="left"/>
        <w:rPr>
          <w:rStyle w:val="12"/>
          <w:rFonts w:hint="eastAsia" w:ascii="仿宋" w:hAnsi="仿宋" w:eastAsia="仿宋"/>
          <w:color w:val="FF0000"/>
          <w:sz w:val="32"/>
          <w:szCs w:val="32"/>
        </w:rPr>
      </w:pPr>
    </w:p>
    <w:p w14:paraId="772CB917">
      <w:pPr>
        <w:widowControl/>
        <w:spacing w:line="580" w:lineRule="exact"/>
        <w:ind w:firstLine="636"/>
        <w:jc w:val="left"/>
        <w:rPr>
          <w:rStyle w:val="12"/>
          <w:rFonts w:hint="eastAsia" w:ascii="仿宋" w:hAnsi="仿宋" w:eastAsia="仿宋"/>
          <w:color w:val="FF0000"/>
          <w:sz w:val="32"/>
          <w:szCs w:val="32"/>
        </w:rPr>
      </w:pPr>
    </w:p>
    <w:p w14:paraId="5863A1D5">
      <w:pPr>
        <w:widowControl/>
        <w:spacing w:line="580" w:lineRule="exact"/>
        <w:ind w:firstLine="636"/>
        <w:jc w:val="left"/>
        <w:rPr>
          <w:rStyle w:val="12"/>
          <w:rFonts w:hint="eastAsia" w:ascii="仿宋" w:hAnsi="仿宋" w:eastAsia="仿宋"/>
          <w:color w:val="FF0000"/>
          <w:sz w:val="32"/>
          <w:szCs w:val="32"/>
        </w:rPr>
      </w:pPr>
    </w:p>
    <w:p w14:paraId="695C4837">
      <w:pPr>
        <w:widowControl/>
        <w:spacing w:line="580" w:lineRule="exact"/>
        <w:ind w:firstLine="636"/>
        <w:jc w:val="left"/>
        <w:rPr>
          <w:rStyle w:val="12"/>
          <w:rFonts w:hint="eastAsia" w:ascii="仿宋" w:hAnsi="仿宋" w:eastAsia="仿宋"/>
          <w:color w:val="FF0000"/>
          <w:sz w:val="32"/>
          <w:szCs w:val="32"/>
        </w:rPr>
      </w:pPr>
    </w:p>
    <w:p w14:paraId="713D84FB">
      <w:pPr>
        <w:widowControl/>
        <w:spacing w:line="580" w:lineRule="exact"/>
        <w:ind w:firstLine="636"/>
        <w:jc w:val="left"/>
        <w:rPr>
          <w:rStyle w:val="12"/>
          <w:rFonts w:hint="eastAsia" w:ascii="仿宋" w:hAnsi="仿宋" w:eastAsia="仿宋"/>
          <w:sz w:val="32"/>
          <w:szCs w:val="32"/>
        </w:rPr>
      </w:pPr>
    </w:p>
    <w:p w14:paraId="30EDEDE8">
      <w:pPr>
        <w:widowControl/>
        <w:spacing w:line="580" w:lineRule="exact"/>
        <w:ind w:firstLine="636"/>
        <w:jc w:val="left"/>
        <w:rPr>
          <w:rStyle w:val="12"/>
          <w:rFonts w:hint="eastAsia" w:ascii="仿宋" w:hAnsi="仿宋" w:eastAsia="仿宋"/>
          <w:sz w:val="32"/>
          <w:szCs w:val="32"/>
        </w:rPr>
      </w:pPr>
    </w:p>
    <w:p w14:paraId="065A42DB">
      <w:pPr>
        <w:widowControl/>
        <w:spacing w:line="580" w:lineRule="exact"/>
        <w:ind w:firstLine="636"/>
        <w:jc w:val="left"/>
        <w:rPr>
          <w:rStyle w:val="12"/>
          <w:rFonts w:hint="eastAsia" w:ascii="仿宋" w:hAnsi="仿宋" w:eastAsia="仿宋"/>
          <w:sz w:val="32"/>
          <w:szCs w:val="32"/>
        </w:rPr>
      </w:pPr>
    </w:p>
    <w:p w14:paraId="6BCC935F">
      <w:pPr>
        <w:widowControl/>
        <w:spacing w:line="580" w:lineRule="exact"/>
        <w:ind w:firstLine="636"/>
        <w:jc w:val="left"/>
        <w:rPr>
          <w:rStyle w:val="12"/>
          <w:rFonts w:hint="eastAsia" w:ascii="仿宋" w:hAnsi="仿宋" w:eastAsia="仿宋"/>
          <w:sz w:val="32"/>
          <w:szCs w:val="32"/>
        </w:rPr>
      </w:pPr>
    </w:p>
    <w:p w14:paraId="07BAAE30">
      <w:pPr>
        <w:widowControl/>
        <w:spacing w:line="580" w:lineRule="exact"/>
        <w:ind w:firstLine="636"/>
        <w:jc w:val="left"/>
        <w:rPr>
          <w:rStyle w:val="12"/>
          <w:rFonts w:hint="eastAsia" w:ascii="仿宋" w:hAnsi="仿宋" w:eastAsia="仿宋"/>
          <w:sz w:val="32"/>
          <w:szCs w:val="32"/>
        </w:rPr>
      </w:pPr>
    </w:p>
    <w:p w14:paraId="4457954D">
      <w:pPr>
        <w:widowControl/>
        <w:spacing w:line="580" w:lineRule="exact"/>
        <w:ind w:firstLine="636"/>
        <w:jc w:val="left"/>
        <w:rPr>
          <w:rStyle w:val="12"/>
          <w:rFonts w:ascii="仿宋" w:hAnsi="仿宋" w:eastAsia="仿宋"/>
          <w:sz w:val="32"/>
          <w:szCs w:val="32"/>
        </w:rPr>
      </w:pPr>
    </w:p>
    <w:p w14:paraId="686E9084">
      <w:pPr>
        <w:widowControl/>
        <w:shd w:val="clear" w:color="auto" w:fill="FFFFFF"/>
        <w:spacing w:line="640" w:lineRule="atLeast"/>
        <w:ind w:firstLine="640"/>
        <w:jc w:val="center"/>
        <w:rPr>
          <w:rFonts w:ascii="仿宋_GB2312" w:eastAsia="仿宋_GB2312"/>
          <w:b/>
          <w:sz w:val="32"/>
          <w:szCs w:val="30"/>
        </w:rPr>
      </w:pPr>
    </w:p>
    <w:p w14:paraId="5A479A70">
      <w:pPr>
        <w:widowControl/>
        <w:shd w:val="clear" w:color="auto" w:fill="FFFFFF"/>
        <w:spacing w:line="640" w:lineRule="atLeast"/>
        <w:ind w:firstLine="640"/>
        <w:jc w:val="center"/>
        <w:rPr>
          <w:rFonts w:ascii="仿宋_GB2312" w:eastAsia="仿宋_GB2312"/>
          <w:b/>
          <w:sz w:val="32"/>
          <w:szCs w:val="30"/>
        </w:rPr>
      </w:pPr>
    </w:p>
    <w:p w14:paraId="7CDB10B3">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776ADCA7">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48CA2C19">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00A95B14">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4D5278A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0EE89BC8">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6393CA62">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60B63501">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40EC02F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1EFFD561">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7C9C693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DFF50CC">
      <w:pPr>
        <w:ind w:firstLine="640" w:firstLineChars="200"/>
        <w:rPr>
          <w:rFonts w:ascii="Adobe 仿宋 Std R" w:hAnsi="Adobe 仿宋 Std R" w:eastAsia="Adobe 仿宋 Std R"/>
          <w:sz w:val="32"/>
          <w:szCs w:val="32"/>
        </w:rPr>
      </w:pPr>
    </w:p>
    <w:p w14:paraId="7ED7BEED">
      <w:pPr>
        <w:ind w:firstLine="640" w:firstLineChars="200"/>
        <w:rPr>
          <w:rFonts w:ascii="Adobe 仿宋 Std R" w:hAnsi="Adobe 仿宋 Std R" w:eastAsia="Adobe 仿宋 Std R"/>
          <w:sz w:val="32"/>
          <w:szCs w:val="32"/>
        </w:rPr>
      </w:pPr>
    </w:p>
    <w:p w14:paraId="12693AB7">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1CB029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5402F7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473296D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67C1053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67CC2E5F">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AA464B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759DF37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D40F14B">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480B6AD4">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517EE77">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D04E2">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U4ZjkyMmFiZGI2ZGFhZjQ2NjI0MzlkNjRmNGRmOWI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863068"/>
    <w:rsid w:val="03D856A7"/>
    <w:rsid w:val="067A6028"/>
    <w:rsid w:val="068F47B3"/>
    <w:rsid w:val="08EC3843"/>
    <w:rsid w:val="0A0925FF"/>
    <w:rsid w:val="0A3E4B4B"/>
    <w:rsid w:val="0C97247A"/>
    <w:rsid w:val="0D027DE7"/>
    <w:rsid w:val="0D1A7920"/>
    <w:rsid w:val="0D2269B3"/>
    <w:rsid w:val="0D947EA4"/>
    <w:rsid w:val="0DB3098E"/>
    <w:rsid w:val="12220323"/>
    <w:rsid w:val="13FB007C"/>
    <w:rsid w:val="16B036C0"/>
    <w:rsid w:val="1A705E7F"/>
    <w:rsid w:val="1ABF2D84"/>
    <w:rsid w:val="1E172FD7"/>
    <w:rsid w:val="1E491A3B"/>
    <w:rsid w:val="1F1F7406"/>
    <w:rsid w:val="206D0602"/>
    <w:rsid w:val="22430342"/>
    <w:rsid w:val="23977FB1"/>
    <w:rsid w:val="245C3447"/>
    <w:rsid w:val="25B931E9"/>
    <w:rsid w:val="28263441"/>
    <w:rsid w:val="2828673B"/>
    <w:rsid w:val="290B705B"/>
    <w:rsid w:val="29981D60"/>
    <w:rsid w:val="2B2339AC"/>
    <w:rsid w:val="2C57797E"/>
    <w:rsid w:val="304075B1"/>
    <w:rsid w:val="311C29BA"/>
    <w:rsid w:val="318814ED"/>
    <w:rsid w:val="31931AC3"/>
    <w:rsid w:val="3328400E"/>
    <w:rsid w:val="351512FA"/>
    <w:rsid w:val="374647FA"/>
    <w:rsid w:val="38E075A3"/>
    <w:rsid w:val="39A3581F"/>
    <w:rsid w:val="39CE49D8"/>
    <w:rsid w:val="3A841EE9"/>
    <w:rsid w:val="3A9F1A72"/>
    <w:rsid w:val="3ACF1B11"/>
    <w:rsid w:val="3B7D1841"/>
    <w:rsid w:val="3BA35A87"/>
    <w:rsid w:val="3BA6547C"/>
    <w:rsid w:val="3DD2151D"/>
    <w:rsid w:val="3E6246F2"/>
    <w:rsid w:val="3F383632"/>
    <w:rsid w:val="3FA910A9"/>
    <w:rsid w:val="3FF84E58"/>
    <w:rsid w:val="4052753A"/>
    <w:rsid w:val="41737C65"/>
    <w:rsid w:val="41C6103E"/>
    <w:rsid w:val="42870EE0"/>
    <w:rsid w:val="42DC038C"/>
    <w:rsid w:val="45D833CA"/>
    <w:rsid w:val="464E5AFF"/>
    <w:rsid w:val="4D7247FE"/>
    <w:rsid w:val="4DB628F2"/>
    <w:rsid w:val="4E0D4F31"/>
    <w:rsid w:val="4EFF051F"/>
    <w:rsid w:val="528E6F80"/>
    <w:rsid w:val="53516268"/>
    <w:rsid w:val="54147AD3"/>
    <w:rsid w:val="55924F68"/>
    <w:rsid w:val="55CB1E8A"/>
    <w:rsid w:val="55EE43AE"/>
    <w:rsid w:val="569811D4"/>
    <w:rsid w:val="56C47F55"/>
    <w:rsid w:val="573A53AA"/>
    <w:rsid w:val="5AB93E8B"/>
    <w:rsid w:val="5EA31F07"/>
    <w:rsid w:val="5EDA0640"/>
    <w:rsid w:val="5F193B70"/>
    <w:rsid w:val="61D17BB5"/>
    <w:rsid w:val="61E31A71"/>
    <w:rsid w:val="62283DE4"/>
    <w:rsid w:val="63E33020"/>
    <w:rsid w:val="656229B9"/>
    <w:rsid w:val="658856FB"/>
    <w:rsid w:val="67293E22"/>
    <w:rsid w:val="67B10C38"/>
    <w:rsid w:val="67DC7D34"/>
    <w:rsid w:val="68E97589"/>
    <w:rsid w:val="69305598"/>
    <w:rsid w:val="6996102A"/>
    <w:rsid w:val="6BE248E5"/>
    <w:rsid w:val="6C617282"/>
    <w:rsid w:val="6CCB135B"/>
    <w:rsid w:val="6EAF555B"/>
    <w:rsid w:val="6EDB6140"/>
    <w:rsid w:val="6F2C7111"/>
    <w:rsid w:val="6FAA30AD"/>
    <w:rsid w:val="714A36AC"/>
    <w:rsid w:val="71AF11DD"/>
    <w:rsid w:val="72746F20"/>
    <w:rsid w:val="73543105"/>
    <w:rsid w:val="73A85115"/>
    <w:rsid w:val="759E1500"/>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autoRedefine/>
    <w:qFormat/>
    <w:uiPriority w:val="0"/>
    <w:rPr>
      <w:color w:val="0000FF"/>
      <w:u w:val="single"/>
    </w:rPr>
  </w:style>
  <w:style w:type="character" w:customStyle="1" w:styleId="9">
    <w:name w:val="页眉 Char"/>
    <w:basedOn w:val="7"/>
    <w:link w:val="5"/>
    <w:autoRedefine/>
    <w:qFormat/>
    <w:uiPriority w:val="99"/>
    <w:rPr>
      <w:sz w:val="18"/>
      <w:szCs w:val="18"/>
    </w:rPr>
  </w:style>
  <w:style w:type="character" w:customStyle="1" w:styleId="10">
    <w:name w:val="页脚 Char"/>
    <w:basedOn w:val="7"/>
    <w:link w:val="4"/>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13080</Words>
  <Characters>14057</Characters>
  <Lines>53</Lines>
  <Paragraphs>15</Paragraphs>
  <TotalTime>14</TotalTime>
  <ScaleCrop>false</ScaleCrop>
  <LinksUpToDate>false</LinksUpToDate>
  <CharactersWithSpaces>14389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再见如初</cp:lastModifiedBy>
  <dcterms:modified xsi:type="dcterms:W3CDTF">2025-08-27T07:55:38Z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71ECD1639C7F45DE85E3DE8D80F2018C</vt:lpwstr>
  </property>
  <property fmtid="{D5CDD505-2E9C-101B-9397-08002B2CF9AE}" pid="4" name="KSOTemplateDocerSaveRecord">
    <vt:lpwstr>eyJoZGlkIjoiN2QxNmM4ZmI1ZGU5MzUxODk1NjNiZmI1YTc1MzU5MGMiLCJ1c2VySWQiOiIzNjE3ODEzNjEifQ==</vt:lpwstr>
  </property>
</Properties>
</file>