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F4F5D">
      <w:pPr>
        <w:widowControl/>
        <w:spacing w:line="520" w:lineRule="atLeast"/>
        <w:ind w:firstLine="1325" w:firstLineChars="30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庐山市蓼南中学2024年</w:t>
      </w:r>
      <w:r>
        <w:rPr>
          <w:rFonts w:hint="eastAsia" w:ascii="黑体" w:hAnsi="黑体" w:eastAsia="黑体" w:cs="Times New Roman"/>
          <w:b/>
          <w:bCs/>
          <w:color w:val="000000" w:themeColor="text1"/>
          <w:kern w:val="0"/>
          <w:sz w:val="44"/>
          <w:szCs w:val="44"/>
        </w:rPr>
        <w:t>单位预算</w:t>
      </w:r>
    </w:p>
    <w:p w14:paraId="0AD35E21">
      <w:pPr>
        <w:pStyle w:val="14"/>
        <w:spacing w:line="600" w:lineRule="atLeast"/>
        <w:jc w:val="center"/>
        <w:rPr>
          <w:rFonts w:ascii="黑体" w:hAnsi="黑体" w:eastAsia="黑体"/>
          <w:color w:val="000000"/>
          <w:sz w:val="32"/>
          <w:szCs w:val="32"/>
        </w:rPr>
      </w:pPr>
    </w:p>
    <w:p w14:paraId="51452BC8">
      <w:pPr>
        <w:pStyle w:val="14"/>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94FE103">
      <w:pPr>
        <w:pStyle w:val="14"/>
        <w:rPr>
          <w:rFonts w:ascii="宋体" w:hAnsi="宋体"/>
          <w:color w:val="000000"/>
        </w:rPr>
      </w:pPr>
    </w:p>
    <w:p w14:paraId="0B76FF3D">
      <w:pPr>
        <w:pStyle w:val="14"/>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庐山市蓼南中学概况</w:t>
      </w:r>
      <w:r>
        <w:rPr>
          <w:rFonts w:ascii="仿宋_GB2312" w:eastAsia="仿宋_GB2312"/>
          <w:b/>
          <w:bCs/>
          <w:color w:val="000000"/>
          <w:sz w:val="32"/>
          <w:szCs w:val="32"/>
        </w:rPr>
        <w:tab/>
      </w:r>
    </w:p>
    <w:p w14:paraId="68B09899">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一、单位</w:t>
      </w:r>
      <w:bookmarkStart w:id="0" w:name="_GoBack"/>
      <w:bookmarkEnd w:id="0"/>
      <w:r>
        <w:rPr>
          <w:rFonts w:hint="eastAsia" w:ascii="仿宋_GB2312" w:eastAsia="仿宋_GB2312"/>
          <w:b w:val="0"/>
          <w:bCs w:val="0"/>
          <w:color w:val="000000"/>
          <w:sz w:val="32"/>
          <w:szCs w:val="32"/>
        </w:rPr>
        <w:t>主要职责</w:t>
      </w:r>
    </w:p>
    <w:p w14:paraId="588DBDF9">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二、机构设置及人员情况</w:t>
      </w:r>
    </w:p>
    <w:p w14:paraId="2C094833">
      <w:pPr>
        <w:pStyle w:val="14"/>
        <w:tabs>
          <w:tab w:val="right" w:pos="8306"/>
        </w:tabs>
        <w:spacing w:line="600" w:lineRule="atLeast"/>
        <w:ind w:firstLine="640"/>
        <w:jc w:val="left"/>
        <w:rPr>
          <w:rFonts w:hint="eastAsia" w:ascii="方正仿宋_GB2312" w:hAnsi="方正仿宋_GB2312" w:eastAsia="方正仿宋_GB2312" w:cs="方正仿宋_GB2312"/>
          <w:b/>
          <w:bCs/>
          <w:color w:val="000000"/>
          <w:sz w:val="32"/>
          <w:szCs w:val="32"/>
        </w:rPr>
      </w:pPr>
      <w:r>
        <w:rPr>
          <w:rFonts w:hint="eastAsia" w:ascii="仿宋_GB2312" w:eastAsia="仿宋_GB2312"/>
          <w:b/>
          <w:bCs/>
          <w:color w:val="000000"/>
          <w:sz w:val="32"/>
          <w:szCs w:val="32"/>
        </w:rPr>
        <w:t>第二部分  庐山市蓼南中学2024年单位预算表</w:t>
      </w:r>
    </w:p>
    <w:p w14:paraId="42FA5EA6">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一、《收支预算总表》</w:t>
      </w:r>
    </w:p>
    <w:p w14:paraId="564A0553">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二、《单位收入总表》</w:t>
      </w:r>
    </w:p>
    <w:p w14:paraId="3A87456B">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三、《单位支出总表》</w:t>
      </w:r>
    </w:p>
    <w:p w14:paraId="375393DA">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四、《财政拨款收支总表》</w:t>
      </w:r>
    </w:p>
    <w:p w14:paraId="50AC96F2">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五、《一般公共预算支出表》</w:t>
      </w:r>
    </w:p>
    <w:p w14:paraId="6011CF03">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六、《一般公共预算基本支出表》</w:t>
      </w:r>
    </w:p>
    <w:p w14:paraId="29E86A4E">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七、《财政拨款“三公”经费支出表》</w:t>
      </w:r>
    </w:p>
    <w:p w14:paraId="53F83A72">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八、《政府性基金预算支出表》</w:t>
      </w:r>
    </w:p>
    <w:p w14:paraId="7163C458">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九、《国有资本经营预算支出表》</w:t>
      </w:r>
      <w:r>
        <w:rPr>
          <w:rFonts w:hint="eastAsia" w:ascii="仿宋_GB2312" w:eastAsia="仿宋_GB2312"/>
          <w:b w:val="0"/>
          <w:bCs w:val="0"/>
          <w:color w:val="000000"/>
          <w:sz w:val="32"/>
          <w:szCs w:val="32"/>
        </w:rPr>
        <w:tab/>
      </w:r>
    </w:p>
    <w:p w14:paraId="5B502586">
      <w:pPr>
        <w:pStyle w:val="14"/>
        <w:spacing w:line="600" w:lineRule="atLeast"/>
        <w:ind w:firstLine="1292" w:firstLineChars="404"/>
        <w:jc w:val="left"/>
        <w:rPr>
          <w:rFonts w:hint="eastAsia" w:ascii="方正仿宋_GB2312" w:hAnsi="方正仿宋_GB2312" w:eastAsia="方正仿宋_GB2312" w:cs="方正仿宋_GB2312"/>
          <w:kern w:val="2"/>
          <w:sz w:val="32"/>
          <w:szCs w:val="30"/>
        </w:rPr>
      </w:pPr>
      <w:r>
        <w:rPr>
          <w:rFonts w:hint="eastAsia" w:ascii="仿宋_GB2312" w:eastAsia="仿宋_GB2312"/>
          <w:b w:val="0"/>
          <w:bCs w:val="0"/>
          <w:color w:val="000000"/>
          <w:sz w:val="32"/>
          <w:szCs w:val="32"/>
        </w:rPr>
        <w:t>十、《项目绩效目标表》</w:t>
      </w:r>
    </w:p>
    <w:p w14:paraId="271BFF46">
      <w:pPr>
        <w:pStyle w:val="14"/>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第三部分 庐山市蓼南中学</w:t>
      </w:r>
      <w:r>
        <w:rPr>
          <w:rFonts w:hint="eastAsia" w:ascii="仿宋_GB2312" w:eastAsia="仿宋_GB2312"/>
          <w:b/>
          <w:bCs/>
          <w:color w:val="000000"/>
          <w:sz w:val="32"/>
          <w:szCs w:val="32"/>
        </w:rPr>
        <w:t>2024年单位预算情况说明</w:t>
      </w:r>
    </w:p>
    <w:p w14:paraId="50BFCBF6">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一、2024年单位预算收支情况说明</w:t>
      </w:r>
    </w:p>
    <w:p w14:paraId="145C616B">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二、2024年“三公”经费预算情况说明</w:t>
      </w:r>
    </w:p>
    <w:p w14:paraId="36638A73">
      <w:pPr>
        <w:pStyle w:val="14"/>
        <w:spacing w:line="600" w:lineRule="atLeast"/>
        <w:ind w:firstLine="640"/>
        <w:jc w:val="left"/>
        <w:rPr>
          <w:rFonts w:hint="eastAsia" w:ascii="仿宋_GB2312" w:eastAsia="仿宋_GB2312"/>
          <w:b w:val="0"/>
          <w:bCs w:val="0"/>
          <w:color w:val="000000"/>
          <w:sz w:val="32"/>
          <w:szCs w:val="32"/>
        </w:rPr>
      </w:pPr>
    </w:p>
    <w:p w14:paraId="2721572A">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540A0EB6">
      <w:pPr>
        <w:widowControl/>
        <w:spacing w:line="580" w:lineRule="exact"/>
        <w:jc w:val="center"/>
        <w:rPr>
          <w:rFonts w:ascii="仿宋_GB2312" w:eastAsia="仿宋_GB2312"/>
          <w:b/>
          <w:sz w:val="32"/>
          <w:szCs w:val="30"/>
        </w:rPr>
      </w:pPr>
    </w:p>
    <w:p w14:paraId="6C8CEB42">
      <w:pPr>
        <w:widowControl/>
        <w:spacing w:line="580" w:lineRule="exact"/>
        <w:jc w:val="center"/>
        <w:rPr>
          <w:rFonts w:ascii="仿宋_GB2312" w:eastAsia="仿宋_GB2312"/>
          <w:b/>
          <w:sz w:val="32"/>
          <w:szCs w:val="30"/>
        </w:rPr>
      </w:pPr>
    </w:p>
    <w:p w14:paraId="1687BCC1">
      <w:pPr>
        <w:pStyle w:val="14"/>
        <w:spacing w:line="600" w:lineRule="atLeast"/>
        <w:ind w:firstLine="1937" w:firstLineChars="603"/>
        <w:jc w:val="left"/>
        <w:rPr>
          <w:rFonts w:hint="eastAsia" w:ascii="仿宋_GB2312" w:eastAsia="仿宋_GB2312"/>
          <w:b/>
          <w:bCs/>
          <w:color w:val="000000"/>
          <w:sz w:val="32"/>
          <w:szCs w:val="32"/>
        </w:rPr>
      </w:pPr>
      <w:r>
        <w:rPr>
          <w:rFonts w:hint="eastAsia" w:ascii="仿宋_GB2312" w:eastAsia="仿宋_GB2312"/>
          <w:b/>
          <w:bCs/>
          <w:color w:val="000000"/>
          <w:sz w:val="32"/>
          <w:szCs w:val="32"/>
        </w:rPr>
        <w:t>第一部分  庐山市蓼南中学概况</w:t>
      </w:r>
    </w:p>
    <w:p w14:paraId="42CE2AB5">
      <w:pPr>
        <w:widowControl/>
        <w:spacing w:line="580" w:lineRule="exact"/>
        <w:jc w:val="left"/>
        <w:rPr>
          <w:rFonts w:asciiTheme="minorEastAsia" w:hAnsiTheme="minorEastAsia"/>
          <w:b/>
          <w:sz w:val="36"/>
          <w:szCs w:val="36"/>
        </w:rPr>
      </w:pPr>
    </w:p>
    <w:p w14:paraId="48D5C535">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D3DE183">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庐山市蓼南中学是一所公办义务教育初级中学，主要职责是：</w:t>
      </w:r>
    </w:p>
    <w:p w14:paraId="72638EC8">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（一）贯彻落实党的教育和体育工作的方针、政策、法律和法规，研究市片区内初级教育改革发展重大问题，综合指导、协调和管理市片区内的教育体育工作。</w:t>
      </w:r>
    </w:p>
    <w:p w14:paraId="6C007323">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（二）编制市片区内初等教育事业发展规划、计划的实施，指导市片内办学体制改革，理顺教育内部和外部的关系，建立适应市片内经济社会发展的教育体制及运营机制。</w:t>
      </w:r>
    </w:p>
    <w:p w14:paraId="438F2F9E">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（三）综合管理市片区内初级教育及社会力量办学工作，指导和管理市片区内的初等教育教学工作，负责教育督导与评估。</w:t>
      </w:r>
    </w:p>
    <w:p w14:paraId="0D3D5FCC">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（四）负责推进教育均衡发展和促进教育公平，全面实施素质教育。统筹管理市片区内教育系统对外交流工作。</w:t>
      </w:r>
    </w:p>
    <w:p w14:paraId="2B4EF9AB">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五）负责全校教师队伍建设和教师继续教育工作；负责教师管理工作，组织实施教师资格制度；负责管理语言文字工作；指导和组织推广普通话和规范汉字书写工作；参与拟订初等教育编制、人事管理、工资福利、收入分配的有关政策；承担教师资格认定申报工作；负责对发展教育事业做出突出贡献者进行奖励；指导大中专院校毕业生就业工作。</w:t>
      </w:r>
    </w:p>
    <w:p w14:paraId="6C626235">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六）统筹管理本部门及全市片区内教育经费，会同有关部门拟定筹措教育经费、教育基建投资的规划，按有关规定管理中央、省、市对全市片区内的教育拨、贷款及捐赠资金，监督测评全市片区内初等教育经费的筹措和使用管理情况。</w:t>
      </w:r>
    </w:p>
    <w:p w14:paraId="46FA13FE">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（七）归口管理全市片区内的初中教育工作。</w:t>
      </w:r>
    </w:p>
    <w:p w14:paraId="6A679DCA">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（八）协助有关部门指导全市初级中学的思想政治工作、德育工作、体育卫生艺术教育及国防教育工作，统筹协调学校的安全稳定工作。</w:t>
      </w:r>
    </w:p>
    <w:p w14:paraId="1A0E4309">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（九）指导全市片区内教育宣传、教育系统信息化建设和现代远程教育及校园网络建设工作。承担全市片区内教育基本信息的统计、分析和发布。</w:t>
      </w:r>
    </w:p>
    <w:p w14:paraId="77DCC5E4">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（十）统筹规划竞技体育发展，竟技运动项目设置与重点布局。组织安排各类赛事。</w:t>
      </w:r>
    </w:p>
    <w:p w14:paraId="5C346FC9">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（十一）实施全民健身计划，指导群众性体育活动的发展，实施国家体育锻炼标准，开展国民体质监测；加强社区体育工作，正确引导群众的健身活动；负责全市片区内体育社团资格审定和健身气功管理工作；</w:t>
      </w:r>
    </w:p>
    <w:p w14:paraId="67082AC4">
      <w:pPr>
        <w:pStyle w:val="14"/>
        <w:spacing w:line="600" w:lineRule="atLeast"/>
        <w:ind w:firstLine="1292" w:firstLineChars="404"/>
        <w:jc w:val="left"/>
        <w:rPr>
          <w:rFonts w:ascii="宋体" w:hAnsi="宋体" w:eastAsia="宋体" w:cs="宋体"/>
          <w:kern w:val="0"/>
          <w:sz w:val="28"/>
          <w:szCs w:val="28"/>
        </w:rPr>
      </w:pPr>
      <w:r>
        <w:rPr>
          <w:rFonts w:hint="eastAsia" w:ascii="仿宋_GB2312" w:eastAsia="仿宋_GB2312"/>
          <w:b w:val="0"/>
          <w:bCs w:val="0"/>
          <w:color w:val="000000"/>
          <w:sz w:val="32"/>
          <w:szCs w:val="32"/>
        </w:rPr>
        <w:t>（十二）承办市政府交办的其他工作</w:t>
      </w:r>
      <w:r>
        <w:rPr>
          <w:rFonts w:hint="eastAsia" w:ascii="Adobe 仿宋 Std R" w:hAnsi="Adobe 仿宋 Std R" w:eastAsia="Adobe 仿宋 Std R" w:cstheme="minorBidi"/>
          <w:kern w:val="2"/>
          <w:sz w:val="32"/>
          <w:szCs w:val="30"/>
        </w:rPr>
        <w:t>。</w:t>
      </w:r>
    </w:p>
    <w:p w14:paraId="69D7451B">
      <w:pPr>
        <w:rPr>
          <w:b/>
          <w:sz w:val="36"/>
          <w:szCs w:val="36"/>
        </w:rPr>
      </w:pPr>
      <w:r>
        <w:rPr>
          <w:rFonts w:hint="eastAsia"/>
          <w:b/>
          <w:sz w:val="36"/>
          <w:szCs w:val="36"/>
        </w:rPr>
        <w:t>二、机构设置及人员情况</w:t>
      </w:r>
    </w:p>
    <w:p w14:paraId="0EC092E9">
      <w:pPr>
        <w:pStyle w:val="14"/>
        <w:spacing w:line="600" w:lineRule="atLeast"/>
        <w:ind w:firstLine="1292" w:firstLineChars="404"/>
        <w:jc w:val="left"/>
        <w:rPr>
          <w:rFonts w:hint="eastAsia" w:ascii="仿宋_GB2312" w:eastAsia="仿宋_GB2312"/>
          <w:b w:val="0"/>
          <w:bCs w:val="0"/>
          <w:color w:val="000000"/>
          <w:sz w:val="32"/>
          <w:szCs w:val="32"/>
        </w:rPr>
      </w:pPr>
      <w:r>
        <w:rPr>
          <w:rFonts w:hint="eastAsia" w:ascii="仿宋_GB2312" w:eastAsia="仿宋_GB2312"/>
          <w:b w:val="0"/>
          <w:bCs w:val="0"/>
          <w:color w:val="000000"/>
          <w:sz w:val="32"/>
          <w:szCs w:val="32"/>
        </w:rPr>
        <w:t>2024年庐山市蓼南中学内设处室</w:t>
      </w:r>
      <w:r>
        <w:rPr>
          <w:rFonts w:hint="eastAsia" w:ascii="仿宋_GB2312" w:eastAsia="仿宋_GB2312"/>
          <w:b w:val="0"/>
          <w:bCs w:val="0"/>
          <w:color w:val="000000"/>
          <w:sz w:val="32"/>
          <w:szCs w:val="32"/>
          <w:u w:val="single"/>
        </w:rPr>
        <w:t>4</w:t>
      </w:r>
      <w:r>
        <w:rPr>
          <w:rFonts w:hint="eastAsia" w:ascii="仿宋_GB2312" w:eastAsia="仿宋_GB2312"/>
          <w:b w:val="0"/>
          <w:bCs w:val="0"/>
          <w:color w:val="000000"/>
          <w:sz w:val="32"/>
          <w:szCs w:val="32"/>
        </w:rPr>
        <w:t>个，包括：教务处、德育处、总务处、保卫科。</w:t>
      </w:r>
    </w:p>
    <w:p w14:paraId="3D784997">
      <w:pPr>
        <w:pStyle w:val="14"/>
        <w:spacing w:line="600" w:lineRule="atLeast"/>
        <w:ind w:firstLine="1292" w:firstLineChars="404"/>
        <w:jc w:val="left"/>
        <w:rPr>
          <w:rFonts w:ascii="仿宋" w:hAnsi="仿宋" w:eastAsia="仿宋"/>
          <w:sz w:val="32"/>
          <w:szCs w:val="32"/>
        </w:rPr>
      </w:pPr>
      <w:r>
        <w:rPr>
          <w:rFonts w:hint="eastAsia" w:ascii="仿宋_GB2312" w:eastAsia="仿宋_GB2312"/>
          <w:b w:val="0"/>
          <w:bCs w:val="0"/>
          <w:color w:val="000000"/>
          <w:sz w:val="32"/>
          <w:szCs w:val="32"/>
        </w:rPr>
        <w:fldChar w:fldCharType="begin"/>
      </w:r>
      <w:r>
        <w:rPr>
          <w:rFonts w:hint="eastAsia" w:ascii="仿宋_GB2312" w:eastAsia="仿宋_GB2312"/>
          <w:b w:val="0"/>
          <w:bCs w:val="0"/>
          <w:color w:val="000000"/>
          <w:sz w:val="32"/>
          <w:szCs w:val="32"/>
        </w:rPr>
        <w:instrText xml:space="preserve">MERGEFIELD ${page540426799.ds376136392_REP_JX_BAS_AGENCY_INFO_DXQRSDW_S_BZRSXJ}</w:instrText>
      </w:r>
      <w:r>
        <w:rPr>
          <w:rFonts w:hint="eastAsia" w:ascii="仿宋_GB2312" w:eastAsia="仿宋_GB2312"/>
          <w:b w:val="0"/>
          <w:bCs w:val="0"/>
          <w:color w:val="000000"/>
          <w:sz w:val="32"/>
          <w:szCs w:val="32"/>
        </w:rPr>
        <w:fldChar w:fldCharType="separate"/>
      </w:r>
      <w:r>
        <w:rPr>
          <w:rFonts w:hint="eastAsia" w:ascii="仿宋_GB2312" w:eastAsia="仿宋_GB2312"/>
          <w:b w:val="0"/>
          <w:bCs w:val="0"/>
          <w:color w:val="000000"/>
          <w:sz w:val="32"/>
          <w:szCs w:val="32"/>
        </w:rPr>
        <w:t>编制人数小计</w:t>
      </w:r>
      <w:r>
        <w:rPr>
          <w:rFonts w:hint="eastAsia" w:ascii="仿宋_GB2312" w:eastAsia="仿宋_GB2312"/>
          <w:b w:val="0"/>
          <w:bCs w:val="0"/>
          <w:color w:val="000000"/>
          <w:sz w:val="32"/>
          <w:szCs w:val="32"/>
          <w:u w:val="single"/>
        </w:rPr>
        <w:t>18</w:t>
      </w:r>
      <w:r>
        <w:rPr>
          <w:rFonts w:hint="eastAsia" w:ascii="仿宋_GB2312" w:eastAsia="仿宋_GB2312"/>
          <w:b w:val="0"/>
          <w:bCs w:val="0"/>
          <w:color w:val="000000"/>
          <w:sz w:val="32"/>
          <w:szCs w:val="32"/>
        </w:rPr>
        <w:t>人,</w:t>
      </w:r>
      <w:r>
        <w:rPr>
          <w:rFonts w:hint="eastAsia" w:ascii="仿宋_GB2312" w:eastAsia="仿宋_GB2312"/>
          <w:b w:val="0"/>
          <w:bCs w:val="0"/>
          <w:color w:val="000000"/>
          <w:sz w:val="32"/>
          <w:szCs w:val="32"/>
        </w:rPr>
        <w:fldChar w:fldCharType="end"/>
      </w:r>
      <w:r>
        <w:rPr>
          <w:rFonts w:hint="eastAsia" w:ascii="仿宋_GB2312" w:eastAsia="仿宋_GB2312"/>
          <w:b w:val="0"/>
          <w:bCs w:val="0"/>
          <w:color w:val="000000"/>
          <w:sz w:val="32"/>
          <w:szCs w:val="32"/>
        </w:rPr>
        <w:t>其中：</w:t>
      </w:r>
      <w:r>
        <w:rPr>
          <w:rFonts w:hint="eastAsia" w:ascii="仿宋_GB2312" w:eastAsia="仿宋_GB2312"/>
          <w:b w:val="0"/>
          <w:bCs w:val="0"/>
          <w:color w:val="000000"/>
          <w:sz w:val="32"/>
          <w:szCs w:val="32"/>
        </w:rPr>
        <w:fldChar w:fldCharType="begin"/>
      </w:r>
      <w:r>
        <w:rPr>
          <w:rFonts w:hint="eastAsia" w:ascii="仿宋_GB2312" w:eastAsia="仿宋_GB2312"/>
          <w:b w:val="0"/>
          <w:bCs w:val="0"/>
          <w:color w:val="000000"/>
          <w:sz w:val="32"/>
          <w:szCs w:val="32"/>
        </w:rPr>
        <w:instrText xml:space="preserve">MERGEFIELD ${page540426799.ds376136392_REP_JX_BAS_AGENCY_INFO_DXQRSDW_S_BZRSMX}</w:instrText>
      </w:r>
      <w:r>
        <w:rPr>
          <w:rFonts w:hint="eastAsia" w:ascii="仿宋_GB2312" w:eastAsia="仿宋_GB2312"/>
          <w:b w:val="0"/>
          <w:bCs w:val="0"/>
          <w:color w:val="000000"/>
          <w:sz w:val="32"/>
          <w:szCs w:val="32"/>
        </w:rPr>
        <w:fldChar w:fldCharType="separate"/>
      </w:r>
      <w:r>
        <w:rPr>
          <w:rFonts w:hint="eastAsia" w:ascii="仿宋_GB2312" w:eastAsia="仿宋_GB2312"/>
          <w:b w:val="0"/>
          <w:bCs w:val="0"/>
          <w:color w:val="000000"/>
          <w:sz w:val="32"/>
          <w:szCs w:val="32"/>
        </w:rPr>
        <w:t>行政编制人数</w:t>
      </w:r>
      <w:r>
        <w:rPr>
          <w:rFonts w:hint="eastAsia" w:ascii="仿宋_GB2312" w:eastAsia="仿宋_GB2312"/>
          <w:b w:val="0"/>
          <w:bCs w:val="0"/>
          <w:color w:val="000000"/>
          <w:sz w:val="32"/>
          <w:szCs w:val="32"/>
          <w:u w:val="single"/>
        </w:rPr>
        <w:t>0</w:t>
      </w:r>
      <w:r>
        <w:rPr>
          <w:rFonts w:hint="eastAsia" w:ascii="仿宋_GB2312" w:eastAsia="仿宋_GB2312"/>
          <w:b w:val="0"/>
          <w:bCs w:val="0"/>
          <w:color w:val="000000"/>
          <w:sz w:val="32"/>
          <w:szCs w:val="32"/>
        </w:rPr>
        <w:t>人。</w:t>
      </w:r>
      <w:r>
        <w:rPr>
          <w:rFonts w:hint="eastAsia" w:ascii="仿宋_GB2312" w:eastAsia="仿宋_GB2312"/>
          <w:b w:val="0"/>
          <w:bCs w:val="0"/>
          <w:color w:val="000000"/>
          <w:sz w:val="32"/>
          <w:szCs w:val="32"/>
        </w:rPr>
        <w:fldChar w:fldCharType="end"/>
      </w:r>
      <w:r>
        <w:rPr>
          <w:rFonts w:hint="eastAsia" w:ascii="仿宋_GB2312" w:eastAsia="仿宋_GB2312"/>
          <w:b w:val="0"/>
          <w:bCs w:val="0"/>
          <w:color w:val="000000"/>
          <w:sz w:val="32"/>
          <w:szCs w:val="32"/>
        </w:rPr>
        <w:fldChar w:fldCharType="begin"/>
      </w:r>
      <w:r>
        <w:rPr>
          <w:rFonts w:hint="eastAsia" w:ascii="仿宋_GB2312" w:eastAsia="仿宋_GB2312"/>
          <w:b w:val="0"/>
          <w:bCs w:val="0"/>
          <w:color w:val="000000"/>
          <w:sz w:val="32"/>
          <w:szCs w:val="32"/>
        </w:rPr>
        <w:instrText xml:space="preserve">MERGEFIELD ${page540426799.ds376136392_REP_JX_BAS_AGENCY_INFO_DXQRSDW_S_SYRSXJ}</w:instrText>
      </w:r>
      <w:r>
        <w:rPr>
          <w:rFonts w:hint="eastAsia" w:ascii="仿宋_GB2312" w:eastAsia="仿宋_GB2312"/>
          <w:b w:val="0"/>
          <w:bCs w:val="0"/>
          <w:color w:val="000000"/>
          <w:sz w:val="32"/>
          <w:szCs w:val="32"/>
        </w:rPr>
        <w:fldChar w:fldCharType="separate"/>
      </w:r>
      <w:r>
        <w:rPr>
          <w:rFonts w:hint="eastAsia" w:ascii="仿宋_GB2312" w:eastAsia="仿宋_GB2312"/>
          <w:b w:val="0"/>
          <w:bCs w:val="0"/>
          <w:color w:val="000000"/>
          <w:sz w:val="32"/>
          <w:szCs w:val="32"/>
        </w:rPr>
        <w:t>实有人数小计</w:t>
      </w:r>
      <w:r>
        <w:rPr>
          <w:rFonts w:hint="eastAsia" w:ascii="仿宋_GB2312" w:eastAsia="仿宋_GB2312"/>
          <w:b w:val="0"/>
          <w:bCs w:val="0"/>
          <w:color w:val="000000"/>
          <w:sz w:val="32"/>
          <w:szCs w:val="32"/>
          <w:u w:val="single"/>
        </w:rPr>
        <w:t>18</w:t>
      </w:r>
      <w:r>
        <w:rPr>
          <w:rFonts w:hint="eastAsia" w:ascii="仿宋_GB2312" w:eastAsia="仿宋_GB2312"/>
          <w:b w:val="0"/>
          <w:bCs w:val="0"/>
          <w:color w:val="000000"/>
          <w:sz w:val="32"/>
          <w:szCs w:val="32"/>
        </w:rPr>
        <w:t>人,</w:t>
      </w:r>
      <w:r>
        <w:rPr>
          <w:rFonts w:hint="eastAsia" w:ascii="仿宋_GB2312" w:eastAsia="仿宋_GB2312"/>
          <w:b w:val="0"/>
          <w:bCs w:val="0"/>
          <w:color w:val="000000"/>
          <w:sz w:val="32"/>
          <w:szCs w:val="32"/>
        </w:rPr>
        <w:fldChar w:fldCharType="end"/>
      </w:r>
      <w:r>
        <w:rPr>
          <w:rFonts w:hint="eastAsia" w:ascii="仿宋_GB2312" w:eastAsia="仿宋_GB2312"/>
          <w:b w:val="0"/>
          <w:bCs w:val="0"/>
          <w:color w:val="000000"/>
          <w:sz w:val="32"/>
          <w:szCs w:val="32"/>
        </w:rPr>
        <w:t>其中：</w:t>
      </w:r>
      <w:r>
        <w:rPr>
          <w:rFonts w:hint="eastAsia" w:ascii="仿宋_GB2312" w:eastAsia="仿宋_GB2312"/>
          <w:b w:val="0"/>
          <w:bCs w:val="0"/>
          <w:color w:val="000000"/>
          <w:sz w:val="32"/>
          <w:szCs w:val="32"/>
        </w:rPr>
        <w:fldChar w:fldCharType="begin"/>
      </w:r>
      <w:r>
        <w:rPr>
          <w:rFonts w:hint="eastAsia" w:ascii="仿宋_GB2312" w:eastAsia="仿宋_GB2312"/>
          <w:b w:val="0"/>
          <w:bCs w:val="0"/>
          <w:color w:val="000000"/>
          <w:sz w:val="32"/>
          <w:szCs w:val="32"/>
        </w:rPr>
        <w:instrText xml:space="preserve">MERGEFIELD ${page540426799.ds376136392_REP_JX_BAS_AGENCY_INFO_DXQRSDW_S_ZZRSXJ}</w:instrText>
      </w:r>
      <w:r>
        <w:rPr>
          <w:rFonts w:hint="eastAsia" w:ascii="仿宋_GB2312" w:eastAsia="仿宋_GB2312"/>
          <w:b w:val="0"/>
          <w:bCs w:val="0"/>
          <w:color w:val="000000"/>
          <w:sz w:val="32"/>
          <w:szCs w:val="32"/>
        </w:rPr>
        <w:fldChar w:fldCharType="separate"/>
      </w:r>
      <w:r>
        <w:rPr>
          <w:rFonts w:hint="eastAsia" w:ascii="仿宋_GB2312" w:eastAsia="仿宋_GB2312"/>
          <w:b w:val="0"/>
          <w:bCs w:val="0"/>
          <w:color w:val="000000"/>
          <w:sz w:val="32"/>
          <w:szCs w:val="32"/>
        </w:rPr>
        <w:t>在职人数小计</w:t>
      </w:r>
      <w:r>
        <w:rPr>
          <w:rFonts w:hint="eastAsia" w:ascii="仿宋_GB2312" w:eastAsia="仿宋_GB2312"/>
          <w:b w:val="0"/>
          <w:bCs w:val="0"/>
          <w:color w:val="000000"/>
          <w:sz w:val="32"/>
          <w:szCs w:val="32"/>
          <w:u w:val="single"/>
        </w:rPr>
        <w:t>18</w:t>
      </w:r>
      <w:r>
        <w:rPr>
          <w:rFonts w:hint="eastAsia" w:ascii="仿宋_GB2312" w:eastAsia="仿宋_GB2312"/>
          <w:b w:val="0"/>
          <w:bCs w:val="0"/>
          <w:color w:val="000000"/>
          <w:sz w:val="32"/>
          <w:szCs w:val="32"/>
        </w:rPr>
        <w:t>人,</w:t>
      </w:r>
      <w:r>
        <w:rPr>
          <w:rFonts w:hint="eastAsia" w:ascii="仿宋_GB2312" w:eastAsia="仿宋_GB2312"/>
          <w:b w:val="0"/>
          <w:bCs w:val="0"/>
          <w:color w:val="000000"/>
          <w:sz w:val="32"/>
          <w:szCs w:val="32"/>
        </w:rPr>
        <w:fldChar w:fldCharType="end"/>
      </w:r>
      <w:r>
        <w:rPr>
          <w:rFonts w:hint="eastAsia" w:ascii="仿宋_GB2312" w:eastAsia="仿宋_GB2312"/>
          <w:b w:val="0"/>
          <w:bCs w:val="0"/>
          <w:color w:val="000000"/>
          <w:sz w:val="32"/>
          <w:szCs w:val="32"/>
        </w:rPr>
        <w:fldChar w:fldCharType="begin"/>
      </w:r>
      <w:r>
        <w:rPr>
          <w:rFonts w:hint="eastAsia" w:ascii="仿宋_GB2312" w:eastAsia="仿宋_GB2312"/>
          <w:b w:val="0"/>
          <w:bCs w:val="0"/>
          <w:color w:val="000000"/>
          <w:sz w:val="32"/>
          <w:szCs w:val="32"/>
        </w:rPr>
        <w:instrText xml:space="preserve">MERGEFIELD ${page540426799.ds376136392_REP_JX_BAS_AGENCY_INFO_DXQRSDW_S_ZZRSMX}</w:instrText>
      </w:r>
      <w:r>
        <w:rPr>
          <w:rFonts w:hint="eastAsia" w:ascii="仿宋_GB2312" w:eastAsia="仿宋_GB2312"/>
          <w:b w:val="0"/>
          <w:bCs w:val="0"/>
          <w:color w:val="000000"/>
          <w:sz w:val="32"/>
          <w:szCs w:val="32"/>
        </w:rPr>
        <w:fldChar w:fldCharType="separate"/>
      </w:r>
      <w:r>
        <w:rPr>
          <w:rFonts w:hint="eastAsia" w:ascii="仿宋_GB2312" w:eastAsia="仿宋_GB2312"/>
          <w:b w:val="0"/>
          <w:bCs w:val="0"/>
          <w:color w:val="000000"/>
          <w:sz w:val="32"/>
          <w:szCs w:val="32"/>
        </w:rPr>
        <w:t>行政在职人数</w:t>
      </w:r>
      <w:r>
        <w:rPr>
          <w:rFonts w:hint="eastAsia" w:ascii="仿宋_GB2312" w:eastAsia="仿宋_GB2312"/>
          <w:b w:val="0"/>
          <w:bCs w:val="0"/>
          <w:color w:val="000000"/>
          <w:sz w:val="32"/>
          <w:szCs w:val="32"/>
          <w:u w:val="single"/>
        </w:rPr>
        <w:t>0</w:t>
      </w:r>
      <w:r>
        <w:rPr>
          <w:rFonts w:hint="eastAsia" w:ascii="仿宋_GB2312" w:eastAsia="仿宋_GB2312"/>
          <w:b w:val="0"/>
          <w:bCs w:val="0"/>
          <w:color w:val="000000"/>
          <w:sz w:val="32"/>
          <w:szCs w:val="32"/>
        </w:rPr>
        <w:t>人。</w:t>
      </w:r>
      <w:r>
        <w:rPr>
          <w:rFonts w:hint="eastAsia" w:ascii="仿宋_GB2312" w:eastAsia="仿宋_GB2312"/>
          <w:b w:val="0"/>
          <w:bCs w:val="0"/>
          <w:color w:val="000000"/>
          <w:sz w:val="32"/>
          <w:szCs w:val="32"/>
        </w:rPr>
        <w:fldChar w:fldCharType="end"/>
      </w:r>
      <w:r>
        <w:rPr>
          <w:rFonts w:hint="eastAsia" w:ascii="仿宋_GB2312" w:eastAsia="仿宋_GB2312"/>
          <w:b w:val="0"/>
          <w:bCs w:val="0"/>
          <w:color w:val="000000"/>
          <w:sz w:val="32"/>
          <w:szCs w:val="32"/>
        </w:rPr>
        <w:fldChar w:fldCharType="begin"/>
      </w:r>
      <w:r>
        <w:rPr>
          <w:rFonts w:hint="eastAsia" w:ascii="仿宋_GB2312" w:eastAsia="仿宋_GB2312"/>
          <w:b w:val="0"/>
          <w:bCs w:val="0"/>
          <w:color w:val="000000"/>
          <w:sz w:val="32"/>
          <w:szCs w:val="32"/>
        </w:rPr>
        <w:instrText xml:space="preserve">MERGEFIELD ${page540426799.ds376136392_REP_JX_BAS_AGENCY_INFO_DXQRSDW_S_QTRSMX}</w:instrText>
      </w:r>
      <w:r>
        <w:rPr>
          <w:rFonts w:hint="eastAsia" w:ascii="仿宋_GB2312" w:eastAsia="仿宋_GB2312"/>
          <w:b w:val="0"/>
          <w:bCs w:val="0"/>
          <w:color w:val="000000"/>
          <w:sz w:val="32"/>
          <w:szCs w:val="32"/>
        </w:rPr>
        <w:fldChar w:fldCharType="separate"/>
      </w:r>
      <w:r>
        <w:rPr>
          <w:rFonts w:hint="eastAsia" w:ascii="仿宋_GB2312" w:eastAsia="仿宋_GB2312"/>
          <w:b w:val="0"/>
          <w:bCs w:val="0"/>
          <w:color w:val="000000"/>
          <w:sz w:val="32"/>
          <w:szCs w:val="32"/>
        </w:rPr>
        <w:t>离休人数小计</w:t>
      </w:r>
      <w:r>
        <w:rPr>
          <w:rFonts w:hint="eastAsia" w:ascii="仿宋_GB2312" w:eastAsia="仿宋_GB2312"/>
          <w:b w:val="0"/>
          <w:bCs w:val="0"/>
          <w:color w:val="000000"/>
          <w:sz w:val="32"/>
          <w:szCs w:val="32"/>
          <w:u w:val="single"/>
        </w:rPr>
        <w:t>0</w:t>
      </w:r>
      <w:r>
        <w:rPr>
          <w:rFonts w:hint="eastAsia" w:ascii="仿宋_GB2312" w:eastAsia="仿宋_GB2312"/>
          <w:b w:val="0"/>
          <w:bCs w:val="0"/>
          <w:color w:val="000000"/>
          <w:sz w:val="32"/>
          <w:szCs w:val="32"/>
        </w:rPr>
        <w:t>人,退休人数小计</w:t>
      </w:r>
      <w:r>
        <w:rPr>
          <w:rFonts w:hint="eastAsia" w:ascii="仿宋_GB2312" w:eastAsia="仿宋_GB2312"/>
          <w:b w:val="0"/>
          <w:bCs w:val="0"/>
          <w:color w:val="000000"/>
          <w:sz w:val="32"/>
          <w:szCs w:val="32"/>
          <w:u w:val="single"/>
        </w:rPr>
        <w:t>12</w:t>
      </w:r>
      <w:r>
        <w:rPr>
          <w:rFonts w:hint="eastAsia" w:ascii="仿宋_GB2312" w:eastAsia="仿宋_GB2312"/>
          <w:b w:val="0"/>
          <w:bCs w:val="0"/>
          <w:color w:val="000000"/>
          <w:sz w:val="32"/>
          <w:szCs w:val="32"/>
        </w:rPr>
        <w:t>人,遗属人数</w:t>
      </w:r>
      <w:r>
        <w:rPr>
          <w:rFonts w:hint="eastAsia" w:ascii="仿宋_GB2312" w:eastAsia="仿宋_GB2312"/>
          <w:b w:val="0"/>
          <w:bCs w:val="0"/>
          <w:color w:val="000000"/>
          <w:sz w:val="32"/>
          <w:szCs w:val="32"/>
          <w:u w:val="single"/>
        </w:rPr>
        <w:t>4</w:t>
      </w:r>
      <w:r>
        <w:rPr>
          <w:rFonts w:hint="eastAsia" w:ascii="仿宋_GB2312" w:eastAsia="仿宋_GB2312"/>
          <w:b w:val="0"/>
          <w:bCs w:val="0"/>
          <w:color w:val="000000"/>
          <w:sz w:val="32"/>
          <w:szCs w:val="32"/>
        </w:rPr>
        <w:t>人，民师退养人员</w:t>
      </w:r>
      <w:r>
        <w:rPr>
          <w:rFonts w:hint="eastAsia" w:ascii="仿宋_GB2312" w:eastAsia="仿宋_GB2312"/>
          <w:b w:val="0"/>
          <w:bCs w:val="0"/>
          <w:color w:val="000000"/>
          <w:sz w:val="32"/>
          <w:szCs w:val="32"/>
          <w:u w:val="single"/>
        </w:rPr>
        <w:t>1</w:t>
      </w:r>
      <w:r>
        <w:rPr>
          <w:rFonts w:hint="eastAsia" w:ascii="仿宋_GB2312" w:eastAsia="仿宋_GB2312"/>
          <w:b w:val="0"/>
          <w:bCs w:val="0"/>
          <w:color w:val="000000"/>
          <w:sz w:val="32"/>
          <w:szCs w:val="32"/>
        </w:rPr>
        <w:t>人。</w:t>
      </w:r>
      <w:r>
        <w:rPr>
          <w:rFonts w:hint="eastAsia" w:ascii="仿宋_GB2312" w:eastAsia="仿宋_GB2312"/>
          <w:b w:val="0"/>
          <w:bCs w:val="0"/>
          <w:color w:val="000000"/>
          <w:sz w:val="32"/>
          <w:szCs w:val="32"/>
        </w:rPr>
        <w:fldChar w:fldCharType="end"/>
      </w:r>
    </w:p>
    <w:p w14:paraId="421A969F">
      <w:pPr>
        <w:widowControl/>
        <w:spacing w:line="580" w:lineRule="exact"/>
        <w:jc w:val="center"/>
        <w:rPr>
          <w:rFonts w:ascii="仿宋_GB2312" w:eastAsia="仿宋_GB2312"/>
          <w:b/>
          <w:szCs w:val="30"/>
        </w:rPr>
      </w:pPr>
    </w:p>
    <w:p w14:paraId="146410C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 w:hAnsi="仿宋" w:eastAsia="仿宋" w:cs="仿宋"/>
          <w:b/>
          <w:bCs/>
          <w:sz w:val="32"/>
          <w:szCs w:val="32"/>
        </w:rPr>
        <w:t>庐山市蓼南中学</w:t>
      </w:r>
      <w:r>
        <w:rPr>
          <w:rFonts w:hint="eastAsia" w:ascii="仿宋_GB2312" w:eastAsia="仿宋_GB2312"/>
          <w:b/>
          <w:sz w:val="32"/>
          <w:szCs w:val="30"/>
        </w:rPr>
        <w:t>2024年单位预算表</w:t>
      </w:r>
    </w:p>
    <w:p w14:paraId="4B6AA577">
      <w:pPr>
        <w:pStyle w:val="14"/>
        <w:spacing w:line="600" w:lineRule="atLeast"/>
        <w:ind w:firstLine="1120" w:firstLineChars="35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（详见附表）</w:t>
      </w:r>
    </w:p>
    <w:p w14:paraId="565AFDE9"/>
    <w:p w14:paraId="7CB63328"/>
    <w:p w14:paraId="20A51B18"/>
    <w:p w14:paraId="6E712DBE"/>
    <w:p w14:paraId="47C4A8E2">
      <w:pPr>
        <w:tabs>
          <w:tab w:val="left" w:pos="741"/>
        </w:tabs>
        <w:jc w:val="left"/>
      </w:pPr>
    </w:p>
    <w:p w14:paraId="758C1767">
      <w:pPr>
        <w:ind w:firstLine="420" w:firstLineChars="200"/>
        <w:jc w:val="left"/>
        <w:rPr>
          <w:rFonts w:ascii="仿宋" w:hAnsi="仿宋" w:eastAsia="仿宋"/>
          <w:bCs/>
          <w:sz w:val="32"/>
          <w:szCs w:val="32"/>
        </w:rPr>
      </w:pPr>
      <w:r>
        <w:drawing>
          <wp:inline distT="0" distB="0" distL="114300" distR="114300">
            <wp:extent cx="5264785" cy="8918575"/>
            <wp:effectExtent l="0" t="0" r="1206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4785" cy="8918575"/>
                    </a:xfrm>
                    <a:prstGeom prst="rect">
                      <a:avLst/>
                    </a:prstGeom>
                    <a:noFill/>
                    <a:ln>
                      <a:noFill/>
                    </a:ln>
                  </pic:spPr>
                </pic:pic>
              </a:graphicData>
            </a:graphic>
          </wp:inline>
        </w:drawing>
      </w:r>
      <w:r>
        <w:drawing>
          <wp:inline distT="0" distB="0" distL="114300" distR="114300">
            <wp:extent cx="5271135" cy="2967355"/>
            <wp:effectExtent l="0" t="0" r="571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1135" cy="2967355"/>
                    </a:xfrm>
                    <a:prstGeom prst="rect">
                      <a:avLst/>
                    </a:prstGeom>
                    <a:noFill/>
                    <a:ln>
                      <a:noFill/>
                    </a:ln>
                  </pic:spPr>
                </pic:pic>
              </a:graphicData>
            </a:graphic>
          </wp:inline>
        </w:drawing>
      </w:r>
      <w:r>
        <w:drawing>
          <wp:inline distT="0" distB="0" distL="114300" distR="114300">
            <wp:extent cx="5273040" cy="5765165"/>
            <wp:effectExtent l="0" t="0" r="381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73040" cy="5765165"/>
                    </a:xfrm>
                    <a:prstGeom prst="rect">
                      <a:avLst/>
                    </a:prstGeom>
                    <a:noFill/>
                    <a:ln>
                      <a:noFill/>
                    </a:ln>
                  </pic:spPr>
                </pic:pic>
              </a:graphicData>
            </a:graphic>
          </wp:inline>
        </w:drawing>
      </w:r>
      <w:r>
        <w:drawing>
          <wp:inline distT="0" distB="0" distL="114300" distR="114300">
            <wp:extent cx="5262880" cy="8699500"/>
            <wp:effectExtent l="0" t="0" r="1397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62880" cy="8699500"/>
                    </a:xfrm>
                    <a:prstGeom prst="rect">
                      <a:avLst/>
                    </a:prstGeom>
                    <a:noFill/>
                    <a:ln>
                      <a:noFill/>
                    </a:ln>
                  </pic:spPr>
                </pic:pic>
              </a:graphicData>
            </a:graphic>
          </wp:inline>
        </w:drawing>
      </w:r>
      <w:r>
        <w:drawing>
          <wp:inline distT="0" distB="0" distL="114300" distR="114300">
            <wp:extent cx="5270500" cy="3858260"/>
            <wp:effectExtent l="0" t="0" r="635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70500" cy="3858260"/>
                    </a:xfrm>
                    <a:prstGeom prst="rect">
                      <a:avLst/>
                    </a:prstGeom>
                    <a:noFill/>
                    <a:ln>
                      <a:noFill/>
                    </a:ln>
                  </pic:spPr>
                </pic:pic>
              </a:graphicData>
            </a:graphic>
          </wp:inline>
        </w:drawing>
      </w:r>
      <w:r>
        <w:drawing>
          <wp:inline distT="0" distB="0" distL="114300" distR="114300">
            <wp:extent cx="5265420" cy="3400425"/>
            <wp:effectExtent l="0" t="0" r="11430"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65420" cy="3400425"/>
                    </a:xfrm>
                    <a:prstGeom prst="rect">
                      <a:avLst/>
                    </a:prstGeom>
                    <a:noFill/>
                    <a:ln>
                      <a:noFill/>
                    </a:ln>
                  </pic:spPr>
                </pic:pic>
              </a:graphicData>
            </a:graphic>
          </wp:inline>
        </w:drawing>
      </w:r>
      <w:r>
        <w:drawing>
          <wp:inline distT="0" distB="0" distL="114300" distR="114300">
            <wp:extent cx="5260975" cy="1200785"/>
            <wp:effectExtent l="0" t="0" r="15875" b="1841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1"/>
                    <a:stretch>
                      <a:fillRect/>
                    </a:stretch>
                  </pic:blipFill>
                  <pic:spPr>
                    <a:xfrm>
                      <a:off x="0" y="0"/>
                      <a:ext cx="5260975" cy="1200785"/>
                    </a:xfrm>
                    <a:prstGeom prst="rect">
                      <a:avLst/>
                    </a:prstGeom>
                    <a:noFill/>
                    <a:ln>
                      <a:noFill/>
                    </a:ln>
                  </pic:spPr>
                </pic:pic>
              </a:graphicData>
            </a:graphic>
          </wp:inline>
        </w:drawing>
      </w:r>
      <w:r>
        <w:drawing>
          <wp:inline distT="0" distB="0" distL="114300" distR="114300">
            <wp:extent cx="5266690" cy="1189990"/>
            <wp:effectExtent l="0" t="0" r="10160" b="1016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12"/>
                    <a:stretch>
                      <a:fillRect/>
                    </a:stretch>
                  </pic:blipFill>
                  <pic:spPr>
                    <a:xfrm>
                      <a:off x="0" y="0"/>
                      <a:ext cx="5266690" cy="1189990"/>
                    </a:xfrm>
                    <a:prstGeom prst="rect">
                      <a:avLst/>
                    </a:prstGeom>
                    <a:noFill/>
                    <a:ln>
                      <a:noFill/>
                    </a:ln>
                  </pic:spPr>
                </pic:pic>
              </a:graphicData>
            </a:graphic>
          </wp:inline>
        </w:drawing>
      </w:r>
      <w:r>
        <w:drawing>
          <wp:inline distT="0" distB="0" distL="114300" distR="114300">
            <wp:extent cx="5266690" cy="1327785"/>
            <wp:effectExtent l="0" t="0" r="10160" b="5715"/>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13"/>
                    <a:stretch>
                      <a:fillRect/>
                    </a:stretch>
                  </pic:blipFill>
                  <pic:spPr>
                    <a:xfrm>
                      <a:off x="0" y="0"/>
                      <a:ext cx="5266690" cy="1327785"/>
                    </a:xfrm>
                    <a:prstGeom prst="rect">
                      <a:avLst/>
                    </a:prstGeom>
                    <a:noFill/>
                    <a:ln>
                      <a:noFill/>
                    </a:ln>
                  </pic:spPr>
                </pic:pic>
              </a:graphicData>
            </a:graphic>
          </wp:inline>
        </w:drawing>
      </w:r>
    </w:p>
    <w:p w14:paraId="5F22D934">
      <w:pPr>
        <w:widowControl/>
        <w:rPr>
          <w:rFonts w:ascii="仿宋_GB2312" w:hAnsi="Calibri" w:eastAsia="仿宋_GB2312" w:cs="宋体"/>
          <w:b/>
          <w:kern w:val="0"/>
          <w:sz w:val="32"/>
          <w:szCs w:val="32"/>
        </w:rPr>
      </w:pPr>
    </w:p>
    <w:p w14:paraId="2AD7E326">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 w:hAnsi="仿宋" w:eastAsia="仿宋" w:cs="仿宋"/>
          <w:b/>
          <w:bCs/>
          <w:sz w:val="32"/>
          <w:szCs w:val="32"/>
        </w:rPr>
        <w:t>庐山市蓼南中学</w:t>
      </w:r>
      <w:r>
        <w:rPr>
          <w:rFonts w:hint="eastAsia" w:ascii="仿宋_GB2312" w:eastAsia="仿宋_GB2312"/>
          <w:b/>
          <w:sz w:val="32"/>
          <w:szCs w:val="30"/>
        </w:rPr>
        <w:t>2024年单位预算情况说明</w:t>
      </w:r>
    </w:p>
    <w:p w14:paraId="5D26720B">
      <w:pPr>
        <w:widowControl/>
        <w:spacing w:line="580" w:lineRule="exact"/>
        <w:jc w:val="center"/>
        <w:rPr>
          <w:rFonts w:ascii="仿宋_GB2312" w:eastAsia="仿宋_GB2312"/>
          <w:b/>
          <w:sz w:val="32"/>
          <w:szCs w:val="30"/>
        </w:rPr>
      </w:pPr>
    </w:p>
    <w:p w14:paraId="26D06F33">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408EBCDF">
      <w:pPr>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(一)收入预算情况</w:t>
      </w:r>
    </w:p>
    <w:p w14:paraId="5AB36082">
      <w:pPr>
        <w:pStyle w:val="14"/>
        <w:spacing w:line="600" w:lineRule="atLeast"/>
        <w:ind w:firstLine="1292" w:firstLineChars="404"/>
        <w:jc w:val="left"/>
        <w:rPr>
          <w:rFonts w:hint="eastAsia" w:ascii="仿宋_GB2312" w:eastAsia="仿宋_GB2312"/>
          <w:b w:val="0"/>
          <w:bCs w:val="0"/>
          <w:color w:val="000000"/>
          <w:sz w:val="32"/>
          <w:szCs w:val="32"/>
          <w:lang w:val="en-US" w:eastAsia="zh-CN"/>
        </w:rPr>
      </w:pPr>
      <w:r>
        <w:rPr>
          <w:rFonts w:hint="eastAsia" w:ascii="仿宋_GB2312" w:eastAsia="仿宋_GB2312"/>
          <w:b w:val="0"/>
          <w:bCs w:val="0"/>
          <w:color w:val="000000"/>
          <w:sz w:val="32"/>
          <w:szCs w:val="32"/>
          <w:lang w:val="en-US" w:eastAsia="zh-CN"/>
        </w:rPr>
        <w:t>2024年庐山市蓼南中学</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${page540426799.ds254512694_V_BGT_DEP_INCOME_DXQDW01_ZJ}</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收入预算总额为</w:t>
      </w:r>
      <w:r>
        <w:rPr>
          <w:rFonts w:hint="eastAsia" w:ascii="仿宋_GB2312" w:eastAsia="仿宋_GB2312"/>
          <w:b w:val="0"/>
          <w:bCs w:val="0"/>
          <w:color w:val="000000"/>
          <w:sz w:val="32"/>
          <w:szCs w:val="32"/>
          <w:u w:val="single"/>
          <w:lang w:val="en-US" w:eastAsia="zh-CN"/>
        </w:rPr>
        <w:t>390.25</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67.34</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${page540426799.ds254512694_V_BGT_DEP_INCOME_DXQDW01_SRXMMX}</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财政拨款收入</w:t>
      </w:r>
      <w:r>
        <w:rPr>
          <w:rFonts w:hint="eastAsia" w:ascii="仿宋_GB2312" w:eastAsia="仿宋_GB2312"/>
          <w:b w:val="0"/>
          <w:bCs w:val="0"/>
          <w:color w:val="000000"/>
          <w:sz w:val="32"/>
          <w:szCs w:val="32"/>
          <w:u w:val="single"/>
          <w:lang w:val="en-US" w:eastAsia="zh-CN"/>
        </w:rPr>
        <w:t>356.79</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29.09</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r>
        <w:rPr>
          <w:rFonts w:hint="eastAsia" w:ascii="仿宋_GB2312" w:eastAsia="仿宋_GB2312"/>
          <w:b w:val="0"/>
          <w:bCs w:val="0"/>
          <w:color w:val="000000"/>
          <w:sz w:val="32"/>
          <w:szCs w:val="32"/>
          <w:lang w:val="en-US" w:eastAsia="zh-CN"/>
        </w:rPr>
        <w:t>减少是由于2023年社保基数补扣等原因。</w:t>
      </w:r>
    </w:p>
    <w:p w14:paraId="61C27A53">
      <w:pPr>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(二)支出预算情况</w:t>
      </w:r>
    </w:p>
    <w:p w14:paraId="43B08E5D">
      <w:pPr>
        <w:pStyle w:val="14"/>
        <w:spacing w:line="600" w:lineRule="atLeast"/>
        <w:ind w:firstLine="1292" w:firstLineChars="404"/>
        <w:jc w:val="left"/>
        <w:rPr>
          <w:rFonts w:hint="eastAsia" w:ascii="仿宋_GB2312" w:eastAsia="仿宋_GB2312"/>
          <w:b w:val="0"/>
          <w:bCs w:val="0"/>
          <w:color w:val="000000"/>
          <w:sz w:val="32"/>
          <w:szCs w:val="32"/>
          <w:lang w:val="en-US" w:eastAsia="zh-CN"/>
        </w:rPr>
      </w:pPr>
      <w:r>
        <w:rPr>
          <w:rFonts w:hint="eastAsia" w:ascii="仿宋_GB2312" w:eastAsia="仿宋_GB2312"/>
          <w:b w:val="0"/>
          <w:bCs w:val="0"/>
          <w:color w:val="000000"/>
          <w:sz w:val="32"/>
          <w:szCs w:val="32"/>
          <w:lang w:val="en-US" w:eastAsia="zh-CN"/>
        </w:rPr>
        <w:t>2024年庐山市蓼南中学</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${page540426799.ds357974894_REP_BGT_T_HC1100002019_DXQ02DW_S_ZJ}</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支出预算总额为</w:t>
      </w:r>
      <w:r>
        <w:rPr>
          <w:rFonts w:hint="eastAsia" w:ascii="仿宋_GB2312" w:eastAsia="仿宋_GB2312"/>
          <w:b w:val="0"/>
          <w:bCs w:val="0"/>
          <w:color w:val="000000"/>
          <w:sz w:val="32"/>
          <w:szCs w:val="32"/>
          <w:u w:val="single"/>
          <w:lang w:val="en-US" w:eastAsia="zh-CN"/>
        </w:rPr>
        <w:t>390.25</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67.34</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r>
        <w:rPr>
          <w:rFonts w:hint="eastAsia" w:ascii="仿宋_GB2312" w:eastAsia="仿宋_GB2312"/>
          <w:b w:val="0"/>
          <w:bCs w:val="0"/>
          <w:color w:val="000000"/>
          <w:sz w:val="32"/>
          <w:szCs w:val="32"/>
          <w:lang w:val="en-US" w:eastAsia="zh-CN"/>
        </w:rPr>
        <w:t>减少是由于</w:t>
      </w:r>
      <w:r>
        <w:rPr>
          <w:rFonts w:hint="eastAsia" w:ascii="仿宋_GB2312" w:eastAsia="仿宋_GB2312"/>
          <w:b w:val="0"/>
          <w:bCs w:val="0"/>
          <w:color w:val="000000"/>
          <w:sz w:val="32"/>
          <w:szCs w:val="32"/>
          <w:u w:val="single"/>
          <w:lang w:val="en-US" w:eastAsia="zh-CN"/>
        </w:rPr>
        <w:t>2023</w:t>
      </w:r>
      <w:r>
        <w:rPr>
          <w:rFonts w:hint="eastAsia" w:ascii="仿宋_GB2312" w:eastAsia="仿宋_GB2312"/>
          <w:b w:val="0"/>
          <w:bCs w:val="0"/>
          <w:color w:val="000000"/>
          <w:sz w:val="32"/>
          <w:szCs w:val="32"/>
          <w:lang w:val="en-US" w:eastAsia="zh-CN"/>
        </w:rPr>
        <w:t>年社保基数补扣等原因。</w:t>
      </w:r>
    </w:p>
    <w:p w14:paraId="723509DB">
      <w:pPr>
        <w:pStyle w:val="14"/>
        <w:spacing w:line="600" w:lineRule="atLeast"/>
        <w:ind w:firstLine="1292" w:firstLineChars="404"/>
        <w:jc w:val="left"/>
        <w:rPr>
          <w:rFonts w:hint="eastAsia" w:ascii="Adobe 仿宋 Std R" w:hAnsi="Adobe 仿宋 Std R" w:eastAsia="Adobe 仿宋 Std R" w:cstheme="minorBidi"/>
          <w:kern w:val="2"/>
          <w:sz w:val="32"/>
          <w:szCs w:val="30"/>
          <w:lang w:val="en-US" w:eastAsia="zh-CN" w:bidi="ar-SA"/>
        </w:rPr>
      </w:pPr>
      <w:r>
        <w:rPr>
          <w:rFonts w:hint="eastAsia" w:ascii="仿宋_GB2312" w:eastAsia="仿宋_GB2312"/>
          <w:b w:val="0"/>
          <w:bCs w:val="0"/>
          <w:color w:val="000000"/>
          <w:sz w:val="32"/>
          <w:szCs w:val="32"/>
          <w:lang w:val="en-US" w:eastAsia="zh-CN"/>
        </w:rPr>
        <w:t>其中：按支出项目类别划分：</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${page540426799.ds357974894_REP_BGT_T_HC1100002019_DXQ02DW_JBZCQK}</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基本支出</w:t>
      </w:r>
      <w:r>
        <w:rPr>
          <w:rFonts w:hint="eastAsia" w:ascii="仿宋_GB2312" w:eastAsia="仿宋_GB2312"/>
          <w:b w:val="0"/>
          <w:bCs w:val="0"/>
          <w:color w:val="000000"/>
          <w:sz w:val="32"/>
          <w:szCs w:val="32"/>
          <w:u w:val="single"/>
          <w:lang w:val="en-US" w:eastAsia="zh-CN"/>
        </w:rPr>
        <w:t>355.71</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30.17</w:t>
      </w:r>
      <w:r>
        <w:rPr>
          <w:rFonts w:hint="eastAsia" w:ascii="仿宋_GB2312" w:eastAsia="仿宋_GB2312"/>
          <w:b w:val="0"/>
          <w:bCs w:val="0"/>
          <w:color w:val="000000"/>
          <w:sz w:val="32"/>
          <w:szCs w:val="32"/>
          <w:lang w:val="en-US" w:eastAsia="zh-CN"/>
        </w:rPr>
        <w:t>万元;其中：工资福利支出</w:t>
      </w:r>
      <w:r>
        <w:rPr>
          <w:rFonts w:hint="eastAsia" w:ascii="仿宋_GB2312" w:eastAsia="仿宋_GB2312"/>
          <w:b w:val="0"/>
          <w:bCs w:val="0"/>
          <w:color w:val="000000"/>
          <w:sz w:val="32"/>
          <w:szCs w:val="32"/>
          <w:u w:val="single"/>
          <w:lang w:val="en-US" w:eastAsia="zh-CN"/>
        </w:rPr>
        <w:t>351.18</w:t>
      </w:r>
      <w:r>
        <w:rPr>
          <w:rFonts w:hint="eastAsia" w:ascii="仿宋_GB2312" w:eastAsia="仿宋_GB2312"/>
          <w:b w:val="0"/>
          <w:bCs w:val="0"/>
          <w:color w:val="000000"/>
          <w:sz w:val="32"/>
          <w:szCs w:val="32"/>
          <w:lang w:val="en-US" w:eastAsia="zh-CN"/>
        </w:rPr>
        <w:t>万元,商品和服务支出</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万元,对个人和家庭的补助</w:t>
      </w:r>
      <w:r>
        <w:rPr>
          <w:rFonts w:hint="eastAsia" w:ascii="仿宋_GB2312" w:eastAsia="仿宋_GB2312"/>
          <w:b w:val="0"/>
          <w:bCs w:val="0"/>
          <w:color w:val="000000"/>
          <w:sz w:val="32"/>
          <w:szCs w:val="32"/>
          <w:u w:val="single"/>
          <w:lang w:val="en-US" w:eastAsia="zh-CN"/>
        </w:rPr>
        <w:t>4.52</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${page540426799.ds357974894_REP_BGT_T_HC1100002019_DXQ02DW_XMZCQK}</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项目支出</w:t>
      </w:r>
      <w:r>
        <w:rPr>
          <w:rFonts w:hint="eastAsia" w:ascii="仿宋_GB2312" w:eastAsia="仿宋_GB2312"/>
          <w:b w:val="0"/>
          <w:bCs w:val="0"/>
          <w:color w:val="000000"/>
          <w:sz w:val="32"/>
          <w:szCs w:val="32"/>
          <w:u w:val="single"/>
          <w:lang w:val="en-US" w:eastAsia="zh-CN"/>
        </w:rPr>
        <w:t>1.08</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70.63</w:t>
      </w:r>
      <w:r>
        <w:rPr>
          <w:rFonts w:hint="eastAsia" w:ascii="仿宋_GB2312" w:eastAsia="仿宋_GB2312"/>
          <w:b w:val="0"/>
          <w:bCs w:val="0"/>
          <w:color w:val="000000"/>
          <w:sz w:val="32"/>
          <w:szCs w:val="32"/>
          <w:lang w:val="en-US" w:eastAsia="zh-CN"/>
        </w:rPr>
        <w:t>万元;其中：商品和服务支出</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万元,资本性支出</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p>
    <w:p w14:paraId="22FA3D58">
      <w:pPr>
        <w:pStyle w:val="14"/>
        <w:spacing w:line="600" w:lineRule="atLeast"/>
        <w:ind w:firstLine="1292" w:firstLineChars="404"/>
        <w:jc w:val="left"/>
        <w:rPr>
          <w:rFonts w:hint="eastAsia" w:ascii="仿宋_GB2312" w:eastAsia="仿宋_GB2312"/>
          <w:b w:val="0"/>
          <w:bCs w:val="0"/>
          <w:color w:val="000000"/>
          <w:sz w:val="32"/>
          <w:szCs w:val="32"/>
          <w:lang w:val="en-US" w:eastAsia="zh-CN"/>
        </w:rPr>
      </w:pPr>
      <w:r>
        <w:rPr>
          <w:rFonts w:hint="eastAsia" w:ascii="仿宋_GB2312" w:eastAsia="仿宋_GB2312"/>
          <w:b w:val="0"/>
          <w:bCs w:val="0"/>
          <w:color w:val="000000"/>
          <w:sz w:val="32"/>
          <w:szCs w:val="32"/>
          <w:lang w:val="en-US" w:eastAsia="zh-CN"/>
        </w:rPr>
        <w:t>按支出功能科目划分：</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${page540426799.ds197859873_REP_BGT_T_HC1100002019DXQ01DW_GNZJMX}</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一般公共服务支出</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万元,较上年预算安排没有变化;教育支出</w:t>
      </w:r>
      <w:r>
        <w:rPr>
          <w:rFonts w:hint="eastAsia" w:ascii="仿宋_GB2312" w:eastAsia="仿宋_GB2312"/>
          <w:b w:val="0"/>
          <w:bCs w:val="0"/>
          <w:color w:val="000000"/>
          <w:sz w:val="32"/>
          <w:szCs w:val="32"/>
          <w:u w:val="single"/>
          <w:lang w:val="en-US" w:eastAsia="zh-CN"/>
        </w:rPr>
        <w:t>297.57</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64.72</w:t>
      </w:r>
      <w:r>
        <w:rPr>
          <w:rFonts w:hint="eastAsia" w:ascii="仿宋_GB2312" w:eastAsia="仿宋_GB2312"/>
          <w:b w:val="0"/>
          <w:bCs w:val="0"/>
          <w:color w:val="000000"/>
          <w:sz w:val="32"/>
          <w:szCs w:val="32"/>
          <w:lang w:val="en-US" w:eastAsia="zh-CN"/>
        </w:rPr>
        <w:t>万元；社会保障和就业支出</w:t>
      </w:r>
      <w:r>
        <w:rPr>
          <w:rFonts w:hint="eastAsia" w:ascii="仿宋_GB2312" w:eastAsia="仿宋_GB2312"/>
          <w:b w:val="0"/>
          <w:bCs w:val="0"/>
          <w:color w:val="000000"/>
          <w:sz w:val="32"/>
          <w:szCs w:val="32"/>
          <w:u w:val="single"/>
          <w:lang w:val="en-US" w:eastAsia="zh-CN"/>
        </w:rPr>
        <w:t>48.20</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1.97</w:t>
      </w:r>
      <w:r>
        <w:rPr>
          <w:rFonts w:hint="eastAsia" w:ascii="仿宋_GB2312" w:eastAsia="仿宋_GB2312"/>
          <w:b w:val="0"/>
          <w:bCs w:val="0"/>
          <w:color w:val="000000"/>
          <w:sz w:val="32"/>
          <w:szCs w:val="32"/>
          <w:lang w:val="en-US" w:eastAsia="zh-CN"/>
        </w:rPr>
        <w:t>万元;卫生健康支出</w:t>
      </w:r>
      <w:r>
        <w:rPr>
          <w:rFonts w:hint="eastAsia" w:ascii="仿宋_GB2312" w:eastAsia="仿宋_GB2312"/>
          <w:b w:val="0"/>
          <w:bCs w:val="0"/>
          <w:color w:val="000000"/>
          <w:sz w:val="32"/>
          <w:szCs w:val="32"/>
          <w:u w:val="single"/>
          <w:lang w:val="en-US" w:eastAsia="zh-CN"/>
        </w:rPr>
        <w:t>18.48</w:t>
      </w:r>
      <w:r>
        <w:rPr>
          <w:rFonts w:hint="eastAsia" w:ascii="仿宋_GB2312" w:eastAsia="仿宋_GB2312"/>
          <w:b w:val="0"/>
          <w:bCs w:val="0"/>
          <w:color w:val="000000"/>
          <w:sz w:val="32"/>
          <w:szCs w:val="32"/>
          <w:lang w:val="en-US" w:eastAsia="zh-CN"/>
        </w:rPr>
        <w:t>万元,较上年预算安排增加</w:t>
      </w:r>
      <w:r>
        <w:rPr>
          <w:rFonts w:hint="eastAsia" w:ascii="仿宋_GB2312" w:eastAsia="仿宋_GB2312"/>
          <w:b w:val="0"/>
          <w:bCs w:val="0"/>
          <w:color w:val="000000"/>
          <w:sz w:val="32"/>
          <w:szCs w:val="32"/>
          <w:u w:val="single"/>
          <w:lang w:val="en-US" w:eastAsia="zh-CN"/>
        </w:rPr>
        <w:t>4.06</w:t>
      </w:r>
      <w:r>
        <w:rPr>
          <w:rFonts w:hint="eastAsia" w:ascii="仿宋_GB2312" w:eastAsia="仿宋_GB2312"/>
          <w:b w:val="0"/>
          <w:bCs w:val="0"/>
          <w:color w:val="000000"/>
          <w:sz w:val="32"/>
          <w:szCs w:val="32"/>
          <w:lang w:val="en-US" w:eastAsia="zh-CN"/>
        </w:rPr>
        <w:t>万元;住房保障支出</w:t>
      </w:r>
      <w:r>
        <w:rPr>
          <w:rFonts w:hint="eastAsia" w:ascii="仿宋_GB2312" w:eastAsia="仿宋_GB2312"/>
          <w:b w:val="0"/>
          <w:bCs w:val="0"/>
          <w:color w:val="000000"/>
          <w:sz w:val="32"/>
          <w:szCs w:val="32"/>
          <w:u w:val="single"/>
          <w:lang w:val="en-US" w:eastAsia="zh-CN"/>
        </w:rPr>
        <w:t>25.99</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4.71</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p>
    <w:p w14:paraId="0D53C00B">
      <w:pPr>
        <w:pStyle w:val="14"/>
        <w:spacing w:line="600" w:lineRule="atLeast"/>
        <w:ind w:firstLine="1292" w:firstLineChars="404"/>
        <w:jc w:val="left"/>
        <w:rPr>
          <w:rFonts w:hint="eastAsia" w:ascii="Adobe 仿宋 Std R" w:hAnsi="Adobe 仿宋 Std R" w:eastAsia="Adobe 仿宋 Std R" w:cstheme="minorBidi"/>
          <w:kern w:val="2"/>
          <w:sz w:val="32"/>
          <w:szCs w:val="30"/>
          <w:lang w:val="en-US" w:eastAsia="zh-CN" w:bidi="ar-SA"/>
        </w:rPr>
      </w:pPr>
      <w:r>
        <w:rPr>
          <w:rFonts w:hint="eastAsia" w:ascii="仿宋_GB2312" w:eastAsia="仿宋_GB2312"/>
          <w:b w:val="0"/>
          <w:bCs w:val="0"/>
          <w:color w:val="000000"/>
          <w:sz w:val="32"/>
          <w:szCs w:val="32"/>
          <w:lang w:val="en-US" w:eastAsia="zh-CN"/>
        </w:rPr>
        <w:t>按支出经济分类划分：</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${page540426799.ds197859873_REP_BGT_T_HC1100002019DXQ01DW_JJMX}</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工资福利支出</w:t>
      </w:r>
      <w:r>
        <w:rPr>
          <w:rFonts w:hint="eastAsia" w:ascii="仿宋_GB2312" w:eastAsia="仿宋_GB2312"/>
          <w:b w:val="0"/>
          <w:bCs w:val="0"/>
          <w:color w:val="000000"/>
          <w:sz w:val="32"/>
          <w:szCs w:val="32"/>
          <w:u w:val="single"/>
          <w:lang w:val="en-US" w:eastAsia="zh-CN"/>
        </w:rPr>
        <w:t>351.18</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30.43</w:t>
      </w:r>
      <w:r>
        <w:rPr>
          <w:rFonts w:hint="eastAsia" w:ascii="仿宋_GB2312" w:eastAsia="仿宋_GB2312"/>
          <w:b w:val="0"/>
          <w:bCs w:val="0"/>
          <w:color w:val="000000"/>
          <w:sz w:val="32"/>
          <w:szCs w:val="32"/>
          <w:lang w:val="en-US" w:eastAsia="zh-CN"/>
        </w:rPr>
        <w:t>万元;商品和服务支出</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0.24</w:t>
      </w:r>
      <w:r>
        <w:rPr>
          <w:rFonts w:hint="eastAsia" w:ascii="仿宋_GB2312" w:eastAsia="仿宋_GB2312"/>
          <w:b w:val="0"/>
          <w:bCs w:val="0"/>
          <w:color w:val="000000"/>
          <w:sz w:val="32"/>
          <w:szCs w:val="32"/>
          <w:lang w:val="en-US" w:eastAsia="zh-CN"/>
        </w:rPr>
        <w:t>万元;对个人和家庭的补助</w:t>
      </w:r>
      <w:r>
        <w:rPr>
          <w:rFonts w:hint="eastAsia" w:ascii="仿宋_GB2312" w:eastAsia="仿宋_GB2312"/>
          <w:b w:val="0"/>
          <w:bCs w:val="0"/>
          <w:color w:val="000000"/>
          <w:sz w:val="32"/>
          <w:szCs w:val="32"/>
          <w:u w:val="single"/>
          <w:lang w:val="en-US" w:eastAsia="zh-CN"/>
        </w:rPr>
        <w:t>4.52</w:t>
      </w:r>
      <w:r>
        <w:rPr>
          <w:rFonts w:hint="eastAsia" w:ascii="仿宋_GB2312" w:eastAsia="仿宋_GB2312"/>
          <w:b w:val="0"/>
          <w:bCs w:val="0"/>
          <w:color w:val="000000"/>
          <w:sz w:val="32"/>
          <w:szCs w:val="32"/>
          <w:lang w:val="en-US" w:eastAsia="zh-CN"/>
        </w:rPr>
        <w:t>万元,较上年预算安排增加</w:t>
      </w:r>
      <w:r>
        <w:rPr>
          <w:rFonts w:hint="eastAsia" w:ascii="仿宋_GB2312" w:eastAsia="仿宋_GB2312"/>
          <w:b w:val="0"/>
          <w:bCs w:val="0"/>
          <w:color w:val="000000"/>
          <w:sz w:val="32"/>
          <w:szCs w:val="32"/>
          <w:u w:val="single"/>
          <w:lang w:val="en-US" w:eastAsia="zh-CN"/>
        </w:rPr>
        <w:t>0.48</w:t>
      </w:r>
      <w:r>
        <w:rPr>
          <w:rFonts w:hint="eastAsia" w:ascii="仿宋_GB2312" w:eastAsia="仿宋_GB2312"/>
          <w:b w:val="0"/>
          <w:bCs w:val="0"/>
          <w:color w:val="000000"/>
          <w:sz w:val="32"/>
          <w:szCs w:val="32"/>
          <w:lang w:val="en-US" w:eastAsia="zh-CN"/>
        </w:rPr>
        <w:t>万元;资本性支出</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万元,较上年预算安排增加</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p>
    <w:p w14:paraId="2B87F7F1">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(三)财政拨款支出情况</w:t>
      </w:r>
    </w:p>
    <w:p w14:paraId="7ACB0DF9">
      <w:pPr>
        <w:pStyle w:val="14"/>
        <w:spacing w:line="600" w:lineRule="atLeast"/>
        <w:ind w:firstLine="1292" w:firstLineChars="404"/>
        <w:jc w:val="left"/>
        <w:rPr>
          <w:rFonts w:hint="eastAsia" w:ascii="仿宋_GB2312" w:eastAsia="仿宋_GB2312"/>
          <w:b w:val="0"/>
          <w:bCs w:val="0"/>
          <w:color w:val="000000"/>
          <w:sz w:val="32"/>
          <w:szCs w:val="32"/>
          <w:lang w:val="en-US" w:eastAsia="zh-CN"/>
        </w:rPr>
      </w:pPr>
      <w:r>
        <w:rPr>
          <w:rFonts w:hint="eastAsia" w:ascii="仿宋_GB2312" w:eastAsia="仿宋_GB2312"/>
          <w:b w:val="0"/>
          <w:bCs w:val="0"/>
          <w:color w:val="000000"/>
          <w:sz w:val="32"/>
          <w:szCs w:val="32"/>
          <w:lang w:val="en-US" w:eastAsia="zh-CN"/>
        </w:rPr>
        <w:t>2024年庐山市蓼南中学</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${page540426799.ds357974894_REP_BGT_T_HC1100002019_DXQ02DW_S_CBXJ}</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财政拨款支出预算总额</w:t>
      </w:r>
      <w:r>
        <w:rPr>
          <w:rFonts w:hint="eastAsia" w:ascii="仿宋_GB2312" w:eastAsia="仿宋_GB2312"/>
          <w:b w:val="0"/>
          <w:bCs w:val="0"/>
          <w:color w:val="000000"/>
          <w:sz w:val="32"/>
          <w:szCs w:val="32"/>
          <w:u w:val="single"/>
          <w:lang w:val="en-US" w:eastAsia="zh-CN"/>
        </w:rPr>
        <w:t>356.79</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29.09</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r>
        <w:rPr>
          <w:rFonts w:hint="eastAsia" w:ascii="仿宋_GB2312" w:eastAsia="仿宋_GB2312"/>
          <w:b w:val="0"/>
          <w:bCs w:val="0"/>
          <w:color w:val="000000"/>
          <w:sz w:val="32"/>
          <w:szCs w:val="32"/>
          <w:lang w:val="en-US" w:eastAsia="zh-CN"/>
        </w:rPr>
        <w:t>减少变化原因为2023年调整了往年社保基数。</w:t>
      </w:r>
    </w:p>
    <w:p w14:paraId="2A0EAE07">
      <w:pPr>
        <w:pStyle w:val="14"/>
        <w:spacing w:line="600" w:lineRule="atLeast"/>
        <w:ind w:firstLine="1292" w:firstLineChars="404"/>
        <w:jc w:val="left"/>
        <w:rPr>
          <w:rStyle w:val="13"/>
          <w:rFonts w:ascii="仿宋" w:hAnsi="仿宋" w:eastAsia="仿宋"/>
          <w:sz w:val="32"/>
          <w:szCs w:val="32"/>
        </w:rPr>
      </w:pPr>
      <w:r>
        <w:rPr>
          <w:rFonts w:hint="eastAsia" w:ascii="仿宋_GB2312" w:eastAsia="仿宋_GB2312"/>
          <w:b w:val="0"/>
          <w:bCs w:val="0"/>
          <w:color w:val="000000"/>
          <w:sz w:val="32"/>
          <w:szCs w:val="32"/>
          <w:lang w:val="en-US" w:eastAsia="zh-CN"/>
        </w:rPr>
        <w:t>按支出功能科目划分：：</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${page400644146.ds247441498_REP_BGT_T_HC1100002019DXQ01_GNCBMX}</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一般公共服务支出</w:t>
      </w:r>
      <w:r>
        <w:rPr>
          <w:rFonts w:hint="eastAsia" w:ascii="仿宋_GB2312" w:eastAsia="仿宋_GB2312"/>
          <w:b w:val="0"/>
          <w:bCs w:val="0"/>
          <w:color w:val="000000"/>
          <w:sz w:val="32"/>
          <w:szCs w:val="32"/>
          <w:u w:val="single"/>
          <w:lang w:val="en-US" w:eastAsia="zh-CN"/>
        </w:rPr>
        <w:t>0</w:t>
      </w:r>
      <w:r>
        <w:rPr>
          <w:rFonts w:hint="eastAsia" w:ascii="仿宋_GB2312" w:eastAsia="仿宋_GB2312"/>
          <w:b w:val="0"/>
          <w:bCs w:val="0"/>
          <w:color w:val="000000"/>
          <w:sz w:val="32"/>
          <w:szCs w:val="32"/>
          <w:lang w:val="en-US" w:eastAsia="zh-CN"/>
        </w:rPr>
        <w:t>万元,较上年预算安排一致；教育支出</w:t>
      </w:r>
      <w:r>
        <w:rPr>
          <w:rFonts w:hint="eastAsia" w:ascii="仿宋_GB2312" w:eastAsia="仿宋_GB2312"/>
          <w:b w:val="0"/>
          <w:bCs w:val="0"/>
          <w:color w:val="000000"/>
          <w:sz w:val="32"/>
          <w:szCs w:val="32"/>
          <w:u w:val="single"/>
          <w:lang w:val="en-US" w:eastAsia="zh-CN"/>
        </w:rPr>
        <w:t>264.11</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26.47</w:t>
      </w:r>
      <w:r>
        <w:rPr>
          <w:rFonts w:hint="eastAsia" w:ascii="仿宋_GB2312" w:eastAsia="仿宋_GB2312"/>
          <w:b w:val="0"/>
          <w:bCs w:val="0"/>
          <w:color w:val="000000"/>
          <w:sz w:val="32"/>
          <w:szCs w:val="32"/>
          <w:lang w:val="en-US" w:eastAsia="zh-CN"/>
        </w:rPr>
        <w:t>万元；社会保障和就业支出</w:t>
      </w:r>
      <w:r>
        <w:rPr>
          <w:rFonts w:hint="eastAsia" w:ascii="仿宋_GB2312" w:eastAsia="仿宋_GB2312"/>
          <w:b w:val="0"/>
          <w:bCs w:val="0"/>
          <w:color w:val="000000"/>
          <w:sz w:val="32"/>
          <w:szCs w:val="32"/>
          <w:u w:val="single"/>
          <w:lang w:val="en-US" w:eastAsia="zh-CN"/>
        </w:rPr>
        <w:t>48.2</w:t>
      </w:r>
      <w:r>
        <w:rPr>
          <w:rFonts w:hint="eastAsia" w:ascii="仿宋_GB2312" w:eastAsia="仿宋_GB2312"/>
          <w:b w:val="0"/>
          <w:bCs w:val="0"/>
          <w:color w:val="000000"/>
          <w:sz w:val="32"/>
          <w:szCs w:val="32"/>
          <w:lang w:val="en-US" w:eastAsia="zh-CN"/>
        </w:rPr>
        <w:t>万元,较上年预算安排增加</w:t>
      </w:r>
      <w:r>
        <w:rPr>
          <w:rFonts w:hint="eastAsia" w:ascii="仿宋_GB2312" w:eastAsia="仿宋_GB2312"/>
          <w:b w:val="0"/>
          <w:bCs w:val="0"/>
          <w:color w:val="000000"/>
          <w:sz w:val="32"/>
          <w:szCs w:val="32"/>
          <w:u w:val="single"/>
          <w:lang w:val="en-US" w:eastAsia="zh-CN"/>
        </w:rPr>
        <w:t>1.97</w:t>
      </w:r>
      <w:r>
        <w:rPr>
          <w:rFonts w:hint="eastAsia" w:ascii="仿宋_GB2312" w:eastAsia="仿宋_GB2312"/>
          <w:b w:val="0"/>
          <w:bCs w:val="0"/>
          <w:color w:val="000000"/>
          <w:sz w:val="32"/>
          <w:szCs w:val="32"/>
          <w:lang w:val="en-US" w:eastAsia="zh-CN"/>
        </w:rPr>
        <w:t>万元；卫生健康支出</w:t>
      </w:r>
      <w:r>
        <w:rPr>
          <w:rFonts w:hint="eastAsia" w:ascii="仿宋_GB2312" w:eastAsia="仿宋_GB2312"/>
          <w:b w:val="0"/>
          <w:bCs w:val="0"/>
          <w:color w:val="000000"/>
          <w:sz w:val="32"/>
          <w:szCs w:val="32"/>
          <w:u w:val="single"/>
          <w:lang w:val="en-US" w:eastAsia="zh-CN"/>
        </w:rPr>
        <w:t>18.48</w:t>
      </w:r>
      <w:r>
        <w:rPr>
          <w:rFonts w:hint="eastAsia" w:ascii="仿宋_GB2312" w:eastAsia="仿宋_GB2312"/>
          <w:b w:val="0"/>
          <w:bCs w:val="0"/>
          <w:color w:val="000000"/>
          <w:sz w:val="32"/>
          <w:szCs w:val="32"/>
          <w:lang w:val="en-US" w:eastAsia="zh-CN"/>
        </w:rPr>
        <w:t>万元,较上年预算安排增加</w:t>
      </w:r>
      <w:r>
        <w:rPr>
          <w:rFonts w:hint="eastAsia" w:ascii="仿宋_GB2312" w:eastAsia="仿宋_GB2312"/>
          <w:b w:val="0"/>
          <w:bCs w:val="0"/>
          <w:color w:val="000000"/>
          <w:sz w:val="32"/>
          <w:szCs w:val="32"/>
          <w:u w:val="single"/>
          <w:lang w:val="en-US" w:eastAsia="zh-CN"/>
        </w:rPr>
        <w:t>4.06</w:t>
      </w:r>
      <w:r>
        <w:rPr>
          <w:rFonts w:hint="eastAsia" w:ascii="仿宋_GB2312" w:eastAsia="仿宋_GB2312"/>
          <w:b w:val="0"/>
          <w:bCs w:val="0"/>
          <w:color w:val="000000"/>
          <w:sz w:val="32"/>
          <w:szCs w:val="32"/>
          <w:lang w:val="en-US" w:eastAsia="zh-CN"/>
        </w:rPr>
        <w:t>万元；住房保障支出</w:t>
      </w:r>
      <w:r>
        <w:rPr>
          <w:rFonts w:hint="eastAsia" w:ascii="仿宋_GB2312" w:eastAsia="仿宋_GB2312"/>
          <w:b w:val="0"/>
          <w:bCs w:val="0"/>
          <w:color w:val="000000"/>
          <w:sz w:val="32"/>
          <w:szCs w:val="32"/>
          <w:u w:val="single"/>
          <w:lang w:val="en-US" w:eastAsia="zh-CN"/>
        </w:rPr>
        <w:t>25.99</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4.71</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p>
    <w:p w14:paraId="026147E2">
      <w:pPr>
        <w:pStyle w:val="14"/>
        <w:spacing w:line="600" w:lineRule="atLeast"/>
        <w:ind w:firstLine="1292" w:firstLineChars="404"/>
        <w:jc w:val="left"/>
      </w:pPr>
      <w:r>
        <w:rPr>
          <w:rFonts w:hint="eastAsia" w:ascii="仿宋_GB2312" w:eastAsia="仿宋_GB2312"/>
          <w:b w:val="0"/>
          <w:bCs w:val="0"/>
          <w:color w:val="000000"/>
          <w:sz w:val="32"/>
          <w:szCs w:val="32"/>
          <w:lang w:val="en-US" w:eastAsia="zh-CN"/>
        </w:rPr>
        <w:t>按支出项目类别划分：</w:t>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${page540426799.ds357974894_REP_BGT_T_HC1100002019_DXQ02DW_JBZCQKCB}</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基本支出</w:t>
      </w:r>
      <w:r>
        <w:rPr>
          <w:rFonts w:hint="eastAsia" w:ascii="仿宋_GB2312" w:eastAsia="仿宋_GB2312"/>
          <w:b w:val="0"/>
          <w:bCs w:val="0"/>
          <w:color w:val="000000"/>
          <w:sz w:val="32"/>
          <w:szCs w:val="32"/>
          <w:u w:val="single"/>
          <w:lang w:val="en-US" w:eastAsia="zh-CN"/>
        </w:rPr>
        <w:t>355.71</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30.71</w:t>
      </w:r>
      <w:r>
        <w:rPr>
          <w:rFonts w:hint="eastAsia" w:ascii="仿宋_GB2312" w:eastAsia="仿宋_GB2312"/>
          <w:b w:val="0"/>
          <w:bCs w:val="0"/>
          <w:color w:val="000000"/>
          <w:sz w:val="32"/>
          <w:szCs w:val="32"/>
          <w:lang w:val="en-US" w:eastAsia="zh-CN"/>
        </w:rPr>
        <w:t>万元;其中：工资福利支出</w:t>
      </w:r>
      <w:r>
        <w:rPr>
          <w:rFonts w:hint="eastAsia" w:ascii="仿宋_GB2312" w:eastAsia="仿宋_GB2312"/>
          <w:b w:val="0"/>
          <w:bCs w:val="0"/>
          <w:color w:val="000000"/>
          <w:sz w:val="32"/>
          <w:szCs w:val="32"/>
          <w:u w:val="single"/>
          <w:lang w:val="en-US" w:eastAsia="zh-CN"/>
        </w:rPr>
        <w:t>351.18</w:t>
      </w:r>
      <w:r>
        <w:rPr>
          <w:rFonts w:hint="eastAsia" w:ascii="仿宋_GB2312" w:eastAsia="仿宋_GB2312"/>
          <w:b w:val="0"/>
          <w:bCs w:val="0"/>
          <w:color w:val="000000"/>
          <w:sz w:val="32"/>
          <w:szCs w:val="32"/>
          <w:lang w:val="en-US" w:eastAsia="zh-CN"/>
        </w:rPr>
        <w:t>万元,商品和服务支出</w:t>
      </w:r>
      <w:r>
        <w:rPr>
          <w:rFonts w:hint="eastAsia" w:ascii="仿宋_GB2312" w:eastAsia="仿宋_GB2312"/>
          <w:b w:val="0"/>
          <w:bCs w:val="0"/>
          <w:color w:val="000000"/>
          <w:sz w:val="32"/>
          <w:szCs w:val="32"/>
          <w:u w:val="single"/>
          <w:lang w:val="en-US" w:eastAsia="zh-CN"/>
        </w:rPr>
        <w:t xml:space="preserve"> 0</w:t>
      </w:r>
      <w:r>
        <w:rPr>
          <w:rFonts w:hint="eastAsia" w:ascii="仿宋_GB2312" w:eastAsia="仿宋_GB2312"/>
          <w:b w:val="0"/>
          <w:bCs w:val="0"/>
          <w:color w:val="000000"/>
          <w:sz w:val="32"/>
          <w:szCs w:val="32"/>
          <w:lang w:val="en-US" w:eastAsia="zh-CN"/>
        </w:rPr>
        <w:t>万元,对个人和家庭的补助</w:t>
      </w:r>
      <w:r>
        <w:rPr>
          <w:rFonts w:hint="eastAsia" w:ascii="仿宋_GB2312" w:eastAsia="仿宋_GB2312"/>
          <w:b w:val="0"/>
          <w:bCs w:val="0"/>
          <w:color w:val="000000"/>
          <w:sz w:val="32"/>
          <w:szCs w:val="32"/>
          <w:u w:val="single"/>
          <w:lang w:val="en-US" w:eastAsia="zh-CN"/>
        </w:rPr>
        <w:t>4.52</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r>
        <w:rPr>
          <w:rFonts w:hint="eastAsia" w:ascii="仿宋_GB2312" w:eastAsia="仿宋_GB2312"/>
          <w:b w:val="0"/>
          <w:bCs w:val="0"/>
          <w:color w:val="000000"/>
          <w:sz w:val="32"/>
          <w:szCs w:val="32"/>
          <w:lang w:val="en-US" w:eastAsia="zh-CN"/>
        </w:rPr>
        <w:fldChar w:fldCharType="begin"/>
      </w:r>
      <w:r>
        <w:rPr>
          <w:rFonts w:hint="eastAsia" w:ascii="仿宋_GB2312" w:eastAsia="仿宋_GB2312"/>
          <w:b w:val="0"/>
          <w:bCs w:val="0"/>
          <w:color w:val="000000"/>
          <w:sz w:val="32"/>
          <w:szCs w:val="32"/>
          <w:lang w:val="en-US" w:eastAsia="zh-CN"/>
        </w:rPr>
        <w:instrText xml:space="preserve">MERGEFIELD ${page540426799.ds357974894_REP_BGT_T_HC1100002019_DXQ02DW_XMZCQKCB}</w:instrText>
      </w:r>
      <w:r>
        <w:rPr>
          <w:rFonts w:hint="eastAsia" w:ascii="仿宋_GB2312" w:eastAsia="仿宋_GB2312"/>
          <w:b w:val="0"/>
          <w:bCs w:val="0"/>
          <w:color w:val="000000"/>
          <w:sz w:val="32"/>
          <w:szCs w:val="32"/>
          <w:lang w:val="en-US" w:eastAsia="zh-CN"/>
        </w:rPr>
        <w:fldChar w:fldCharType="separate"/>
      </w:r>
      <w:r>
        <w:rPr>
          <w:rFonts w:hint="eastAsia" w:ascii="仿宋_GB2312" w:eastAsia="仿宋_GB2312"/>
          <w:b w:val="0"/>
          <w:bCs w:val="0"/>
          <w:color w:val="000000"/>
          <w:sz w:val="32"/>
          <w:szCs w:val="32"/>
          <w:lang w:val="en-US" w:eastAsia="zh-CN"/>
        </w:rPr>
        <w:t>项目支出</w:t>
      </w:r>
      <w:r>
        <w:rPr>
          <w:rFonts w:hint="eastAsia" w:ascii="仿宋_GB2312" w:eastAsia="仿宋_GB2312"/>
          <w:b w:val="0"/>
          <w:bCs w:val="0"/>
          <w:color w:val="000000"/>
          <w:sz w:val="32"/>
          <w:szCs w:val="32"/>
          <w:u w:val="single"/>
          <w:lang w:val="en-US" w:eastAsia="zh-CN"/>
        </w:rPr>
        <w:t>34.54</w:t>
      </w:r>
      <w:r>
        <w:rPr>
          <w:rFonts w:hint="eastAsia" w:ascii="仿宋_GB2312" w:eastAsia="仿宋_GB2312"/>
          <w:b w:val="0"/>
          <w:bCs w:val="0"/>
          <w:color w:val="000000"/>
          <w:sz w:val="32"/>
          <w:szCs w:val="32"/>
          <w:lang w:val="en-US" w:eastAsia="zh-CN"/>
        </w:rPr>
        <w:t>万元,较上年预算安排减少</w:t>
      </w:r>
      <w:r>
        <w:rPr>
          <w:rFonts w:hint="eastAsia" w:ascii="仿宋_GB2312" w:eastAsia="仿宋_GB2312"/>
          <w:b w:val="0"/>
          <w:bCs w:val="0"/>
          <w:color w:val="000000"/>
          <w:sz w:val="32"/>
          <w:szCs w:val="32"/>
          <w:u w:val="single"/>
          <w:lang w:val="en-US" w:eastAsia="zh-CN"/>
        </w:rPr>
        <w:t>37.17</w:t>
      </w:r>
      <w:r>
        <w:rPr>
          <w:rFonts w:hint="eastAsia" w:ascii="仿宋_GB2312" w:eastAsia="仿宋_GB2312"/>
          <w:b w:val="0"/>
          <w:bCs w:val="0"/>
          <w:color w:val="000000"/>
          <w:sz w:val="32"/>
          <w:szCs w:val="32"/>
          <w:lang w:val="en-US" w:eastAsia="zh-CN"/>
        </w:rPr>
        <w:t>万元;其中：商品和服务支出</w:t>
      </w:r>
      <w:r>
        <w:rPr>
          <w:rFonts w:hint="eastAsia" w:ascii="仿宋_GB2312" w:eastAsia="仿宋_GB2312"/>
          <w:b w:val="0"/>
          <w:bCs w:val="0"/>
          <w:color w:val="000000"/>
          <w:sz w:val="32"/>
          <w:szCs w:val="32"/>
          <w:u w:val="single"/>
          <w:lang w:val="en-US" w:eastAsia="zh-CN"/>
        </w:rPr>
        <w:t xml:space="preserve"> 0</w:t>
      </w:r>
      <w:r>
        <w:rPr>
          <w:rFonts w:hint="eastAsia" w:ascii="仿宋_GB2312" w:eastAsia="仿宋_GB2312"/>
          <w:b w:val="0"/>
          <w:bCs w:val="0"/>
          <w:color w:val="000000"/>
          <w:sz w:val="32"/>
          <w:szCs w:val="32"/>
          <w:lang w:val="en-US" w:eastAsia="zh-CN"/>
        </w:rPr>
        <w:t>万元,资本性支出</w:t>
      </w:r>
      <w:r>
        <w:rPr>
          <w:rFonts w:hint="eastAsia" w:ascii="仿宋_GB2312" w:eastAsia="仿宋_GB2312"/>
          <w:b w:val="0"/>
          <w:bCs w:val="0"/>
          <w:color w:val="000000"/>
          <w:sz w:val="32"/>
          <w:szCs w:val="32"/>
          <w:u w:val="single"/>
          <w:lang w:val="en-US" w:eastAsia="zh-CN"/>
        </w:rPr>
        <w:t xml:space="preserve"> 0</w:t>
      </w:r>
      <w:r>
        <w:rPr>
          <w:rFonts w:hint="eastAsia" w:ascii="仿宋_GB2312" w:eastAsia="仿宋_GB2312"/>
          <w:b w:val="0"/>
          <w:bCs w:val="0"/>
          <w:color w:val="000000"/>
          <w:sz w:val="32"/>
          <w:szCs w:val="32"/>
          <w:lang w:val="en-US" w:eastAsia="zh-CN"/>
        </w:rPr>
        <w:t>万元。</w:t>
      </w:r>
      <w:r>
        <w:rPr>
          <w:rFonts w:hint="eastAsia" w:ascii="仿宋_GB2312" w:eastAsia="仿宋_GB2312"/>
          <w:b w:val="0"/>
          <w:bCs w:val="0"/>
          <w:color w:val="000000"/>
          <w:sz w:val="32"/>
          <w:szCs w:val="32"/>
          <w:lang w:val="en-US" w:eastAsia="zh-CN"/>
        </w:rPr>
        <w:fldChar w:fldCharType="end"/>
      </w:r>
    </w:p>
    <w:p w14:paraId="64F86CEE">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(四)政府性基金情况</w:t>
      </w:r>
    </w:p>
    <w:p w14:paraId="39BDFF33">
      <w:pPr>
        <w:pStyle w:val="14"/>
        <w:spacing w:line="600" w:lineRule="atLeast"/>
        <w:ind w:firstLine="1292" w:firstLineChars="404"/>
        <w:jc w:val="left"/>
        <w:rPr>
          <w:rFonts w:hint="eastAsia" w:ascii="仿宋_GB2312" w:eastAsia="仿宋_GB2312"/>
          <w:b w:val="0"/>
          <w:bCs w:val="0"/>
          <w:color w:val="000000"/>
          <w:sz w:val="32"/>
          <w:szCs w:val="32"/>
          <w:lang w:val="en-US" w:eastAsia="zh-CN"/>
        </w:rPr>
      </w:pPr>
      <w:r>
        <w:rPr>
          <w:rFonts w:hint="eastAsia" w:ascii="仿宋_GB2312" w:eastAsia="仿宋_GB2312"/>
          <w:b w:val="0"/>
          <w:bCs w:val="0"/>
          <w:color w:val="000000"/>
          <w:sz w:val="32"/>
          <w:szCs w:val="32"/>
          <w:lang w:val="en-US" w:eastAsia="zh-CN"/>
        </w:rPr>
        <w:t>2024年庐山市蓼南中学政府性基金支出预算为：无。</w:t>
      </w:r>
    </w:p>
    <w:p w14:paraId="7B4CFAE2">
      <w:pPr>
        <w:pStyle w:val="14"/>
        <w:spacing w:line="600" w:lineRule="atLeast"/>
        <w:ind w:firstLine="1292" w:firstLineChars="404"/>
        <w:jc w:val="left"/>
        <w:rPr>
          <w:rStyle w:val="13"/>
          <w:rFonts w:hint="eastAsia" w:ascii="仿宋" w:hAnsi="仿宋" w:eastAsia="仿宋" w:cs="Times New Roman"/>
          <w:sz w:val="32"/>
          <w:szCs w:val="32"/>
        </w:rPr>
      </w:pPr>
      <w:r>
        <w:rPr>
          <w:rFonts w:hint="eastAsia" w:ascii="仿宋_GB2312" w:eastAsia="仿宋_GB2312"/>
          <w:b w:val="0"/>
          <w:bCs w:val="0"/>
          <w:color w:val="000000"/>
          <w:sz w:val="32"/>
          <w:szCs w:val="32"/>
          <w:lang w:val="en-US" w:eastAsia="zh-CN"/>
        </w:rPr>
        <w:t>本单位没有使用政府性基金预算拨款安排的支出。</w:t>
      </w:r>
    </w:p>
    <w:p w14:paraId="00615084">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（五）国有资本经营情况</w:t>
      </w:r>
    </w:p>
    <w:p w14:paraId="5828E588">
      <w:pPr>
        <w:pStyle w:val="14"/>
        <w:spacing w:line="600" w:lineRule="atLeast"/>
        <w:ind w:firstLine="1292" w:firstLineChars="404"/>
        <w:jc w:val="left"/>
        <w:rPr>
          <w:rFonts w:hint="eastAsia" w:ascii="仿宋_GB2312" w:eastAsia="仿宋_GB2312"/>
          <w:b w:val="0"/>
          <w:bCs w:val="0"/>
          <w:color w:val="000000"/>
          <w:sz w:val="32"/>
          <w:szCs w:val="32"/>
          <w:lang w:val="en-US" w:eastAsia="zh-CN"/>
        </w:rPr>
      </w:pPr>
      <w:r>
        <w:rPr>
          <w:rFonts w:hint="eastAsia" w:ascii="仿宋_GB2312" w:eastAsia="仿宋_GB2312"/>
          <w:b w:val="0"/>
          <w:bCs w:val="0"/>
          <w:color w:val="000000"/>
          <w:sz w:val="32"/>
          <w:szCs w:val="32"/>
          <w:lang w:val="en-US" w:eastAsia="zh-CN"/>
        </w:rPr>
        <w:t>本单位没有使用国有资本经营预算拨款安排的支出。</w:t>
      </w:r>
    </w:p>
    <w:p w14:paraId="5322A170">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(六)机关运行经费等重要事项的说明</w:t>
      </w:r>
    </w:p>
    <w:p w14:paraId="0322BAAA">
      <w:pPr>
        <w:pStyle w:val="14"/>
        <w:spacing w:line="600" w:lineRule="atLeast"/>
        <w:ind w:firstLine="1292" w:firstLineChars="404"/>
        <w:jc w:val="left"/>
        <w:rPr>
          <w:rFonts w:hint="eastAsia" w:ascii="仿宋_GB2312" w:eastAsia="仿宋_GB2312"/>
          <w:b w:val="0"/>
          <w:bCs w:val="0"/>
          <w:color w:val="000000"/>
          <w:sz w:val="32"/>
          <w:szCs w:val="32"/>
          <w:lang w:val="en-US" w:eastAsia="zh-CN"/>
        </w:rPr>
      </w:pPr>
      <w:r>
        <w:rPr>
          <w:rFonts w:hint="eastAsia" w:ascii="仿宋_GB2312" w:eastAsia="仿宋_GB2312"/>
          <w:b w:val="0"/>
          <w:bCs w:val="0"/>
          <w:color w:val="000000"/>
          <w:sz w:val="32"/>
          <w:szCs w:val="32"/>
          <w:lang w:val="en-US" w:eastAsia="zh-CN"/>
        </w:rPr>
        <w:t>本单位非行政参公单位，无机关运行经费。</w:t>
      </w:r>
    </w:p>
    <w:p w14:paraId="049DF6A3">
      <w:pPr>
        <w:pStyle w:val="14"/>
        <w:spacing w:line="600" w:lineRule="atLeast"/>
        <w:ind w:firstLine="1292" w:firstLineChars="404"/>
        <w:jc w:val="left"/>
        <w:rPr>
          <w:rStyle w:val="13"/>
          <w:rFonts w:hint="eastAsia" w:ascii="仿宋" w:hAnsi="仿宋" w:eastAsia="仿宋" w:cs="Times New Roman"/>
          <w:sz w:val="32"/>
          <w:szCs w:val="32"/>
        </w:rPr>
      </w:pPr>
      <w:r>
        <w:rPr>
          <w:rFonts w:hint="eastAsia" w:ascii="仿宋_GB2312" w:eastAsia="仿宋_GB2312"/>
          <w:b w:val="0"/>
          <w:bCs w:val="0"/>
          <w:color w:val="000000"/>
          <w:sz w:val="32"/>
          <w:szCs w:val="32"/>
          <w:lang w:val="en-US" w:eastAsia="zh-CN"/>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14:paraId="0050EACF">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(七)政府采购情况</w:t>
      </w:r>
    </w:p>
    <w:p w14:paraId="0C33F1E9">
      <w:pPr>
        <w:ind w:firstLine="640" w:firstLineChars="200"/>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2024年政府采购总额</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万元,其中: 政府采购货物预算</w:t>
      </w:r>
      <w:r>
        <w:rPr>
          <w:rFonts w:hint="eastAsia" w:ascii="仿宋_GB2312" w:hAnsi="Times New Roman" w:eastAsia="仿宋_GB2312" w:cs="Times New Roman"/>
          <w:b w:val="0"/>
          <w:bCs w:val="0"/>
          <w:color w:val="000000"/>
          <w:kern w:val="0"/>
          <w:sz w:val="32"/>
          <w:szCs w:val="32"/>
          <w:u w:val="single"/>
          <w:lang w:val="en-US" w:eastAsia="zh-CN" w:bidi="ar-SA"/>
        </w:rPr>
        <w:t>0</w:t>
      </w:r>
      <w:r>
        <w:rPr>
          <w:rFonts w:hint="eastAsia" w:ascii="仿宋_GB2312" w:hAnsi="Times New Roman" w:eastAsia="仿宋_GB2312" w:cs="Times New Roman"/>
          <w:b w:val="0"/>
          <w:bCs w:val="0"/>
          <w:color w:val="000000"/>
          <w:kern w:val="0"/>
          <w:sz w:val="32"/>
          <w:szCs w:val="32"/>
          <w:lang w:val="en-US" w:eastAsia="zh-CN" w:bidi="ar-SA"/>
        </w:rPr>
        <w:t>万元, 政府采购工程预算</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 政府采购服务预算</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w:t>
      </w:r>
    </w:p>
    <w:p w14:paraId="340DE537">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(八)国有资产占有使用情况</w:t>
      </w:r>
    </w:p>
    <w:p w14:paraId="2703FFFA">
      <w:pPr>
        <w:ind w:firstLine="642"/>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截至2023年12月31日,</w:t>
      </w:r>
      <w:r>
        <w:rPr>
          <w:rFonts w:hint="eastAsia" w:ascii="仿宋_GB2312" w:hAnsi="Times New Roman" w:eastAsia="仿宋_GB2312" w:cs="Times New Roman"/>
          <w:b w:val="0"/>
          <w:bCs w:val="0"/>
          <w:color w:val="000000"/>
          <w:kern w:val="0"/>
          <w:sz w:val="32"/>
          <w:szCs w:val="32"/>
          <w:lang w:val="en-US" w:eastAsia="zh-CN" w:bidi="ar-SA"/>
        </w:rPr>
        <w:fldChar w:fldCharType="begin"/>
      </w:r>
      <w:r>
        <w:rPr>
          <w:rFonts w:hint="eastAsia" w:ascii="仿宋_GB2312" w:hAnsi="Times New Roman" w:eastAsia="仿宋_GB2312" w:cs="Times New Roman"/>
          <w:b w:val="0"/>
          <w:bCs w:val="0"/>
          <w:color w:val="000000"/>
          <w:kern w:val="0"/>
          <w:sz w:val="32"/>
          <w:szCs w:val="32"/>
          <w:lang w:val="en-US" w:eastAsia="zh-CN" w:bidi="ar-SA"/>
        </w:rPr>
        <w:instrText xml:space="preserve">MERGEFIELD ${page540426799.ds376136392_REP_JX_BAS_AGENCY_INFO_DXQRSDW_S_CLSYS}</w:instrText>
      </w:r>
      <w:r>
        <w:rPr>
          <w:rFonts w:hint="eastAsia" w:ascii="仿宋_GB2312" w:hAnsi="Times New Roman" w:eastAsia="仿宋_GB2312" w:cs="Times New Roman"/>
          <w:b w:val="0"/>
          <w:bCs w:val="0"/>
          <w:color w:val="000000"/>
          <w:kern w:val="0"/>
          <w:sz w:val="32"/>
          <w:szCs w:val="32"/>
          <w:lang w:val="en-US" w:eastAsia="zh-CN" w:bidi="ar-SA"/>
        </w:rPr>
        <w:fldChar w:fldCharType="separate"/>
      </w:r>
      <w:r>
        <w:rPr>
          <w:rFonts w:hint="eastAsia" w:ascii="仿宋_GB2312" w:hAnsi="Times New Roman" w:eastAsia="仿宋_GB2312" w:cs="Times New Roman"/>
          <w:b w:val="0"/>
          <w:bCs w:val="0"/>
          <w:color w:val="000000"/>
          <w:kern w:val="0"/>
          <w:sz w:val="32"/>
          <w:szCs w:val="32"/>
          <w:lang w:val="en-US" w:eastAsia="zh-CN" w:bidi="ar-SA"/>
        </w:rPr>
        <w:t>单位共有车辆</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辆,其中：一般公务用车实有数</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辆。</w:t>
      </w:r>
      <w:r>
        <w:rPr>
          <w:rFonts w:hint="eastAsia" w:ascii="仿宋_GB2312" w:hAnsi="Times New Roman" w:eastAsia="仿宋_GB2312" w:cs="Times New Roman"/>
          <w:b w:val="0"/>
          <w:bCs w:val="0"/>
          <w:color w:val="000000"/>
          <w:kern w:val="0"/>
          <w:sz w:val="32"/>
          <w:szCs w:val="32"/>
          <w:lang w:val="en-US" w:eastAsia="zh-CN" w:bidi="ar-SA"/>
        </w:rPr>
        <w:fldChar w:fldCharType="end"/>
      </w:r>
    </w:p>
    <w:p w14:paraId="76FC5720">
      <w:pPr>
        <w:ind w:firstLine="642"/>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2024年单位预算安排购置车辆</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辆，安排购置单位价值200万元以上大型设备具体为：无。</w:t>
      </w:r>
    </w:p>
    <w:p w14:paraId="1CB5CAB7">
      <w:pPr>
        <w:ind w:firstLine="643" w:firstLineChars="200"/>
        <w:rPr>
          <w:rFonts w:ascii="仿宋_GB2312" w:hAnsi="仿宋_GB2312" w:eastAsia="仿宋_GB2312" w:cs="仿宋_GB2312"/>
          <w:b/>
          <w:sz w:val="32"/>
          <w:szCs w:val="32"/>
        </w:rPr>
      </w:pPr>
      <w:r>
        <w:rPr>
          <w:rStyle w:val="13"/>
          <w:rFonts w:hint="eastAsia" w:ascii="Adobe 仿宋 Std R" w:hAnsi="Adobe 仿宋 Std R" w:eastAsia="Adobe 仿宋 Std R"/>
          <w:b/>
          <w:sz w:val="32"/>
          <w:szCs w:val="32"/>
        </w:rPr>
        <w:t>（九）</w:t>
      </w:r>
      <w:r>
        <w:rPr>
          <w:rStyle w:val="13"/>
          <w:rFonts w:hint="eastAsia" w:ascii="仿宋_GB2312" w:hAnsi="仿宋_GB2312" w:eastAsia="仿宋_GB2312" w:cs="仿宋_GB2312"/>
          <w:b/>
          <w:sz w:val="32"/>
          <w:szCs w:val="32"/>
        </w:rPr>
        <w:t>项目情况说明</w:t>
      </w:r>
    </w:p>
    <w:p w14:paraId="48F350FF">
      <w:pPr>
        <w:ind w:firstLine="642"/>
        <w:rPr>
          <w:rFonts w:ascii="仿宋_GB2312" w:hAnsi="仿宋_GB2312" w:eastAsia="仿宋_GB2312" w:cs="仿宋_GB2312"/>
          <w:sz w:val="32"/>
          <w:szCs w:val="32"/>
        </w:rPr>
      </w:pPr>
      <w:r>
        <w:rPr>
          <w:rFonts w:hint="eastAsia" w:ascii="仿宋_GB2312" w:hAnsi="Times New Roman" w:eastAsia="仿宋_GB2312" w:cs="Times New Roman"/>
          <w:b w:val="0"/>
          <w:bCs w:val="0"/>
          <w:color w:val="000000"/>
          <w:kern w:val="0"/>
          <w:sz w:val="32"/>
          <w:szCs w:val="32"/>
          <w:lang w:val="en-US" w:eastAsia="zh-CN" w:bidi="ar-SA"/>
        </w:rPr>
        <w:t>本单位本年度末安排项目。</w:t>
      </w:r>
    </w:p>
    <w:p w14:paraId="254B2C9B">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5F144B68">
      <w:pPr>
        <w:ind w:firstLine="642"/>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2024年庐山市蓼南中学"三公"经费财政拨款安排</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万元，其中：</w:t>
      </w:r>
    </w:p>
    <w:p w14:paraId="6BDE133C">
      <w:pPr>
        <w:ind w:firstLine="642"/>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因公出国</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万元,比上年增（减）</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万元，主要原因是：与上年安排保持一致。</w:t>
      </w:r>
    </w:p>
    <w:p w14:paraId="21D47297">
      <w:pPr>
        <w:ind w:firstLine="642"/>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公务接待</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万元,比上年减</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万元，主要原因是：按有关规定压缩公务接待费用。</w:t>
      </w:r>
    </w:p>
    <w:p w14:paraId="215B8579">
      <w:pPr>
        <w:ind w:firstLine="642"/>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公务用车运行</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万元,比上年增（减）</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万元，主要原因是：与上年安排保持一致。</w:t>
      </w:r>
    </w:p>
    <w:p w14:paraId="7C22A429">
      <w:pPr>
        <w:ind w:firstLine="642"/>
        <w:rPr>
          <w:rFonts w:hint="eastAsia" w:ascii="仿宋_GB2312" w:hAnsi="Times New Roman" w:eastAsia="仿宋_GB2312" w:cs="Times New Roman"/>
          <w:b w:val="0"/>
          <w:bCs w:val="0"/>
          <w:color w:val="000000"/>
          <w:kern w:val="0"/>
          <w:sz w:val="32"/>
          <w:szCs w:val="32"/>
          <w:lang w:val="en-US" w:eastAsia="zh-CN" w:bidi="ar-SA"/>
        </w:rPr>
      </w:pPr>
      <w:r>
        <w:rPr>
          <w:rFonts w:hint="eastAsia" w:ascii="仿宋_GB2312" w:hAnsi="Times New Roman" w:eastAsia="仿宋_GB2312" w:cs="Times New Roman"/>
          <w:b w:val="0"/>
          <w:bCs w:val="0"/>
          <w:color w:val="000000"/>
          <w:kern w:val="0"/>
          <w:sz w:val="32"/>
          <w:szCs w:val="32"/>
          <w:lang w:val="en-US" w:eastAsia="zh-CN" w:bidi="ar-SA"/>
        </w:rPr>
        <w:t>公务用车购置</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万元,比上年增（减）</w:t>
      </w:r>
      <w:r>
        <w:rPr>
          <w:rFonts w:hint="eastAsia" w:ascii="仿宋_GB2312" w:hAnsi="Times New Roman" w:eastAsia="仿宋_GB2312" w:cs="Times New Roman"/>
          <w:b w:val="0"/>
          <w:bCs w:val="0"/>
          <w:color w:val="000000"/>
          <w:kern w:val="0"/>
          <w:sz w:val="32"/>
          <w:szCs w:val="32"/>
          <w:u w:val="single"/>
          <w:lang w:val="en-US" w:eastAsia="zh-CN" w:bidi="ar-SA"/>
        </w:rPr>
        <w:t xml:space="preserve"> 0</w:t>
      </w:r>
      <w:r>
        <w:rPr>
          <w:rFonts w:hint="eastAsia" w:ascii="仿宋_GB2312" w:hAnsi="Times New Roman" w:eastAsia="仿宋_GB2312" w:cs="Times New Roman"/>
          <w:b w:val="0"/>
          <w:bCs w:val="0"/>
          <w:color w:val="000000"/>
          <w:kern w:val="0"/>
          <w:sz w:val="32"/>
          <w:szCs w:val="32"/>
          <w:lang w:val="en-US" w:eastAsia="zh-CN" w:bidi="ar-SA"/>
        </w:rPr>
        <w:t>万元，主要原因是：与上年安排保持一致。</w:t>
      </w:r>
      <w:r>
        <w:rPr>
          <w:rFonts w:hint="eastAsia" w:ascii="仿宋_GB2312" w:hAnsi="Times New Roman" w:eastAsia="仿宋_GB2312" w:cs="Times New Roman"/>
          <w:b w:val="0"/>
          <w:bCs w:val="0"/>
          <w:color w:val="000000"/>
          <w:kern w:val="0"/>
          <w:sz w:val="32"/>
          <w:szCs w:val="32"/>
          <w:lang w:val="en-US" w:eastAsia="zh-CN" w:bidi="ar-SA"/>
        </w:rPr>
        <w:fldChar w:fldCharType="begin"/>
      </w:r>
      <w:r>
        <w:rPr>
          <w:rFonts w:hint="eastAsia" w:ascii="仿宋_GB2312" w:hAnsi="Times New Roman" w:eastAsia="仿宋_GB2312" w:cs="Times New Roman"/>
          <w:b w:val="0"/>
          <w:bCs w:val="0"/>
          <w:color w:val="000000"/>
          <w:kern w:val="0"/>
          <w:sz w:val="32"/>
          <w:szCs w:val="32"/>
          <w:lang w:val="en-US" w:eastAsia="zh-CN" w:bidi="ar-SA"/>
        </w:rPr>
        <w:instrText xml:space="preserve">MERGEFIELD ${page400644146.ds215660413_REP_BGT_T_HC1100002019_DXQ02_ZCSGGZ}</w:instrText>
      </w:r>
      <w:r>
        <w:rPr>
          <w:rFonts w:hint="eastAsia" w:ascii="仿宋_GB2312" w:hAnsi="Times New Roman" w:eastAsia="仿宋_GB2312" w:cs="Times New Roman"/>
          <w:b w:val="0"/>
          <w:bCs w:val="0"/>
          <w:color w:val="000000"/>
          <w:kern w:val="0"/>
          <w:sz w:val="32"/>
          <w:szCs w:val="32"/>
          <w:lang w:val="en-US" w:eastAsia="zh-CN" w:bidi="ar-SA"/>
        </w:rPr>
        <w:fldChar w:fldCharType="end"/>
      </w:r>
    </w:p>
    <w:p w14:paraId="0BEF07C0">
      <w:pPr>
        <w:widowControl/>
        <w:spacing w:line="580" w:lineRule="exact"/>
        <w:ind w:firstLine="636"/>
        <w:jc w:val="left"/>
        <w:rPr>
          <w:rStyle w:val="13"/>
          <w:rFonts w:ascii="仿宋" w:hAnsi="仿宋" w:eastAsia="仿宋"/>
          <w:color w:val="FF0000"/>
          <w:sz w:val="32"/>
          <w:szCs w:val="32"/>
        </w:rPr>
      </w:pPr>
    </w:p>
    <w:p w14:paraId="4DDD9F3D">
      <w:pPr>
        <w:widowControl/>
        <w:spacing w:line="580" w:lineRule="exact"/>
        <w:ind w:firstLine="636"/>
        <w:jc w:val="left"/>
        <w:rPr>
          <w:rStyle w:val="13"/>
          <w:rFonts w:ascii="仿宋" w:hAnsi="仿宋" w:eastAsia="仿宋"/>
          <w:sz w:val="32"/>
          <w:szCs w:val="32"/>
        </w:rPr>
      </w:pPr>
    </w:p>
    <w:p w14:paraId="7C55635E">
      <w:pPr>
        <w:widowControl/>
        <w:spacing w:line="580" w:lineRule="exact"/>
        <w:ind w:firstLine="636"/>
        <w:jc w:val="left"/>
        <w:rPr>
          <w:rStyle w:val="13"/>
          <w:rFonts w:ascii="仿宋" w:hAnsi="仿宋" w:eastAsia="仿宋"/>
          <w:sz w:val="32"/>
          <w:szCs w:val="32"/>
        </w:rPr>
      </w:pPr>
    </w:p>
    <w:p w14:paraId="4659108E">
      <w:pPr>
        <w:widowControl/>
        <w:spacing w:line="580" w:lineRule="exact"/>
        <w:ind w:firstLine="636"/>
        <w:jc w:val="left"/>
        <w:rPr>
          <w:rStyle w:val="13"/>
          <w:rFonts w:ascii="仿宋" w:hAnsi="仿宋" w:eastAsia="仿宋"/>
          <w:sz w:val="32"/>
          <w:szCs w:val="32"/>
        </w:rPr>
      </w:pPr>
    </w:p>
    <w:p w14:paraId="5897897B">
      <w:pPr>
        <w:widowControl/>
        <w:spacing w:line="580" w:lineRule="exact"/>
        <w:ind w:firstLine="636"/>
        <w:jc w:val="left"/>
        <w:rPr>
          <w:rStyle w:val="13"/>
          <w:rFonts w:ascii="仿宋" w:hAnsi="仿宋" w:eastAsia="仿宋"/>
          <w:sz w:val="32"/>
          <w:szCs w:val="32"/>
        </w:rPr>
      </w:pPr>
    </w:p>
    <w:p w14:paraId="173E536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86469E4">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一、收入科目</w:t>
      </w:r>
    </w:p>
    <w:p w14:paraId="29324F6B">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财政拨款：指市级财政当年拨付的资金。</w:t>
      </w:r>
    </w:p>
    <w:p w14:paraId="0DF64C74">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教育收费资金收入：反映实行专项管理的高中以上学费、住宿费，高校委托培养费，函大、电大、夜大及短训班培训费等教育收费取得的收入。</w:t>
      </w:r>
    </w:p>
    <w:p w14:paraId="504699B5">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（三）事业收入：指事业单位开展专业业务活动及辅助活动取得的收入。</w:t>
      </w:r>
    </w:p>
    <w:p w14:paraId="3992871C">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（四）事业单位经营收入：指事业单位在专业业务活动及辅助活动之外开展非独立核算经营活动取得的收入。</w:t>
      </w:r>
    </w:p>
    <w:p w14:paraId="24DA59D3">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（五）附属单位上缴收入：反映事业单位附属的独立核算单位按规定标准或比例缴纳的各项收入。包括附属的事业单位上缴的收入和附属的企业上缴的利润等。</w:t>
      </w:r>
    </w:p>
    <w:p w14:paraId="305B7C5B">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（六）上级补助收入：反映事业单位从主管部门和上级单位取得的非财政补助收入。</w:t>
      </w:r>
    </w:p>
    <w:p w14:paraId="64619995">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（七）其他收入：指除财政拨款、事业收入、事业单位经营收入等以外的各项收入。</w:t>
      </w:r>
    </w:p>
    <w:p w14:paraId="70B80886">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（八）使用非财政拨款结余：填列历年滚存的非限定用途的非统计财政拨款结余弥补2024年收支差额的数额。</w:t>
      </w:r>
    </w:p>
    <w:p w14:paraId="7E04AC56">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（九）上年结转和结余：填列2023年全部结转和结余的资金数，包括当年结转结余资金和历年滚存结转结余资金。</w:t>
      </w:r>
    </w:p>
    <w:p w14:paraId="12D59679">
      <w:pPr>
        <w:ind w:firstLine="642"/>
        <w:rPr>
          <w:rFonts w:hint="eastAsia" w:ascii="仿宋_GB2312" w:hAnsi="仿宋_GB2312" w:eastAsia="仿宋_GB2312" w:cs="仿宋_GB2312"/>
          <w:sz w:val="32"/>
          <w:szCs w:val="32"/>
        </w:rPr>
      </w:pPr>
    </w:p>
    <w:p w14:paraId="587EA583">
      <w:pPr>
        <w:ind w:firstLine="642"/>
        <w:rPr>
          <w:rFonts w:hint="eastAsia" w:ascii="仿宋_GB2312" w:hAnsi="仿宋_GB2312" w:eastAsia="仿宋_GB2312" w:cs="仿宋_GB2312"/>
          <w:sz w:val="32"/>
          <w:szCs w:val="32"/>
        </w:rPr>
      </w:pPr>
    </w:p>
    <w:p w14:paraId="2F451FA5">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二、支出科目</w:t>
      </w:r>
    </w:p>
    <w:p w14:paraId="7E2F0365">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BED7D29">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252E7BAA">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567CBA45">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5DE5ABD1">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4671797D">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1F37042A">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FFB491A">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三、相关专业名词</w:t>
      </w:r>
    </w:p>
    <w:p w14:paraId="3E45D2EF">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93F1CC8">
      <w:pPr>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189B26B">
      <w:pPr>
        <w:widowControl/>
        <w:spacing w:line="600" w:lineRule="exact"/>
        <w:ind w:firstLine="640" w:firstLineChars="200"/>
        <w:jc w:val="left"/>
        <w:rPr>
          <w:rFonts w:ascii="仿宋_GB2312" w:eastAsia="仿宋_GB2312"/>
          <w:color w:val="FF0000"/>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D2923B8-E935-474F-B6BD-936602CA0024}"/>
  </w:font>
  <w:font w:name="黑体">
    <w:panose1 w:val="02010609060101010101"/>
    <w:charset w:val="86"/>
    <w:family w:val="auto"/>
    <w:pitch w:val="default"/>
    <w:sig w:usb0="800002BF" w:usb1="38CF7CFA" w:usb2="00000016" w:usb3="00000000" w:csb0="00040001" w:csb1="00000000"/>
    <w:embedRegular r:id="rId2" w:fontKey="{A6DB2225-1142-49E8-AE59-3EAF84DC57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B0E0CDBD-01F3-428B-B06C-7AA90F79CA3C}"/>
  </w:font>
  <w:font w:name="仿宋_GB2312">
    <w:altName w:val="仿宋"/>
    <w:panose1 w:val="00000000000000000000"/>
    <w:charset w:val="86"/>
    <w:family w:val="modern"/>
    <w:pitch w:val="default"/>
    <w:sig w:usb0="00000000" w:usb1="00000000" w:usb2="00000000" w:usb3="00000000" w:csb0="00040000" w:csb1="00000000"/>
    <w:embedRegular r:id="rId4" w:fontKey="{F2D3D373-0124-4075-B2E3-D503E81278E1}"/>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embedRegular r:id="rId5" w:fontKey="{DE859A04-8F31-4891-A261-96CC936694FF}"/>
  </w:font>
  <w:font w:name="Adobe 仿宋 Std R">
    <w:altName w:val="仿宋"/>
    <w:panose1 w:val="00000000000000000000"/>
    <w:charset w:val="86"/>
    <w:family w:val="roman"/>
    <w:pitch w:val="default"/>
    <w:sig w:usb0="00000000" w:usb1="00000000" w:usb2="00000016" w:usb3="00000000" w:csb0="00060007" w:csb1="00000000"/>
    <w:embedRegular r:id="rId6" w:fontKey="{AF23252C-91A7-4CE8-9A1E-E106236D9C7D}"/>
  </w:font>
  <w:font w:name="楷体_GB2312">
    <w:altName w:val="楷体"/>
    <w:panose1 w:val="00000000000000000000"/>
    <w:charset w:val="86"/>
    <w:family w:val="auto"/>
    <w:pitch w:val="default"/>
    <w:sig w:usb0="00000000" w:usb1="00000000" w:usb2="00000000" w:usb3="00000000" w:csb0="00040000" w:csb1="00000000"/>
    <w:embedRegular r:id="rId7" w:fontKey="{154FC8F7-9A91-42AB-AAD3-4130D20D3070}"/>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8" w:fontKey="{439CF624-09D4-4DCD-9E10-0F6914D5FAD5}"/>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BE4B0">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877E8"/>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C48"/>
    <w:rsid w:val="00117D8C"/>
    <w:rsid w:val="001233E6"/>
    <w:rsid w:val="00131F78"/>
    <w:rsid w:val="00143884"/>
    <w:rsid w:val="00144EB3"/>
    <w:rsid w:val="00151FF4"/>
    <w:rsid w:val="0015670C"/>
    <w:rsid w:val="00180F7B"/>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441CA"/>
    <w:rsid w:val="003560FC"/>
    <w:rsid w:val="0036119C"/>
    <w:rsid w:val="003759A5"/>
    <w:rsid w:val="00380DD1"/>
    <w:rsid w:val="00394DC6"/>
    <w:rsid w:val="003959F5"/>
    <w:rsid w:val="003A2923"/>
    <w:rsid w:val="003B68F4"/>
    <w:rsid w:val="003B76FD"/>
    <w:rsid w:val="003C0BFF"/>
    <w:rsid w:val="003C0D66"/>
    <w:rsid w:val="003C19AF"/>
    <w:rsid w:val="003C7840"/>
    <w:rsid w:val="003D0809"/>
    <w:rsid w:val="00406851"/>
    <w:rsid w:val="00424CC7"/>
    <w:rsid w:val="004345D9"/>
    <w:rsid w:val="00436836"/>
    <w:rsid w:val="0044016E"/>
    <w:rsid w:val="004444F6"/>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E6245"/>
    <w:rsid w:val="005F090C"/>
    <w:rsid w:val="005F35BD"/>
    <w:rsid w:val="005F69D4"/>
    <w:rsid w:val="00611FE7"/>
    <w:rsid w:val="006168F7"/>
    <w:rsid w:val="00623A52"/>
    <w:rsid w:val="00631E83"/>
    <w:rsid w:val="00631FA4"/>
    <w:rsid w:val="0063286F"/>
    <w:rsid w:val="006335B5"/>
    <w:rsid w:val="00650900"/>
    <w:rsid w:val="00655E8B"/>
    <w:rsid w:val="00660CC3"/>
    <w:rsid w:val="006740FD"/>
    <w:rsid w:val="006833F4"/>
    <w:rsid w:val="006924DA"/>
    <w:rsid w:val="00692FA7"/>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116"/>
    <w:rsid w:val="007F5C86"/>
    <w:rsid w:val="007F79A6"/>
    <w:rsid w:val="00804C42"/>
    <w:rsid w:val="008178EB"/>
    <w:rsid w:val="00823697"/>
    <w:rsid w:val="00846526"/>
    <w:rsid w:val="008506D9"/>
    <w:rsid w:val="00852C68"/>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403F"/>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12AA"/>
    <w:rsid w:val="00A0455D"/>
    <w:rsid w:val="00A10F16"/>
    <w:rsid w:val="00A2168A"/>
    <w:rsid w:val="00A33186"/>
    <w:rsid w:val="00A345A4"/>
    <w:rsid w:val="00A54282"/>
    <w:rsid w:val="00A55773"/>
    <w:rsid w:val="00A60B4D"/>
    <w:rsid w:val="00A64C88"/>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3288"/>
    <w:rsid w:val="00B5453F"/>
    <w:rsid w:val="00B619F8"/>
    <w:rsid w:val="00B6242B"/>
    <w:rsid w:val="00B63EDF"/>
    <w:rsid w:val="00B71EBE"/>
    <w:rsid w:val="00B82840"/>
    <w:rsid w:val="00BA572C"/>
    <w:rsid w:val="00BB3E51"/>
    <w:rsid w:val="00BB676A"/>
    <w:rsid w:val="00C02768"/>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0729F"/>
    <w:rsid w:val="00E11187"/>
    <w:rsid w:val="00E147FF"/>
    <w:rsid w:val="00E17924"/>
    <w:rsid w:val="00E17B11"/>
    <w:rsid w:val="00E23D75"/>
    <w:rsid w:val="00E32B10"/>
    <w:rsid w:val="00E34083"/>
    <w:rsid w:val="00E503CC"/>
    <w:rsid w:val="00E51512"/>
    <w:rsid w:val="00E5794A"/>
    <w:rsid w:val="00E60E90"/>
    <w:rsid w:val="00E6282E"/>
    <w:rsid w:val="00E70025"/>
    <w:rsid w:val="00E83029"/>
    <w:rsid w:val="00E9213F"/>
    <w:rsid w:val="00E9293D"/>
    <w:rsid w:val="00E92A8B"/>
    <w:rsid w:val="00E97D8C"/>
    <w:rsid w:val="00EA3654"/>
    <w:rsid w:val="00EA36FC"/>
    <w:rsid w:val="00EB0FD4"/>
    <w:rsid w:val="00EB1DF2"/>
    <w:rsid w:val="00EB5768"/>
    <w:rsid w:val="00EB656D"/>
    <w:rsid w:val="00EB6777"/>
    <w:rsid w:val="00EC3DDF"/>
    <w:rsid w:val="00ED0D2B"/>
    <w:rsid w:val="00EE6568"/>
    <w:rsid w:val="00F01B58"/>
    <w:rsid w:val="00F11FE4"/>
    <w:rsid w:val="00F132AE"/>
    <w:rsid w:val="00F2583E"/>
    <w:rsid w:val="00F323CB"/>
    <w:rsid w:val="00F32E83"/>
    <w:rsid w:val="00F95E5A"/>
    <w:rsid w:val="00F975EB"/>
    <w:rsid w:val="00FA278B"/>
    <w:rsid w:val="00FA354D"/>
    <w:rsid w:val="00FA3B89"/>
    <w:rsid w:val="00FB1979"/>
    <w:rsid w:val="00FD29E0"/>
    <w:rsid w:val="00FD5EC9"/>
    <w:rsid w:val="00FE0E90"/>
    <w:rsid w:val="00FE32CC"/>
    <w:rsid w:val="00FE6F56"/>
    <w:rsid w:val="00FF60EC"/>
    <w:rsid w:val="00FF6368"/>
    <w:rsid w:val="00FF7FED"/>
    <w:rsid w:val="01A75A49"/>
    <w:rsid w:val="02263797"/>
    <w:rsid w:val="02822179"/>
    <w:rsid w:val="03C90A94"/>
    <w:rsid w:val="067A6028"/>
    <w:rsid w:val="068F47B3"/>
    <w:rsid w:val="06940F6E"/>
    <w:rsid w:val="06CF29BD"/>
    <w:rsid w:val="07B23486"/>
    <w:rsid w:val="086852D3"/>
    <w:rsid w:val="08AA23AF"/>
    <w:rsid w:val="08EC3843"/>
    <w:rsid w:val="09D2306B"/>
    <w:rsid w:val="0A0925FF"/>
    <w:rsid w:val="0AF344E1"/>
    <w:rsid w:val="0C97247A"/>
    <w:rsid w:val="0D1A7920"/>
    <w:rsid w:val="0D2269B3"/>
    <w:rsid w:val="0DB3098E"/>
    <w:rsid w:val="0E100F06"/>
    <w:rsid w:val="0E303356"/>
    <w:rsid w:val="10865F5D"/>
    <w:rsid w:val="11CC15E8"/>
    <w:rsid w:val="12220323"/>
    <w:rsid w:val="138309AD"/>
    <w:rsid w:val="13FB007C"/>
    <w:rsid w:val="141C6857"/>
    <w:rsid w:val="16866209"/>
    <w:rsid w:val="16B036C0"/>
    <w:rsid w:val="17763228"/>
    <w:rsid w:val="19210F62"/>
    <w:rsid w:val="195D35A6"/>
    <w:rsid w:val="195E7F0D"/>
    <w:rsid w:val="1A310F7A"/>
    <w:rsid w:val="1A705E7F"/>
    <w:rsid w:val="1ABF2D84"/>
    <w:rsid w:val="1AED7515"/>
    <w:rsid w:val="1AFC7398"/>
    <w:rsid w:val="1CC2405F"/>
    <w:rsid w:val="1D7E5E8C"/>
    <w:rsid w:val="1DDF2BEB"/>
    <w:rsid w:val="1E0740D4"/>
    <w:rsid w:val="1E172FD7"/>
    <w:rsid w:val="1E3048AA"/>
    <w:rsid w:val="1E491A3B"/>
    <w:rsid w:val="1E4C7D38"/>
    <w:rsid w:val="1F1F7406"/>
    <w:rsid w:val="1FD03083"/>
    <w:rsid w:val="205F07EC"/>
    <w:rsid w:val="206D0602"/>
    <w:rsid w:val="21E2707C"/>
    <w:rsid w:val="22430342"/>
    <w:rsid w:val="23977FB1"/>
    <w:rsid w:val="245C3447"/>
    <w:rsid w:val="24A253E1"/>
    <w:rsid w:val="24CE594B"/>
    <w:rsid w:val="25B931E9"/>
    <w:rsid w:val="26491B91"/>
    <w:rsid w:val="27D86AE1"/>
    <w:rsid w:val="27D9324B"/>
    <w:rsid w:val="28263441"/>
    <w:rsid w:val="2828673B"/>
    <w:rsid w:val="290B705B"/>
    <w:rsid w:val="292D1FC0"/>
    <w:rsid w:val="29981D60"/>
    <w:rsid w:val="29F6161F"/>
    <w:rsid w:val="2B2339AC"/>
    <w:rsid w:val="2C57797E"/>
    <w:rsid w:val="304075B1"/>
    <w:rsid w:val="311C29BA"/>
    <w:rsid w:val="318814ED"/>
    <w:rsid w:val="31931AC3"/>
    <w:rsid w:val="31E12C32"/>
    <w:rsid w:val="32A735AF"/>
    <w:rsid w:val="32D8641B"/>
    <w:rsid w:val="3328400E"/>
    <w:rsid w:val="351512FA"/>
    <w:rsid w:val="35721433"/>
    <w:rsid w:val="374647FA"/>
    <w:rsid w:val="38001C91"/>
    <w:rsid w:val="39A3581F"/>
    <w:rsid w:val="39B11893"/>
    <w:rsid w:val="39CE49D8"/>
    <w:rsid w:val="3A841EE9"/>
    <w:rsid w:val="3A9F1A72"/>
    <w:rsid w:val="3ACF1B11"/>
    <w:rsid w:val="3B7D1841"/>
    <w:rsid w:val="3BA35A87"/>
    <w:rsid w:val="3BA6547C"/>
    <w:rsid w:val="3CFE449C"/>
    <w:rsid w:val="3DC079A3"/>
    <w:rsid w:val="3DD2151D"/>
    <w:rsid w:val="3F383632"/>
    <w:rsid w:val="3FA910A9"/>
    <w:rsid w:val="3FF84E58"/>
    <w:rsid w:val="4052753A"/>
    <w:rsid w:val="41737C65"/>
    <w:rsid w:val="41842E2A"/>
    <w:rsid w:val="42DC038C"/>
    <w:rsid w:val="43040332"/>
    <w:rsid w:val="448368CD"/>
    <w:rsid w:val="459D3E09"/>
    <w:rsid w:val="45D264C6"/>
    <w:rsid w:val="45D833CA"/>
    <w:rsid w:val="464E5AFF"/>
    <w:rsid w:val="47C87B80"/>
    <w:rsid w:val="4C554A95"/>
    <w:rsid w:val="4C9170DB"/>
    <w:rsid w:val="4D221AE1"/>
    <w:rsid w:val="4DB628F2"/>
    <w:rsid w:val="4E0D4F31"/>
    <w:rsid w:val="4EFF051F"/>
    <w:rsid w:val="4F8042F7"/>
    <w:rsid w:val="4FC618B4"/>
    <w:rsid w:val="528E6F80"/>
    <w:rsid w:val="53516268"/>
    <w:rsid w:val="554B46D7"/>
    <w:rsid w:val="5563713A"/>
    <w:rsid w:val="55924F68"/>
    <w:rsid w:val="55EE43AE"/>
    <w:rsid w:val="56C47F55"/>
    <w:rsid w:val="573A53AA"/>
    <w:rsid w:val="5901673A"/>
    <w:rsid w:val="59CE54CA"/>
    <w:rsid w:val="59EF3D42"/>
    <w:rsid w:val="5A8913F1"/>
    <w:rsid w:val="5AB93E8B"/>
    <w:rsid w:val="5AEA168C"/>
    <w:rsid w:val="5E912F6A"/>
    <w:rsid w:val="5EA31F07"/>
    <w:rsid w:val="5EDA0640"/>
    <w:rsid w:val="5F193B70"/>
    <w:rsid w:val="5F2D4A41"/>
    <w:rsid w:val="60FC7690"/>
    <w:rsid w:val="61D17BB5"/>
    <w:rsid w:val="61E31A71"/>
    <w:rsid w:val="62283DE4"/>
    <w:rsid w:val="62312A9A"/>
    <w:rsid w:val="62E01DCA"/>
    <w:rsid w:val="63E33020"/>
    <w:rsid w:val="656229B9"/>
    <w:rsid w:val="658856FB"/>
    <w:rsid w:val="67B10C38"/>
    <w:rsid w:val="67DC7D34"/>
    <w:rsid w:val="68210156"/>
    <w:rsid w:val="68B57AD2"/>
    <w:rsid w:val="68E97589"/>
    <w:rsid w:val="6AC344AB"/>
    <w:rsid w:val="6B3E333B"/>
    <w:rsid w:val="6BE248E5"/>
    <w:rsid w:val="6C320AC9"/>
    <w:rsid w:val="6C617282"/>
    <w:rsid w:val="6CCB135B"/>
    <w:rsid w:val="6CCE5117"/>
    <w:rsid w:val="6EAF555B"/>
    <w:rsid w:val="6EDB6140"/>
    <w:rsid w:val="6F2C7111"/>
    <w:rsid w:val="6F6A75EB"/>
    <w:rsid w:val="6FD11419"/>
    <w:rsid w:val="70741DA4"/>
    <w:rsid w:val="714A36AC"/>
    <w:rsid w:val="71AF11DD"/>
    <w:rsid w:val="72746F20"/>
    <w:rsid w:val="729C5CCB"/>
    <w:rsid w:val="72AB5F51"/>
    <w:rsid w:val="73543105"/>
    <w:rsid w:val="73833808"/>
    <w:rsid w:val="73A85115"/>
    <w:rsid w:val="743326A2"/>
    <w:rsid w:val="74413C50"/>
    <w:rsid w:val="74677743"/>
    <w:rsid w:val="7536481C"/>
    <w:rsid w:val="754310F5"/>
    <w:rsid w:val="759E1500"/>
    <w:rsid w:val="76E91124"/>
    <w:rsid w:val="779E07BB"/>
    <w:rsid w:val="787B63C5"/>
    <w:rsid w:val="7A802D36"/>
    <w:rsid w:val="7C1C38B8"/>
    <w:rsid w:val="7D1C2D3E"/>
    <w:rsid w:val="7E6416AA"/>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autoRedefine/>
    <w:qFormat/>
    <w:uiPriority w:val="9"/>
    <w:pPr>
      <w:keepNext/>
      <w:keepLines/>
      <w:spacing w:line="576" w:lineRule="auto"/>
      <w:outlineLvl w:val="0"/>
    </w:pPr>
    <w:rPr>
      <w:b/>
      <w:kern w:val="44"/>
      <w:sz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7"/>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9">
    <w:name w:val="Hyperlink"/>
    <w:basedOn w:val="8"/>
    <w:autoRedefine/>
    <w:qFormat/>
    <w:uiPriority w:val="0"/>
    <w:rPr>
      <w:color w:val="0000FF"/>
      <w:u w:val="single"/>
    </w:rPr>
  </w:style>
  <w:style w:type="character" w:customStyle="1" w:styleId="10">
    <w:name w:val="页眉 Char"/>
    <w:basedOn w:val="8"/>
    <w:link w:val="5"/>
    <w:autoRedefine/>
    <w:qFormat/>
    <w:uiPriority w:val="99"/>
    <w:rPr>
      <w:sz w:val="18"/>
      <w:szCs w:val="18"/>
    </w:rPr>
  </w:style>
  <w:style w:type="character" w:customStyle="1" w:styleId="11">
    <w:name w:val="页脚 Char"/>
    <w:basedOn w:val="8"/>
    <w:link w:val="4"/>
    <w:autoRedefine/>
    <w:qFormat/>
    <w:uiPriority w:val="99"/>
    <w:rPr>
      <w:sz w:val="18"/>
      <w:szCs w:val="18"/>
    </w:rPr>
  </w:style>
  <w:style w:type="character" w:customStyle="1" w:styleId="12">
    <w:name w:val="row_tree_level_3"/>
    <w:basedOn w:val="8"/>
    <w:autoRedefine/>
    <w:qFormat/>
    <w:uiPriority w:val="0"/>
  </w:style>
  <w:style w:type="character" w:customStyle="1" w:styleId="13">
    <w:name w:val="row_tree_level_4"/>
    <w:basedOn w:val="8"/>
    <w:autoRedefine/>
    <w:qFormat/>
    <w:uiPriority w:val="0"/>
  </w:style>
  <w:style w:type="paragraph" w:customStyle="1" w:styleId="14">
    <w:name w:val="p0"/>
    <w:basedOn w:val="1"/>
    <w:autoRedefine/>
    <w:qFormat/>
    <w:uiPriority w:val="0"/>
    <w:pPr>
      <w:widowControl/>
    </w:pPr>
    <w:rPr>
      <w:rFonts w:ascii="Times New Roman" w:hAnsi="Times New Roman" w:eastAsia="宋体" w:cs="Times New Roman"/>
      <w:kern w:val="0"/>
      <w:szCs w:val="21"/>
    </w:rPr>
  </w:style>
  <w:style w:type="character" w:customStyle="1" w:styleId="15">
    <w:name w:val="15"/>
    <w:basedOn w:val="8"/>
    <w:autoRedefine/>
    <w:qFormat/>
    <w:uiPriority w:val="0"/>
    <w:rPr>
      <w:rFonts w:hint="default" w:ascii="Times New Roman" w:hAnsi="Times New Roman" w:cs="Times New Roman"/>
      <w:sz w:val="20"/>
      <w:szCs w:val="20"/>
    </w:rPr>
  </w:style>
  <w:style w:type="character" w:customStyle="1" w:styleId="16">
    <w:name w:val="标题 1 Char"/>
    <w:link w:val="2"/>
    <w:autoRedefine/>
    <w:qFormat/>
    <w:uiPriority w:val="0"/>
    <w:rPr>
      <w:b/>
      <w:kern w:val="44"/>
      <w:sz w:val="44"/>
    </w:rPr>
  </w:style>
  <w:style w:type="character" w:customStyle="1" w:styleId="17">
    <w:name w:val="批注框文本 Char"/>
    <w:basedOn w:val="8"/>
    <w:link w:val="3"/>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15</Pages>
  <Words>3955</Words>
  <Characters>4194</Characters>
  <Lines>41</Lines>
  <Paragraphs>11</Paragraphs>
  <TotalTime>102</TotalTime>
  <ScaleCrop>false</ScaleCrop>
  <LinksUpToDate>false</LinksUpToDate>
  <CharactersWithSpaces>4223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WPS_1177069419</cp:lastModifiedBy>
  <dcterms:modified xsi:type="dcterms:W3CDTF">2025-08-28T08:35:41Z</dcterms:modified>
  <cp:revision>206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956EB91157794FC398963BEDBC478CA8_13</vt:lpwstr>
  </property>
  <property fmtid="{D5CDD505-2E9C-101B-9397-08002B2CF9AE}" pid="4" name="KSOTemplateDocerSaveRecord">
    <vt:lpwstr>eyJoZGlkIjoiM2MwNTQyNTQ4YjYyMWFmMDY0MDg5YmE1NzQ5OGU4YWUiLCJ1c2VySWQiOiIxMTc3MDY5NDE5In0=</vt:lpwstr>
  </property>
</Properties>
</file>