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DECB4">
      <w:pPr>
        <w:widowControl/>
        <w:spacing w:line="520" w:lineRule="atLeast"/>
        <w:jc w:val="center"/>
        <w:rPr>
          <w:rFonts w:hint="eastAsia" w:ascii="黑体" w:hAnsi="黑体" w:eastAsia="黑体" w:cs="Times New Roman"/>
          <w:b/>
          <w:bCs/>
          <w:color w:val="auto"/>
          <w:kern w:val="0"/>
          <w:sz w:val="36"/>
          <w:szCs w:val="36"/>
          <w:lang w:val="en-US" w:eastAsia="zh-CN"/>
        </w:rPr>
      </w:pPr>
      <w:r>
        <w:rPr>
          <w:rFonts w:hint="eastAsia" w:ascii="黑体" w:hAnsi="黑体" w:eastAsia="黑体" w:cs="Times New Roman"/>
          <w:b/>
          <w:bCs/>
          <w:color w:val="auto"/>
          <w:kern w:val="0"/>
          <w:sz w:val="36"/>
          <w:szCs w:val="36"/>
          <w:lang w:val="en-US" w:eastAsia="zh-CN"/>
        </w:rPr>
        <w:t>江西省庐山旅游职业高级中学</w:t>
      </w:r>
    </w:p>
    <w:p w14:paraId="4710CF56">
      <w:pPr>
        <w:widowControl/>
        <w:spacing w:line="520" w:lineRule="atLeast"/>
        <w:jc w:val="center"/>
        <w:rPr>
          <w:rFonts w:ascii="黑体" w:hAnsi="黑体" w:eastAsia="黑体"/>
          <w:color w:val="auto"/>
          <w:sz w:val="36"/>
          <w:szCs w:val="36"/>
        </w:rPr>
      </w:pPr>
      <w:r>
        <w:rPr>
          <w:rFonts w:hint="eastAsia" w:ascii="黑体" w:hAnsi="黑体" w:eastAsia="黑体" w:cs="Times New Roman"/>
          <w:b/>
          <w:bCs/>
          <w:color w:val="auto"/>
          <w:kern w:val="0"/>
          <w:sz w:val="36"/>
          <w:szCs w:val="36"/>
        </w:rPr>
        <w:t>202</w:t>
      </w:r>
      <w:r>
        <w:rPr>
          <w:rFonts w:hint="eastAsia" w:ascii="黑体" w:hAnsi="黑体" w:eastAsia="黑体" w:cs="Times New Roman"/>
          <w:b/>
          <w:bCs/>
          <w:color w:val="auto"/>
          <w:kern w:val="0"/>
          <w:sz w:val="36"/>
          <w:szCs w:val="36"/>
          <w:lang w:val="en-US" w:eastAsia="zh-CN"/>
        </w:rPr>
        <w:t>4</w:t>
      </w:r>
      <w:r>
        <w:rPr>
          <w:rFonts w:hint="eastAsia" w:ascii="黑体" w:hAnsi="黑体" w:eastAsia="黑体" w:cs="Times New Roman"/>
          <w:b/>
          <w:bCs/>
          <w:color w:val="auto"/>
          <w:kern w:val="0"/>
          <w:sz w:val="36"/>
          <w:szCs w:val="36"/>
        </w:rPr>
        <w:t>年单位预算</w:t>
      </w:r>
    </w:p>
    <w:p w14:paraId="430CB075">
      <w:pPr>
        <w:pStyle w:val="12"/>
        <w:spacing w:line="600" w:lineRule="atLeast"/>
        <w:jc w:val="center"/>
        <w:rPr>
          <w:rFonts w:hint="eastAsia" w:ascii="仿宋" w:hAnsi="仿宋" w:eastAsia="仿宋" w:cs="仿宋"/>
          <w:color w:val="auto"/>
          <w:sz w:val="32"/>
          <w:szCs w:val="32"/>
        </w:rPr>
      </w:pPr>
      <w:r>
        <w:rPr>
          <w:rFonts w:hint="eastAsia" w:ascii="仿宋" w:hAnsi="仿宋" w:eastAsia="仿宋" w:cs="仿宋"/>
          <w:color w:val="auto"/>
          <w:sz w:val="32"/>
          <w:szCs w:val="32"/>
        </w:rPr>
        <w:t>目    录</w:t>
      </w:r>
    </w:p>
    <w:p w14:paraId="7C802257">
      <w:pPr>
        <w:pStyle w:val="12"/>
        <w:tabs>
          <w:tab w:val="right" w:pos="8306"/>
        </w:tabs>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第一部分  </w:t>
      </w:r>
      <w:r>
        <w:rPr>
          <w:rFonts w:hint="eastAsia" w:ascii="仿宋" w:hAnsi="仿宋" w:eastAsia="仿宋" w:cs="仿宋"/>
          <w:b/>
          <w:bCs/>
          <w:color w:val="auto"/>
          <w:sz w:val="32"/>
          <w:szCs w:val="32"/>
          <w:lang w:val="en-US" w:eastAsia="zh-CN"/>
        </w:rPr>
        <w:t>江西省庐山旅游职业高级中学</w:t>
      </w:r>
      <w:r>
        <w:rPr>
          <w:rFonts w:hint="eastAsia" w:ascii="仿宋" w:hAnsi="仿宋" w:eastAsia="仿宋" w:cs="仿宋"/>
          <w:b/>
          <w:bCs/>
          <w:color w:val="auto"/>
          <w:sz w:val="32"/>
          <w:szCs w:val="32"/>
        </w:rPr>
        <w:t>概况</w:t>
      </w:r>
      <w:r>
        <w:rPr>
          <w:rFonts w:hint="eastAsia" w:ascii="仿宋" w:hAnsi="仿宋" w:eastAsia="仿宋" w:cs="仿宋"/>
          <w:b/>
          <w:bCs/>
          <w:color w:val="auto"/>
          <w:sz w:val="32"/>
          <w:szCs w:val="32"/>
        </w:rPr>
        <w:tab/>
      </w:r>
    </w:p>
    <w:p w14:paraId="4F0CB5B0">
      <w:pPr>
        <w:pStyle w:val="12"/>
        <w:spacing w:line="600" w:lineRule="atLeast"/>
        <w:ind w:firstLine="1120" w:firstLineChars="35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 xml:space="preserve"> 一、单位主要职责</w:t>
      </w:r>
    </w:p>
    <w:p w14:paraId="07BCAFC7">
      <w:pPr>
        <w:pStyle w:val="12"/>
        <w:spacing w:line="600" w:lineRule="atLeast"/>
        <w:ind w:firstLine="1280" w:firstLineChars="40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二、机构设置及人员情况</w:t>
      </w:r>
    </w:p>
    <w:p w14:paraId="3DDD1049">
      <w:pPr>
        <w:pStyle w:val="12"/>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第二部分  </w:t>
      </w:r>
      <w:r>
        <w:rPr>
          <w:rFonts w:hint="eastAsia" w:ascii="仿宋" w:hAnsi="仿宋" w:eastAsia="仿宋" w:cs="仿宋"/>
          <w:b/>
          <w:bCs/>
          <w:color w:val="auto"/>
          <w:sz w:val="32"/>
          <w:szCs w:val="32"/>
          <w:lang w:val="en-US" w:eastAsia="zh-CN"/>
        </w:rPr>
        <w:t>江西省庐山旅游职业高级中学</w:t>
      </w:r>
      <w:r>
        <w:rPr>
          <w:rFonts w:hint="eastAsia" w:ascii="仿宋" w:hAnsi="仿宋" w:eastAsia="仿宋" w:cs="仿宋"/>
          <w:b/>
          <w:bCs/>
          <w:color w:val="auto"/>
          <w:sz w:val="32"/>
          <w:szCs w:val="32"/>
        </w:rPr>
        <w:t>202</w:t>
      </w: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年单位预算表</w:t>
      </w:r>
    </w:p>
    <w:p w14:paraId="1D4F5B74">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一、《收支预算总表》</w:t>
      </w:r>
    </w:p>
    <w:p w14:paraId="5C516F97">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二、《单位收入总表》</w:t>
      </w:r>
    </w:p>
    <w:p w14:paraId="47407727">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三、《单位支出总表》</w:t>
      </w:r>
    </w:p>
    <w:p w14:paraId="7E482E37">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四、《财政拨款收支总表》</w:t>
      </w:r>
    </w:p>
    <w:p w14:paraId="6AFC8C07">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五、《一般公共预算支出表》</w:t>
      </w:r>
    </w:p>
    <w:p w14:paraId="3143BD43">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六、《一般公共预算基本支出表》</w:t>
      </w:r>
    </w:p>
    <w:p w14:paraId="5CDFB48E">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七、《财政拨款“三公”经费支出表》</w:t>
      </w:r>
    </w:p>
    <w:p w14:paraId="23B28B57">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八、《政府性基金预算支出表》</w:t>
      </w:r>
    </w:p>
    <w:p w14:paraId="2A8C30B6">
      <w:pPr>
        <w:pStyle w:val="12"/>
        <w:tabs>
          <w:tab w:val="left" w:pos="6546"/>
        </w:tabs>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九、《国有资本经营预算支出表》</w:t>
      </w:r>
      <w:r>
        <w:rPr>
          <w:rFonts w:hint="eastAsia" w:ascii="仿宋" w:hAnsi="仿宋" w:eastAsia="仿宋" w:cs="仿宋"/>
          <w:color w:val="auto"/>
          <w:kern w:val="2"/>
          <w:sz w:val="32"/>
          <w:szCs w:val="32"/>
        </w:rPr>
        <w:tab/>
      </w:r>
    </w:p>
    <w:p w14:paraId="20C09671">
      <w:pPr>
        <w:pStyle w:val="12"/>
        <w:tabs>
          <w:tab w:val="left" w:pos="6546"/>
        </w:tabs>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十、《项目绩效目标表》</w:t>
      </w:r>
    </w:p>
    <w:p w14:paraId="0044736C">
      <w:pPr>
        <w:pStyle w:val="12"/>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第三部分 </w:t>
      </w:r>
      <w:r>
        <w:rPr>
          <w:rFonts w:hint="eastAsia" w:ascii="仿宋" w:hAnsi="仿宋" w:eastAsia="仿宋" w:cs="仿宋"/>
          <w:b/>
          <w:bCs/>
          <w:color w:val="auto"/>
          <w:sz w:val="32"/>
          <w:szCs w:val="32"/>
          <w:lang w:val="en-US" w:eastAsia="zh-CN"/>
        </w:rPr>
        <w:t>江西省庐山旅游职业高级中学</w:t>
      </w:r>
      <w:r>
        <w:rPr>
          <w:rFonts w:hint="eastAsia" w:ascii="仿宋" w:hAnsi="仿宋" w:eastAsia="仿宋" w:cs="仿宋"/>
          <w:b/>
          <w:bCs/>
          <w:color w:val="auto"/>
          <w:sz w:val="32"/>
          <w:szCs w:val="32"/>
        </w:rPr>
        <w:t>202</w:t>
      </w: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年单位预算情况说明</w:t>
      </w:r>
    </w:p>
    <w:p w14:paraId="51EB74F7">
      <w:pPr>
        <w:pStyle w:val="12"/>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一、202</w:t>
      </w:r>
      <w:r>
        <w:rPr>
          <w:rFonts w:hint="eastAsia" w:ascii="仿宋" w:hAnsi="仿宋" w:eastAsia="仿宋" w:cs="仿宋"/>
          <w:color w:val="auto"/>
          <w:kern w:val="2"/>
          <w:sz w:val="32"/>
          <w:szCs w:val="32"/>
          <w:lang w:val="en-US" w:eastAsia="zh-CN"/>
        </w:rPr>
        <w:t>4</w:t>
      </w:r>
      <w:r>
        <w:rPr>
          <w:rFonts w:hint="eastAsia" w:ascii="仿宋" w:hAnsi="仿宋" w:eastAsia="仿宋" w:cs="仿宋"/>
          <w:color w:val="auto"/>
          <w:kern w:val="2"/>
          <w:sz w:val="32"/>
          <w:szCs w:val="32"/>
        </w:rPr>
        <w:t>年单位预算收支情况说明</w:t>
      </w:r>
    </w:p>
    <w:p w14:paraId="673A222E">
      <w:pPr>
        <w:pStyle w:val="12"/>
        <w:spacing w:line="600" w:lineRule="atLeast"/>
        <w:ind w:firstLine="1120" w:firstLineChars="35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 xml:space="preserve"> 二、202</w:t>
      </w:r>
      <w:r>
        <w:rPr>
          <w:rFonts w:hint="eastAsia" w:ascii="仿宋" w:hAnsi="仿宋" w:eastAsia="仿宋" w:cs="仿宋"/>
          <w:color w:val="auto"/>
          <w:kern w:val="2"/>
          <w:sz w:val="32"/>
          <w:szCs w:val="32"/>
          <w:lang w:val="en-US" w:eastAsia="zh-CN"/>
        </w:rPr>
        <w:t>4</w:t>
      </w:r>
      <w:r>
        <w:rPr>
          <w:rFonts w:hint="eastAsia" w:ascii="仿宋" w:hAnsi="仿宋" w:eastAsia="仿宋" w:cs="仿宋"/>
          <w:color w:val="auto"/>
          <w:kern w:val="2"/>
          <w:sz w:val="32"/>
          <w:szCs w:val="32"/>
        </w:rPr>
        <w:t>年“三公”经费预算情况说明</w:t>
      </w:r>
    </w:p>
    <w:p w14:paraId="6679B149">
      <w:pPr>
        <w:pStyle w:val="12"/>
        <w:spacing w:line="600" w:lineRule="atLeast"/>
        <w:ind w:firstLine="964" w:firstLineChars="30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第四部分  名词解释</w:t>
      </w:r>
    </w:p>
    <w:p w14:paraId="2D8C5501">
      <w:pPr>
        <w:widowControl/>
        <w:spacing w:line="580" w:lineRule="exact"/>
        <w:jc w:val="both"/>
        <w:rPr>
          <w:rFonts w:hint="eastAsia" w:ascii="仿宋" w:hAnsi="仿宋" w:eastAsia="仿宋" w:cs="仿宋"/>
          <w:b/>
          <w:color w:val="auto"/>
          <w:sz w:val="32"/>
          <w:szCs w:val="32"/>
        </w:rPr>
      </w:pPr>
    </w:p>
    <w:p w14:paraId="289DAF02">
      <w:pPr>
        <w:widowControl/>
        <w:numPr>
          <w:ilvl w:val="0"/>
          <w:numId w:val="1"/>
        </w:numPr>
        <w:spacing w:line="580" w:lineRule="exact"/>
        <w:jc w:val="center"/>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 xml:space="preserve"> </w:t>
      </w:r>
      <w:r>
        <w:rPr>
          <w:rFonts w:hint="eastAsia" w:ascii="仿宋" w:hAnsi="仿宋" w:eastAsia="仿宋" w:cs="仿宋"/>
          <w:b/>
          <w:bCs w:val="0"/>
          <w:color w:val="auto"/>
          <w:sz w:val="32"/>
          <w:szCs w:val="32"/>
          <w:lang w:val="en-US" w:eastAsia="zh-CN"/>
        </w:rPr>
        <w:t>江西省庐山旅游职业高级中学</w:t>
      </w:r>
      <w:r>
        <w:rPr>
          <w:rFonts w:hint="eastAsia" w:ascii="仿宋" w:hAnsi="仿宋" w:eastAsia="仿宋" w:cs="仿宋"/>
          <w:b/>
          <w:bCs w:val="0"/>
          <w:color w:val="auto"/>
          <w:sz w:val="32"/>
          <w:szCs w:val="32"/>
        </w:rPr>
        <w:t>概况</w:t>
      </w:r>
    </w:p>
    <w:p w14:paraId="28163028">
      <w:pPr>
        <w:widowControl/>
        <w:numPr>
          <w:ilvl w:val="0"/>
          <w:numId w:val="0"/>
        </w:numPr>
        <w:spacing w:line="580" w:lineRule="exact"/>
        <w:jc w:val="both"/>
        <w:rPr>
          <w:rFonts w:hint="eastAsia" w:ascii="仿宋" w:hAnsi="仿宋" w:eastAsia="仿宋" w:cs="仿宋"/>
          <w:b/>
          <w:bCs w:val="0"/>
          <w:color w:val="auto"/>
          <w:sz w:val="32"/>
          <w:szCs w:val="32"/>
        </w:rPr>
      </w:pPr>
    </w:p>
    <w:p w14:paraId="323974A6">
      <w:pPr>
        <w:widowControl/>
        <w:spacing w:line="580" w:lineRule="exact"/>
        <w:jc w:val="left"/>
        <w:rPr>
          <w:rFonts w:hint="eastAsia" w:ascii="仿宋" w:hAnsi="仿宋" w:eastAsia="仿宋" w:cs="仿宋"/>
          <w:b/>
          <w:bCs w:val="0"/>
          <w:color w:val="auto"/>
          <w:sz w:val="32"/>
          <w:szCs w:val="32"/>
        </w:rPr>
      </w:pPr>
      <w:r>
        <w:rPr>
          <w:rFonts w:hint="eastAsia" w:ascii="仿宋" w:hAnsi="仿宋" w:eastAsia="仿宋" w:cs="仿宋"/>
          <w:b/>
          <w:bCs w:val="0"/>
          <w:color w:val="auto"/>
          <w:sz w:val="32"/>
          <w:szCs w:val="32"/>
        </w:rPr>
        <w:t>一、单位主要职责</w:t>
      </w:r>
    </w:p>
    <w:p w14:paraId="2CDBDD8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江西省庐山旅游职业高级中学，正科级全额拨款事业单位。学校定编21人，学校现有在职教职工1</w:t>
      </w:r>
      <w:r>
        <w:rPr>
          <w:rFonts w:hint="eastAsia" w:ascii="仿宋" w:hAnsi="仿宋" w:eastAsia="仿宋" w:cs="仿宋"/>
          <w:sz w:val="32"/>
          <w:szCs w:val="32"/>
          <w:lang w:val="en-US" w:eastAsia="zh-CN"/>
        </w:rPr>
        <w:t>7</w:t>
      </w:r>
      <w:r>
        <w:rPr>
          <w:rFonts w:hint="eastAsia" w:ascii="仿宋" w:hAnsi="仿宋" w:eastAsia="仿宋" w:cs="仿宋"/>
          <w:sz w:val="32"/>
          <w:szCs w:val="32"/>
        </w:rPr>
        <w:t>人，其中高级教师</w:t>
      </w:r>
      <w:r>
        <w:rPr>
          <w:rFonts w:hint="eastAsia" w:ascii="仿宋" w:hAnsi="仿宋" w:eastAsia="仿宋" w:cs="仿宋"/>
          <w:sz w:val="32"/>
          <w:szCs w:val="32"/>
          <w:lang w:val="en-US" w:eastAsia="zh-CN"/>
        </w:rPr>
        <w:t>8</w:t>
      </w:r>
      <w:r>
        <w:rPr>
          <w:rFonts w:hint="eastAsia" w:ascii="仿宋" w:hAnsi="仿宋" w:eastAsia="仿宋" w:cs="仿宋"/>
          <w:sz w:val="32"/>
          <w:szCs w:val="32"/>
        </w:rPr>
        <w:t>人，中级教师7人，初级教师1人，高级工1人，退休教职工1</w:t>
      </w:r>
      <w:r>
        <w:rPr>
          <w:rFonts w:hint="eastAsia" w:ascii="仿宋" w:hAnsi="仿宋" w:eastAsia="仿宋" w:cs="仿宋"/>
          <w:sz w:val="32"/>
          <w:szCs w:val="32"/>
          <w:lang w:val="en-US" w:eastAsia="zh-CN"/>
        </w:rPr>
        <w:t>3</w:t>
      </w:r>
      <w:r>
        <w:rPr>
          <w:rFonts w:hint="eastAsia" w:ascii="仿宋" w:hAnsi="仿宋" w:eastAsia="仿宋" w:cs="仿宋"/>
          <w:sz w:val="32"/>
          <w:szCs w:val="32"/>
        </w:rPr>
        <w:t>人；校领导班子，书记、校长1人，副校长2位</w:t>
      </w:r>
      <w:r>
        <w:rPr>
          <w:rFonts w:hint="eastAsia" w:ascii="仿宋" w:hAnsi="仿宋" w:eastAsia="仿宋" w:cs="仿宋"/>
          <w:sz w:val="32"/>
          <w:szCs w:val="32"/>
          <w:lang w:eastAsia="zh-CN"/>
        </w:rPr>
        <w:t>，</w:t>
      </w:r>
      <w:r>
        <w:rPr>
          <w:rFonts w:hint="eastAsia" w:ascii="仿宋" w:hAnsi="仿宋" w:eastAsia="仿宋" w:cs="仿宋"/>
          <w:sz w:val="32"/>
          <w:szCs w:val="32"/>
        </w:rPr>
        <w:t>一名正科级退居二线人员；1</w:t>
      </w:r>
      <w:r>
        <w:rPr>
          <w:rFonts w:hint="eastAsia" w:ascii="仿宋" w:hAnsi="仿宋" w:eastAsia="仿宋" w:cs="仿宋"/>
          <w:sz w:val="32"/>
          <w:szCs w:val="32"/>
          <w:lang w:val="en-US" w:eastAsia="zh-CN"/>
        </w:rPr>
        <w:t>7</w:t>
      </w:r>
      <w:r>
        <w:rPr>
          <w:rFonts w:hint="eastAsia" w:ascii="仿宋" w:hAnsi="仿宋" w:eastAsia="仿宋" w:cs="仿宋"/>
          <w:sz w:val="32"/>
          <w:szCs w:val="32"/>
        </w:rPr>
        <w:t>人中有</w:t>
      </w:r>
      <w:r>
        <w:rPr>
          <w:rFonts w:hint="eastAsia" w:ascii="仿宋" w:hAnsi="仿宋" w:eastAsia="仿宋" w:cs="仿宋"/>
          <w:sz w:val="32"/>
          <w:szCs w:val="32"/>
          <w:lang w:val="en-US" w:eastAsia="zh-CN"/>
        </w:rPr>
        <w:t>6</w:t>
      </w:r>
      <w:r>
        <w:rPr>
          <w:rFonts w:hint="eastAsia" w:ascii="仿宋" w:hAnsi="仿宋" w:eastAsia="仿宋" w:cs="仿宋"/>
          <w:sz w:val="32"/>
          <w:szCs w:val="32"/>
        </w:rPr>
        <w:t>名教师已享受山上督导政策。主要职责是：</w:t>
      </w:r>
      <w:r>
        <w:rPr>
          <w:rFonts w:hint="eastAsia" w:ascii="仿宋" w:hAnsi="仿宋" w:eastAsia="仿宋" w:cs="仿宋"/>
          <w:kern w:val="0"/>
          <w:sz w:val="32"/>
          <w:szCs w:val="32"/>
        </w:rPr>
        <w:t>贯彻落实党的教育和体育工作的方针、政策、法律和法规</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探索职业教育的新思路，新方法。</w:t>
      </w:r>
    </w:p>
    <w:p w14:paraId="18F11244">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开办中等职业教育和成人学历教育（电大）。学校中职教育学生5人，高三2人，高二3人，为配合山上山下教育深度融合， 按照庐山市教体局安排,2021年秋季庐山旅游职高未进行招生；成人教育现有本、专科学员人75人。</w:t>
      </w:r>
    </w:p>
    <w:p w14:paraId="5F9C895E">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拓展职业教育的内涵，学校是华中科技大学同济药学院、南昌师范学院生物科学学院庐山实习基地。</w:t>
      </w:r>
    </w:p>
    <w:p w14:paraId="5AD53681">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提升</w:t>
      </w:r>
      <w:r>
        <w:rPr>
          <w:rFonts w:hint="eastAsia" w:ascii="仿宋" w:hAnsi="仿宋" w:eastAsia="仿宋" w:cs="仿宋"/>
          <w:sz w:val="32"/>
          <w:szCs w:val="32"/>
        </w:rPr>
        <w:t>江西省示范中等职业学校；九江市 “绿色学校”荣誉称号；九江市中小学校园管理三星学校；九江市“德育示范学校”</w:t>
      </w:r>
      <w:r>
        <w:rPr>
          <w:rFonts w:hint="eastAsia" w:ascii="仿宋" w:hAnsi="仿宋" w:eastAsia="仿宋" w:cs="仿宋"/>
          <w:sz w:val="32"/>
          <w:szCs w:val="32"/>
          <w:lang w:eastAsia="zh-CN"/>
        </w:rPr>
        <w:t>，</w:t>
      </w:r>
      <w:r>
        <w:rPr>
          <w:rFonts w:hint="eastAsia" w:ascii="仿宋" w:hAnsi="仿宋" w:eastAsia="仿宋" w:cs="仿宋"/>
          <w:sz w:val="32"/>
          <w:szCs w:val="32"/>
        </w:rPr>
        <w:t xml:space="preserve"> 学校校园占地面积3000余平方米；教学楼一栋，60年代建筑，建筑面积900平方米，现有教室3间，功能室4间，可容纳学生80人；旅游专业实训楼一栋，2010年建成，建筑面积1400平方米；附属用房200余平方米</w:t>
      </w:r>
      <w:r>
        <w:rPr>
          <w:rFonts w:hint="eastAsia" w:ascii="仿宋" w:hAnsi="仿宋" w:eastAsia="仿宋" w:cs="仿宋"/>
          <w:sz w:val="32"/>
          <w:szCs w:val="32"/>
          <w:lang w:eastAsia="zh-CN"/>
        </w:rPr>
        <w:t>。</w:t>
      </w:r>
    </w:p>
    <w:p w14:paraId="4BD3F879">
      <w:pPr>
        <w:rPr>
          <w:rFonts w:hint="eastAsia" w:ascii="仿宋" w:hAnsi="仿宋" w:eastAsia="仿宋" w:cs="仿宋"/>
          <w:color w:val="auto"/>
          <w:sz w:val="32"/>
          <w:szCs w:val="32"/>
        </w:rPr>
      </w:pPr>
    </w:p>
    <w:p w14:paraId="5E4ADD30">
      <w:pPr>
        <w:rPr>
          <w:rFonts w:hint="eastAsia" w:ascii="仿宋" w:hAnsi="仿宋" w:eastAsia="仿宋" w:cs="仿宋"/>
          <w:b/>
          <w:color w:val="auto"/>
          <w:sz w:val="32"/>
          <w:szCs w:val="32"/>
        </w:rPr>
      </w:pPr>
      <w:r>
        <w:rPr>
          <w:rFonts w:hint="eastAsia" w:ascii="仿宋" w:hAnsi="仿宋" w:eastAsia="仿宋" w:cs="仿宋"/>
          <w:b/>
          <w:color w:val="auto"/>
          <w:sz w:val="32"/>
          <w:szCs w:val="32"/>
        </w:rPr>
        <w:t>二、机构设置及人员情况</w:t>
      </w:r>
    </w:p>
    <w:p w14:paraId="144F7155">
      <w:pPr>
        <w:ind w:firstLine="640" w:firstLineChars="200"/>
        <w:rPr>
          <w:rFonts w:hint="eastAsia" w:ascii="仿宋" w:hAnsi="仿宋" w:eastAsia="仿宋" w:cs="仿宋"/>
          <w:color w:val="auto"/>
          <w:sz w:val="32"/>
          <w:szCs w:val="32"/>
          <w:u w:val="none"/>
        </w:rPr>
      </w:pPr>
      <w:r>
        <w:rPr>
          <w:rFonts w:hint="eastAsia" w:ascii="仿宋" w:hAnsi="仿宋" w:eastAsia="仿宋" w:cs="仿宋"/>
          <w:color w:val="auto"/>
          <w:sz w:val="32"/>
          <w:szCs w:val="32"/>
          <w:lang w:val="en-US" w:eastAsia="zh-CN"/>
        </w:rPr>
        <w:t>江西省庐山旅游职业高级中学</w:t>
      </w:r>
      <w:r>
        <w:rPr>
          <w:rFonts w:hint="eastAsia" w:ascii="仿宋" w:hAnsi="仿宋" w:eastAsia="仿宋" w:cs="仿宋"/>
          <w:color w:val="auto"/>
          <w:sz w:val="32"/>
          <w:szCs w:val="32"/>
        </w:rPr>
        <w:t>内设处室</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 xml:space="preserve"> 个，包括：</w:t>
      </w:r>
      <w:r>
        <w:rPr>
          <w:rFonts w:hint="eastAsia" w:ascii="仿宋" w:hAnsi="仿宋" w:eastAsia="仿宋" w:cs="仿宋"/>
          <w:color w:val="auto"/>
          <w:sz w:val="32"/>
          <w:szCs w:val="32"/>
          <w:u w:val="none"/>
          <w:lang w:val="en-US" w:eastAsia="zh-CN"/>
        </w:rPr>
        <w:t>办公室、教研室、综合科、财务科</w:t>
      </w:r>
      <w:r>
        <w:rPr>
          <w:rFonts w:hint="eastAsia" w:ascii="仿宋" w:hAnsi="仿宋" w:eastAsia="仿宋" w:cs="仿宋"/>
          <w:color w:val="auto"/>
          <w:sz w:val="32"/>
          <w:szCs w:val="32"/>
          <w:u w:val="none"/>
        </w:rPr>
        <w:t>。</w:t>
      </w:r>
    </w:p>
    <w:p w14:paraId="6A069230">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${page540426799.ds376136392_REP_JX_BAS_AGENCY_INFO_DXQRSDW_S_BZRSXJ}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编制人数小计</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Adobe 仿宋 Std R" w:hAnsi="Adobe 仿宋 Std R" w:eastAsia="Adobe 仿宋 Std R" w:cs="仿宋"/>
          <w:color w:val="000000"/>
          <w:sz w:val="32"/>
          <w:szCs w:val="32"/>
        </w:rPr>
        <w:t>行政编制人数0人</w:t>
      </w:r>
      <w:r>
        <w:rPr>
          <w:rFonts w:hint="eastAsia" w:ascii="Adobe 仿宋 Std R" w:hAnsi="Adobe 仿宋 Std R" w:eastAsia="Adobe 仿宋 Std R" w:cs="仿宋"/>
          <w:color w:val="000000"/>
          <w:sz w:val="32"/>
          <w:szCs w:val="32"/>
          <w:lang w:eastAsia="zh-CN"/>
        </w:rPr>
        <w:t>，</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${page540426799.ds376136392_REP_JX_BAS_AGENCY_INFO_DXQRSDW_S_BZRSMX}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lang w:val="en-US" w:eastAsia="zh-CN"/>
        </w:rPr>
        <w:t>全部补助事业</w:t>
      </w:r>
      <w:r>
        <w:rPr>
          <w:rFonts w:hint="eastAsia" w:ascii="仿宋" w:hAnsi="仿宋" w:eastAsia="仿宋" w:cs="仿宋"/>
          <w:color w:val="auto"/>
          <w:sz w:val="32"/>
          <w:szCs w:val="32"/>
        </w:rPr>
        <w:t>编制人数</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${page540426799.ds376136392_REP_JX_BAS_AGENCY_INFO_DXQRSDW_S_SYRSXJ}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实有人数小计</w:t>
      </w:r>
      <w:r>
        <w:rPr>
          <w:rFonts w:hint="eastAsia" w:ascii="仿宋" w:hAnsi="仿宋" w:eastAsia="仿宋" w:cs="仿宋"/>
          <w:color w:val="auto"/>
          <w:sz w:val="32"/>
          <w:szCs w:val="32"/>
          <w:lang w:val="en-US" w:eastAsia="zh-CN"/>
        </w:rPr>
        <w:t>17</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仿宋" w:hAnsi="仿宋" w:eastAsia="仿宋" w:cs="仿宋"/>
          <w:color w:val="auto"/>
          <w:sz w:val="32"/>
          <w:szCs w:val="32"/>
          <w:lang w:val="en-US" w:eastAsia="zh-CN"/>
        </w:rPr>
        <w:t>在职人数17人（行政编制在职人数0人，全部补助事业编制在职人数17人）</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${page540426799.ds376136392_REP_JX_BAS_AGENCY_INFO_DXQRSDW_S_ZZRSXJ}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${page540426799.ds376136392_REP_JX_BAS_AGENCY_INFO_DXQRSDW_S_QTRSMX}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离休人数小计</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人,退休人数小计</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聘用人员5人。</w:t>
      </w:r>
    </w:p>
    <w:p w14:paraId="75E4CE4B">
      <w:pPr>
        <w:widowControl/>
        <w:spacing w:line="580" w:lineRule="exact"/>
        <w:jc w:val="center"/>
        <w:rPr>
          <w:rFonts w:hint="eastAsia" w:ascii="仿宋" w:hAnsi="仿宋" w:eastAsia="仿宋" w:cs="仿宋"/>
          <w:b/>
          <w:color w:val="auto"/>
          <w:sz w:val="32"/>
          <w:szCs w:val="32"/>
        </w:rPr>
      </w:pPr>
      <w:bookmarkStart w:id="0" w:name="_GoBack"/>
      <w:bookmarkEnd w:id="0"/>
    </w:p>
    <w:p w14:paraId="2E9A9610">
      <w:pPr>
        <w:widowControl/>
        <w:spacing w:line="580" w:lineRule="exact"/>
        <w:jc w:val="center"/>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 xml:space="preserve">    </w:t>
      </w:r>
      <w:r>
        <w:rPr>
          <w:rFonts w:hint="eastAsia" w:ascii="仿宋" w:hAnsi="仿宋" w:eastAsia="仿宋" w:cs="仿宋"/>
          <w:b/>
          <w:color w:val="auto"/>
          <w:sz w:val="32"/>
          <w:szCs w:val="32"/>
        </w:rPr>
        <w:t xml:space="preserve">第二部分  </w:t>
      </w:r>
      <w:r>
        <w:rPr>
          <w:rFonts w:hint="eastAsia" w:ascii="仿宋" w:hAnsi="仿宋" w:eastAsia="仿宋" w:cs="仿宋"/>
          <w:b/>
          <w:color w:val="auto"/>
          <w:sz w:val="32"/>
          <w:szCs w:val="32"/>
          <w:lang w:val="en-US" w:eastAsia="zh-CN"/>
        </w:rPr>
        <w:t>江西省庐山旅游职业高级中学</w:t>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年单位预算表</w:t>
      </w:r>
    </w:p>
    <w:p w14:paraId="08FE3186">
      <w:pPr>
        <w:widowControl/>
        <w:spacing w:line="580" w:lineRule="exact"/>
        <w:jc w:val="center"/>
        <w:rPr>
          <w:rFonts w:hint="eastAsia" w:ascii="仿宋" w:hAnsi="仿宋" w:eastAsia="仿宋" w:cs="仿宋"/>
          <w:b/>
          <w:color w:val="auto"/>
          <w:sz w:val="32"/>
          <w:szCs w:val="32"/>
        </w:rPr>
      </w:pPr>
    </w:p>
    <w:p w14:paraId="159BE004">
      <w:pPr>
        <w:jc w:val="center"/>
        <w:rPr>
          <w:rStyle w:val="11"/>
          <w:rFonts w:hint="eastAsia" w:ascii="仿宋" w:hAnsi="仿宋" w:eastAsia="仿宋" w:cs="仿宋"/>
          <w:bCs/>
          <w:color w:val="auto"/>
          <w:sz w:val="32"/>
          <w:szCs w:val="32"/>
        </w:rPr>
      </w:pPr>
      <w:r>
        <w:rPr>
          <w:rFonts w:hint="eastAsia" w:ascii="仿宋" w:hAnsi="仿宋" w:eastAsia="仿宋" w:cs="仿宋"/>
          <w:bCs/>
          <w:color w:val="auto"/>
          <w:sz w:val="32"/>
          <w:szCs w:val="32"/>
        </w:rPr>
        <w:t>（详见附表）</w:t>
      </w:r>
    </w:p>
    <w:p w14:paraId="0505A03F">
      <w:pPr>
        <w:jc w:val="left"/>
        <w:rPr>
          <w:rStyle w:val="11"/>
          <w:rFonts w:hint="eastAsia" w:ascii="仿宋" w:hAnsi="仿宋" w:eastAsia="仿宋" w:cs="仿宋"/>
          <w:bCs/>
          <w:color w:val="auto"/>
          <w:sz w:val="32"/>
          <w:szCs w:val="32"/>
        </w:rPr>
      </w:pPr>
    </w:p>
    <w:p w14:paraId="21757641">
      <w:pPr>
        <w:widowControl/>
        <w:spacing w:line="580" w:lineRule="exact"/>
        <w:jc w:val="center"/>
        <w:rPr>
          <w:rFonts w:hint="eastAsia" w:ascii="仿宋" w:hAnsi="仿宋" w:eastAsia="仿宋" w:cs="仿宋"/>
          <w:b/>
          <w:color w:val="auto"/>
          <w:sz w:val="32"/>
          <w:szCs w:val="32"/>
        </w:rPr>
      </w:pPr>
      <w:r>
        <w:rPr>
          <w:rFonts w:hint="eastAsia" w:ascii="仿宋" w:hAnsi="仿宋" w:eastAsia="仿宋" w:cs="仿宋"/>
          <w:b/>
          <w:color w:val="auto"/>
          <w:kern w:val="0"/>
          <w:sz w:val="32"/>
          <w:szCs w:val="32"/>
        </w:rPr>
        <w:t xml:space="preserve">第三部分 </w:t>
      </w:r>
      <w:r>
        <w:rPr>
          <w:rFonts w:hint="eastAsia" w:ascii="仿宋" w:hAnsi="仿宋" w:eastAsia="仿宋" w:cs="仿宋"/>
          <w:b/>
          <w:color w:val="auto"/>
          <w:sz w:val="32"/>
          <w:szCs w:val="32"/>
        </w:rPr>
        <w:t xml:space="preserve"> </w:t>
      </w:r>
      <w:r>
        <w:rPr>
          <w:rFonts w:hint="eastAsia" w:ascii="仿宋" w:hAnsi="仿宋" w:eastAsia="仿宋" w:cs="仿宋"/>
          <w:b/>
          <w:color w:val="auto"/>
          <w:sz w:val="32"/>
          <w:szCs w:val="32"/>
          <w:lang w:val="en-US" w:eastAsia="zh-CN"/>
        </w:rPr>
        <w:t>江西省庐山旅游职业高级中学</w:t>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年单位预算情况说明</w:t>
      </w:r>
    </w:p>
    <w:p w14:paraId="3795BC7F">
      <w:pPr>
        <w:widowControl/>
        <w:spacing w:line="580" w:lineRule="exact"/>
        <w:jc w:val="center"/>
        <w:rPr>
          <w:rFonts w:hint="eastAsia" w:ascii="仿宋" w:hAnsi="仿宋" w:eastAsia="仿宋" w:cs="仿宋"/>
          <w:b/>
          <w:color w:val="auto"/>
          <w:sz w:val="32"/>
          <w:szCs w:val="32"/>
        </w:rPr>
      </w:pPr>
    </w:p>
    <w:p w14:paraId="3658C0A3">
      <w:pPr>
        <w:widowControl/>
        <w:spacing w:line="580" w:lineRule="exact"/>
        <w:jc w:val="left"/>
        <w:rPr>
          <w:rFonts w:hint="eastAsia" w:ascii="仿宋" w:hAnsi="仿宋" w:eastAsia="仿宋" w:cs="仿宋"/>
          <w:b/>
          <w:color w:val="auto"/>
          <w:sz w:val="32"/>
          <w:szCs w:val="32"/>
        </w:rPr>
      </w:pPr>
      <w:r>
        <w:rPr>
          <w:rFonts w:hint="eastAsia" w:ascii="仿宋" w:hAnsi="仿宋" w:eastAsia="仿宋" w:cs="仿宋"/>
          <w:b/>
          <w:color w:val="auto"/>
          <w:sz w:val="32"/>
          <w:szCs w:val="32"/>
        </w:rPr>
        <w:t>一、202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年单位预算收支情况说明</w:t>
      </w:r>
    </w:p>
    <w:p w14:paraId="46FE1574">
      <w:pPr>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 xml:space="preserve"> (一)收入预算情况</w:t>
      </w:r>
    </w:p>
    <w:p w14:paraId="2AB8AE66">
      <w:pPr>
        <w:widowControl/>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202</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年</w:t>
      </w:r>
      <w:r>
        <w:rPr>
          <w:rFonts w:hint="eastAsia" w:ascii="仿宋" w:hAnsi="仿宋" w:eastAsia="仿宋" w:cs="仿宋"/>
          <w:color w:val="auto"/>
          <w:kern w:val="0"/>
          <w:sz w:val="32"/>
          <w:szCs w:val="32"/>
          <w:lang w:val="en-US" w:eastAsia="zh-CN"/>
        </w:rPr>
        <w:t>江西省庐山旅游职业高级中学</w:t>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${page540426799.ds254512694_V_BGT_DEP_INCOME_DXQDW01_ZJ}</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收入预算总额为</w:t>
      </w:r>
      <w:r>
        <w:rPr>
          <w:rFonts w:hint="eastAsia" w:ascii="仿宋" w:hAnsi="仿宋" w:eastAsia="仿宋" w:cs="仿宋"/>
          <w:color w:val="auto"/>
          <w:kern w:val="0"/>
          <w:sz w:val="32"/>
          <w:szCs w:val="32"/>
          <w:lang w:val="en-US" w:eastAsia="zh-CN"/>
        </w:rPr>
        <w:t>520.37</w:t>
      </w:r>
      <w:r>
        <w:rPr>
          <w:rFonts w:hint="eastAsia" w:ascii="仿宋" w:hAnsi="仿宋" w:eastAsia="仿宋" w:cs="仿宋"/>
          <w:color w:val="auto"/>
          <w:kern w:val="0"/>
          <w:sz w:val="32"/>
          <w:szCs w:val="32"/>
        </w:rPr>
        <w:t>万元,较上年预算安排</w:t>
      </w:r>
      <w:r>
        <w:rPr>
          <w:rFonts w:hint="eastAsia" w:ascii="仿宋" w:hAnsi="仿宋" w:eastAsia="仿宋" w:cs="仿宋"/>
          <w:color w:val="auto"/>
          <w:kern w:val="0"/>
          <w:sz w:val="32"/>
          <w:szCs w:val="32"/>
          <w:lang w:val="en-US" w:eastAsia="zh-CN"/>
        </w:rPr>
        <w:t>减少113.37</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${page540426799.ds254512694_V_BGT_DEP_INCOME_DXQDW01_SRXMMX}</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财政拨款收入</w:t>
      </w:r>
      <w:r>
        <w:rPr>
          <w:rFonts w:hint="eastAsia" w:ascii="仿宋" w:hAnsi="仿宋" w:eastAsia="仿宋" w:cs="仿宋"/>
          <w:color w:val="auto"/>
          <w:kern w:val="0"/>
          <w:sz w:val="32"/>
          <w:szCs w:val="32"/>
          <w:lang w:val="en-US" w:eastAsia="zh-CN"/>
        </w:rPr>
        <w:t>440.37</w:t>
      </w:r>
      <w:r>
        <w:rPr>
          <w:rFonts w:hint="eastAsia" w:ascii="仿宋" w:hAnsi="仿宋" w:eastAsia="仿宋" w:cs="仿宋"/>
          <w:color w:val="auto"/>
          <w:kern w:val="0"/>
          <w:sz w:val="32"/>
          <w:szCs w:val="32"/>
        </w:rPr>
        <w:t>万元,较上年预算安排</w:t>
      </w:r>
      <w:r>
        <w:rPr>
          <w:rFonts w:hint="eastAsia" w:ascii="仿宋" w:hAnsi="仿宋" w:eastAsia="仿宋" w:cs="仿宋"/>
          <w:color w:val="auto"/>
          <w:kern w:val="0"/>
          <w:sz w:val="32"/>
          <w:szCs w:val="32"/>
          <w:lang w:val="en-US" w:eastAsia="zh-CN"/>
        </w:rPr>
        <w:t>减少115.37</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减少</w:t>
      </w:r>
      <w:r>
        <w:rPr>
          <w:rFonts w:hint="eastAsia" w:ascii="仿宋" w:hAnsi="仿宋" w:eastAsia="仿宋" w:cs="仿宋"/>
          <w:color w:val="auto"/>
          <w:kern w:val="0"/>
          <w:sz w:val="32"/>
          <w:szCs w:val="32"/>
          <w:lang w:val="en-US" w:eastAsia="zh-CN"/>
        </w:rPr>
        <w:t>的原因为本年度人员经费预算安排减少，事业收入80万元，</w:t>
      </w:r>
      <w:r>
        <w:rPr>
          <w:rFonts w:hint="eastAsia" w:ascii="仿宋" w:hAnsi="仿宋" w:eastAsia="仿宋" w:cs="仿宋"/>
          <w:color w:val="auto"/>
          <w:kern w:val="0"/>
          <w:sz w:val="32"/>
          <w:szCs w:val="32"/>
        </w:rPr>
        <w:t>较上年预算安排</w:t>
      </w:r>
      <w:r>
        <w:rPr>
          <w:rFonts w:hint="eastAsia" w:ascii="仿宋" w:hAnsi="仿宋" w:eastAsia="仿宋" w:cs="仿宋"/>
          <w:color w:val="auto"/>
          <w:kern w:val="0"/>
          <w:sz w:val="32"/>
          <w:szCs w:val="32"/>
          <w:lang w:val="en-US" w:eastAsia="zh-CN"/>
        </w:rPr>
        <w:t>增加2</w:t>
      </w:r>
      <w:r>
        <w:rPr>
          <w:rFonts w:hint="eastAsia" w:ascii="仿宋" w:hAnsi="仿宋" w:eastAsia="仿宋" w:cs="仿宋"/>
          <w:color w:val="auto"/>
          <w:kern w:val="0"/>
          <w:sz w:val="32"/>
          <w:szCs w:val="32"/>
        </w:rPr>
        <w:t>万元</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lang w:val="en-US" w:eastAsia="zh-CN"/>
        </w:rPr>
        <w:t>增加的主要原因是单位自有资金转入一体化平台。</w:t>
      </w:r>
    </w:p>
    <w:p w14:paraId="58616AA5">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 xml:space="preserve"> (二)支出预算情况</w:t>
      </w:r>
    </w:p>
    <w:p w14:paraId="5B51AE91">
      <w:pPr>
        <w:widowControl/>
        <w:ind w:firstLine="640" w:firstLineChars="200"/>
        <w:rPr>
          <w:rFonts w:hint="eastAsia" w:ascii="仿宋" w:hAnsi="仿宋" w:eastAsia="仿宋" w:cs="仿宋"/>
          <w:color w:val="auto"/>
          <w:kern w:val="0"/>
          <w:sz w:val="32"/>
          <w:szCs w:val="32"/>
          <w:lang w:val="en-US" w:eastAsia="zh-CN"/>
        </w:rPr>
      </w:pPr>
      <w:r>
        <w:rPr>
          <w:rStyle w:val="11"/>
          <w:rFonts w:hint="eastAsia" w:ascii="仿宋" w:hAnsi="仿宋" w:eastAsia="仿宋" w:cs="仿宋"/>
          <w:color w:val="auto"/>
          <w:sz w:val="32"/>
          <w:szCs w:val="32"/>
        </w:rPr>
        <w:t>202</w:t>
      </w:r>
      <w:r>
        <w:rPr>
          <w:rStyle w:val="11"/>
          <w:rFonts w:hint="eastAsia" w:ascii="仿宋" w:hAnsi="仿宋" w:eastAsia="仿宋" w:cs="仿宋"/>
          <w:color w:val="auto"/>
          <w:sz w:val="32"/>
          <w:szCs w:val="32"/>
          <w:lang w:val="en-US" w:eastAsia="zh-CN"/>
        </w:rPr>
        <w:t>4</w:t>
      </w:r>
      <w:r>
        <w:rPr>
          <w:rStyle w:val="11"/>
          <w:rFonts w:hint="eastAsia" w:ascii="仿宋" w:hAnsi="仿宋" w:eastAsia="仿宋" w:cs="仿宋"/>
          <w:color w:val="auto"/>
          <w:sz w:val="32"/>
          <w:szCs w:val="32"/>
        </w:rPr>
        <w:t>年</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${page540426799.ds254512694_REP_JXJC_AGENCY_WZR_NAME}</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eastAsia="zh-CN"/>
        </w:rPr>
        <w:t>江西省庐山旅游职业高级中学</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${page540426799.ds357974894_REP_BGT_T_HC1100002019_DXQ02DW_S_ZJ}</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支出预算总额为</w:t>
      </w:r>
      <w:r>
        <w:rPr>
          <w:rStyle w:val="11"/>
          <w:rFonts w:hint="eastAsia" w:ascii="仿宋" w:hAnsi="仿宋" w:eastAsia="仿宋" w:cs="仿宋"/>
          <w:color w:val="auto"/>
          <w:sz w:val="32"/>
          <w:szCs w:val="32"/>
          <w:lang w:val="en-US" w:eastAsia="zh-CN"/>
        </w:rPr>
        <w:t>520.37</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113.37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增加的原因为单位自有资金和人员类经费支出资金安排增加。</w:t>
      </w:r>
    </w:p>
    <w:p w14:paraId="7FA00F10">
      <w:pPr>
        <w:widowControl/>
        <w:ind w:firstLine="640" w:firstLineChars="200"/>
        <w:rPr>
          <w:rStyle w:val="11"/>
          <w:rFonts w:hint="eastAsia" w:ascii="仿宋" w:hAnsi="仿宋" w:eastAsia="仿宋" w:cs="仿宋"/>
          <w:color w:val="auto"/>
          <w:sz w:val="32"/>
          <w:szCs w:val="32"/>
        </w:rPr>
      </w:pPr>
      <w:r>
        <w:rPr>
          <w:rStyle w:val="11"/>
          <w:rFonts w:hint="eastAsia" w:ascii="仿宋" w:hAnsi="仿宋" w:eastAsia="仿宋" w:cs="仿宋"/>
          <w:color w:val="auto"/>
          <w:sz w:val="32"/>
          <w:szCs w:val="32"/>
        </w:rPr>
        <w:t xml:space="preserve">其中：按支出项目类别划分：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${page540426799.ds357974894_REP_BGT_T_HC1100002019_DXQ02DW_JBZCQK}</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基本支出</w:t>
      </w:r>
      <w:r>
        <w:rPr>
          <w:rStyle w:val="11"/>
          <w:rFonts w:hint="eastAsia" w:ascii="仿宋" w:hAnsi="仿宋" w:eastAsia="仿宋" w:cs="仿宋"/>
          <w:color w:val="auto"/>
          <w:sz w:val="32"/>
          <w:szCs w:val="32"/>
          <w:lang w:val="en-US" w:eastAsia="zh-CN"/>
        </w:rPr>
        <w:t>422.05</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减少133.69</w:t>
      </w:r>
      <w:r>
        <w:rPr>
          <w:rStyle w:val="11"/>
          <w:rFonts w:hint="eastAsia" w:ascii="仿宋" w:hAnsi="仿宋" w:eastAsia="仿宋" w:cs="仿宋"/>
          <w:color w:val="auto"/>
          <w:sz w:val="32"/>
          <w:szCs w:val="32"/>
        </w:rPr>
        <w:t>万元;其中：工资福利支出</w:t>
      </w:r>
      <w:r>
        <w:rPr>
          <w:rStyle w:val="11"/>
          <w:rFonts w:hint="eastAsia" w:ascii="仿宋" w:hAnsi="仿宋" w:eastAsia="仿宋" w:cs="仿宋"/>
          <w:color w:val="auto"/>
          <w:sz w:val="32"/>
          <w:szCs w:val="32"/>
          <w:lang w:val="en-US" w:eastAsia="zh-CN"/>
        </w:rPr>
        <w:t>396.39</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20.22</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${page540426799.ds357974894_REP_BGT_T_HC1100002019_DXQ02DW_XMZCQK}</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项目支出</w:t>
      </w:r>
      <w:r>
        <w:rPr>
          <w:rStyle w:val="11"/>
          <w:rFonts w:hint="eastAsia" w:ascii="仿宋" w:hAnsi="仿宋" w:eastAsia="仿宋" w:cs="仿宋"/>
          <w:color w:val="auto"/>
          <w:sz w:val="32"/>
          <w:szCs w:val="32"/>
          <w:lang w:val="en-US" w:eastAsia="zh-CN"/>
        </w:rPr>
        <w:t>18.32</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减少59.68</w:t>
      </w:r>
      <w:r>
        <w:rPr>
          <w:rStyle w:val="11"/>
          <w:rFonts w:hint="eastAsia" w:ascii="仿宋" w:hAnsi="仿宋" w:eastAsia="仿宋" w:cs="仿宋"/>
          <w:color w:val="auto"/>
          <w:sz w:val="32"/>
          <w:szCs w:val="32"/>
        </w:rPr>
        <w:t>万元;其中：商品和服务支出</w:t>
      </w:r>
      <w:r>
        <w:rPr>
          <w:rStyle w:val="11"/>
          <w:rFonts w:hint="eastAsia" w:ascii="仿宋" w:hAnsi="仿宋" w:eastAsia="仿宋" w:cs="仿宋"/>
          <w:color w:val="auto"/>
          <w:sz w:val="32"/>
          <w:szCs w:val="32"/>
          <w:lang w:val="en-US" w:eastAsia="zh-CN"/>
        </w:rPr>
        <w:t>18.32</w:t>
      </w:r>
      <w:r>
        <w:rPr>
          <w:rStyle w:val="11"/>
          <w:rFonts w:hint="eastAsia" w:ascii="仿宋" w:hAnsi="仿宋" w:eastAsia="仿宋" w:cs="仿宋"/>
          <w:color w:val="auto"/>
          <w:sz w:val="32"/>
          <w:szCs w:val="32"/>
        </w:rPr>
        <w:t>万元,资本性支出</w:t>
      </w:r>
      <w:r>
        <w:rPr>
          <w:rStyle w:val="11"/>
          <w:rFonts w:hint="eastAsia" w:ascii="仿宋" w:hAnsi="仿宋" w:eastAsia="仿宋" w:cs="仿宋"/>
          <w:color w:val="auto"/>
          <w:sz w:val="32"/>
          <w:szCs w:val="32"/>
          <w:lang w:val="en-US" w:eastAsia="zh-CN"/>
        </w:rPr>
        <w:t>5.28</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54270548">
      <w:pPr>
        <w:ind w:firstLine="640" w:firstLineChars="200"/>
        <w:rPr>
          <w:rStyle w:val="11"/>
          <w:rFonts w:hint="eastAsia" w:ascii="仿宋" w:hAnsi="仿宋" w:eastAsia="仿宋" w:cs="仿宋"/>
          <w:b/>
          <w:color w:val="auto"/>
          <w:sz w:val="32"/>
          <w:szCs w:val="32"/>
        </w:rPr>
      </w:pPr>
      <w:r>
        <w:rPr>
          <w:rStyle w:val="11"/>
          <w:rFonts w:hint="eastAsia" w:ascii="仿宋" w:hAnsi="仿宋" w:eastAsia="仿宋" w:cs="仿宋"/>
          <w:color w:val="auto"/>
          <w:sz w:val="32"/>
          <w:szCs w:val="32"/>
        </w:rPr>
        <w:t xml:space="preserve">按支出功能科目划分：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${page540426799.ds197859873_REP_BGT_T_HC1100002019DXQ01DW_GNZJMX}</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val="en-US" w:eastAsia="zh-CN"/>
        </w:rPr>
        <w:t>教育支出414.03万元，</w:t>
      </w:r>
      <w:r>
        <w:rPr>
          <w:rStyle w:val="11"/>
          <w:rFonts w:hint="eastAsia" w:ascii="仿宋" w:hAnsi="仿宋" w:eastAsia="仿宋" w:cs="仿宋"/>
          <w:color w:val="auto"/>
          <w:sz w:val="32"/>
          <w:szCs w:val="32"/>
        </w:rPr>
        <w:t>较上年预算安排</w:t>
      </w:r>
      <w:r>
        <w:rPr>
          <w:rStyle w:val="11"/>
          <w:rFonts w:hint="eastAsia" w:ascii="仿宋" w:hAnsi="仿宋" w:eastAsia="仿宋" w:cs="仿宋"/>
          <w:color w:val="auto"/>
          <w:sz w:val="32"/>
          <w:szCs w:val="32"/>
          <w:lang w:val="en-US" w:eastAsia="zh-CN"/>
        </w:rPr>
        <w:t>减少98.5</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社会保障和就业支出</w:t>
      </w:r>
      <w:r>
        <w:rPr>
          <w:rStyle w:val="11"/>
          <w:rFonts w:hint="eastAsia" w:ascii="仿宋" w:hAnsi="仿宋" w:eastAsia="仿宋" w:cs="仿宋"/>
          <w:color w:val="auto"/>
          <w:sz w:val="32"/>
          <w:szCs w:val="32"/>
          <w:lang w:val="en-US" w:eastAsia="zh-CN"/>
        </w:rPr>
        <w:t>55.09</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减少10.79</w:t>
      </w:r>
      <w:r>
        <w:rPr>
          <w:rStyle w:val="11"/>
          <w:rFonts w:hint="eastAsia" w:ascii="仿宋" w:hAnsi="仿宋" w:eastAsia="仿宋" w:cs="仿宋"/>
          <w:color w:val="auto"/>
          <w:sz w:val="32"/>
          <w:szCs w:val="32"/>
        </w:rPr>
        <w:t>万元;卫生健康支出</w:t>
      </w:r>
      <w:r>
        <w:rPr>
          <w:rStyle w:val="11"/>
          <w:rFonts w:hint="eastAsia" w:ascii="仿宋" w:hAnsi="仿宋" w:eastAsia="仿宋" w:cs="仿宋"/>
          <w:color w:val="auto"/>
          <w:sz w:val="32"/>
          <w:szCs w:val="32"/>
          <w:lang w:val="en-US" w:eastAsia="zh-CN"/>
        </w:rPr>
        <w:t>21.89</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2.09</w:t>
      </w:r>
      <w:r>
        <w:rPr>
          <w:rStyle w:val="11"/>
          <w:rFonts w:hint="eastAsia" w:ascii="仿宋" w:hAnsi="仿宋" w:eastAsia="仿宋" w:cs="仿宋"/>
          <w:color w:val="auto"/>
          <w:sz w:val="32"/>
          <w:szCs w:val="32"/>
        </w:rPr>
        <w:t>万元;住房保障支出</w:t>
      </w:r>
      <w:r>
        <w:rPr>
          <w:rStyle w:val="11"/>
          <w:rFonts w:hint="eastAsia" w:ascii="仿宋" w:hAnsi="仿宋" w:eastAsia="仿宋" w:cs="仿宋"/>
          <w:color w:val="auto"/>
          <w:sz w:val="32"/>
          <w:szCs w:val="32"/>
          <w:lang w:val="en-US" w:eastAsia="zh-CN"/>
        </w:rPr>
        <w:t>29.36</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6.17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705016F7">
      <w:pPr>
        <w:ind w:firstLine="640" w:firstLineChars="200"/>
        <w:rPr>
          <w:rFonts w:hint="eastAsia" w:ascii="仿宋" w:hAnsi="仿宋" w:eastAsia="仿宋" w:cs="仿宋"/>
          <w:color w:val="auto"/>
          <w:sz w:val="32"/>
          <w:szCs w:val="32"/>
        </w:rPr>
      </w:pPr>
      <w:r>
        <w:rPr>
          <w:rStyle w:val="11"/>
          <w:rFonts w:hint="eastAsia" w:ascii="仿宋" w:hAnsi="仿宋" w:eastAsia="仿宋" w:cs="仿宋"/>
          <w:color w:val="auto"/>
          <w:sz w:val="32"/>
          <w:szCs w:val="32"/>
        </w:rPr>
        <w:t xml:space="preserve">按支出经济分类划分：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${page540426799.ds197859873_REP_BGT_T_HC1100002019DXQ01DW_JJMX}</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工资福利支出</w:t>
      </w:r>
      <w:r>
        <w:rPr>
          <w:rStyle w:val="11"/>
          <w:rFonts w:hint="eastAsia" w:ascii="仿宋" w:hAnsi="仿宋" w:eastAsia="仿宋" w:cs="仿宋"/>
          <w:color w:val="auto"/>
          <w:sz w:val="32"/>
          <w:szCs w:val="32"/>
          <w:lang w:val="en-US" w:eastAsia="zh-CN"/>
        </w:rPr>
        <w:t>396.39</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60.51</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38.54</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减少54.32</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增加0.16</w:t>
      </w:r>
      <w:r>
        <w:rPr>
          <w:rStyle w:val="11"/>
          <w:rFonts w:hint="eastAsia" w:ascii="仿宋" w:hAnsi="仿宋" w:eastAsia="仿宋" w:cs="仿宋"/>
          <w:color w:val="auto"/>
          <w:sz w:val="32"/>
          <w:szCs w:val="32"/>
        </w:rPr>
        <w:t>万元;资本性支出</w:t>
      </w:r>
      <w:r>
        <w:rPr>
          <w:rStyle w:val="11"/>
          <w:rFonts w:hint="eastAsia" w:ascii="仿宋" w:hAnsi="仿宋" w:eastAsia="仿宋" w:cs="仿宋"/>
          <w:color w:val="auto"/>
          <w:sz w:val="32"/>
          <w:szCs w:val="32"/>
          <w:lang w:val="en-US" w:eastAsia="zh-CN"/>
        </w:rPr>
        <w:t>5.28</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减少0.4</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08081306">
      <w:pPr>
        <w:ind w:firstLine="321" w:firstLineChars="100"/>
        <w:rPr>
          <w:rStyle w:val="11"/>
          <w:rFonts w:hint="eastAsia" w:ascii="仿宋" w:hAnsi="仿宋" w:eastAsia="仿宋" w:cs="仿宋"/>
          <w:b/>
          <w:color w:val="auto"/>
          <w:sz w:val="32"/>
          <w:szCs w:val="32"/>
          <w:lang w:eastAsia="zh-CN"/>
        </w:rPr>
      </w:pPr>
      <w:r>
        <w:rPr>
          <w:rStyle w:val="11"/>
          <w:rFonts w:hint="eastAsia" w:ascii="仿宋" w:hAnsi="仿宋" w:eastAsia="仿宋" w:cs="仿宋"/>
          <w:b/>
          <w:color w:val="auto"/>
          <w:sz w:val="32"/>
          <w:szCs w:val="32"/>
        </w:rPr>
        <w:t xml:space="preserve"> (三)财政拨款支出情况</w:t>
      </w:r>
    </w:p>
    <w:p w14:paraId="0E4F85BD">
      <w:pPr>
        <w:widowControl/>
        <w:ind w:firstLine="640" w:firstLineChars="200"/>
        <w:rPr>
          <w:rFonts w:hint="eastAsia" w:ascii="仿宋" w:hAnsi="仿宋" w:eastAsia="仿宋" w:cs="仿宋"/>
          <w:color w:val="auto"/>
          <w:kern w:val="0"/>
          <w:sz w:val="32"/>
          <w:szCs w:val="32"/>
          <w:lang w:val="en-US" w:eastAsia="zh-CN"/>
        </w:rPr>
      </w:pPr>
      <w:r>
        <w:rPr>
          <w:rStyle w:val="11"/>
          <w:rFonts w:hint="eastAsia" w:ascii="仿宋" w:hAnsi="仿宋" w:eastAsia="仿宋" w:cs="仿宋"/>
          <w:color w:val="auto"/>
          <w:sz w:val="32"/>
          <w:szCs w:val="32"/>
        </w:rPr>
        <w:t>202</w:t>
      </w:r>
      <w:r>
        <w:rPr>
          <w:rStyle w:val="11"/>
          <w:rFonts w:hint="eastAsia" w:ascii="仿宋" w:hAnsi="仿宋" w:eastAsia="仿宋" w:cs="仿宋"/>
          <w:color w:val="auto"/>
          <w:sz w:val="32"/>
          <w:szCs w:val="32"/>
          <w:lang w:val="en-US" w:eastAsia="zh-CN"/>
        </w:rPr>
        <w:t>4</w:t>
      </w:r>
      <w:r>
        <w:rPr>
          <w:rStyle w:val="11"/>
          <w:rFonts w:hint="eastAsia" w:ascii="仿宋" w:hAnsi="仿宋" w:eastAsia="仿宋" w:cs="仿宋"/>
          <w:color w:val="auto"/>
          <w:sz w:val="32"/>
          <w:szCs w:val="32"/>
        </w:rPr>
        <w:t>年</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${page540426799.ds254512694_REP_JXJC_AGENCY_WZR_NAME}</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eastAsia="zh-CN"/>
        </w:rPr>
        <w:t>江西省庐山旅游职业高级中学</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${page540426799.ds357974894_REP_BGT_T_HC1100002019_DXQ02DW_S_CBXJ}</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财政拨款支出预算总额</w:t>
      </w:r>
      <w:r>
        <w:rPr>
          <w:rStyle w:val="11"/>
          <w:rFonts w:hint="eastAsia" w:ascii="仿宋" w:hAnsi="仿宋" w:eastAsia="仿宋" w:cs="仿宋"/>
          <w:color w:val="auto"/>
          <w:sz w:val="32"/>
          <w:szCs w:val="32"/>
          <w:lang w:val="en-US" w:eastAsia="zh-CN"/>
        </w:rPr>
        <w:t>422.05</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减少133.69</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减少</w:t>
      </w:r>
      <w:r>
        <w:rPr>
          <w:rFonts w:hint="eastAsia" w:ascii="仿宋" w:hAnsi="仿宋" w:eastAsia="仿宋" w:cs="仿宋"/>
          <w:color w:val="auto"/>
          <w:kern w:val="0"/>
          <w:sz w:val="32"/>
          <w:szCs w:val="32"/>
          <w:lang w:val="en-US" w:eastAsia="zh-CN"/>
        </w:rPr>
        <w:t>的原因为商品和服务支出的减少。</w:t>
      </w:r>
    </w:p>
    <w:p w14:paraId="3AD4B49F">
      <w:pPr>
        <w:ind w:firstLine="640" w:firstLineChars="200"/>
        <w:rPr>
          <w:rStyle w:val="11"/>
          <w:rFonts w:hint="eastAsia" w:ascii="仿宋" w:hAnsi="仿宋" w:eastAsia="仿宋" w:cs="仿宋"/>
          <w:color w:val="auto"/>
          <w:sz w:val="32"/>
          <w:szCs w:val="32"/>
        </w:rPr>
      </w:pPr>
      <w:r>
        <w:rPr>
          <w:rStyle w:val="11"/>
          <w:rFonts w:hint="eastAsia" w:ascii="仿宋" w:hAnsi="仿宋" w:eastAsia="仿宋" w:cs="仿宋"/>
          <w:color w:val="auto"/>
          <w:sz w:val="32"/>
          <w:szCs w:val="32"/>
        </w:rPr>
        <w:t>按支出功能科目划分：：</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${page400644146.ds247441498_REP_BGT_T_HC1100002019DXQ01_GNCBMX}</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lang w:val="en-US" w:eastAsia="zh-CN"/>
        </w:rPr>
        <w:t>教育</w:t>
      </w:r>
      <w:r>
        <w:rPr>
          <w:rStyle w:val="11"/>
          <w:rFonts w:hint="eastAsia" w:ascii="仿宋" w:hAnsi="仿宋" w:eastAsia="仿宋" w:cs="仿宋"/>
          <w:color w:val="auto"/>
          <w:sz w:val="32"/>
          <w:szCs w:val="32"/>
        </w:rPr>
        <w:t>支出</w:t>
      </w:r>
      <w:r>
        <w:rPr>
          <w:rStyle w:val="11"/>
          <w:rFonts w:hint="eastAsia" w:ascii="仿宋" w:hAnsi="仿宋" w:eastAsia="仿宋" w:cs="仿宋"/>
          <w:color w:val="auto"/>
          <w:sz w:val="32"/>
          <w:szCs w:val="32"/>
          <w:lang w:val="en-US" w:eastAsia="zh-CN"/>
        </w:rPr>
        <w:t>315.71</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118.82</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社会保障和就业支出</w:t>
      </w:r>
      <w:r>
        <w:rPr>
          <w:rStyle w:val="11"/>
          <w:rFonts w:hint="eastAsia" w:ascii="仿宋" w:hAnsi="仿宋" w:eastAsia="仿宋" w:cs="仿宋"/>
          <w:color w:val="auto"/>
          <w:sz w:val="32"/>
          <w:szCs w:val="32"/>
          <w:lang w:val="en-US" w:eastAsia="zh-CN"/>
        </w:rPr>
        <w:t>55.09</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减少10.79</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卫生健康支出</w:t>
      </w:r>
      <w:r>
        <w:rPr>
          <w:rStyle w:val="11"/>
          <w:rFonts w:hint="eastAsia" w:ascii="仿宋" w:hAnsi="仿宋" w:eastAsia="仿宋" w:cs="仿宋"/>
          <w:color w:val="auto"/>
          <w:sz w:val="32"/>
          <w:szCs w:val="32"/>
          <w:lang w:val="en-US" w:eastAsia="zh-CN"/>
        </w:rPr>
        <w:t>21.89</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2.09</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住房保障支出</w:t>
      </w:r>
      <w:r>
        <w:rPr>
          <w:rStyle w:val="11"/>
          <w:rFonts w:hint="eastAsia" w:ascii="仿宋" w:hAnsi="仿宋" w:eastAsia="仿宋" w:cs="仿宋"/>
          <w:color w:val="auto"/>
          <w:sz w:val="32"/>
          <w:szCs w:val="32"/>
          <w:lang w:val="en-US" w:eastAsia="zh-CN"/>
        </w:rPr>
        <w:t>29.36</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较上年预算安排减少</w:t>
      </w:r>
      <w:r>
        <w:rPr>
          <w:rStyle w:val="11"/>
          <w:rFonts w:hint="eastAsia" w:ascii="仿宋" w:hAnsi="仿宋" w:eastAsia="仿宋" w:cs="仿宋"/>
          <w:color w:val="auto"/>
          <w:sz w:val="32"/>
          <w:szCs w:val="32"/>
          <w:lang w:val="en-US" w:eastAsia="zh-CN"/>
        </w:rPr>
        <w:t>6.17</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657F3145">
      <w:pPr>
        <w:ind w:firstLine="640" w:firstLineChars="200"/>
        <w:rPr>
          <w:rFonts w:hint="eastAsia" w:ascii="仿宋" w:hAnsi="仿宋" w:eastAsia="仿宋" w:cs="仿宋"/>
          <w:color w:val="auto"/>
          <w:sz w:val="32"/>
          <w:szCs w:val="32"/>
        </w:rPr>
      </w:pPr>
      <w:r>
        <w:rPr>
          <w:rStyle w:val="11"/>
          <w:rFonts w:hint="eastAsia" w:ascii="仿宋" w:hAnsi="仿宋" w:eastAsia="仿宋" w:cs="仿宋"/>
          <w:color w:val="auto"/>
          <w:sz w:val="32"/>
          <w:szCs w:val="32"/>
        </w:rPr>
        <w:t xml:space="preserve">按支出项目类别划分：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${page540426799.ds357974894_REP_BGT_T_HC1100002019_DXQ02DW_JBZCQKCB}</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基本支出</w:t>
      </w:r>
      <w:r>
        <w:rPr>
          <w:rStyle w:val="11"/>
          <w:rFonts w:hint="eastAsia" w:ascii="仿宋" w:hAnsi="仿宋" w:eastAsia="仿宋" w:cs="仿宋"/>
          <w:color w:val="auto"/>
          <w:sz w:val="32"/>
          <w:szCs w:val="32"/>
          <w:lang w:val="en-US" w:eastAsia="zh-CN"/>
        </w:rPr>
        <w:t>422.05</w:t>
      </w:r>
      <w:r>
        <w:rPr>
          <w:rStyle w:val="11"/>
          <w:rFonts w:hint="eastAsia" w:ascii="仿宋" w:hAnsi="仿宋" w:eastAsia="仿宋" w:cs="仿宋"/>
          <w:color w:val="auto"/>
          <w:sz w:val="32"/>
          <w:szCs w:val="32"/>
        </w:rPr>
        <w:t>万元,较上年预算安排减少</w:t>
      </w:r>
      <w:r>
        <w:rPr>
          <w:rStyle w:val="11"/>
          <w:rFonts w:hint="eastAsia" w:ascii="仿宋" w:hAnsi="仿宋" w:eastAsia="仿宋" w:cs="仿宋"/>
          <w:color w:val="auto"/>
          <w:sz w:val="32"/>
          <w:szCs w:val="32"/>
          <w:lang w:val="en-US" w:eastAsia="zh-CN"/>
        </w:rPr>
        <w:t>133.69</w:t>
      </w:r>
      <w:r>
        <w:rPr>
          <w:rStyle w:val="11"/>
          <w:rFonts w:hint="eastAsia" w:ascii="仿宋" w:hAnsi="仿宋" w:eastAsia="仿宋" w:cs="仿宋"/>
          <w:color w:val="auto"/>
          <w:sz w:val="32"/>
          <w:szCs w:val="32"/>
        </w:rPr>
        <w:t>万元;其中：工资福利支出</w:t>
      </w:r>
      <w:r>
        <w:rPr>
          <w:rStyle w:val="11"/>
          <w:rFonts w:hint="eastAsia" w:ascii="仿宋" w:hAnsi="仿宋" w:eastAsia="仿宋" w:cs="仿宋"/>
          <w:color w:val="auto"/>
          <w:sz w:val="32"/>
          <w:szCs w:val="32"/>
          <w:lang w:val="en-US" w:eastAsia="zh-CN"/>
        </w:rPr>
        <w:t>396.39</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20.22</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${page540426799.ds357974894_REP_BGT_T_HC1100002019_DXQ02DW_XMZCQKCB}</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项目支出</w:t>
      </w:r>
      <w:r>
        <w:rPr>
          <w:rStyle w:val="11"/>
          <w:rFonts w:hint="eastAsia" w:ascii="仿宋" w:hAnsi="仿宋" w:eastAsia="仿宋" w:cs="仿宋"/>
          <w:color w:val="auto"/>
          <w:sz w:val="32"/>
          <w:szCs w:val="32"/>
          <w:lang w:val="en-US" w:eastAsia="zh-CN"/>
        </w:rPr>
        <w:t>18.32</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增加18.32</w:t>
      </w:r>
      <w:r>
        <w:rPr>
          <w:rStyle w:val="11"/>
          <w:rFonts w:hint="eastAsia" w:ascii="仿宋" w:hAnsi="仿宋" w:eastAsia="仿宋" w:cs="仿宋"/>
          <w:color w:val="auto"/>
          <w:sz w:val="32"/>
          <w:szCs w:val="32"/>
        </w:rPr>
        <w:t>万元;其中：商品和服务支出</w:t>
      </w:r>
      <w:r>
        <w:rPr>
          <w:rStyle w:val="11"/>
          <w:rFonts w:hint="eastAsia" w:ascii="仿宋" w:hAnsi="仿宋" w:eastAsia="仿宋" w:cs="仿宋"/>
          <w:color w:val="auto"/>
          <w:sz w:val="32"/>
          <w:szCs w:val="32"/>
          <w:lang w:val="en-US" w:eastAsia="zh-CN"/>
        </w:rPr>
        <w:t>18.32</w:t>
      </w:r>
      <w:r>
        <w:rPr>
          <w:rStyle w:val="11"/>
          <w:rFonts w:hint="eastAsia" w:ascii="仿宋" w:hAnsi="仿宋" w:eastAsia="仿宋" w:cs="仿宋"/>
          <w:color w:val="auto"/>
          <w:sz w:val="32"/>
          <w:szCs w:val="32"/>
        </w:rPr>
        <w:t>万元,资本性支出</w:t>
      </w:r>
      <w:r>
        <w:rPr>
          <w:rStyle w:val="11"/>
          <w:rFonts w:hint="eastAsia" w:ascii="仿宋" w:hAnsi="仿宋" w:eastAsia="仿宋" w:cs="仿宋"/>
          <w:color w:val="auto"/>
          <w:sz w:val="32"/>
          <w:szCs w:val="32"/>
          <w:lang w:val="en-US" w:eastAsia="zh-CN"/>
        </w:rPr>
        <w:t>5.28</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147BD6A4">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(四)政府性基金情况</w:t>
      </w:r>
    </w:p>
    <w:p w14:paraId="53ABCAC8">
      <w:pPr>
        <w:ind w:firstLine="640" w:firstLineChars="200"/>
        <w:rPr>
          <w:rStyle w:val="11"/>
          <w:rFonts w:hint="eastAsia" w:ascii="仿宋" w:hAnsi="仿宋" w:eastAsia="仿宋" w:cs="仿宋"/>
          <w:b w:val="0"/>
          <w:bCs/>
          <w:color w:val="auto"/>
          <w:sz w:val="32"/>
          <w:szCs w:val="32"/>
        </w:rPr>
      </w:pPr>
      <w:r>
        <w:rPr>
          <w:rStyle w:val="11"/>
          <w:rFonts w:hint="eastAsia" w:ascii="仿宋" w:hAnsi="仿宋" w:eastAsia="仿宋" w:cs="仿宋"/>
          <w:b w:val="0"/>
          <w:bCs/>
          <w:color w:val="auto"/>
          <w:sz w:val="32"/>
          <w:szCs w:val="32"/>
        </w:rPr>
        <w:t>本单位没有使用政府性基金预算拨款安排的支出</w:t>
      </w:r>
    </w:p>
    <w:p w14:paraId="053819CE">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（五）国有资本经营情况</w:t>
      </w:r>
    </w:p>
    <w:p w14:paraId="3EC1EFC7">
      <w:pPr>
        <w:widowControl/>
        <w:ind w:firstLine="640" w:firstLineChars="200"/>
        <w:rPr>
          <w:rStyle w:val="11"/>
          <w:rFonts w:hint="eastAsia" w:ascii="仿宋" w:hAnsi="仿宋" w:eastAsia="仿宋" w:cs="仿宋"/>
          <w:color w:val="auto"/>
          <w:sz w:val="32"/>
          <w:szCs w:val="32"/>
          <w:lang w:val="en-US" w:eastAsia="zh-CN"/>
        </w:rPr>
      </w:pPr>
      <w:r>
        <w:rPr>
          <w:rStyle w:val="11"/>
          <w:rFonts w:hint="eastAsia" w:ascii="仿宋" w:hAnsi="仿宋" w:eastAsia="仿宋" w:cs="仿宋"/>
          <w:color w:val="auto"/>
          <w:sz w:val="32"/>
          <w:szCs w:val="32"/>
        </w:rPr>
        <w:t>本单位没有使用国有资本经营预算拨款安排的支出</w:t>
      </w:r>
      <w:r>
        <w:rPr>
          <w:rStyle w:val="11"/>
          <w:rFonts w:hint="eastAsia" w:ascii="仿宋" w:hAnsi="仿宋" w:eastAsia="仿宋" w:cs="仿宋"/>
          <w:color w:val="auto"/>
          <w:sz w:val="32"/>
          <w:szCs w:val="32"/>
          <w:lang w:eastAsia="zh-CN"/>
        </w:rPr>
        <w:t>。</w:t>
      </w:r>
    </w:p>
    <w:p w14:paraId="1CDA96DE">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 xml:space="preserve"> (六)机关运行经费等重要事项的说明</w:t>
      </w:r>
    </w:p>
    <w:p w14:paraId="51F1DFC8">
      <w:pPr>
        <w:widowControl/>
        <w:spacing w:line="580" w:lineRule="exact"/>
        <w:ind w:firstLine="636"/>
        <w:jc w:val="left"/>
        <w:rPr>
          <w:rFonts w:hint="eastAsia" w:ascii="仿宋" w:hAnsi="仿宋" w:eastAsia="仿宋" w:cs="仿宋"/>
          <w:b w:val="0"/>
          <w:bCs/>
          <w:color w:val="auto"/>
          <w:sz w:val="32"/>
          <w:szCs w:val="32"/>
        </w:rPr>
      </w:pPr>
      <w:r>
        <w:rPr>
          <w:rStyle w:val="11"/>
          <w:rFonts w:hint="eastAsia" w:ascii="仿宋" w:hAnsi="仿宋" w:eastAsia="仿宋" w:cs="仿宋"/>
          <w:b w:val="0"/>
          <w:bCs/>
          <w:color w:val="auto"/>
          <w:sz w:val="32"/>
          <w:szCs w:val="32"/>
        </w:rPr>
        <w:t>本单位非行政参公单位，无机关运行经费</w:t>
      </w:r>
    </w:p>
    <w:p w14:paraId="2681CC5D">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(七)政府采购情况</w:t>
      </w:r>
    </w:p>
    <w:p w14:paraId="7979083A">
      <w:pPr>
        <w:rPr>
          <w:rFonts w:hint="eastAsia" w:ascii="仿宋" w:hAnsi="仿宋" w:eastAsia="仿宋" w:cs="仿宋"/>
          <w:color w:val="auto"/>
          <w:sz w:val="32"/>
          <w:szCs w:val="32"/>
        </w:rPr>
      </w:pPr>
      <w:r>
        <w:rPr>
          <w:rStyle w:val="11"/>
          <w:rFonts w:hint="eastAsia" w:ascii="仿宋" w:hAnsi="仿宋" w:eastAsia="仿宋" w:cs="仿宋"/>
          <w:b/>
          <w:color w:val="auto"/>
          <w:sz w:val="32"/>
          <w:szCs w:val="32"/>
        </w:rPr>
        <w:t xml:space="preserve">   </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年政府采购总额</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万元,其中: 政府采购货物预算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 政府采购工程预算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 政府采购服务预算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p>
    <w:p w14:paraId="5F7EE72D">
      <w:pPr>
        <w:ind w:firstLine="321" w:firstLineChars="1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rPr>
        <w:t>(八)国有资产占有使用情况</w:t>
      </w:r>
    </w:p>
    <w:p w14:paraId="7B221A24">
      <w:pPr>
        <w:ind w:firstLine="642"/>
        <w:rPr>
          <w:rFonts w:hint="eastAsia" w:ascii="仿宋" w:hAnsi="仿宋" w:eastAsia="仿宋" w:cs="仿宋"/>
          <w:color w:val="auto"/>
          <w:sz w:val="32"/>
          <w:szCs w:val="32"/>
        </w:rPr>
      </w:pPr>
      <w:r>
        <w:rPr>
          <w:rFonts w:hint="eastAsia" w:ascii="仿宋" w:hAnsi="仿宋" w:eastAsia="仿宋" w:cs="仿宋"/>
          <w:color w:val="auto"/>
          <w:sz w:val="32"/>
          <w:szCs w:val="32"/>
        </w:rPr>
        <w:t>截至</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 xml:space="preserve">日, </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${page540426799.ds376136392_REP_JX_BAS_AGENCY_INFO_DXQRSDW_S_CLSYS}</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单位共有车辆</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辆,其中：一般公务用车实有数</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rPr>
        <w:fldChar w:fldCharType="end"/>
      </w:r>
    </w:p>
    <w:p w14:paraId="5BDE7F08">
      <w:pPr>
        <w:ind w:firstLine="642"/>
        <w:rPr>
          <w:rStyle w:val="11"/>
          <w:rFonts w:hint="eastAsia" w:ascii="仿宋" w:hAnsi="仿宋" w:eastAsia="仿宋" w:cs="仿宋"/>
          <w:b/>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年单位预算安排购置车辆</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rPr>
        <w:t>辆，安排购置单位价值200万元以上大型设备具体为：</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rPr>
        <w:t>。</w:t>
      </w:r>
    </w:p>
    <w:p w14:paraId="185959C9">
      <w:pPr>
        <w:numPr>
          <w:ilvl w:val="0"/>
          <w:numId w:val="0"/>
        </w:numPr>
        <w:ind w:firstLine="643" w:firstLineChars="200"/>
        <w:rPr>
          <w:rStyle w:val="11"/>
          <w:rFonts w:hint="eastAsia" w:ascii="仿宋" w:hAnsi="仿宋" w:eastAsia="仿宋" w:cs="仿宋"/>
          <w:b/>
          <w:color w:val="auto"/>
          <w:sz w:val="32"/>
          <w:szCs w:val="32"/>
        </w:rPr>
      </w:pPr>
      <w:r>
        <w:rPr>
          <w:rStyle w:val="11"/>
          <w:rFonts w:hint="eastAsia" w:ascii="仿宋" w:hAnsi="仿宋" w:eastAsia="仿宋" w:cs="仿宋"/>
          <w:b/>
          <w:color w:val="auto"/>
          <w:sz w:val="32"/>
          <w:szCs w:val="32"/>
          <w:lang w:eastAsia="zh-CN"/>
        </w:rPr>
        <w:t>（</w:t>
      </w:r>
      <w:r>
        <w:rPr>
          <w:rStyle w:val="11"/>
          <w:rFonts w:hint="eastAsia" w:ascii="仿宋" w:hAnsi="仿宋" w:eastAsia="仿宋" w:cs="仿宋"/>
          <w:b/>
          <w:color w:val="auto"/>
          <w:sz w:val="32"/>
          <w:szCs w:val="32"/>
          <w:lang w:val="en-US" w:eastAsia="zh-CN"/>
        </w:rPr>
        <w:t>九</w:t>
      </w:r>
      <w:r>
        <w:rPr>
          <w:rStyle w:val="11"/>
          <w:rFonts w:hint="eastAsia" w:ascii="仿宋" w:hAnsi="仿宋" w:eastAsia="仿宋" w:cs="仿宋"/>
          <w:b/>
          <w:color w:val="auto"/>
          <w:sz w:val="32"/>
          <w:szCs w:val="32"/>
          <w:lang w:eastAsia="zh-CN"/>
        </w:rPr>
        <w:t>）</w:t>
      </w:r>
      <w:r>
        <w:rPr>
          <w:rStyle w:val="11"/>
          <w:rFonts w:hint="eastAsia" w:ascii="仿宋" w:hAnsi="仿宋" w:eastAsia="仿宋" w:cs="仿宋"/>
          <w:b/>
          <w:color w:val="auto"/>
          <w:sz w:val="32"/>
          <w:szCs w:val="32"/>
        </w:rPr>
        <w:t>项目情况说明</w:t>
      </w:r>
    </w:p>
    <w:p w14:paraId="04DABEA9">
      <w:pPr>
        <w:numPr>
          <w:ilvl w:val="0"/>
          <w:numId w:val="0"/>
        </w:numPr>
        <w:rPr>
          <w:rStyle w:val="11"/>
          <w:rFonts w:hint="eastAsia" w:ascii="仿宋" w:hAnsi="仿宋" w:eastAsia="仿宋" w:cs="仿宋"/>
          <w:b/>
          <w:color w:val="auto"/>
          <w:sz w:val="32"/>
          <w:szCs w:val="32"/>
          <w:lang w:val="en-US" w:eastAsia="zh-CN"/>
        </w:rPr>
      </w:pPr>
      <w:r>
        <w:rPr>
          <w:rStyle w:val="11"/>
          <w:rFonts w:hint="eastAsia" w:ascii="仿宋" w:hAnsi="仿宋" w:eastAsia="仿宋" w:cs="仿宋"/>
          <w:b/>
          <w:color w:val="auto"/>
          <w:sz w:val="32"/>
          <w:szCs w:val="32"/>
          <w:lang w:val="en-US" w:eastAsia="zh-CN"/>
        </w:rPr>
        <w:t xml:space="preserve">     1、学校保安经费</w:t>
      </w:r>
    </w:p>
    <w:p w14:paraId="29B71940">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:江西省庐山旅游职业高级中学校园保安费用</w:t>
      </w:r>
    </w:p>
    <w:p w14:paraId="6542F78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为保障校园安全，历年财政预算安排1名保安人员经费。</w:t>
      </w:r>
    </w:p>
    <w:p w14:paraId="49C94970">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江西省庐山旅游职业高级中学</w:t>
      </w:r>
    </w:p>
    <w:p w14:paraId="4C1C121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江西省庐山旅游职业高级中学校园保安服务</w:t>
      </w:r>
    </w:p>
    <w:p w14:paraId="2B4CD3F4">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0B34D7E1">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年度预算资金5.28万元。</w:t>
      </w:r>
    </w:p>
    <w:p w14:paraId="7ABA47EB">
      <w:pPr>
        <w:numPr>
          <w:ilvl w:val="0"/>
          <w:numId w:val="0"/>
        </w:numPr>
        <w:rPr>
          <w:rStyle w:val="11"/>
          <w:rFonts w:hint="eastAsia" w:ascii="仿宋" w:hAnsi="仿宋" w:eastAsia="仿宋" w:cs="仿宋"/>
          <w:b/>
          <w:color w:val="auto"/>
          <w:sz w:val="32"/>
          <w:szCs w:val="32"/>
          <w:lang w:val="en-US" w:eastAsia="zh-CN"/>
        </w:rPr>
      </w:pPr>
      <w:r>
        <w:rPr>
          <w:rStyle w:val="11"/>
          <w:rFonts w:hint="eastAsia" w:ascii="仿宋" w:hAnsi="仿宋" w:eastAsia="仿宋" w:cs="仿宋"/>
          <w:b/>
          <w:color w:val="auto"/>
          <w:sz w:val="32"/>
          <w:szCs w:val="32"/>
          <w:lang w:val="en-US" w:eastAsia="zh-CN"/>
        </w:rPr>
        <w:t xml:space="preserve">     2、事业收入支出</w:t>
      </w:r>
    </w:p>
    <w:p w14:paraId="49E45AED">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:江西省庐山旅游职业高级中学事业收入单位安排支出。</w:t>
      </w:r>
    </w:p>
    <w:p w14:paraId="79BCC217">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为保证学校日常工作正常开展，单位自有资金转入一体化平台支付。</w:t>
      </w:r>
    </w:p>
    <w:p w14:paraId="222EE138">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江西省庐山旅游职业高级中学</w:t>
      </w:r>
    </w:p>
    <w:p w14:paraId="187EBC7E">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江西省庐山旅游职业高级中学事业收入单位安排支出。</w:t>
      </w:r>
    </w:p>
    <w:p w14:paraId="6AD676EF">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0DA8AA40">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年度预算资金80万元。</w:t>
      </w:r>
    </w:p>
    <w:p w14:paraId="60E75BA3">
      <w:pPr>
        <w:numPr>
          <w:ilvl w:val="0"/>
          <w:numId w:val="0"/>
        </w:numPr>
        <w:ind w:firstLine="643" w:firstLineChars="200"/>
        <w:rPr>
          <w:rStyle w:val="11"/>
          <w:rFonts w:hint="eastAsia" w:ascii="仿宋" w:hAnsi="仿宋" w:eastAsia="仿宋" w:cs="仿宋"/>
          <w:b/>
          <w:color w:val="auto"/>
          <w:sz w:val="32"/>
          <w:szCs w:val="32"/>
          <w:lang w:val="en-US" w:eastAsia="zh-CN"/>
        </w:rPr>
      </w:pPr>
      <w:r>
        <w:rPr>
          <w:rStyle w:val="11"/>
          <w:rFonts w:hint="eastAsia" w:ascii="仿宋" w:hAnsi="仿宋" w:eastAsia="仿宋" w:cs="仿宋"/>
          <w:b/>
          <w:color w:val="auto"/>
          <w:sz w:val="32"/>
          <w:szCs w:val="32"/>
          <w:lang w:val="en-US" w:eastAsia="zh-CN"/>
        </w:rPr>
        <w:t xml:space="preserve"> 3、福利保障经费</w:t>
      </w:r>
    </w:p>
    <w:p w14:paraId="79646879">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:江西省庐山旅游职业高级中学福利保障经费。</w:t>
      </w:r>
    </w:p>
    <w:p w14:paraId="1CB5F5AF">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保证职工福利待遇正常发放。</w:t>
      </w:r>
    </w:p>
    <w:p w14:paraId="2B4715D4">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江西省庐山旅游职业高级中学</w:t>
      </w:r>
    </w:p>
    <w:p w14:paraId="75FAE85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江西省庐山旅游职业高级中学福利经费支出</w:t>
      </w:r>
    </w:p>
    <w:p w14:paraId="54DA61E2">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63554A7B">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年度预算资金15.68万元。</w:t>
      </w:r>
    </w:p>
    <w:p w14:paraId="7AE9BFDA">
      <w:pPr>
        <w:widowControl/>
        <w:spacing w:line="580" w:lineRule="exact"/>
        <w:ind w:firstLine="636"/>
        <w:jc w:val="left"/>
        <w:rPr>
          <w:rFonts w:hint="eastAsia" w:ascii="仿宋" w:hAnsi="仿宋" w:eastAsia="仿宋" w:cs="仿宋"/>
          <w:color w:val="auto"/>
          <w:sz w:val="32"/>
          <w:szCs w:val="32"/>
        </w:rPr>
      </w:pPr>
    </w:p>
    <w:p w14:paraId="410B4A6A">
      <w:pPr>
        <w:widowControl/>
        <w:spacing w:line="580" w:lineRule="exact"/>
        <w:jc w:val="left"/>
        <w:rPr>
          <w:rFonts w:hint="eastAsia" w:ascii="仿宋" w:hAnsi="仿宋" w:eastAsia="仿宋" w:cs="仿宋"/>
          <w:b/>
          <w:color w:val="auto"/>
          <w:sz w:val="32"/>
          <w:szCs w:val="32"/>
        </w:rPr>
      </w:pPr>
      <w:r>
        <w:rPr>
          <w:rFonts w:hint="eastAsia" w:ascii="仿宋" w:hAnsi="仿宋" w:eastAsia="仿宋" w:cs="仿宋"/>
          <w:b/>
          <w:color w:val="auto"/>
          <w:kern w:val="0"/>
          <w:sz w:val="32"/>
          <w:szCs w:val="32"/>
        </w:rPr>
        <w:t>二、</w:t>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年“三公”经费预算情况说明</w:t>
      </w:r>
    </w:p>
    <w:p w14:paraId="22F60926">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202</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年</w:t>
      </w:r>
      <w:r>
        <w:rPr>
          <w:rFonts w:hint="eastAsia" w:ascii="仿宋" w:hAnsi="仿宋" w:eastAsia="仿宋" w:cs="仿宋"/>
          <w:bCs/>
          <w:color w:val="auto"/>
          <w:sz w:val="32"/>
          <w:szCs w:val="32"/>
        </w:rPr>
        <w:fldChar w:fldCharType="begin"/>
      </w:r>
      <w:r>
        <w:rPr>
          <w:rFonts w:hint="eastAsia" w:ascii="仿宋" w:hAnsi="仿宋" w:eastAsia="仿宋" w:cs="仿宋"/>
          <w:bCs/>
          <w:color w:val="auto"/>
          <w:sz w:val="32"/>
          <w:szCs w:val="32"/>
        </w:rPr>
        <w:instrText xml:space="preserve">MERGEFIELD ${page540426799.ds254512694_REP_JXJC_AGENCY_WZR_NAME}</w:instrText>
      </w:r>
      <w:r>
        <w:rPr>
          <w:rFonts w:hint="eastAsia" w:ascii="仿宋" w:hAnsi="仿宋" w:eastAsia="仿宋" w:cs="仿宋"/>
          <w:bCs/>
          <w:color w:val="auto"/>
          <w:sz w:val="32"/>
          <w:szCs w:val="32"/>
        </w:rPr>
        <w:fldChar w:fldCharType="separate"/>
      </w:r>
      <w:r>
        <w:rPr>
          <w:rFonts w:hint="eastAsia" w:ascii="仿宋" w:hAnsi="仿宋" w:eastAsia="仿宋" w:cs="仿宋"/>
          <w:bCs/>
          <w:color w:val="auto"/>
          <w:sz w:val="32"/>
          <w:szCs w:val="32"/>
          <w:lang w:eastAsia="zh-CN"/>
        </w:rPr>
        <w:t>江西省庐山旅游职业高级中学</w:t>
      </w:r>
      <w:r>
        <w:rPr>
          <w:rFonts w:hint="eastAsia" w:ascii="仿宋" w:hAnsi="仿宋" w:eastAsia="仿宋" w:cs="仿宋"/>
          <w:color w:val="auto"/>
          <w:sz w:val="32"/>
          <w:szCs w:val="32"/>
        </w:rPr>
        <w:fldChar w:fldCharType="end"/>
      </w:r>
      <w:r>
        <w:rPr>
          <w:rFonts w:hint="eastAsia" w:ascii="仿宋" w:hAnsi="仿宋" w:eastAsia="仿宋" w:cs="仿宋"/>
          <w:bCs/>
          <w:color w:val="auto"/>
          <w:sz w:val="32"/>
          <w:szCs w:val="32"/>
        </w:rPr>
        <w:t>"三公"经费财政拨款安排</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万元，其中：</w:t>
      </w:r>
    </w:p>
    <w:p w14:paraId="6550D406">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因公出国</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Fonts w:hint="eastAsia" w:ascii="仿宋" w:hAnsi="仿宋" w:eastAsia="仿宋" w:cs="仿宋"/>
          <w:bCs/>
          <w:color w:val="auto"/>
          <w:sz w:val="32"/>
          <w:szCs w:val="32"/>
          <w:lang w:val="en-US" w:eastAsia="zh-CN"/>
        </w:rPr>
        <w:t>本单位本年度未安排因公出国经费</w:t>
      </w:r>
      <w:r>
        <w:rPr>
          <w:rFonts w:hint="eastAsia" w:ascii="仿宋" w:hAnsi="仿宋" w:eastAsia="仿宋" w:cs="仿宋"/>
          <w:bCs/>
          <w:color w:val="auto"/>
          <w:sz w:val="32"/>
          <w:szCs w:val="32"/>
        </w:rPr>
        <w:t>。</w:t>
      </w:r>
    </w:p>
    <w:p w14:paraId="5DFA2092">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公务接待</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Style w:val="11"/>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6D626B92">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Cs/>
          <w:color w:val="auto"/>
          <w:sz w:val="32"/>
          <w:szCs w:val="32"/>
        </w:rPr>
        <w:t>公务用车运行</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Style w:val="11"/>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25A24217">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公务用车购置</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Style w:val="11"/>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r>
        <w:rPr>
          <w:rFonts w:hint="eastAsia" w:ascii="仿宋" w:hAnsi="仿宋" w:eastAsia="仿宋" w:cs="仿宋"/>
          <w:bCs/>
          <w:color w:val="auto"/>
          <w:sz w:val="32"/>
          <w:szCs w:val="32"/>
        </w:rPr>
        <w:fldChar w:fldCharType="begin"/>
      </w:r>
      <w:r>
        <w:rPr>
          <w:rFonts w:hint="eastAsia" w:ascii="仿宋" w:hAnsi="仿宋" w:eastAsia="仿宋" w:cs="仿宋"/>
          <w:bCs/>
          <w:color w:val="auto"/>
          <w:sz w:val="32"/>
          <w:szCs w:val="32"/>
        </w:rPr>
        <w:instrText xml:space="preserve">MERGEFIELD ${page400644146.ds215660413_REP_BGT_T_HC1100002019_DXQ02_ZCSGGZ}</w:instrText>
      </w:r>
      <w:r>
        <w:rPr>
          <w:rFonts w:hint="eastAsia" w:ascii="仿宋" w:hAnsi="仿宋" w:eastAsia="仿宋" w:cs="仿宋"/>
          <w:bCs/>
          <w:color w:val="auto"/>
          <w:sz w:val="32"/>
          <w:szCs w:val="32"/>
        </w:rPr>
        <w:fldChar w:fldCharType="end"/>
      </w:r>
    </w:p>
    <w:p w14:paraId="5FC3083F">
      <w:pPr>
        <w:widowControl/>
        <w:spacing w:line="580" w:lineRule="exact"/>
        <w:ind w:firstLine="636"/>
        <w:jc w:val="left"/>
        <w:rPr>
          <w:rStyle w:val="11"/>
          <w:rFonts w:hint="eastAsia" w:ascii="仿宋" w:hAnsi="仿宋" w:eastAsia="仿宋" w:cs="仿宋"/>
          <w:color w:val="auto"/>
          <w:sz w:val="32"/>
          <w:szCs w:val="32"/>
        </w:rPr>
      </w:pPr>
    </w:p>
    <w:p w14:paraId="5860FF44">
      <w:pPr>
        <w:widowControl/>
        <w:spacing w:line="580" w:lineRule="exact"/>
        <w:ind w:firstLine="636"/>
        <w:jc w:val="left"/>
        <w:rPr>
          <w:rStyle w:val="11"/>
          <w:rFonts w:hint="eastAsia" w:ascii="仿宋" w:hAnsi="仿宋" w:eastAsia="仿宋" w:cs="仿宋"/>
          <w:color w:val="auto"/>
          <w:sz w:val="32"/>
          <w:szCs w:val="32"/>
        </w:rPr>
      </w:pPr>
    </w:p>
    <w:p w14:paraId="09C076C3">
      <w:pPr>
        <w:widowControl/>
        <w:spacing w:line="580" w:lineRule="exact"/>
        <w:ind w:firstLine="636"/>
        <w:jc w:val="left"/>
        <w:rPr>
          <w:rStyle w:val="11"/>
          <w:rFonts w:hint="eastAsia" w:ascii="仿宋" w:hAnsi="仿宋" w:eastAsia="仿宋" w:cs="仿宋"/>
          <w:color w:val="auto"/>
          <w:sz w:val="32"/>
          <w:szCs w:val="32"/>
        </w:rPr>
      </w:pPr>
    </w:p>
    <w:p w14:paraId="07C2C686">
      <w:pPr>
        <w:widowControl/>
        <w:spacing w:line="580" w:lineRule="exact"/>
        <w:ind w:firstLine="636"/>
        <w:jc w:val="left"/>
        <w:rPr>
          <w:rStyle w:val="11"/>
          <w:rFonts w:hint="eastAsia" w:ascii="仿宋" w:hAnsi="仿宋" w:eastAsia="仿宋" w:cs="仿宋"/>
          <w:color w:val="auto"/>
          <w:sz w:val="32"/>
          <w:szCs w:val="32"/>
        </w:rPr>
      </w:pPr>
    </w:p>
    <w:p w14:paraId="38EFBF35">
      <w:pPr>
        <w:widowControl/>
        <w:spacing w:line="580" w:lineRule="exact"/>
        <w:ind w:firstLine="636"/>
        <w:jc w:val="left"/>
        <w:rPr>
          <w:rStyle w:val="11"/>
          <w:rFonts w:hint="eastAsia" w:ascii="仿宋" w:hAnsi="仿宋" w:eastAsia="仿宋" w:cs="仿宋"/>
          <w:color w:val="auto"/>
          <w:sz w:val="32"/>
          <w:szCs w:val="32"/>
        </w:rPr>
      </w:pPr>
    </w:p>
    <w:p w14:paraId="4D8C2A08">
      <w:pPr>
        <w:widowControl/>
        <w:shd w:val="clear" w:color="auto" w:fill="FFFFFF"/>
        <w:spacing w:line="640" w:lineRule="atLeast"/>
        <w:jc w:val="both"/>
        <w:rPr>
          <w:rFonts w:hint="eastAsia" w:ascii="仿宋" w:hAnsi="仿宋" w:eastAsia="仿宋" w:cs="仿宋"/>
          <w:b/>
          <w:color w:val="auto"/>
          <w:sz w:val="32"/>
          <w:szCs w:val="32"/>
        </w:rPr>
      </w:pPr>
    </w:p>
    <w:p w14:paraId="5A2D21D6">
      <w:pPr>
        <w:widowControl/>
        <w:shd w:val="clear" w:color="auto" w:fill="FFFFFF"/>
        <w:spacing w:line="640" w:lineRule="atLeast"/>
        <w:jc w:val="both"/>
        <w:rPr>
          <w:rFonts w:hint="eastAsia" w:ascii="仿宋" w:hAnsi="仿宋" w:eastAsia="仿宋" w:cs="仿宋"/>
          <w:b/>
          <w:color w:val="auto"/>
          <w:sz w:val="32"/>
          <w:szCs w:val="32"/>
        </w:rPr>
      </w:pPr>
    </w:p>
    <w:p w14:paraId="22096230">
      <w:pPr>
        <w:widowControl/>
        <w:shd w:val="clear" w:color="auto" w:fill="FFFFFF"/>
        <w:spacing w:line="640" w:lineRule="atLeast"/>
        <w:jc w:val="both"/>
        <w:rPr>
          <w:rFonts w:hint="eastAsia" w:ascii="仿宋" w:hAnsi="仿宋" w:eastAsia="仿宋" w:cs="仿宋"/>
          <w:b/>
          <w:color w:val="auto"/>
          <w:sz w:val="32"/>
          <w:szCs w:val="32"/>
        </w:rPr>
      </w:pPr>
    </w:p>
    <w:p w14:paraId="161559F9">
      <w:pPr>
        <w:widowControl/>
        <w:shd w:val="clear" w:color="auto" w:fill="FFFFFF"/>
        <w:spacing w:line="640" w:lineRule="atLeast"/>
        <w:jc w:val="both"/>
        <w:rPr>
          <w:rFonts w:hint="eastAsia" w:ascii="仿宋" w:hAnsi="仿宋" w:eastAsia="仿宋" w:cs="仿宋"/>
          <w:b/>
          <w:color w:val="auto"/>
          <w:sz w:val="32"/>
          <w:szCs w:val="32"/>
        </w:rPr>
      </w:pPr>
    </w:p>
    <w:p w14:paraId="00EBA85B">
      <w:pPr>
        <w:widowControl/>
        <w:shd w:val="clear" w:color="auto" w:fill="FFFFFF"/>
        <w:spacing w:line="640" w:lineRule="atLeast"/>
        <w:jc w:val="both"/>
        <w:rPr>
          <w:rFonts w:hint="eastAsia" w:ascii="仿宋" w:hAnsi="仿宋" w:eastAsia="仿宋" w:cs="仿宋"/>
          <w:b/>
          <w:color w:val="auto"/>
          <w:sz w:val="32"/>
          <w:szCs w:val="32"/>
        </w:rPr>
      </w:pPr>
    </w:p>
    <w:p w14:paraId="4056C7E6">
      <w:pPr>
        <w:widowControl/>
        <w:shd w:val="clear" w:color="auto" w:fill="FFFFFF"/>
        <w:spacing w:line="640" w:lineRule="atLeast"/>
        <w:jc w:val="both"/>
        <w:rPr>
          <w:rFonts w:hint="eastAsia" w:ascii="仿宋" w:hAnsi="仿宋" w:eastAsia="仿宋" w:cs="仿宋"/>
          <w:b/>
          <w:color w:val="auto"/>
          <w:sz w:val="32"/>
          <w:szCs w:val="32"/>
        </w:rPr>
      </w:pPr>
    </w:p>
    <w:p w14:paraId="153BA914">
      <w:pPr>
        <w:widowControl/>
        <w:shd w:val="clear" w:color="auto" w:fill="FFFFFF"/>
        <w:spacing w:line="640" w:lineRule="atLeast"/>
        <w:jc w:val="both"/>
        <w:rPr>
          <w:rFonts w:hint="eastAsia" w:ascii="仿宋" w:hAnsi="仿宋" w:eastAsia="仿宋" w:cs="仿宋"/>
          <w:b/>
          <w:color w:val="auto"/>
          <w:sz w:val="32"/>
          <w:szCs w:val="32"/>
        </w:rPr>
      </w:pPr>
    </w:p>
    <w:p w14:paraId="7C810D64">
      <w:pPr>
        <w:widowControl/>
        <w:shd w:val="clear" w:color="auto" w:fill="FFFFFF"/>
        <w:spacing w:line="640" w:lineRule="atLeast"/>
        <w:jc w:val="both"/>
        <w:rPr>
          <w:rFonts w:hint="eastAsia" w:ascii="仿宋" w:hAnsi="仿宋" w:eastAsia="仿宋" w:cs="仿宋"/>
          <w:b/>
          <w:color w:val="auto"/>
          <w:sz w:val="32"/>
          <w:szCs w:val="32"/>
        </w:rPr>
      </w:pPr>
    </w:p>
    <w:p w14:paraId="5AAB94EC">
      <w:pPr>
        <w:widowControl/>
        <w:shd w:val="clear" w:color="auto" w:fill="FFFFFF"/>
        <w:spacing w:line="640" w:lineRule="atLeast"/>
        <w:jc w:val="both"/>
        <w:rPr>
          <w:rFonts w:hint="eastAsia" w:ascii="仿宋" w:hAnsi="仿宋" w:eastAsia="仿宋" w:cs="仿宋"/>
          <w:b/>
          <w:color w:val="auto"/>
          <w:sz w:val="32"/>
          <w:szCs w:val="32"/>
        </w:rPr>
      </w:pPr>
    </w:p>
    <w:p w14:paraId="48B89E1E">
      <w:pPr>
        <w:widowControl/>
        <w:shd w:val="clear" w:color="auto" w:fill="FFFFFF"/>
        <w:spacing w:line="640" w:lineRule="atLeast"/>
        <w:jc w:val="both"/>
        <w:rPr>
          <w:rFonts w:hint="eastAsia" w:ascii="仿宋" w:hAnsi="仿宋" w:eastAsia="仿宋" w:cs="仿宋"/>
          <w:b/>
          <w:color w:val="auto"/>
          <w:sz w:val="32"/>
          <w:szCs w:val="32"/>
        </w:rPr>
      </w:pPr>
    </w:p>
    <w:p w14:paraId="5728837E">
      <w:pPr>
        <w:widowControl/>
        <w:shd w:val="clear" w:color="auto" w:fill="FFFFFF"/>
        <w:spacing w:line="640" w:lineRule="atLeast"/>
        <w:jc w:val="both"/>
        <w:rPr>
          <w:rFonts w:hint="eastAsia" w:ascii="仿宋" w:hAnsi="仿宋" w:eastAsia="仿宋" w:cs="仿宋"/>
          <w:b/>
          <w:color w:val="auto"/>
          <w:sz w:val="32"/>
          <w:szCs w:val="32"/>
        </w:rPr>
      </w:pPr>
    </w:p>
    <w:p w14:paraId="7CB81635">
      <w:pPr>
        <w:widowControl/>
        <w:shd w:val="clear" w:color="auto" w:fill="FFFFFF"/>
        <w:spacing w:line="640" w:lineRule="atLeast"/>
        <w:ind w:firstLine="640"/>
        <w:jc w:val="center"/>
        <w:rPr>
          <w:rFonts w:hint="eastAsia" w:ascii="仿宋" w:hAnsi="仿宋" w:eastAsia="仿宋" w:cs="仿宋"/>
          <w:color w:val="auto"/>
          <w:sz w:val="32"/>
          <w:szCs w:val="32"/>
        </w:rPr>
      </w:pPr>
      <w:r>
        <w:rPr>
          <w:rFonts w:hint="eastAsia" w:ascii="仿宋" w:hAnsi="仿宋" w:eastAsia="仿宋" w:cs="仿宋"/>
          <w:b/>
          <w:color w:val="auto"/>
          <w:sz w:val="32"/>
          <w:szCs w:val="32"/>
        </w:rPr>
        <w:t>第四部分   名词解释</w:t>
      </w:r>
    </w:p>
    <w:p w14:paraId="521943BA">
      <w:pPr>
        <w:widowControl/>
        <w:shd w:val="clear" w:color="auto" w:fill="FFFFFF"/>
        <w:spacing w:line="640" w:lineRule="atLeast"/>
        <w:ind w:firstLine="800" w:firstLineChars="250"/>
        <w:jc w:val="left"/>
        <w:rPr>
          <w:rFonts w:hint="eastAsia" w:ascii="仿宋" w:hAnsi="仿宋" w:eastAsia="仿宋" w:cs="仿宋"/>
          <w:color w:val="auto"/>
          <w:sz w:val="32"/>
          <w:szCs w:val="32"/>
        </w:rPr>
      </w:pPr>
      <w:r>
        <w:rPr>
          <w:rFonts w:hint="eastAsia" w:ascii="仿宋" w:hAnsi="仿宋" w:eastAsia="仿宋" w:cs="仿宋"/>
          <w:color w:val="auto"/>
          <w:sz w:val="32"/>
          <w:szCs w:val="32"/>
        </w:rPr>
        <w:t>一、收入科目</w:t>
      </w:r>
    </w:p>
    <w:p w14:paraId="4C65C4A4">
      <w:pPr>
        <w:widowControl/>
        <w:numPr>
          <w:ilvl w:val="0"/>
          <w:numId w:val="2"/>
        </w:numPr>
        <w:spacing w:line="600" w:lineRule="exact"/>
        <w:ind w:firstLine="640"/>
        <w:jc w:val="left"/>
        <w:rPr>
          <w:rFonts w:hint="eastAsia" w:ascii="仿宋" w:hAnsi="仿宋" w:eastAsia="仿宋" w:cs="仿宋"/>
          <w:color w:val="auto"/>
          <w:sz w:val="32"/>
          <w:szCs w:val="32"/>
        </w:rPr>
      </w:pPr>
      <w:r>
        <w:rPr>
          <w:rFonts w:hint="eastAsia" w:ascii="仿宋" w:hAnsi="仿宋" w:eastAsia="仿宋" w:cs="仿宋"/>
          <w:color w:val="auto"/>
          <w:sz w:val="32"/>
          <w:szCs w:val="32"/>
        </w:rPr>
        <w:t>财政拨款：指</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级财政当年拨付的资金。</w:t>
      </w:r>
    </w:p>
    <w:p w14:paraId="03720F86">
      <w:pPr>
        <w:widowControl/>
        <w:numPr>
          <w:ilvl w:val="0"/>
          <w:numId w:val="2"/>
        </w:numPr>
        <w:spacing w:line="600" w:lineRule="exact"/>
        <w:ind w:firstLine="640"/>
        <w:jc w:val="left"/>
        <w:rPr>
          <w:rFonts w:hint="eastAsia" w:ascii="仿宋" w:hAnsi="仿宋" w:eastAsia="仿宋" w:cs="仿宋"/>
          <w:color w:val="auto"/>
          <w:sz w:val="32"/>
          <w:szCs w:val="32"/>
        </w:rPr>
      </w:pPr>
      <w:r>
        <w:rPr>
          <w:rFonts w:hint="eastAsia" w:ascii="仿宋" w:hAnsi="仿宋" w:eastAsia="仿宋" w:cs="仿宋"/>
          <w:color w:val="auto"/>
          <w:sz w:val="32"/>
          <w:szCs w:val="32"/>
        </w:rPr>
        <w:t>教育收费资金收入：反映实行专项管理的高中以上学费、住宿费，高校委托培养费，函大、电大、夜大及短训班培训费等教育收费取得的收入。</w:t>
      </w:r>
    </w:p>
    <w:p w14:paraId="7CD5B58F">
      <w:pPr>
        <w:widowControl/>
        <w:spacing w:line="60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（三）事业收入：指事业单位开展专业业务活动及辅助活动取得的收入。</w:t>
      </w:r>
    </w:p>
    <w:p w14:paraId="7D4BCDED">
      <w:pPr>
        <w:widowControl/>
        <w:spacing w:line="60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（四）事业单位经营收入：指事业单位在专业业务活动及辅助活动之外开展非独立核算经营活动取得的收入。</w:t>
      </w:r>
    </w:p>
    <w:p w14:paraId="434157E1">
      <w:pPr>
        <w:widowControl/>
        <w:spacing w:line="58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（五）附属单位上缴收入：反映事业单位附属的独立核算单位按规定标准或比例缴纳的各项收入。包括附属的事业单位上缴的收入和附属的企业上缴的利润等。</w:t>
      </w:r>
    </w:p>
    <w:p w14:paraId="75F2B4B1">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（六）上级补助收入：反映事业单位从主管部门和上级单位取得的非财政补助收入。</w:t>
      </w:r>
    </w:p>
    <w:p w14:paraId="59BAE51C">
      <w:pPr>
        <w:widowControl/>
        <w:spacing w:line="60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（七）其他收入：指除财政拨款、事业收入、事业单位经营收入等以外的各项收入。</w:t>
      </w:r>
    </w:p>
    <w:p w14:paraId="02A5252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（八）使用非财政拨款结余：填列历年滚存的非限定用途的非统计财政拨款结余弥补202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年收支差额的数额。</w:t>
      </w:r>
    </w:p>
    <w:p w14:paraId="4136492F">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（九）上年结转和结余：填列202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年全部结转和结余的资金数，包括当年结转结余资金和历年滚存结转结余资金。</w:t>
      </w:r>
    </w:p>
    <w:p w14:paraId="31441011">
      <w:pPr>
        <w:ind w:firstLine="640" w:firstLineChars="200"/>
        <w:rPr>
          <w:rFonts w:hint="eastAsia" w:ascii="仿宋" w:hAnsi="仿宋" w:eastAsia="仿宋" w:cs="仿宋"/>
          <w:color w:val="auto"/>
          <w:sz w:val="32"/>
          <w:szCs w:val="32"/>
        </w:rPr>
      </w:pPr>
    </w:p>
    <w:p w14:paraId="0A32A34A">
      <w:pPr>
        <w:ind w:firstLine="640" w:firstLineChars="200"/>
        <w:rPr>
          <w:rFonts w:hint="eastAsia" w:ascii="仿宋" w:hAnsi="仿宋" w:eastAsia="仿宋" w:cs="仿宋"/>
          <w:color w:val="auto"/>
          <w:sz w:val="32"/>
          <w:szCs w:val="32"/>
        </w:rPr>
      </w:pPr>
    </w:p>
    <w:p w14:paraId="5737CBAF">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二、支出科目</w:t>
      </w:r>
    </w:p>
    <w:p w14:paraId="65649DB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B1BF340">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项目支出：指在基本支出之外为完成特定行政任务和事业发展目标所发生的支出。</w:t>
      </w:r>
    </w:p>
    <w:p w14:paraId="3191B51B">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经营支出：指事业单位在专业业务活动及其辅助活动之外开展非独立核算经营活动发生的支出。</w:t>
      </w:r>
    </w:p>
    <w:p w14:paraId="71E4F0F9">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lang w:eastAsia="zh-CN"/>
        </w:rPr>
        <w:t>）工资福利支出（支出经济分类科目类级）：反映单位开支的在职职工和编制外长期聘用人员的各类劳动报酬，以及为上述人员缴纳的各项社会保险费等。</w:t>
      </w:r>
    </w:p>
    <w:p w14:paraId="4AC5F371">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）商品和服务支出（支出经济分类科目类级）：反映单位购买商品和服务的支出（不包括用于购置固定资产的支出、战略性和应急储备支出）。</w:t>
      </w:r>
    </w:p>
    <w:p w14:paraId="3BB2E004">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六</w:t>
      </w:r>
      <w:r>
        <w:rPr>
          <w:rFonts w:hint="eastAsia" w:ascii="仿宋" w:hAnsi="仿宋" w:eastAsia="仿宋" w:cs="仿宋"/>
          <w:color w:val="auto"/>
          <w:sz w:val="32"/>
          <w:szCs w:val="32"/>
          <w:lang w:eastAsia="zh-CN"/>
        </w:rPr>
        <w:t>）对个人和家庭的补助（支出经济分类科目类级）：反映用于对个人和家庭的补助支出。</w:t>
      </w:r>
    </w:p>
    <w:p w14:paraId="18626183">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七</w:t>
      </w:r>
      <w:r>
        <w:rPr>
          <w:rFonts w:hint="eastAsia" w:ascii="仿宋" w:hAnsi="仿宋" w:eastAsia="仿宋" w:cs="仿宋"/>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9F81485">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三、相关专业名词</w:t>
      </w:r>
    </w:p>
    <w:p w14:paraId="26B6A1B7">
      <w:pPr>
        <w:widowControl/>
        <w:spacing w:line="60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59BFA33">
      <w:pPr>
        <w:widowControl/>
        <w:spacing w:line="60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3EA42E0">
      <w:pPr>
        <w:widowControl/>
        <w:spacing w:line="600" w:lineRule="exact"/>
        <w:ind w:firstLine="640" w:firstLineChars="200"/>
        <w:jc w:val="left"/>
        <w:rPr>
          <w:rFonts w:hint="eastAsia" w:ascii="仿宋" w:hAnsi="仿宋" w:eastAsia="仿宋" w:cs="仿宋"/>
          <w:color w:val="FF0000"/>
          <w:sz w:val="32"/>
          <w:szCs w:val="3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T Extra">
    <w:panose1 w:val="05050102010205020202"/>
    <w:charset w:val="02"/>
    <w:family w:val="roman"/>
    <w:pitch w:val="default"/>
    <w:sig w:usb0="80000000" w:usb1="00000000" w:usb2="00000000" w:usb3="00000000" w:csb0="00000000" w:csb1="00000000"/>
  </w:font>
  <w:font w:name="Adobe 仿宋 Std R">
    <w:altName w:val="仿宋"/>
    <w:panose1 w:val="02020400000000000000"/>
    <w:charset w:val="86"/>
    <w:family w:val="roman"/>
    <w:pitch w:val="default"/>
    <w:sig w:usb0="00000000" w:usb1="00000000" w:usb2="00000016" w:usb3="00000000" w:csb0="000600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A522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2D3983E4"/>
    <w:multiLevelType w:val="singleLevel"/>
    <w:tmpl w:val="2D3983E4"/>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MzUxNDhiMjBmYWEwOWZlMTIwOTdjMjIwMDM3N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6A7762"/>
    <w:rsid w:val="05EF21A1"/>
    <w:rsid w:val="067A6028"/>
    <w:rsid w:val="068F47B3"/>
    <w:rsid w:val="06F21F49"/>
    <w:rsid w:val="08EC3843"/>
    <w:rsid w:val="09AA6B0A"/>
    <w:rsid w:val="0A0925FF"/>
    <w:rsid w:val="0A6C2012"/>
    <w:rsid w:val="0C97247A"/>
    <w:rsid w:val="0D1A7920"/>
    <w:rsid w:val="0D2269B3"/>
    <w:rsid w:val="0DB3098E"/>
    <w:rsid w:val="11390774"/>
    <w:rsid w:val="12220323"/>
    <w:rsid w:val="13547AE7"/>
    <w:rsid w:val="13FB007C"/>
    <w:rsid w:val="152C2AC9"/>
    <w:rsid w:val="16B036C0"/>
    <w:rsid w:val="17432015"/>
    <w:rsid w:val="17D80CE7"/>
    <w:rsid w:val="19F8741E"/>
    <w:rsid w:val="1A004525"/>
    <w:rsid w:val="1A705E7F"/>
    <w:rsid w:val="1ABF2D84"/>
    <w:rsid w:val="1E164317"/>
    <w:rsid w:val="1E172FD7"/>
    <w:rsid w:val="1E491A3B"/>
    <w:rsid w:val="1E6908EA"/>
    <w:rsid w:val="1F1F7406"/>
    <w:rsid w:val="206D0602"/>
    <w:rsid w:val="21156B08"/>
    <w:rsid w:val="212671F1"/>
    <w:rsid w:val="22430342"/>
    <w:rsid w:val="228757E3"/>
    <w:rsid w:val="22AA14D2"/>
    <w:rsid w:val="23977FB1"/>
    <w:rsid w:val="245C3447"/>
    <w:rsid w:val="25B931E9"/>
    <w:rsid w:val="28263441"/>
    <w:rsid w:val="2828673B"/>
    <w:rsid w:val="290B705B"/>
    <w:rsid w:val="29981D60"/>
    <w:rsid w:val="2B2339AC"/>
    <w:rsid w:val="2BC33189"/>
    <w:rsid w:val="2C57797E"/>
    <w:rsid w:val="304075B1"/>
    <w:rsid w:val="311C29BA"/>
    <w:rsid w:val="318814ED"/>
    <w:rsid w:val="31931AC3"/>
    <w:rsid w:val="3328400E"/>
    <w:rsid w:val="351512FA"/>
    <w:rsid w:val="353D61D5"/>
    <w:rsid w:val="374647FA"/>
    <w:rsid w:val="39A3581F"/>
    <w:rsid w:val="39CE49D8"/>
    <w:rsid w:val="3A841EE9"/>
    <w:rsid w:val="3A9B7C26"/>
    <w:rsid w:val="3A9F1A72"/>
    <w:rsid w:val="3ACF1B11"/>
    <w:rsid w:val="3B7D1841"/>
    <w:rsid w:val="3BA35A87"/>
    <w:rsid w:val="3BA6547C"/>
    <w:rsid w:val="3DD2151D"/>
    <w:rsid w:val="3E410AE4"/>
    <w:rsid w:val="3F383632"/>
    <w:rsid w:val="3FA910A9"/>
    <w:rsid w:val="3FF84E58"/>
    <w:rsid w:val="4052753A"/>
    <w:rsid w:val="41737C65"/>
    <w:rsid w:val="418F589D"/>
    <w:rsid w:val="41B4781F"/>
    <w:rsid w:val="42905B96"/>
    <w:rsid w:val="42DC038C"/>
    <w:rsid w:val="45D833CA"/>
    <w:rsid w:val="464E5AFF"/>
    <w:rsid w:val="4C5E12B9"/>
    <w:rsid w:val="4DB628F2"/>
    <w:rsid w:val="4E0D4F31"/>
    <w:rsid w:val="4EFF051F"/>
    <w:rsid w:val="50AC6291"/>
    <w:rsid w:val="528E6F80"/>
    <w:rsid w:val="53516268"/>
    <w:rsid w:val="554747DA"/>
    <w:rsid w:val="55924F68"/>
    <w:rsid w:val="55EE43AE"/>
    <w:rsid w:val="56C47F55"/>
    <w:rsid w:val="573A53AA"/>
    <w:rsid w:val="5AB93E8B"/>
    <w:rsid w:val="5DC32E6C"/>
    <w:rsid w:val="5EA31F07"/>
    <w:rsid w:val="5EDA0640"/>
    <w:rsid w:val="5F193B70"/>
    <w:rsid w:val="61D17BB5"/>
    <w:rsid w:val="61D94A0C"/>
    <w:rsid w:val="61E31A71"/>
    <w:rsid w:val="62283DE4"/>
    <w:rsid w:val="63E33020"/>
    <w:rsid w:val="656229B9"/>
    <w:rsid w:val="658856FB"/>
    <w:rsid w:val="67890C82"/>
    <w:rsid w:val="67B10C38"/>
    <w:rsid w:val="67DC7D34"/>
    <w:rsid w:val="68E97589"/>
    <w:rsid w:val="6B747DD8"/>
    <w:rsid w:val="6BE248E5"/>
    <w:rsid w:val="6C617282"/>
    <w:rsid w:val="6CCB135B"/>
    <w:rsid w:val="6D0B213A"/>
    <w:rsid w:val="6EAF555B"/>
    <w:rsid w:val="6EDB6140"/>
    <w:rsid w:val="6F084B83"/>
    <w:rsid w:val="6F2C7111"/>
    <w:rsid w:val="714A36AC"/>
    <w:rsid w:val="71AF11DD"/>
    <w:rsid w:val="72746F20"/>
    <w:rsid w:val="72D424E3"/>
    <w:rsid w:val="73543105"/>
    <w:rsid w:val="73A85115"/>
    <w:rsid w:val="74275AAB"/>
    <w:rsid w:val="75093403"/>
    <w:rsid w:val="752244C4"/>
    <w:rsid w:val="759E1500"/>
    <w:rsid w:val="75EF25F8"/>
    <w:rsid w:val="763C15B6"/>
    <w:rsid w:val="76C3652E"/>
    <w:rsid w:val="78947487"/>
    <w:rsid w:val="78C23FF4"/>
    <w:rsid w:val="7A8946ED"/>
    <w:rsid w:val="7B29031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3944</Words>
  <Characters>4253</Characters>
  <Lines>53</Lines>
  <Paragraphs>15</Paragraphs>
  <TotalTime>2</TotalTime>
  <ScaleCrop>false</ScaleCrop>
  <LinksUpToDate>false</LinksUpToDate>
  <CharactersWithSpaces>4366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2025-08-27T07:54:01Z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6CE66A07A43445668D018F1048F291C3_13</vt:lpwstr>
  </property>
  <property fmtid="{D5CDD505-2E9C-101B-9397-08002B2CF9AE}" pid="4" name="KSOTemplateDocerSaveRecord">
    <vt:lpwstr>eyJoZGlkIjoiZWZkNTE3OWEwZjM5M2Y5ZTY0MjI4YjQyM2NmMGQzNjAiLCJ1c2VySWQiOiIyNzY4NzEyODQifQ==</vt:lpwstr>
  </property>
</Properties>
</file>