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1CE3B">
      <w:pPr>
        <w:widowControl/>
        <w:spacing w:line="520" w:lineRule="atLeast"/>
        <w:jc w:val="center"/>
        <w:rPr>
          <w:rFonts w:hint="eastAsia" w:ascii="黑体" w:hAnsi="黑体" w:eastAsia="黑体" w:cs="Times New Roman"/>
          <w:b/>
          <w:bCs/>
          <w:color w:val="auto"/>
          <w:kern w:val="0"/>
          <w:sz w:val="44"/>
          <w:szCs w:val="44"/>
          <w:lang w:val="en-US" w:eastAsia="zh-CN"/>
        </w:rPr>
      </w:pPr>
      <w:r>
        <w:rPr>
          <w:rFonts w:hint="eastAsia" w:ascii="黑体" w:hAnsi="黑体" w:eastAsia="黑体" w:cs="Times New Roman"/>
          <w:b/>
          <w:bCs/>
          <w:color w:val="auto"/>
          <w:kern w:val="0"/>
          <w:sz w:val="44"/>
          <w:szCs w:val="44"/>
          <w:lang w:val="en-US" w:eastAsia="zh-CN"/>
        </w:rPr>
        <w:t>庐山风景名胜区管理局幼儿园</w:t>
      </w:r>
    </w:p>
    <w:p w14:paraId="4F3B9CDA">
      <w:pPr>
        <w:widowControl/>
        <w:spacing w:line="520" w:lineRule="atLeast"/>
        <w:jc w:val="center"/>
        <w:rPr>
          <w:rFonts w:ascii="黑体" w:hAnsi="黑体" w:eastAsia="黑体"/>
          <w:color w:val="auto"/>
          <w:sz w:val="32"/>
          <w:szCs w:val="32"/>
        </w:rPr>
      </w:pP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61047F77">
      <w:pPr>
        <w:pStyle w:val="13"/>
        <w:spacing w:line="600" w:lineRule="atLeast"/>
        <w:jc w:val="center"/>
        <w:rPr>
          <w:rFonts w:ascii="宋体" w:hAnsi="宋体"/>
          <w:color w:val="auto"/>
        </w:rPr>
      </w:pPr>
      <w:r>
        <w:rPr>
          <w:rFonts w:hint="eastAsia" w:ascii="黑体" w:hAnsi="黑体" w:eastAsia="黑体"/>
          <w:color w:val="auto"/>
          <w:sz w:val="32"/>
          <w:szCs w:val="32"/>
        </w:rPr>
        <w:t>目    录</w:t>
      </w:r>
    </w:p>
    <w:p w14:paraId="7FE4E559">
      <w:pPr>
        <w:pStyle w:val="13"/>
        <w:tabs>
          <w:tab w:val="right" w:pos="8306"/>
        </w:tabs>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第一部分  </w:t>
      </w:r>
      <w:r>
        <w:rPr>
          <w:rFonts w:hint="eastAsia" w:ascii="仿宋" w:hAnsi="仿宋" w:eastAsia="仿宋" w:cs="仿宋"/>
          <w:b/>
          <w:bCs/>
          <w:color w:val="auto"/>
          <w:sz w:val="32"/>
          <w:szCs w:val="32"/>
          <w:lang w:val="en-US" w:eastAsia="zh-CN"/>
        </w:rPr>
        <w:t>庐山风景名胜区管理局幼儿园</w:t>
      </w:r>
      <w:r>
        <w:rPr>
          <w:rFonts w:hint="eastAsia" w:ascii="仿宋" w:hAnsi="仿宋" w:eastAsia="仿宋" w:cs="仿宋"/>
          <w:b/>
          <w:bCs/>
          <w:color w:val="auto"/>
          <w:sz w:val="32"/>
          <w:szCs w:val="32"/>
        </w:rPr>
        <w:t>概况</w:t>
      </w:r>
      <w:r>
        <w:rPr>
          <w:rFonts w:hint="eastAsia" w:ascii="仿宋" w:hAnsi="仿宋" w:eastAsia="仿宋" w:cs="仿宋"/>
          <w:b/>
          <w:bCs/>
          <w:color w:val="auto"/>
          <w:sz w:val="32"/>
          <w:szCs w:val="32"/>
        </w:rPr>
        <w:tab/>
      </w:r>
    </w:p>
    <w:p w14:paraId="1239E801">
      <w:pPr>
        <w:pStyle w:val="13"/>
        <w:spacing w:line="600" w:lineRule="atLeast"/>
        <w:ind w:firstLine="1120" w:firstLineChars="35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 xml:space="preserve"> 一、单位主要职责</w:t>
      </w:r>
    </w:p>
    <w:p w14:paraId="598F8C42">
      <w:pPr>
        <w:pStyle w:val="13"/>
        <w:spacing w:line="600" w:lineRule="atLeast"/>
        <w:ind w:firstLine="1280" w:firstLineChars="40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二、机构设置及人员情况</w:t>
      </w:r>
    </w:p>
    <w:p w14:paraId="6A85FCD1">
      <w:pPr>
        <w:pStyle w:val="13"/>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第二部分  </w:t>
      </w:r>
      <w:r>
        <w:rPr>
          <w:rFonts w:hint="eastAsia" w:ascii="仿宋" w:hAnsi="仿宋" w:eastAsia="仿宋" w:cs="仿宋"/>
          <w:b/>
          <w:bCs/>
          <w:color w:val="auto"/>
          <w:sz w:val="32"/>
          <w:szCs w:val="32"/>
          <w:lang w:val="en-US" w:eastAsia="zh-CN"/>
        </w:rPr>
        <w:t>庐山风景名胜区管理局幼儿园</w:t>
      </w:r>
      <w:r>
        <w:rPr>
          <w:rFonts w:hint="eastAsia" w:ascii="仿宋" w:hAnsi="仿宋" w:eastAsia="仿宋" w:cs="仿宋"/>
          <w:b/>
          <w:bCs/>
          <w:color w:val="auto"/>
          <w:sz w:val="32"/>
          <w:szCs w:val="32"/>
        </w:rPr>
        <w:t>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年单位预算表</w:t>
      </w:r>
    </w:p>
    <w:p w14:paraId="1445A72B">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一、《收支预算总表》</w:t>
      </w:r>
    </w:p>
    <w:p w14:paraId="0652F406">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二、《单位收入总表》</w:t>
      </w:r>
    </w:p>
    <w:p w14:paraId="0DE53AFF">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三、《单位支出总表》</w:t>
      </w:r>
    </w:p>
    <w:p w14:paraId="4424485D">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四、《财政拨款收支总表》</w:t>
      </w:r>
    </w:p>
    <w:p w14:paraId="2E47C236">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五、《一般公共预算支出表》</w:t>
      </w:r>
    </w:p>
    <w:p w14:paraId="636CC4C2">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六、《一般公共预算基本支出表》</w:t>
      </w:r>
    </w:p>
    <w:p w14:paraId="4873A811">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七、《财政拨款“三公”经费支出表》</w:t>
      </w:r>
    </w:p>
    <w:p w14:paraId="783194D7">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八、《政府性基金预算支出表》</w:t>
      </w:r>
    </w:p>
    <w:p w14:paraId="4A473C99">
      <w:pPr>
        <w:pStyle w:val="13"/>
        <w:tabs>
          <w:tab w:val="left" w:pos="6546"/>
        </w:tabs>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九、《国有资本经营预算支出表》</w:t>
      </w:r>
      <w:r>
        <w:rPr>
          <w:rFonts w:hint="eastAsia" w:ascii="仿宋" w:hAnsi="仿宋" w:eastAsia="仿宋" w:cs="仿宋"/>
          <w:color w:val="auto"/>
          <w:kern w:val="2"/>
          <w:sz w:val="32"/>
          <w:szCs w:val="32"/>
        </w:rPr>
        <w:tab/>
      </w:r>
    </w:p>
    <w:p w14:paraId="2C86FF2A">
      <w:pPr>
        <w:pStyle w:val="13"/>
        <w:tabs>
          <w:tab w:val="left" w:pos="6546"/>
        </w:tabs>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十、《项目绩效目标表》</w:t>
      </w:r>
    </w:p>
    <w:p w14:paraId="59EBD2A8">
      <w:pPr>
        <w:pStyle w:val="13"/>
        <w:spacing w:line="600" w:lineRule="atLeast"/>
        <w:ind w:firstLine="64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第三部分 </w:t>
      </w:r>
      <w:r>
        <w:rPr>
          <w:rFonts w:hint="eastAsia" w:ascii="仿宋" w:hAnsi="仿宋" w:eastAsia="仿宋" w:cs="仿宋"/>
          <w:b/>
          <w:bCs/>
          <w:color w:val="auto"/>
          <w:sz w:val="32"/>
          <w:szCs w:val="32"/>
          <w:lang w:val="en-US" w:eastAsia="zh-CN"/>
        </w:rPr>
        <w:t>庐山风景名胜区管理局幼儿园</w:t>
      </w:r>
      <w:r>
        <w:rPr>
          <w:rFonts w:hint="eastAsia" w:ascii="仿宋" w:hAnsi="仿宋" w:eastAsia="仿宋" w:cs="仿宋"/>
          <w:b/>
          <w:bCs/>
          <w:color w:val="auto"/>
          <w:sz w:val="32"/>
          <w:szCs w:val="32"/>
        </w:rPr>
        <w:t>202</w:t>
      </w: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年单位预算情况说明</w:t>
      </w:r>
    </w:p>
    <w:p w14:paraId="4FC9459D">
      <w:pPr>
        <w:pStyle w:val="13"/>
        <w:spacing w:line="600" w:lineRule="atLeast"/>
        <w:ind w:firstLine="128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一、202</w:t>
      </w:r>
      <w:r>
        <w:rPr>
          <w:rFonts w:hint="eastAsia" w:ascii="仿宋" w:hAnsi="仿宋" w:eastAsia="仿宋" w:cs="仿宋"/>
          <w:color w:val="auto"/>
          <w:kern w:val="2"/>
          <w:sz w:val="32"/>
          <w:szCs w:val="32"/>
          <w:lang w:val="en-US" w:eastAsia="zh-CN"/>
        </w:rPr>
        <w:t>4</w:t>
      </w:r>
      <w:r>
        <w:rPr>
          <w:rFonts w:hint="eastAsia" w:ascii="仿宋" w:hAnsi="仿宋" w:eastAsia="仿宋" w:cs="仿宋"/>
          <w:color w:val="auto"/>
          <w:kern w:val="2"/>
          <w:sz w:val="32"/>
          <w:szCs w:val="32"/>
        </w:rPr>
        <w:t>年单位预算收支情况说明</w:t>
      </w:r>
    </w:p>
    <w:p w14:paraId="1BA3667D">
      <w:pPr>
        <w:pStyle w:val="13"/>
        <w:spacing w:line="600" w:lineRule="atLeast"/>
        <w:ind w:firstLine="1120" w:firstLineChars="350"/>
        <w:jc w:val="left"/>
        <w:rPr>
          <w:rFonts w:hint="eastAsia" w:ascii="仿宋" w:hAnsi="仿宋" w:eastAsia="仿宋" w:cs="仿宋"/>
          <w:color w:val="auto"/>
          <w:kern w:val="2"/>
          <w:sz w:val="32"/>
          <w:szCs w:val="32"/>
        </w:rPr>
      </w:pPr>
      <w:r>
        <w:rPr>
          <w:rFonts w:hint="eastAsia" w:ascii="仿宋" w:hAnsi="仿宋" w:eastAsia="仿宋" w:cs="仿宋"/>
          <w:color w:val="auto"/>
          <w:kern w:val="2"/>
          <w:sz w:val="32"/>
          <w:szCs w:val="32"/>
        </w:rPr>
        <w:t xml:space="preserve"> 二、202</w:t>
      </w:r>
      <w:r>
        <w:rPr>
          <w:rFonts w:hint="eastAsia" w:ascii="仿宋" w:hAnsi="仿宋" w:eastAsia="仿宋" w:cs="仿宋"/>
          <w:color w:val="auto"/>
          <w:kern w:val="2"/>
          <w:sz w:val="32"/>
          <w:szCs w:val="32"/>
          <w:lang w:val="en-US" w:eastAsia="zh-CN"/>
        </w:rPr>
        <w:t>4</w:t>
      </w:r>
      <w:r>
        <w:rPr>
          <w:rFonts w:hint="eastAsia" w:ascii="仿宋" w:hAnsi="仿宋" w:eastAsia="仿宋" w:cs="仿宋"/>
          <w:color w:val="auto"/>
          <w:kern w:val="2"/>
          <w:sz w:val="32"/>
          <w:szCs w:val="32"/>
        </w:rPr>
        <w:t>年“三公”经费预算情况说明</w:t>
      </w:r>
    </w:p>
    <w:p w14:paraId="099EF2B1">
      <w:pPr>
        <w:pStyle w:val="13"/>
        <w:spacing w:line="600" w:lineRule="atLeast"/>
        <w:ind w:firstLine="964" w:firstLineChars="30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第四部分  名词解释</w:t>
      </w:r>
    </w:p>
    <w:p w14:paraId="2E1A7F6F">
      <w:pPr>
        <w:widowControl/>
        <w:spacing w:line="580" w:lineRule="exact"/>
        <w:jc w:val="both"/>
        <w:rPr>
          <w:rFonts w:hint="eastAsia" w:ascii="仿宋" w:hAnsi="仿宋" w:eastAsia="仿宋" w:cs="仿宋"/>
          <w:b/>
          <w:color w:val="auto"/>
          <w:sz w:val="32"/>
          <w:szCs w:val="32"/>
        </w:rPr>
      </w:pPr>
    </w:p>
    <w:p w14:paraId="5039EB55">
      <w:pPr>
        <w:widowControl/>
        <w:spacing w:line="580" w:lineRule="exact"/>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 xml:space="preserve">第一部分  </w:t>
      </w:r>
      <w:r>
        <w:rPr>
          <w:rFonts w:hint="eastAsia" w:ascii="仿宋" w:hAnsi="仿宋" w:eastAsia="仿宋" w:cs="仿宋"/>
          <w:b/>
          <w:color w:val="auto"/>
          <w:sz w:val="32"/>
          <w:szCs w:val="32"/>
          <w:lang w:val="en-US" w:eastAsia="zh-CN"/>
        </w:rPr>
        <w:t>庐山风景名胜区管理局幼儿园</w:t>
      </w:r>
      <w:r>
        <w:rPr>
          <w:rFonts w:hint="eastAsia" w:ascii="仿宋" w:hAnsi="仿宋" w:eastAsia="仿宋" w:cs="仿宋"/>
          <w:b/>
          <w:color w:val="auto"/>
          <w:sz w:val="32"/>
          <w:szCs w:val="32"/>
        </w:rPr>
        <w:t>概况</w:t>
      </w:r>
    </w:p>
    <w:p w14:paraId="12D57BE9">
      <w:pPr>
        <w:widowControl/>
        <w:spacing w:line="580" w:lineRule="exact"/>
        <w:jc w:val="left"/>
        <w:rPr>
          <w:rFonts w:hint="eastAsia" w:ascii="仿宋" w:hAnsi="仿宋" w:eastAsia="仿宋" w:cs="仿宋"/>
          <w:b/>
          <w:color w:val="auto"/>
          <w:sz w:val="32"/>
          <w:szCs w:val="32"/>
        </w:rPr>
      </w:pPr>
    </w:p>
    <w:p w14:paraId="2D48915F">
      <w:pPr>
        <w:widowControl/>
        <w:spacing w:line="580" w:lineRule="exact"/>
        <w:jc w:val="left"/>
        <w:rPr>
          <w:rFonts w:hint="eastAsia" w:ascii="仿宋" w:hAnsi="仿宋" w:eastAsia="仿宋" w:cs="仿宋"/>
          <w:b/>
          <w:color w:val="auto"/>
          <w:sz w:val="32"/>
          <w:szCs w:val="32"/>
        </w:rPr>
      </w:pPr>
      <w:r>
        <w:rPr>
          <w:rFonts w:hint="eastAsia" w:ascii="仿宋" w:hAnsi="仿宋" w:eastAsia="仿宋" w:cs="仿宋"/>
          <w:b/>
          <w:color w:val="auto"/>
          <w:sz w:val="32"/>
          <w:szCs w:val="32"/>
        </w:rPr>
        <w:t>一、单位主要职责</w:t>
      </w:r>
    </w:p>
    <w:p w14:paraId="68747CD4">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庐山幼儿园是庐山景区唯一一所公办市级示范园幼儿园，主要职责是：</w:t>
      </w:r>
    </w:p>
    <w:p w14:paraId="0E422D67">
      <w:p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（一）贯彻落实党的教育和体育工作的方针、政策、法律和法规，研究教育改革发展重大问题，综合指导、协调和管理全市的教育体育工作。</w:t>
      </w:r>
    </w:p>
    <w:p w14:paraId="3038BBB9">
      <w:p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（二）编制庐山景区幼儿教育事业发展规划、计划的实施，理顺教育内部和外部的关系，建立适应全市经济社会发展的教育体制及运营机制。</w:t>
      </w:r>
    </w:p>
    <w:p w14:paraId="2F1F11A9">
      <w:p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（三）指导和管理幼儿园的教育教学工作。</w:t>
      </w:r>
    </w:p>
    <w:p w14:paraId="645F10C1">
      <w:p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（四）负责推进教育均衡发展和促进教育公平，全面实施素质教育。</w:t>
      </w:r>
    </w:p>
    <w:p w14:paraId="34AD77AA">
      <w:pPr>
        <w:pStyle w:val="5"/>
        <w:spacing w:before="0" w:beforeAutospacing="0" w:after="0" w:afterAutospacing="0"/>
        <w:ind w:firstLine="480" w:firstLineChars="150"/>
        <w:rPr>
          <w:rFonts w:hint="eastAsia" w:ascii="仿宋" w:hAnsi="仿宋" w:eastAsia="仿宋" w:cs="仿宋"/>
          <w:sz w:val="32"/>
          <w:szCs w:val="32"/>
        </w:rPr>
      </w:pPr>
      <w:r>
        <w:rPr>
          <w:rFonts w:hint="eastAsia" w:ascii="仿宋" w:hAnsi="仿宋" w:eastAsia="仿宋" w:cs="仿宋"/>
          <w:sz w:val="32"/>
          <w:szCs w:val="32"/>
        </w:rPr>
        <w:t>（五）负责全园教师队伍建设和教师继续教育工作；负责教师管理工作，组织实施教师资格制度，承担教师资格认定申报工作；</w:t>
      </w:r>
    </w:p>
    <w:p w14:paraId="1363B3E2">
      <w:pPr>
        <w:rPr>
          <w:rFonts w:hint="eastAsia" w:ascii="仿宋" w:hAnsi="仿宋" w:eastAsia="仿宋" w:cs="仿宋"/>
          <w:color w:val="auto"/>
          <w:sz w:val="32"/>
          <w:szCs w:val="32"/>
        </w:rPr>
      </w:pPr>
    </w:p>
    <w:p w14:paraId="69E39408">
      <w:pPr>
        <w:rPr>
          <w:rFonts w:hint="eastAsia" w:ascii="仿宋" w:hAnsi="仿宋" w:eastAsia="仿宋" w:cs="仿宋"/>
          <w:b/>
          <w:color w:val="auto"/>
          <w:sz w:val="32"/>
          <w:szCs w:val="32"/>
        </w:rPr>
      </w:pPr>
      <w:r>
        <w:rPr>
          <w:rFonts w:hint="eastAsia" w:ascii="仿宋" w:hAnsi="仿宋" w:eastAsia="仿宋" w:cs="仿宋"/>
          <w:b/>
          <w:color w:val="auto"/>
          <w:sz w:val="32"/>
          <w:szCs w:val="32"/>
        </w:rPr>
        <w:t>二、机构设置及人员情况</w:t>
      </w:r>
    </w:p>
    <w:p w14:paraId="0A99AB27">
      <w:pPr>
        <w:ind w:firstLine="640" w:firstLineChars="200"/>
        <w:rPr>
          <w:rFonts w:hint="eastAsia" w:ascii="仿宋" w:hAnsi="仿宋" w:eastAsia="仿宋" w:cs="仿宋"/>
          <w:color w:val="auto"/>
          <w:sz w:val="32"/>
          <w:szCs w:val="32"/>
          <w:u w:val="none"/>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庐山风景名胜区管理局幼儿园</w:t>
      </w:r>
      <w:r>
        <w:rPr>
          <w:rFonts w:hint="eastAsia" w:ascii="仿宋" w:hAnsi="仿宋" w:eastAsia="仿宋" w:cs="仿宋"/>
          <w:color w:val="auto"/>
          <w:sz w:val="32"/>
          <w:szCs w:val="32"/>
        </w:rPr>
        <w:t>内设处室</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个，包括：</w:t>
      </w:r>
      <w:r>
        <w:rPr>
          <w:rFonts w:hint="eastAsia" w:ascii="仿宋" w:hAnsi="仿宋" w:eastAsia="仿宋" w:cs="仿宋"/>
          <w:color w:val="auto"/>
          <w:sz w:val="32"/>
          <w:szCs w:val="32"/>
          <w:u w:val="none"/>
          <w:lang w:val="en-US" w:eastAsia="zh-CN"/>
        </w:rPr>
        <w:t>办公室、综合科、财务科</w:t>
      </w:r>
      <w:r>
        <w:rPr>
          <w:rFonts w:hint="eastAsia" w:ascii="仿宋" w:hAnsi="仿宋" w:eastAsia="仿宋" w:cs="仿宋"/>
          <w:color w:val="auto"/>
          <w:sz w:val="32"/>
          <w:szCs w:val="32"/>
          <w:u w:val="none"/>
        </w:rPr>
        <w:t>。</w:t>
      </w:r>
    </w:p>
    <w:p w14:paraId="799D9DB9">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编制人数小计</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lang w:val="en-US" w:eastAsia="zh-CN"/>
        </w:rPr>
        <w:t>行政编制人数0人，</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${page540426799.ds376136392_REP_JX_BAS_AGENCY_INFO_DXQRSDW_S_BZRSMX}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lang w:val="en-US" w:eastAsia="zh-CN"/>
        </w:rPr>
        <w:t>全部补助事业</w:t>
      </w:r>
      <w:r>
        <w:rPr>
          <w:rFonts w:hint="eastAsia" w:ascii="仿宋" w:hAnsi="仿宋" w:eastAsia="仿宋" w:cs="仿宋"/>
          <w:color w:val="auto"/>
          <w:sz w:val="32"/>
          <w:szCs w:val="32"/>
        </w:rPr>
        <w:t>编制人数</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${page540426799.ds376136392_REP_JX_BAS_AGENCY_INFO_DXQRSDW_S_SYRSXJ}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实有人数小计</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${page540426799.ds376136392_REP_JX_BAS_AGENCY_INFO_DXQRSDW_S_ZZRSXJ}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在职人数小计</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行政编制在职人数0人，全部补助事业编制在职人数11人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${page540426799.ds376136392_REP_JX_BAS_AGENCY_INFO_DXQRSDW_S_QTRSMX}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离休人数小计</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人,退休人数小计</w:t>
      </w: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聘用人员5人。</w:t>
      </w:r>
    </w:p>
    <w:p w14:paraId="3F524952">
      <w:pPr>
        <w:widowControl/>
        <w:spacing w:line="580" w:lineRule="exact"/>
        <w:jc w:val="center"/>
        <w:rPr>
          <w:rFonts w:hint="eastAsia" w:ascii="仿宋" w:hAnsi="仿宋" w:eastAsia="仿宋" w:cs="仿宋"/>
          <w:b/>
          <w:color w:val="auto"/>
          <w:sz w:val="32"/>
          <w:szCs w:val="32"/>
        </w:rPr>
      </w:pPr>
      <w:bookmarkStart w:id="0" w:name="_GoBack"/>
      <w:bookmarkEnd w:id="0"/>
    </w:p>
    <w:p w14:paraId="58CC41A1">
      <w:pPr>
        <w:widowControl/>
        <w:spacing w:line="580" w:lineRule="exact"/>
        <w:jc w:val="center"/>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rPr>
        <w:t xml:space="preserve">第二部分  </w:t>
      </w:r>
      <w:r>
        <w:rPr>
          <w:rFonts w:hint="eastAsia" w:ascii="仿宋" w:hAnsi="仿宋" w:eastAsia="仿宋" w:cs="仿宋"/>
          <w:b/>
          <w:color w:val="auto"/>
          <w:sz w:val="32"/>
          <w:szCs w:val="32"/>
          <w:lang w:val="en-US" w:eastAsia="zh-CN"/>
        </w:rPr>
        <w:t>庐山风景名胜区管理局幼儿园</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年单位预算表</w:t>
      </w:r>
    </w:p>
    <w:p w14:paraId="71C28D08">
      <w:pPr>
        <w:jc w:val="left"/>
        <w:rPr>
          <w:rFonts w:hint="eastAsia" w:ascii="仿宋" w:hAnsi="仿宋" w:eastAsia="仿宋" w:cs="仿宋"/>
          <w:bCs/>
          <w:color w:val="auto"/>
          <w:sz w:val="32"/>
          <w:szCs w:val="32"/>
        </w:rPr>
      </w:pPr>
    </w:p>
    <w:p w14:paraId="23F67B3E">
      <w:pPr>
        <w:ind w:firstLine="3520" w:firstLineChars="1100"/>
        <w:jc w:val="left"/>
        <w:rPr>
          <w:rStyle w:val="12"/>
          <w:rFonts w:hint="eastAsia" w:ascii="仿宋" w:hAnsi="仿宋" w:eastAsia="仿宋" w:cs="仿宋"/>
          <w:bCs/>
          <w:color w:val="auto"/>
          <w:sz w:val="32"/>
          <w:szCs w:val="32"/>
        </w:rPr>
      </w:pPr>
      <w:r>
        <w:rPr>
          <w:rFonts w:hint="eastAsia" w:ascii="仿宋" w:hAnsi="仿宋" w:eastAsia="仿宋" w:cs="仿宋"/>
          <w:bCs/>
          <w:color w:val="auto"/>
          <w:sz w:val="32"/>
          <w:szCs w:val="32"/>
        </w:rPr>
        <w:t>（详见附表）</w:t>
      </w:r>
    </w:p>
    <w:p w14:paraId="7029658D">
      <w:pPr>
        <w:jc w:val="left"/>
        <w:rPr>
          <w:rStyle w:val="12"/>
          <w:rFonts w:hint="eastAsia" w:ascii="仿宋" w:hAnsi="仿宋" w:eastAsia="仿宋" w:cs="仿宋"/>
          <w:bCs/>
          <w:color w:val="auto"/>
          <w:sz w:val="32"/>
          <w:szCs w:val="32"/>
        </w:rPr>
      </w:pPr>
    </w:p>
    <w:p w14:paraId="0E13D24D">
      <w:pPr>
        <w:ind w:firstLine="640" w:firstLineChars="200"/>
        <w:jc w:val="left"/>
        <w:rPr>
          <w:rStyle w:val="12"/>
          <w:rFonts w:hint="eastAsia" w:ascii="仿宋" w:hAnsi="仿宋" w:eastAsia="仿宋" w:cs="仿宋"/>
          <w:bCs/>
          <w:color w:val="auto"/>
          <w:sz w:val="32"/>
          <w:szCs w:val="32"/>
        </w:rPr>
      </w:pPr>
    </w:p>
    <w:p w14:paraId="274BD640">
      <w:pPr>
        <w:widowControl/>
        <w:spacing w:line="580" w:lineRule="exact"/>
        <w:jc w:val="center"/>
        <w:rPr>
          <w:rFonts w:hint="eastAsia" w:ascii="仿宋" w:hAnsi="仿宋" w:eastAsia="仿宋" w:cs="仿宋"/>
          <w:b/>
          <w:color w:val="auto"/>
          <w:kern w:val="0"/>
          <w:sz w:val="32"/>
          <w:szCs w:val="32"/>
          <w:lang w:val="en-US" w:eastAsia="zh-CN"/>
        </w:rPr>
      </w:pPr>
      <w:r>
        <w:rPr>
          <w:rFonts w:hint="eastAsia" w:ascii="仿宋" w:hAnsi="仿宋" w:eastAsia="仿宋" w:cs="仿宋"/>
          <w:b/>
          <w:color w:val="auto"/>
          <w:kern w:val="0"/>
          <w:sz w:val="32"/>
          <w:szCs w:val="32"/>
          <w:lang w:val="en-US" w:eastAsia="zh-CN"/>
        </w:rPr>
        <w:t xml:space="preserve"> </w:t>
      </w:r>
    </w:p>
    <w:p w14:paraId="033C2C3D">
      <w:pPr>
        <w:widowControl/>
        <w:spacing w:line="580" w:lineRule="exact"/>
        <w:jc w:val="center"/>
        <w:rPr>
          <w:rFonts w:hint="eastAsia" w:ascii="仿宋" w:hAnsi="仿宋" w:eastAsia="仿宋" w:cs="仿宋"/>
          <w:b/>
          <w:color w:val="auto"/>
          <w:kern w:val="0"/>
          <w:sz w:val="32"/>
          <w:szCs w:val="32"/>
          <w:lang w:val="en-US" w:eastAsia="zh-CN"/>
        </w:rPr>
      </w:pPr>
    </w:p>
    <w:p w14:paraId="33D460C2">
      <w:pPr>
        <w:widowControl/>
        <w:spacing w:line="580" w:lineRule="exact"/>
        <w:jc w:val="center"/>
        <w:rPr>
          <w:rFonts w:hint="eastAsia" w:ascii="仿宋" w:hAnsi="仿宋" w:eastAsia="仿宋" w:cs="仿宋"/>
          <w:b/>
          <w:color w:val="auto"/>
          <w:kern w:val="0"/>
          <w:sz w:val="32"/>
          <w:szCs w:val="32"/>
          <w:lang w:val="en-US" w:eastAsia="zh-CN"/>
        </w:rPr>
      </w:pPr>
    </w:p>
    <w:p w14:paraId="1E3AF1A2">
      <w:pPr>
        <w:widowControl/>
        <w:spacing w:line="580" w:lineRule="exact"/>
        <w:jc w:val="center"/>
        <w:rPr>
          <w:rFonts w:hint="eastAsia" w:ascii="仿宋" w:hAnsi="仿宋" w:eastAsia="仿宋" w:cs="仿宋"/>
          <w:b/>
          <w:color w:val="auto"/>
          <w:sz w:val="32"/>
          <w:szCs w:val="32"/>
        </w:rPr>
      </w:pPr>
      <w:r>
        <w:rPr>
          <w:rFonts w:hint="eastAsia" w:ascii="仿宋" w:hAnsi="仿宋" w:eastAsia="仿宋" w:cs="仿宋"/>
          <w:b/>
          <w:color w:val="auto"/>
          <w:kern w:val="0"/>
          <w:sz w:val="32"/>
          <w:szCs w:val="32"/>
        </w:rPr>
        <w:t xml:space="preserve">第三部分 </w:t>
      </w:r>
      <w:r>
        <w:rPr>
          <w:rFonts w:hint="eastAsia" w:ascii="仿宋" w:hAnsi="仿宋" w:eastAsia="仿宋" w:cs="仿宋"/>
          <w:b/>
          <w:color w:val="auto"/>
          <w:sz w:val="32"/>
          <w:szCs w:val="32"/>
        </w:rPr>
        <w:t xml:space="preserve"> </w:t>
      </w:r>
      <w:r>
        <w:rPr>
          <w:rFonts w:hint="eastAsia" w:ascii="仿宋" w:hAnsi="仿宋" w:eastAsia="仿宋" w:cs="仿宋"/>
          <w:b/>
          <w:color w:val="auto"/>
          <w:sz w:val="32"/>
          <w:szCs w:val="32"/>
          <w:lang w:val="en-US" w:eastAsia="zh-CN"/>
        </w:rPr>
        <w:t>庐山风景名胜区管理局幼儿园</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年单位预算情况说明</w:t>
      </w:r>
    </w:p>
    <w:p w14:paraId="0ADF7C1D">
      <w:pPr>
        <w:widowControl/>
        <w:spacing w:line="580" w:lineRule="exact"/>
        <w:jc w:val="center"/>
        <w:rPr>
          <w:rFonts w:hint="eastAsia" w:ascii="仿宋" w:hAnsi="仿宋" w:eastAsia="仿宋" w:cs="仿宋"/>
          <w:b/>
          <w:color w:val="auto"/>
          <w:sz w:val="32"/>
          <w:szCs w:val="32"/>
        </w:rPr>
      </w:pPr>
    </w:p>
    <w:p w14:paraId="4A963F01">
      <w:pPr>
        <w:widowControl/>
        <w:spacing w:line="580" w:lineRule="exact"/>
        <w:jc w:val="left"/>
        <w:rPr>
          <w:rFonts w:hint="eastAsia" w:ascii="仿宋" w:hAnsi="仿宋" w:eastAsia="仿宋" w:cs="仿宋"/>
          <w:b/>
          <w:color w:val="auto"/>
          <w:sz w:val="32"/>
          <w:szCs w:val="32"/>
        </w:rPr>
      </w:pPr>
      <w:r>
        <w:rPr>
          <w:rFonts w:hint="eastAsia" w:ascii="仿宋" w:hAnsi="仿宋" w:eastAsia="仿宋" w:cs="仿宋"/>
          <w:b/>
          <w:color w:val="auto"/>
          <w:sz w:val="32"/>
          <w:szCs w:val="32"/>
        </w:rPr>
        <w:t>一、202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年单位预算收支情况说明</w:t>
      </w:r>
    </w:p>
    <w:p w14:paraId="5EC3A513">
      <w:pPr>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 xml:space="preserve"> (一)收入预算情况</w:t>
      </w:r>
    </w:p>
    <w:p w14:paraId="3206115A">
      <w:pPr>
        <w:widowControl/>
        <w:ind w:firstLine="640" w:firstLineChars="200"/>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lang w:val="en-US" w:eastAsia="zh-CN"/>
        </w:rPr>
        <w:t>庐山风景名胜区管理局幼儿园</w:t>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${page540426799.ds254512694_V_BGT_DEP_INCOME_DXQDW01_ZJ}</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收入预算总额为</w:t>
      </w:r>
      <w:r>
        <w:rPr>
          <w:rFonts w:hint="eastAsia" w:ascii="仿宋" w:hAnsi="仿宋" w:eastAsia="仿宋" w:cs="仿宋"/>
          <w:color w:val="auto"/>
          <w:kern w:val="0"/>
          <w:sz w:val="32"/>
          <w:szCs w:val="32"/>
          <w:lang w:val="en-US" w:eastAsia="zh-CN"/>
        </w:rPr>
        <w:t>349.88</w:t>
      </w:r>
      <w:r>
        <w:rPr>
          <w:rFonts w:hint="eastAsia" w:ascii="仿宋" w:hAnsi="仿宋" w:eastAsia="仿宋" w:cs="仿宋"/>
          <w:color w:val="auto"/>
          <w:kern w:val="0"/>
          <w:sz w:val="32"/>
          <w:szCs w:val="32"/>
        </w:rPr>
        <w:t>万元,较上年预算安排</w:t>
      </w:r>
      <w:r>
        <w:rPr>
          <w:rFonts w:hint="eastAsia" w:ascii="仿宋" w:hAnsi="仿宋" w:eastAsia="仿宋" w:cs="仿宋"/>
          <w:color w:val="auto"/>
          <w:kern w:val="0"/>
          <w:sz w:val="32"/>
          <w:szCs w:val="32"/>
          <w:lang w:val="en-US" w:eastAsia="zh-CN"/>
        </w:rPr>
        <w:t>增加3.36</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rPr>
        <w:fldChar w:fldCharType="begin"/>
      </w:r>
      <w:r>
        <w:rPr>
          <w:rFonts w:hint="eastAsia" w:ascii="仿宋" w:hAnsi="仿宋" w:eastAsia="仿宋" w:cs="仿宋"/>
          <w:color w:val="auto"/>
          <w:kern w:val="0"/>
          <w:sz w:val="32"/>
          <w:szCs w:val="32"/>
        </w:rPr>
        <w:instrText xml:space="preserve">MERGEFIELD ${page540426799.ds254512694_V_BGT_DEP_INCOME_DXQDW01_SRXMMX}</w:instrText>
      </w:r>
      <w:r>
        <w:rPr>
          <w:rFonts w:hint="eastAsia" w:ascii="仿宋" w:hAnsi="仿宋" w:eastAsia="仿宋" w:cs="仿宋"/>
          <w:color w:val="auto"/>
          <w:kern w:val="0"/>
          <w:sz w:val="32"/>
          <w:szCs w:val="32"/>
        </w:rPr>
        <w:fldChar w:fldCharType="separate"/>
      </w:r>
      <w:r>
        <w:rPr>
          <w:rFonts w:hint="eastAsia" w:ascii="仿宋" w:hAnsi="仿宋" w:eastAsia="仿宋" w:cs="仿宋"/>
          <w:color w:val="auto"/>
          <w:kern w:val="0"/>
          <w:sz w:val="32"/>
          <w:szCs w:val="32"/>
        </w:rPr>
        <w:t>财政拨款收入</w:t>
      </w:r>
      <w:r>
        <w:rPr>
          <w:rFonts w:hint="eastAsia" w:ascii="仿宋" w:hAnsi="仿宋" w:eastAsia="仿宋" w:cs="仿宋"/>
          <w:color w:val="auto"/>
          <w:kern w:val="0"/>
          <w:sz w:val="32"/>
          <w:szCs w:val="32"/>
          <w:lang w:val="en-US" w:eastAsia="zh-CN"/>
        </w:rPr>
        <w:t>299.88</w:t>
      </w:r>
      <w:r>
        <w:rPr>
          <w:rFonts w:hint="eastAsia" w:ascii="仿宋" w:hAnsi="仿宋" w:eastAsia="仿宋" w:cs="仿宋"/>
          <w:color w:val="auto"/>
          <w:kern w:val="0"/>
          <w:sz w:val="32"/>
          <w:szCs w:val="32"/>
        </w:rPr>
        <w:t>万元,较上年预算安排</w:t>
      </w:r>
      <w:r>
        <w:rPr>
          <w:rFonts w:hint="eastAsia" w:ascii="仿宋" w:hAnsi="仿宋" w:eastAsia="仿宋" w:cs="仿宋"/>
          <w:color w:val="auto"/>
          <w:kern w:val="0"/>
          <w:sz w:val="32"/>
          <w:szCs w:val="32"/>
          <w:lang w:val="en-US" w:eastAsia="zh-CN"/>
        </w:rPr>
        <w:t>增加9.36</w:t>
      </w:r>
      <w:r>
        <w:rPr>
          <w:rFonts w:hint="eastAsia" w:ascii="仿宋" w:hAnsi="仿宋" w:eastAsia="仿宋" w:cs="仿宋"/>
          <w:color w:val="auto"/>
          <w:kern w:val="0"/>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增加</w:t>
      </w:r>
      <w:r>
        <w:rPr>
          <w:rFonts w:hint="eastAsia" w:ascii="仿宋" w:hAnsi="仿宋" w:eastAsia="仿宋" w:cs="仿宋"/>
          <w:color w:val="auto"/>
          <w:kern w:val="0"/>
          <w:sz w:val="32"/>
          <w:szCs w:val="32"/>
          <w:lang w:val="en-US" w:eastAsia="zh-CN"/>
        </w:rPr>
        <w:t>的原因为本年度人员经费正常调资所致预算安排增加。</w:t>
      </w:r>
    </w:p>
    <w:p w14:paraId="0C8DB233">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 xml:space="preserve"> (二)支出预算情况</w:t>
      </w:r>
    </w:p>
    <w:p w14:paraId="0EE5E839">
      <w:pPr>
        <w:widowControl/>
        <w:ind w:firstLine="960" w:firstLineChars="300"/>
        <w:rPr>
          <w:rFonts w:hint="eastAsia" w:ascii="仿宋" w:hAnsi="仿宋" w:eastAsia="仿宋" w:cs="仿宋"/>
          <w:color w:val="auto"/>
          <w:kern w:val="0"/>
          <w:sz w:val="32"/>
          <w:szCs w:val="32"/>
          <w:lang w:val="en-US" w:eastAsia="zh-CN"/>
        </w:rPr>
      </w:pPr>
      <w:r>
        <w:rPr>
          <w:rStyle w:val="12"/>
          <w:rFonts w:hint="eastAsia" w:ascii="仿宋" w:hAnsi="仿宋" w:eastAsia="仿宋" w:cs="仿宋"/>
          <w:color w:val="auto"/>
          <w:sz w:val="32"/>
          <w:szCs w:val="32"/>
        </w:rPr>
        <w:t>202</w:t>
      </w:r>
      <w:r>
        <w:rPr>
          <w:rStyle w:val="12"/>
          <w:rFonts w:hint="eastAsia" w:ascii="仿宋" w:hAnsi="仿宋" w:eastAsia="仿宋" w:cs="仿宋"/>
          <w:color w:val="auto"/>
          <w:sz w:val="32"/>
          <w:szCs w:val="32"/>
          <w:lang w:val="en-US" w:eastAsia="zh-CN"/>
        </w:rPr>
        <w:t>4</w:t>
      </w:r>
      <w:r>
        <w:rPr>
          <w:rStyle w:val="12"/>
          <w:rFonts w:hint="eastAsia" w:ascii="仿宋" w:hAnsi="仿宋" w:eastAsia="仿宋" w:cs="仿宋"/>
          <w:color w:val="auto"/>
          <w:sz w:val="32"/>
          <w:szCs w:val="32"/>
        </w:rPr>
        <w:t>年</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${page540426799.ds254512694_REP_JXJC_AGENCY_WZR_NAME}</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lang w:eastAsia="zh-CN"/>
        </w:rPr>
        <w:t>庐山风景名胜区管理局幼儿园</w:t>
      </w:r>
      <w:r>
        <w:rPr>
          <w:rFonts w:hint="eastAsia" w:ascii="仿宋" w:hAnsi="仿宋" w:eastAsia="仿宋" w:cs="仿宋"/>
          <w:color w:val="auto"/>
          <w:sz w:val="32"/>
          <w:szCs w:val="32"/>
        </w:rPr>
        <w:fldChar w:fldCharType="end"/>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${page540426799.ds357974894_REP_BGT_T_HC1100002019_DXQ02DW_S_ZJ}</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支出预算总额为</w:t>
      </w:r>
      <w:r>
        <w:rPr>
          <w:rStyle w:val="12"/>
          <w:rFonts w:hint="eastAsia" w:ascii="仿宋" w:hAnsi="仿宋" w:eastAsia="仿宋" w:cs="仿宋"/>
          <w:color w:val="auto"/>
          <w:sz w:val="32"/>
          <w:szCs w:val="32"/>
          <w:lang w:val="en-US" w:eastAsia="zh-CN"/>
        </w:rPr>
        <w:t>349.88</w:t>
      </w:r>
      <w:r>
        <w:rPr>
          <w:rStyle w:val="12"/>
          <w:rFonts w:hint="eastAsia" w:ascii="仿宋" w:hAnsi="仿宋" w:eastAsia="仿宋" w:cs="仿宋"/>
          <w:color w:val="auto"/>
          <w:sz w:val="32"/>
          <w:szCs w:val="32"/>
        </w:rPr>
        <w:t>万元,较上年预算安排增加</w:t>
      </w:r>
      <w:r>
        <w:rPr>
          <w:rStyle w:val="12"/>
          <w:rFonts w:hint="eastAsia" w:ascii="仿宋" w:hAnsi="仿宋" w:eastAsia="仿宋" w:cs="仿宋"/>
          <w:color w:val="auto"/>
          <w:sz w:val="32"/>
          <w:szCs w:val="32"/>
          <w:lang w:val="en-US" w:eastAsia="zh-CN"/>
        </w:rPr>
        <w:t>3.36</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kern w:val="0"/>
          <w:sz w:val="32"/>
          <w:szCs w:val="32"/>
          <w:lang w:val="en-US" w:eastAsia="zh-CN"/>
        </w:rPr>
        <w:t>增加的原因为单位自有资金和人员类经费支出资金安排增加。</w:t>
      </w:r>
    </w:p>
    <w:p w14:paraId="20242E57">
      <w:pPr>
        <w:widowControl/>
        <w:ind w:firstLine="640" w:firstLineChars="200"/>
        <w:rPr>
          <w:rStyle w:val="12"/>
          <w:rFonts w:hint="eastAsia" w:ascii="仿宋" w:hAnsi="仿宋" w:eastAsia="仿宋" w:cs="仿宋"/>
          <w:color w:val="auto"/>
          <w:sz w:val="32"/>
          <w:szCs w:val="32"/>
        </w:rPr>
      </w:pPr>
      <w:r>
        <w:rPr>
          <w:rStyle w:val="12"/>
          <w:rFonts w:hint="eastAsia" w:ascii="仿宋" w:hAnsi="仿宋" w:eastAsia="仿宋" w:cs="仿宋"/>
          <w:color w:val="auto"/>
          <w:sz w:val="32"/>
          <w:szCs w:val="32"/>
        </w:rPr>
        <w:t xml:space="preserve">其中：按支出项目类别划分： </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${page540426799.ds357974894_REP_BGT_T_HC1100002019_DXQ02DW_JBZCQK}</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基本支出</w:t>
      </w:r>
      <w:r>
        <w:rPr>
          <w:rStyle w:val="12"/>
          <w:rFonts w:hint="eastAsia" w:ascii="仿宋" w:hAnsi="仿宋" w:eastAsia="仿宋" w:cs="仿宋"/>
          <w:color w:val="auto"/>
          <w:sz w:val="32"/>
          <w:szCs w:val="32"/>
          <w:lang w:val="en-US" w:eastAsia="zh-CN"/>
        </w:rPr>
        <w:t>283.2</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减少1.32</w:t>
      </w:r>
      <w:r>
        <w:rPr>
          <w:rStyle w:val="12"/>
          <w:rFonts w:hint="eastAsia" w:ascii="仿宋" w:hAnsi="仿宋" w:eastAsia="仿宋" w:cs="仿宋"/>
          <w:color w:val="auto"/>
          <w:sz w:val="32"/>
          <w:szCs w:val="32"/>
        </w:rPr>
        <w:t>万元;其中：工资福利支出</w:t>
      </w:r>
      <w:r>
        <w:rPr>
          <w:rStyle w:val="12"/>
          <w:rFonts w:hint="eastAsia" w:ascii="仿宋" w:hAnsi="仿宋" w:eastAsia="仿宋" w:cs="仿宋"/>
          <w:color w:val="auto"/>
          <w:sz w:val="32"/>
          <w:szCs w:val="32"/>
          <w:lang w:val="en-US" w:eastAsia="zh-CN"/>
        </w:rPr>
        <w:t>244.5</w:t>
      </w:r>
      <w:r>
        <w:rPr>
          <w:rStyle w:val="12"/>
          <w:rFonts w:hint="eastAsia" w:ascii="仿宋" w:hAnsi="仿宋" w:eastAsia="仿宋" w:cs="仿宋"/>
          <w:color w:val="auto"/>
          <w:sz w:val="32"/>
          <w:szCs w:val="32"/>
        </w:rPr>
        <w:t>万元,商品和服务支出</w:t>
      </w:r>
      <w:r>
        <w:rPr>
          <w:rStyle w:val="12"/>
          <w:rFonts w:hint="eastAsia" w:ascii="仿宋" w:hAnsi="仿宋" w:eastAsia="仿宋" w:cs="仿宋"/>
          <w:color w:val="auto"/>
          <w:sz w:val="32"/>
          <w:szCs w:val="32"/>
          <w:lang w:val="en-US" w:eastAsia="zh-CN"/>
        </w:rPr>
        <w:t>18.11</w:t>
      </w:r>
      <w:r>
        <w:rPr>
          <w:rStyle w:val="12"/>
          <w:rFonts w:hint="eastAsia" w:ascii="仿宋" w:hAnsi="仿宋" w:eastAsia="仿宋" w:cs="仿宋"/>
          <w:color w:val="auto"/>
          <w:sz w:val="32"/>
          <w:szCs w:val="32"/>
        </w:rPr>
        <w:t>万元,对个人和家庭的补助</w:t>
      </w:r>
      <w:r>
        <w:rPr>
          <w:rStyle w:val="12"/>
          <w:rFonts w:hint="eastAsia" w:ascii="仿宋" w:hAnsi="仿宋" w:eastAsia="仿宋" w:cs="仿宋"/>
          <w:color w:val="auto"/>
          <w:sz w:val="32"/>
          <w:szCs w:val="32"/>
          <w:lang w:val="en-US" w:eastAsia="zh-CN"/>
        </w:rPr>
        <w:t>21.91</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${page540426799.ds357974894_REP_BGT_T_HC1100002019_DXQ02DW_XMZCQK}</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项目支出</w:t>
      </w:r>
      <w:r>
        <w:rPr>
          <w:rStyle w:val="12"/>
          <w:rFonts w:hint="eastAsia" w:ascii="仿宋" w:hAnsi="仿宋" w:eastAsia="仿宋" w:cs="仿宋"/>
          <w:color w:val="auto"/>
          <w:sz w:val="32"/>
          <w:szCs w:val="32"/>
          <w:lang w:val="en-US" w:eastAsia="zh-CN"/>
        </w:rPr>
        <w:t>16.68</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增加10.68</w:t>
      </w:r>
      <w:r>
        <w:rPr>
          <w:rStyle w:val="12"/>
          <w:rFonts w:hint="eastAsia" w:ascii="仿宋" w:hAnsi="仿宋" w:eastAsia="仿宋" w:cs="仿宋"/>
          <w:color w:val="auto"/>
          <w:sz w:val="32"/>
          <w:szCs w:val="32"/>
        </w:rPr>
        <w:t>万元;其中：商品和服务支出</w:t>
      </w:r>
      <w:r>
        <w:rPr>
          <w:rStyle w:val="12"/>
          <w:rFonts w:hint="eastAsia" w:ascii="仿宋" w:hAnsi="仿宋" w:eastAsia="仿宋" w:cs="仿宋"/>
          <w:color w:val="auto"/>
          <w:sz w:val="32"/>
          <w:szCs w:val="32"/>
          <w:lang w:val="en-US" w:eastAsia="zh-CN"/>
        </w:rPr>
        <w:t>16.68</w:t>
      </w:r>
      <w:r>
        <w:rPr>
          <w:rStyle w:val="12"/>
          <w:rFonts w:hint="eastAsia" w:ascii="仿宋" w:hAnsi="仿宋" w:eastAsia="仿宋" w:cs="仿宋"/>
          <w:color w:val="auto"/>
          <w:sz w:val="32"/>
          <w:szCs w:val="32"/>
        </w:rPr>
        <w:t>万元,资本性支出</w:t>
      </w:r>
      <w:r>
        <w:rPr>
          <w:rStyle w:val="12"/>
          <w:rFonts w:hint="eastAsia" w:ascii="仿宋" w:hAnsi="仿宋" w:eastAsia="仿宋" w:cs="仿宋"/>
          <w:color w:val="auto"/>
          <w:sz w:val="32"/>
          <w:szCs w:val="32"/>
          <w:lang w:val="en-US" w:eastAsia="zh-CN"/>
        </w:rPr>
        <w:t>5.10</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741BBA27">
      <w:pPr>
        <w:ind w:firstLine="640" w:firstLineChars="200"/>
        <w:rPr>
          <w:rStyle w:val="12"/>
          <w:rFonts w:hint="eastAsia" w:ascii="仿宋" w:hAnsi="仿宋" w:eastAsia="仿宋" w:cs="仿宋"/>
          <w:b/>
          <w:color w:val="auto"/>
          <w:sz w:val="32"/>
          <w:szCs w:val="32"/>
        </w:rPr>
      </w:pPr>
      <w:r>
        <w:rPr>
          <w:rStyle w:val="12"/>
          <w:rFonts w:hint="eastAsia" w:ascii="仿宋" w:hAnsi="仿宋" w:eastAsia="仿宋" w:cs="仿宋"/>
          <w:color w:val="auto"/>
          <w:sz w:val="32"/>
          <w:szCs w:val="32"/>
        </w:rPr>
        <w:t xml:space="preserve">按支出功能科目划分： </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${page540426799.ds197859873_REP_BGT_T_HC1100002019DXQ01DW_GNZJMX}</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lang w:val="en-US" w:eastAsia="zh-CN"/>
        </w:rPr>
        <w:t>教育支出218.98万元，</w:t>
      </w:r>
      <w:r>
        <w:rPr>
          <w:rStyle w:val="12"/>
          <w:rFonts w:hint="eastAsia" w:ascii="仿宋" w:hAnsi="仿宋" w:eastAsia="仿宋" w:cs="仿宋"/>
          <w:color w:val="auto"/>
          <w:sz w:val="32"/>
          <w:szCs w:val="32"/>
        </w:rPr>
        <w:t>较上年预算安排</w:t>
      </w:r>
      <w:r>
        <w:rPr>
          <w:rStyle w:val="12"/>
          <w:rFonts w:hint="eastAsia" w:ascii="仿宋" w:hAnsi="仿宋" w:eastAsia="仿宋" w:cs="仿宋"/>
          <w:color w:val="auto"/>
          <w:sz w:val="32"/>
          <w:szCs w:val="32"/>
          <w:lang w:val="en-US" w:eastAsia="zh-CN"/>
        </w:rPr>
        <w:t>减少5.22</w:t>
      </w:r>
      <w:r>
        <w:rPr>
          <w:rStyle w:val="12"/>
          <w:rFonts w:hint="eastAsia" w:ascii="仿宋" w:hAnsi="仿宋" w:eastAsia="仿宋" w:cs="仿宋"/>
          <w:color w:val="auto"/>
          <w:sz w:val="32"/>
          <w:szCs w:val="32"/>
        </w:rPr>
        <w:t>万元</w:t>
      </w:r>
      <w:r>
        <w:rPr>
          <w:rStyle w:val="12"/>
          <w:rFonts w:hint="eastAsia" w:ascii="仿宋" w:hAnsi="仿宋" w:eastAsia="仿宋" w:cs="仿宋"/>
          <w:color w:val="auto"/>
          <w:sz w:val="32"/>
          <w:szCs w:val="32"/>
          <w:lang w:eastAsia="zh-CN"/>
        </w:rPr>
        <w:t>，</w:t>
      </w:r>
      <w:r>
        <w:rPr>
          <w:rStyle w:val="12"/>
          <w:rFonts w:hint="eastAsia" w:ascii="仿宋" w:hAnsi="仿宋" w:eastAsia="仿宋" w:cs="仿宋"/>
          <w:color w:val="auto"/>
          <w:sz w:val="32"/>
          <w:szCs w:val="32"/>
        </w:rPr>
        <w:t>社会保障和就业支出</w:t>
      </w:r>
      <w:r>
        <w:rPr>
          <w:rStyle w:val="12"/>
          <w:rFonts w:hint="eastAsia" w:ascii="仿宋" w:hAnsi="仿宋" w:eastAsia="仿宋" w:cs="仿宋"/>
          <w:color w:val="auto"/>
          <w:sz w:val="32"/>
          <w:szCs w:val="32"/>
          <w:lang w:val="en-US" w:eastAsia="zh-CN"/>
        </w:rPr>
        <w:t>45.69</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减少0.84</w:t>
      </w:r>
      <w:r>
        <w:rPr>
          <w:rStyle w:val="12"/>
          <w:rFonts w:hint="eastAsia" w:ascii="仿宋" w:hAnsi="仿宋" w:eastAsia="仿宋" w:cs="仿宋"/>
          <w:color w:val="auto"/>
          <w:sz w:val="32"/>
          <w:szCs w:val="32"/>
        </w:rPr>
        <w:t>万元;卫生健康支出</w:t>
      </w:r>
      <w:r>
        <w:rPr>
          <w:rStyle w:val="12"/>
          <w:rFonts w:hint="eastAsia" w:ascii="仿宋" w:hAnsi="仿宋" w:eastAsia="仿宋" w:cs="仿宋"/>
          <w:color w:val="auto"/>
          <w:sz w:val="32"/>
          <w:szCs w:val="32"/>
          <w:lang w:val="en-US" w:eastAsia="zh-CN"/>
        </w:rPr>
        <w:t>18.01</w:t>
      </w:r>
      <w:r>
        <w:rPr>
          <w:rStyle w:val="12"/>
          <w:rFonts w:hint="eastAsia" w:ascii="仿宋" w:hAnsi="仿宋" w:eastAsia="仿宋" w:cs="仿宋"/>
          <w:color w:val="auto"/>
          <w:sz w:val="32"/>
          <w:szCs w:val="32"/>
        </w:rPr>
        <w:t>万元,较上年预算安排增加</w:t>
      </w:r>
      <w:r>
        <w:rPr>
          <w:rStyle w:val="12"/>
          <w:rFonts w:hint="eastAsia" w:ascii="仿宋" w:hAnsi="仿宋" w:eastAsia="仿宋" w:cs="仿宋"/>
          <w:color w:val="auto"/>
          <w:sz w:val="32"/>
          <w:szCs w:val="32"/>
          <w:lang w:val="en-US" w:eastAsia="zh-CN"/>
        </w:rPr>
        <w:t>14.63</w:t>
      </w:r>
      <w:r>
        <w:rPr>
          <w:rStyle w:val="12"/>
          <w:rFonts w:hint="eastAsia" w:ascii="仿宋" w:hAnsi="仿宋" w:eastAsia="仿宋" w:cs="仿宋"/>
          <w:color w:val="auto"/>
          <w:sz w:val="32"/>
          <w:szCs w:val="32"/>
        </w:rPr>
        <w:t>万元;住房保障支出</w:t>
      </w:r>
      <w:r>
        <w:rPr>
          <w:rStyle w:val="12"/>
          <w:rFonts w:hint="eastAsia" w:ascii="仿宋" w:hAnsi="仿宋" w:eastAsia="仿宋" w:cs="仿宋"/>
          <w:color w:val="auto"/>
          <w:sz w:val="32"/>
          <w:szCs w:val="32"/>
          <w:lang w:val="en-US" w:eastAsia="zh-CN"/>
        </w:rPr>
        <w:t>17.21</w:t>
      </w:r>
      <w:r>
        <w:rPr>
          <w:rStyle w:val="12"/>
          <w:rFonts w:hint="eastAsia" w:ascii="仿宋" w:hAnsi="仿宋" w:eastAsia="仿宋" w:cs="仿宋"/>
          <w:color w:val="auto"/>
          <w:sz w:val="32"/>
          <w:szCs w:val="32"/>
        </w:rPr>
        <w:t>万元,较上年预算安排减少</w:t>
      </w:r>
      <w:r>
        <w:rPr>
          <w:rStyle w:val="12"/>
          <w:rFonts w:hint="eastAsia" w:ascii="仿宋" w:hAnsi="仿宋" w:eastAsia="仿宋" w:cs="仿宋"/>
          <w:color w:val="auto"/>
          <w:sz w:val="32"/>
          <w:szCs w:val="32"/>
          <w:lang w:val="en-US" w:eastAsia="zh-CN"/>
        </w:rPr>
        <w:t>0.88</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3713AB5B">
      <w:pPr>
        <w:ind w:firstLine="640" w:firstLineChars="200"/>
        <w:rPr>
          <w:rFonts w:hint="eastAsia" w:ascii="仿宋" w:hAnsi="仿宋" w:eastAsia="仿宋" w:cs="仿宋"/>
          <w:color w:val="auto"/>
          <w:sz w:val="32"/>
          <w:szCs w:val="32"/>
        </w:rPr>
      </w:pPr>
      <w:r>
        <w:rPr>
          <w:rStyle w:val="12"/>
          <w:rFonts w:hint="eastAsia" w:ascii="仿宋" w:hAnsi="仿宋" w:eastAsia="仿宋" w:cs="仿宋"/>
          <w:color w:val="auto"/>
          <w:sz w:val="32"/>
          <w:szCs w:val="32"/>
        </w:rPr>
        <w:t xml:space="preserve">按支出经济分类划分： </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${page540426799.ds197859873_REP_BGT_T_HC1100002019DXQ01DW_JJMX}</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工资福利支出</w:t>
      </w:r>
      <w:r>
        <w:rPr>
          <w:rStyle w:val="12"/>
          <w:rFonts w:hint="eastAsia" w:ascii="仿宋" w:hAnsi="仿宋" w:eastAsia="仿宋" w:cs="仿宋"/>
          <w:color w:val="auto"/>
          <w:sz w:val="32"/>
          <w:szCs w:val="32"/>
          <w:lang w:val="en-US" w:eastAsia="zh-CN"/>
        </w:rPr>
        <w:t>235.70</w:t>
      </w:r>
      <w:r>
        <w:rPr>
          <w:rStyle w:val="12"/>
          <w:rFonts w:hint="eastAsia" w:ascii="仿宋" w:hAnsi="仿宋" w:eastAsia="仿宋" w:cs="仿宋"/>
          <w:color w:val="auto"/>
          <w:sz w:val="32"/>
          <w:szCs w:val="32"/>
        </w:rPr>
        <w:t>万元,较上年预算安排减少</w:t>
      </w:r>
      <w:r>
        <w:rPr>
          <w:rStyle w:val="12"/>
          <w:rFonts w:hint="eastAsia" w:ascii="仿宋" w:hAnsi="仿宋" w:eastAsia="仿宋" w:cs="仿宋"/>
          <w:color w:val="auto"/>
          <w:sz w:val="32"/>
          <w:szCs w:val="32"/>
          <w:lang w:val="en-US" w:eastAsia="zh-CN"/>
        </w:rPr>
        <w:t>8.8</w:t>
      </w:r>
      <w:r>
        <w:rPr>
          <w:rStyle w:val="12"/>
          <w:rFonts w:hint="eastAsia" w:ascii="仿宋" w:hAnsi="仿宋" w:eastAsia="仿宋" w:cs="仿宋"/>
          <w:color w:val="auto"/>
          <w:sz w:val="32"/>
          <w:szCs w:val="32"/>
        </w:rPr>
        <w:t>万元;商品和服务支出</w:t>
      </w:r>
      <w:r>
        <w:rPr>
          <w:rStyle w:val="12"/>
          <w:rFonts w:hint="eastAsia" w:ascii="仿宋" w:hAnsi="仿宋" w:eastAsia="仿宋" w:cs="仿宋"/>
          <w:color w:val="auto"/>
          <w:sz w:val="32"/>
          <w:szCs w:val="32"/>
          <w:lang w:val="en-US" w:eastAsia="zh-CN"/>
        </w:rPr>
        <w:t>23.74</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增加5.63</w:t>
      </w:r>
      <w:r>
        <w:rPr>
          <w:rStyle w:val="12"/>
          <w:rFonts w:hint="eastAsia" w:ascii="仿宋" w:hAnsi="仿宋" w:eastAsia="仿宋" w:cs="仿宋"/>
          <w:color w:val="auto"/>
          <w:sz w:val="32"/>
          <w:szCs w:val="32"/>
        </w:rPr>
        <w:t>万元;对个人和家庭的补助</w:t>
      </w:r>
      <w:r>
        <w:rPr>
          <w:rStyle w:val="12"/>
          <w:rFonts w:hint="eastAsia" w:ascii="仿宋" w:hAnsi="仿宋" w:eastAsia="仿宋" w:cs="仿宋"/>
          <w:color w:val="auto"/>
          <w:sz w:val="32"/>
          <w:szCs w:val="32"/>
          <w:lang w:val="en-US" w:eastAsia="zh-CN"/>
        </w:rPr>
        <w:t>18.67</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减少3.24</w:t>
      </w:r>
      <w:r>
        <w:rPr>
          <w:rStyle w:val="12"/>
          <w:rFonts w:hint="eastAsia" w:ascii="仿宋" w:hAnsi="仿宋" w:eastAsia="仿宋" w:cs="仿宋"/>
          <w:color w:val="auto"/>
          <w:sz w:val="32"/>
          <w:szCs w:val="32"/>
        </w:rPr>
        <w:t>万元;资本性支出</w:t>
      </w:r>
      <w:r>
        <w:rPr>
          <w:rStyle w:val="12"/>
          <w:rFonts w:hint="eastAsia" w:ascii="仿宋" w:hAnsi="仿宋" w:eastAsia="仿宋" w:cs="仿宋"/>
          <w:color w:val="auto"/>
          <w:sz w:val="32"/>
          <w:szCs w:val="32"/>
          <w:lang w:val="en-US" w:eastAsia="zh-CN"/>
        </w:rPr>
        <w:t>5.1</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减少5.1</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1020BBAD">
      <w:pPr>
        <w:ind w:firstLine="321" w:firstLineChars="100"/>
        <w:rPr>
          <w:rStyle w:val="12"/>
          <w:rFonts w:hint="eastAsia" w:ascii="仿宋" w:hAnsi="仿宋" w:eastAsia="仿宋" w:cs="仿宋"/>
          <w:b/>
          <w:color w:val="auto"/>
          <w:sz w:val="32"/>
          <w:szCs w:val="32"/>
          <w:lang w:eastAsia="zh-CN"/>
        </w:rPr>
      </w:pPr>
      <w:r>
        <w:rPr>
          <w:rStyle w:val="12"/>
          <w:rFonts w:hint="eastAsia" w:ascii="仿宋" w:hAnsi="仿宋" w:eastAsia="仿宋" w:cs="仿宋"/>
          <w:b/>
          <w:color w:val="auto"/>
          <w:sz w:val="32"/>
          <w:szCs w:val="32"/>
        </w:rPr>
        <w:t xml:space="preserve"> (三)财政拨款支出情况</w:t>
      </w:r>
    </w:p>
    <w:p w14:paraId="51551A65">
      <w:pPr>
        <w:widowControl/>
        <w:ind w:firstLine="640" w:firstLineChars="200"/>
        <w:rPr>
          <w:rFonts w:hint="eastAsia" w:ascii="仿宋" w:hAnsi="仿宋" w:eastAsia="仿宋" w:cs="仿宋"/>
          <w:color w:val="auto"/>
          <w:kern w:val="0"/>
          <w:sz w:val="32"/>
          <w:szCs w:val="32"/>
          <w:lang w:val="en-US" w:eastAsia="zh-CN"/>
        </w:rPr>
      </w:pPr>
      <w:r>
        <w:rPr>
          <w:rStyle w:val="12"/>
          <w:rFonts w:hint="eastAsia" w:ascii="仿宋" w:hAnsi="仿宋" w:eastAsia="仿宋" w:cs="仿宋"/>
          <w:color w:val="auto"/>
          <w:sz w:val="32"/>
          <w:szCs w:val="32"/>
        </w:rPr>
        <w:t>202</w:t>
      </w:r>
      <w:r>
        <w:rPr>
          <w:rStyle w:val="12"/>
          <w:rFonts w:hint="eastAsia" w:ascii="仿宋" w:hAnsi="仿宋" w:eastAsia="仿宋" w:cs="仿宋"/>
          <w:color w:val="auto"/>
          <w:sz w:val="32"/>
          <w:szCs w:val="32"/>
          <w:lang w:val="en-US" w:eastAsia="zh-CN"/>
        </w:rPr>
        <w:t>4</w:t>
      </w:r>
      <w:r>
        <w:rPr>
          <w:rStyle w:val="12"/>
          <w:rFonts w:hint="eastAsia" w:ascii="仿宋" w:hAnsi="仿宋" w:eastAsia="仿宋" w:cs="仿宋"/>
          <w:color w:val="auto"/>
          <w:sz w:val="32"/>
          <w:szCs w:val="32"/>
        </w:rPr>
        <w:t>年</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${page540426799.ds254512694_REP_JXJC_AGENCY_WZR_NAME}</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lang w:eastAsia="zh-CN"/>
        </w:rPr>
        <w:t>庐山风景名胜区管理局幼儿园</w:t>
      </w:r>
      <w:r>
        <w:rPr>
          <w:rFonts w:hint="eastAsia" w:ascii="仿宋" w:hAnsi="仿宋" w:eastAsia="仿宋" w:cs="仿宋"/>
          <w:color w:val="auto"/>
          <w:sz w:val="32"/>
          <w:szCs w:val="32"/>
        </w:rPr>
        <w:fldChar w:fldCharType="end"/>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${page540426799.ds357974894_REP_BGT_T_HC1100002019_DXQ02DW_S_CBXJ}</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财政拨款支出预算总额</w:t>
      </w:r>
      <w:r>
        <w:rPr>
          <w:rStyle w:val="12"/>
          <w:rFonts w:hint="eastAsia" w:ascii="仿宋" w:hAnsi="仿宋" w:eastAsia="仿宋" w:cs="仿宋"/>
          <w:color w:val="auto"/>
          <w:sz w:val="32"/>
          <w:szCs w:val="32"/>
          <w:lang w:val="en-US" w:eastAsia="zh-CN"/>
        </w:rPr>
        <w:t>283.2</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减少7.32</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val="en-US" w:eastAsia="zh-CN"/>
        </w:rPr>
        <w:t>减少</w:t>
      </w:r>
      <w:r>
        <w:rPr>
          <w:rFonts w:hint="eastAsia" w:ascii="仿宋" w:hAnsi="仿宋" w:eastAsia="仿宋" w:cs="仿宋"/>
          <w:color w:val="auto"/>
          <w:kern w:val="0"/>
          <w:sz w:val="32"/>
          <w:szCs w:val="32"/>
          <w:lang w:val="en-US" w:eastAsia="zh-CN"/>
        </w:rPr>
        <w:t>的原因为商品和服务支出的减少。</w:t>
      </w:r>
    </w:p>
    <w:p w14:paraId="70EEF589">
      <w:pPr>
        <w:ind w:firstLine="640" w:firstLineChars="200"/>
        <w:rPr>
          <w:rStyle w:val="12"/>
          <w:rFonts w:hint="eastAsia" w:ascii="仿宋" w:hAnsi="仿宋" w:eastAsia="仿宋" w:cs="仿宋"/>
          <w:color w:val="auto"/>
          <w:sz w:val="32"/>
          <w:szCs w:val="32"/>
        </w:rPr>
      </w:pPr>
      <w:r>
        <w:rPr>
          <w:rStyle w:val="12"/>
          <w:rFonts w:hint="eastAsia" w:ascii="仿宋" w:hAnsi="仿宋" w:eastAsia="仿宋" w:cs="仿宋"/>
          <w:color w:val="auto"/>
          <w:sz w:val="32"/>
          <w:szCs w:val="32"/>
        </w:rPr>
        <w:t>按支出功能科目划分：：</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${page400644146.ds247441498_REP_BGT_T_HC1100002019DXQ01_GNCBMX}</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lang w:val="en-US" w:eastAsia="zh-CN"/>
        </w:rPr>
        <w:t>教育</w:t>
      </w:r>
      <w:r>
        <w:rPr>
          <w:rStyle w:val="12"/>
          <w:rFonts w:hint="eastAsia" w:ascii="仿宋" w:hAnsi="仿宋" w:eastAsia="仿宋" w:cs="仿宋"/>
          <w:color w:val="auto"/>
          <w:sz w:val="32"/>
          <w:szCs w:val="32"/>
        </w:rPr>
        <w:t>支出</w:t>
      </w:r>
      <w:r>
        <w:rPr>
          <w:rStyle w:val="12"/>
          <w:rFonts w:hint="eastAsia" w:ascii="仿宋" w:hAnsi="仿宋" w:eastAsia="仿宋" w:cs="仿宋"/>
          <w:color w:val="auto"/>
          <w:sz w:val="32"/>
          <w:szCs w:val="32"/>
          <w:lang w:val="en-US" w:eastAsia="zh-CN"/>
        </w:rPr>
        <w:t>218.98</w:t>
      </w:r>
      <w:r>
        <w:rPr>
          <w:rStyle w:val="12"/>
          <w:rFonts w:hint="eastAsia" w:ascii="仿宋" w:hAnsi="仿宋" w:eastAsia="仿宋" w:cs="仿宋"/>
          <w:color w:val="auto"/>
          <w:sz w:val="32"/>
          <w:szCs w:val="32"/>
        </w:rPr>
        <w:t>万元,较上年预算安</w:t>
      </w:r>
      <w:r>
        <w:rPr>
          <w:rStyle w:val="12"/>
          <w:rFonts w:hint="eastAsia" w:ascii="仿宋" w:hAnsi="仿宋" w:eastAsia="仿宋" w:cs="仿宋"/>
          <w:color w:val="auto"/>
          <w:sz w:val="32"/>
          <w:szCs w:val="32"/>
          <w:lang w:val="en-US" w:eastAsia="zh-CN"/>
        </w:rPr>
        <w:t>排减少5.22</w:t>
      </w:r>
      <w:r>
        <w:rPr>
          <w:rStyle w:val="12"/>
          <w:rFonts w:hint="eastAsia" w:ascii="仿宋" w:hAnsi="仿宋" w:eastAsia="仿宋" w:cs="仿宋"/>
          <w:color w:val="auto"/>
          <w:sz w:val="32"/>
          <w:szCs w:val="32"/>
        </w:rPr>
        <w:t>万元</w:t>
      </w:r>
      <w:r>
        <w:rPr>
          <w:rStyle w:val="12"/>
          <w:rFonts w:hint="eastAsia" w:ascii="仿宋" w:hAnsi="仿宋" w:eastAsia="仿宋" w:cs="仿宋"/>
          <w:color w:val="auto"/>
          <w:sz w:val="32"/>
          <w:szCs w:val="32"/>
          <w:lang w:eastAsia="zh-CN"/>
        </w:rPr>
        <w:t>；</w:t>
      </w:r>
      <w:r>
        <w:rPr>
          <w:rStyle w:val="12"/>
          <w:rFonts w:hint="eastAsia" w:ascii="仿宋" w:hAnsi="仿宋" w:eastAsia="仿宋" w:cs="仿宋"/>
          <w:color w:val="auto"/>
          <w:sz w:val="32"/>
          <w:szCs w:val="32"/>
        </w:rPr>
        <w:t>社会保障和就业支出</w:t>
      </w:r>
      <w:r>
        <w:rPr>
          <w:rStyle w:val="12"/>
          <w:rFonts w:hint="eastAsia" w:ascii="仿宋" w:hAnsi="仿宋" w:eastAsia="仿宋" w:cs="仿宋"/>
          <w:color w:val="auto"/>
          <w:sz w:val="32"/>
          <w:szCs w:val="32"/>
          <w:lang w:val="en-US" w:eastAsia="zh-CN"/>
        </w:rPr>
        <w:t>45.69</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增加0.84</w:t>
      </w:r>
      <w:r>
        <w:rPr>
          <w:rStyle w:val="12"/>
          <w:rFonts w:hint="eastAsia" w:ascii="仿宋" w:hAnsi="仿宋" w:eastAsia="仿宋" w:cs="仿宋"/>
          <w:color w:val="auto"/>
          <w:sz w:val="32"/>
          <w:szCs w:val="32"/>
        </w:rPr>
        <w:t>万元</w:t>
      </w:r>
      <w:r>
        <w:rPr>
          <w:rStyle w:val="12"/>
          <w:rFonts w:hint="eastAsia" w:ascii="仿宋" w:hAnsi="仿宋" w:eastAsia="仿宋" w:cs="仿宋"/>
          <w:color w:val="auto"/>
          <w:sz w:val="32"/>
          <w:szCs w:val="32"/>
          <w:lang w:eastAsia="zh-CN"/>
        </w:rPr>
        <w:t>；</w:t>
      </w:r>
      <w:r>
        <w:rPr>
          <w:rStyle w:val="12"/>
          <w:rFonts w:hint="eastAsia" w:ascii="仿宋" w:hAnsi="仿宋" w:eastAsia="仿宋" w:cs="仿宋"/>
          <w:color w:val="auto"/>
          <w:sz w:val="32"/>
          <w:szCs w:val="32"/>
        </w:rPr>
        <w:t>卫生健康支出</w:t>
      </w:r>
      <w:r>
        <w:rPr>
          <w:rStyle w:val="12"/>
          <w:rFonts w:hint="eastAsia" w:ascii="仿宋" w:hAnsi="仿宋" w:eastAsia="仿宋" w:cs="仿宋"/>
          <w:color w:val="auto"/>
          <w:sz w:val="32"/>
          <w:szCs w:val="32"/>
          <w:lang w:val="en-US" w:eastAsia="zh-CN"/>
        </w:rPr>
        <w:t>18.01</w:t>
      </w:r>
      <w:r>
        <w:rPr>
          <w:rStyle w:val="12"/>
          <w:rFonts w:hint="eastAsia" w:ascii="仿宋" w:hAnsi="仿宋" w:eastAsia="仿宋" w:cs="仿宋"/>
          <w:color w:val="auto"/>
          <w:sz w:val="32"/>
          <w:szCs w:val="32"/>
        </w:rPr>
        <w:t>万元,较上年预算安排增加</w:t>
      </w:r>
      <w:r>
        <w:rPr>
          <w:rStyle w:val="12"/>
          <w:rFonts w:hint="eastAsia" w:ascii="仿宋" w:hAnsi="仿宋" w:eastAsia="仿宋" w:cs="仿宋"/>
          <w:color w:val="auto"/>
          <w:sz w:val="32"/>
          <w:szCs w:val="32"/>
          <w:lang w:val="en-US" w:eastAsia="zh-CN"/>
        </w:rPr>
        <w:t>14.63</w:t>
      </w:r>
      <w:r>
        <w:rPr>
          <w:rStyle w:val="12"/>
          <w:rFonts w:hint="eastAsia" w:ascii="仿宋" w:hAnsi="仿宋" w:eastAsia="仿宋" w:cs="仿宋"/>
          <w:color w:val="auto"/>
          <w:sz w:val="32"/>
          <w:szCs w:val="32"/>
        </w:rPr>
        <w:t>万元</w:t>
      </w:r>
      <w:r>
        <w:rPr>
          <w:rStyle w:val="12"/>
          <w:rFonts w:hint="eastAsia" w:ascii="仿宋" w:hAnsi="仿宋" w:eastAsia="仿宋" w:cs="仿宋"/>
          <w:color w:val="auto"/>
          <w:sz w:val="32"/>
          <w:szCs w:val="32"/>
          <w:lang w:eastAsia="zh-CN"/>
        </w:rPr>
        <w:t>；</w:t>
      </w:r>
      <w:r>
        <w:rPr>
          <w:rStyle w:val="12"/>
          <w:rFonts w:hint="eastAsia" w:ascii="仿宋" w:hAnsi="仿宋" w:eastAsia="仿宋" w:cs="仿宋"/>
          <w:color w:val="auto"/>
          <w:sz w:val="32"/>
          <w:szCs w:val="32"/>
        </w:rPr>
        <w:t>住房保障支出</w:t>
      </w:r>
      <w:r>
        <w:rPr>
          <w:rStyle w:val="12"/>
          <w:rFonts w:hint="eastAsia" w:ascii="仿宋" w:hAnsi="仿宋" w:eastAsia="仿宋" w:cs="仿宋"/>
          <w:color w:val="auto"/>
          <w:sz w:val="32"/>
          <w:szCs w:val="32"/>
          <w:lang w:val="en-US" w:eastAsia="zh-CN"/>
        </w:rPr>
        <w:t>17.21</w:t>
      </w:r>
      <w:r>
        <w:rPr>
          <w:rStyle w:val="12"/>
          <w:rFonts w:hint="eastAsia" w:ascii="仿宋" w:hAnsi="仿宋" w:eastAsia="仿宋" w:cs="仿宋"/>
          <w:color w:val="auto"/>
          <w:sz w:val="32"/>
          <w:szCs w:val="32"/>
        </w:rPr>
        <w:t>万元</w:t>
      </w:r>
      <w:r>
        <w:rPr>
          <w:rStyle w:val="12"/>
          <w:rFonts w:hint="eastAsia" w:ascii="仿宋" w:hAnsi="仿宋" w:eastAsia="仿宋" w:cs="仿宋"/>
          <w:color w:val="auto"/>
          <w:sz w:val="32"/>
          <w:szCs w:val="32"/>
          <w:lang w:eastAsia="zh-CN"/>
        </w:rPr>
        <w:t>，</w:t>
      </w:r>
      <w:r>
        <w:rPr>
          <w:rStyle w:val="12"/>
          <w:rFonts w:hint="eastAsia" w:ascii="仿宋" w:hAnsi="仿宋" w:eastAsia="仿宋" w:cs="仿宋"/>
          <w:color w:val="auto"/>
          <w:sz w:val="32"/>
          <w:szCs w:val="32"/>
        </w:rPr>
        <w:t>较上年预算安排减少</w:t>
      </w:r>
      <w:r>
        <w:rPr>
          <w:rStyle w:val="12"/>
          <w:rFonts w:hint="eastAsia" w:ascii="仿宋" w:hAnsi="仿宋" w:eastAsia="仿宋" w:cs="仿宋"/>
          <w:color w:val="auto"/>
          <w:sz w:val="32"/>
          <w:szCs w:val="32"/>
          <w:lang w:val="en-US" w:eastAsia="zh-CN"/>
        </w:rPr>
        <w:t>0.88</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250D899D">
      <w:pPr>
        <w:ind w:firstLine="640" w:firstLineChars="200"/>
        <w:rPr>
          <w:rFonts w:hint="eastAsia" w:ascii="仿宋" w:hAnsi="仿宋" w:eastAsia="仿宋" w:cs="仿宋"/>
          <w:color w:val="auto"/>
          <w:sz w:val="32"/>
          <w:szCs w:val="32"/>
        </w:rPr>
      </w:pPr>
      <w:r>
        <w:rPr>
          <w:rStyle w:val="12"/>
          <w:rFonts w:hint="eastAsia" w:ascii="仿宋" w:hAnsi="仿宋" w:eastAsia="仿宋" w:cs="仿宋"/>
          <w:color w:val="auto"/>
          <w:sz w:val="32"/>
          <w:szCs w:val="32"/>
        </w:rPr>
        <w:t xml:space="preserve">按支出项目类别划分： </w:t>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${page540426799.ds357974894_REP_BGT_T_HC1100002019_DXQ02DW_JBZCQKCB}</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基本支出</w:t>
      </w:r>
      <w:r>
        <w:rPr>
          <w:rStyle w:val="12"/>
          <w:rFonts w:hint="eastAsia" w:ascii="仿宋" w:hAnsi="仿宋" w:eastAsia="仿宋" w:cs="仿宋"/>
          <w:color w:val="auto"/>
          <w:sz w:val="32"/>
          <w:szCs w:val="32"/>
          <w:lang w:val="en-US" w:eastAsia="zh-CN"/>
        </w:rPr>
        <w:t>283.2</w:t>
      </w:r>
      <w:r>
        <w:rPr>
          <w:rStyle w:val="12"/>
          <w:rFonts w:hint="eastAsia" w:ascii="仿宋" w:hAnsi="仿宋" w:eastAsia="仿宋" w:cs="仿宋"/>
          <w:color w:val="auto"/>
          <w:sz w:val="32"/>
          <w:szCs w:val="32"/>
        </w:rPr>
        <w:t>万元,较上年预算安排减少</w:t>
      </w:r>
      <w:r>
        <w:rPr>
          <w:rStyle w:val="12"/>
          <w:rFonts w:hint="eastAsia" w:ascii="仿宋" w:hAnsi="仿宋" w:eastAsia="仿宋" w:cs="仿宋"/>
          <w:color w:val="auto"/>
          <w:sz w:val="32"/>
          <w:szCs w:val="32"/>
          <w:lang w:val="en-US" w:eastAsia="zh-CN"/>
        </w:rPr>
        <w:t>1.32</w:t>
      </w:r>
      <w:r>
        <w:rPr>
          <w:rStyle w:val="12"/>
          <w:rFonts w:hint="eastAsia" w:ascii="仿宋" w:hAnsi="仿宋" w:eastAsia="仿宋" w:cs="仿宋"/>
          <w:color w:val="auto"/>
          <w:sz w:val="32"/>
          <w:szCs w:val="32"/>
        </w:rPr>
        <w:t>万元;其中：工资福利支出</w:t>
      </w:r>
      <w:r>
        <w:rPr>
          <w:rStyle w:val="12"/>
          <w:rFonts w:hint="eastAsia" w:ascii="仿宋" w:hAnsi="仿宋" w:eastAsia="仿宋" w:cs="仿宋"/>
          <w:color w:val="auto"/>
          <w:sz w:val="32"/>
          <w:szCs w:val="32"/>
          <w:lang w:val="en-US" w:eastAsia="zh-CN"/>
        </w:rPr>
        <w:t>235.7</w:t>
      </w:r>
      <w:r>
        <w:rPr>
          <w:rStyle w:val="12"/>
          <w:rFonts w:hint="eastAsia" w:ascii="仿宋" w:hAnsi="仿宋" w:eastAsia="仿宋" w:cs="仿宋"/>
          <w:color w:val="auto"/>
          <w:sz w:val="32"/>
          <w:szCs w:val="32"/>
        </w:rPr>
        <w:t>万元,商品和服务支出</w:t>
      </w:r>
      <w:r>
        <w:rPr>
          <w:rStyle w:val="12"/>
          <w:rFonts w:hint="eastAsia" w:ascii="仿宋" w:hAnsi="仿宋" w:eastAsia="仿宋" w:cs="仿宋"/>
          <w:color w:val="auto"/>
          <w:sz w:val="32"/>
          <w:szCs w:val="32"/>
          <w:lang w:val="en-US" w:eastAsia="zh-CN"/>
        </w:rPr>
        <w:t>23.74</w:t>
      </w:r>
      <w:r>
        <w:rPr>
          <w:rStyle w:val="12"/>
          <w:rFonts w:hint="eastAsia" w:ascii="仿宋" w:hAnsi="仿宋" w:eastAsia="仿宋" w:cs="仿宋"/>
          <w:color w:val="auto"/>
          <w:sz w:val="32"/>
          <w:szCs w:val="32"/>
        </w:rPr>
        <w:t>万元,对个人和家庭的补</w:t>
      </w:r>
      <w:r>
        <w:rPr>
          <w:rStyle w:val="12"/>
          <w:rFonts w:hint="eastAsia" w:ascii="仿宋" w:hAnsi="仿宋" w:eastAsia="仿宋" w:cs="仿宋"/>
          <w:color w:val="auto"/>
          <w:sz w:val="32"/>
          <w:szCs w:val="32"/>
          <w:lang w:val="en-US" w:eastAsia="zh-CN"/>
        </w:rPr>
        <w:t>18.67</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2"/>
          <w:rFonts w:hint="eastAsia" w:ascii="仿宋" w:hAnsi="仿宋" w:eastAsia="仿宋" w:cs="仿宋"/>
          <w:color w:val="auto"/>
          <w:sz w:val="32"/>
          <w:szCs w:val="32"/>
        </w:rPr>
        <w:fldChar w:fldCharType="begin"/>
      </w:r>
      <w:r>
        <w:rPr>
          <w:rStyle w:val="12"/>
          <w:rFonts w:hint="eastAsia" w:ascii="仿宋" w:hAnsi="仿宋" w:eastAsia="仿宋" w:cs="仿宋"/>
          <w:color w:val="auto"/>
          <w:sz w:val="32"/>
          <w:szCs w:val="32"/>
        </w:rPr>
        <w:instrText xml:space="preserve">MERGEFIELD ${page540426799.ds357974894_REP_BGT_T_HC1100002019_DXQ02DW_XMZCQKCB}</w:instrText>
      </w:r>
      <w:r>
        <w:rPr>
          <w:rStyle w:val="12"/>
          <w:rFonts w:hint="eastAsia" w:ascii="仿宋" w:hAnsi="仿宋" w:eastAsia="仿宋" w:cs="仿宋"/>
          <w:color w:val="auto"/>
          <w:sz w:val="32"/>
          <w:szCs w:val="32"/>
        </w:rPr>
        <w:fldChar w:fldCharType="separate"/>
      </w:r>
      <w:r>
        <w:rPr>
          <w:rStyle w:val="12"/>
          <w:rFonts w:hint="eastAsia" w:ascii="仿宋" w:hAnsi="仿宋" w:eastAsia="仿宋" w:cs="仿宋"/>
          <w:color w:val="auto"/>
          <w:sz w:val="32"/>
          <w:szCs w:val="32"/>
        </w:rPr>
        <w:t>项目支出</w:t>
      </w:r>
      <w:r>
        <w:rPr>
          <w:rStyle w:val="12"/>
          <w:rFonts w:hint="eastAsia" w:ascii="仿宋" w:hAnsi="仿宋" w:eastAsia="仿宋" w:cs="仿宋"/>
          <w:color w:val="auto"/>
          <w:sz w:val="32"/>
          <w:szCs w:val="32"/>
          <w:lang w:val="en-US" w:eastAsia="zh-CN"/>
        </w:rPr>
        <w:t>16.68</w:t>
      </w:r>
      <w:r>
        <w:rPr>
          <w:rStyle w:val="12"/>
          <w:rFonts w:hint="eastAsia" w:ascii="仿宋" w:hAnsi="仿宋" w:eastAsia="仿宋" w:cs="仿宋"/>
          <w:color w:val="auto"/>
          <w:sz w:val="32"/>
          <w:szCs w:val="32"/>
        </w:rPr>
        <w:t>万元,较上年预算安排</w:t>
      </w:r>
      <w:r>
        <w:rPr>
          <w:rStyle w:val="12"/>
          <w:rFonts w:hint="eastAsia" w:ascii="仿宋" w:hAnsi="仿宋" w:eastAsia="仿宋" w:cs="仿宋"/>
          <w:color w:val="auto"/>
          <w:sz w:val="32"/>
          <w:szCs w:val="32"/>
          <w:lang w:val="en-US" w:eastAsia="zh-CN"/>
        </w:rPr>
        <w:t>增加10.68</w:t>
      </w:r>
      <w:r>
        <w:rPr>
          <w:rStyle w:val="12"/>
          <w:rFonts w:hint="eastAsia" w:ascii="仿宋" w:hAnsi="仿宋" w:eastAsia="仿宋" w:cs="仿宋"/>
          <w:color w:val="auto"/>
          <w:sz w:val="32"/>
          <w:szCs w:val="32"/>
        </w:rPr>
        <w:t>万元;其中：商品和服务支出</w:t>
      </w:r>
      <w:r>
        <w:rPr>
          <w:rStyle w:val="12"/>
          <w:rFonts w:hint="eastAsia" w:ascii="仿宋" w:hAnsi="仿宋" w:eastAsia="仿宋" w:cs="仿宋"/>
          <w:color w:val="auto"/>
          <w:sz w:val="32"/>
          <w:szCs w:val="32"/>
          <w:lang w:val="en-US" w:eastAsia="zh-CN"/>
        </w:rPr>
        <w:t>16.68</w:t>
      </w:r>
      <w:r>
        <w:rPr>
          <w:rStyle w:val="12"/>
          <w:rFonts w:hint="eastAsia" w:ascii="仿宋" w:hAnsi="仿宋" w:eastAsia="仿宋" w:cs="仿宋"/>
          <w:color w:val="auto"/>
          <w:sz w:val="32"/>
          <w:szCs w:val="32"/>
        </w:rPr>
        <w:t>万元,资本性支出</w:t>
      </w:r>
      <w:r>
        <w:rPr>
          <w:rStyle w:val="12"/>
          <w:rFonts w:hint="eastAsia" w:ascii="仿宋" w:hAnsi="仿宋" w:eastAsia="仿宋" w:cs="仿宋"/>
          <w:color w:val="auto"/>
          <w:sz w:val="32"/>
          <w:szCs w:val="32"/>
          <w:lang w:val="en-US" w:eastAsia="zh-CN"/>
        </w:rPr>
        <w:t>5.10</w:t>
      </w:r>
      <w:r>
        <w:rPr>
          <w:rStyle w:val="12"/>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14:paraId="6F774061">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(四)政府性基金情况</w:t>
      </w:r>
    </w:p>
    <w:p w14:paraId="197279E6">
      <w:pPr>
        <w:ind w:firstLine="640" w:firstLineChars="200"/>
        <w:rPr>
          <w:rStyle w:val="12"/>
          <w:rFonts w:hint="eastAsia" w:ascii="仿宋" w:hAnsi="仿宋" w:eastAsia="仿宋" w:cs="仿宋"/>
          <w:b w:val="0"/>
          <w:bCs/>
          <w:color w:val="auto"/>
          <w:sz w:val="32"/>
          <w:szCs w:val="32"/>
        </w:rPr>
      </w:pPr>
      <w:r>
        <w:rPr>
          <w:rStyle w:val="12"/>
          <w:rFonts w:hint="eastAsia" w:ascii="仿宋" w:hAnsi="仿宋" w:eastAsia="仿宋" w:cs="仿宋"/>
          <w:b w:val="0"/>
          <w:bCs/>
          <w:color w:val="auto"/>
          <w:sz w:val="32"/>
          <w:szCs w:val="32"/>
        </w:rPr>
        <w:t>本单位没有使用政府性基金预算拨款安排的支出</w:t>
      </w:r>
    </w:p>
    <w:p w14:paraId="592079FE">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（五）国有资本经营情况</w:t>
      </w:r>
    </w:p>
    <w:p w14:paraId="3BF8515D">
      <w:pPr>
        <w:widowControl/>
        <w:ind w:firstLine="640" w:firstLineChars="200"/>
        <w:rPr>
          <w:rStyle w:val="12"/>
          <w:rFonts w:hint="eastAsia" w:ascii="仿宋" w:hAnsi="仿宋" w:eastAsia="仿宋" w:cs="仿宋"/>
          <w:color w:val="auto"/>
          <w:sz w:val="32"/>
          <w:szCs w:val="32"/>
          <w:lang w:val="en-US" w:eastAsia="zh-CN"/>
        </w:rPr>
      </w:pPr>
      <w:r>
        <w:rPr>
          <w:rStyle w:val="12"/>
          <w:rFonts w:hint="eastAsia" w:ascii="仿宋" w:hAnsi="仿宋" w:eastAsia="仿宋" w:cs="仿宋"/>
          <w:color w:val="auto"/>
          <w:sz w:val="32"/>
          <w:szCs w:val="32"/>
        </w:rPr>
        <w:t>本单位没有使用国有资本经营预算拨款安排的支出</w:t>
      </w:r>
      <w:r>
        <w:rPr>
          <w:rStyle w:val="12"/>
          <w:rFonts w:hint="eastAsia" w:ascii="仿宋" w:hAnsi="仿宋" w:eastAsia="仿宋" w:cs="仿宋"/>
          <w:color w:val="auto"/>
          <w:sz w:val="32"/>
          <w:szCs w:val="32"/>
          <w:lang w:eastAsia="zh-CN"/>
        </w:rPr>
        <w:t>。</w:t>
      </w:r>
    </w:p>
    <w:p w14:paraId="4006D342">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 xml:space="preserve"> (六)机关运行经费等重要事项的说明</w:t>
      </w:r>
    </w:p>
    <w:p w14:paraId="25A6E2C4">
      <w:pPr>
        <w:widowControl/>
        <w:spacing w:line="580" w:lineRule="exact"/>
        <w:ind w:firstLine="636"/>
        <w:jc w:val="left"/>
        <w:rPr>
          <w:rFonts w:hint="eastAsia" w:ascii="仿宋" w:hAnsi="仿宋" w:eastAsia="仿宋" w:cs="仿宋"/>
          <w:b w:val="0"/>
          <w:bCs/>
          <w:color w:val="auto"/>
          <w:sz w:val="32"/>
          <w:szCs w:val="32"/>
        </w:rPr>
      </w:pPr>
      <w:r>
        <w:rPr>
          <w:rStyle w:val="12"/>
          <w:rFonts w:hint="eastAsia" w:ascii="仿宋" w:hAnsi="仿宋" w:eastAsia="仿宋" w:cs="仿宋"/>
          <w:b w:val="0"/>
          <w:bCs/>
          <w:color w:val="auto"/>
          <w:sz w:val="32"/>
          <w:szCs w:val="32"/>
        </w:rPr>
        <w:t>本单位非行政参公单位，无机关运行经费</w:t>
      </w:r>
    </w:p>
    <w:p w14:paraId="69FF698F">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(七)政府采购情况</w:t>
      </w:r>
    </w:p>
    <w:p w14:paraId="0320AC63">
      <w:pPr>
        <w:rPr>
          <w:rFonts w:hint="eastAsia" w:ascii="仿宋" w:hAnsi="仿宋" w:eastAsia="仿宋" w:cs="仿宋"/>
          <w:color w:val="auto"/>
          <w:sz w:val="32"/>
          <w:szCs w:val="32"/>
        </w:rPr>
      </w:pPr>
      <w:r>
        <w:rPr>
          <w:rStyle w:val="12"/>
          <w:rFonts w:hint="eastAsia" w:ascii="仿宋" w:hAnsi="仿宋" w:eastAsia="仿宋" w:cs="仿宋"/>
          <w:b/>
          <w:color w:val="auto"/>
          <w:sz w:val="32"/>
          <w:szCs w:val="32"/>
        </w:rPr>
        <w:t xml:space="preserve">   </w:t>
      </w:r>
      <w:r>
        <w:rPr>
          <w:rStyle w:val="12"/>
          <w:rFonts w:hint="eastAsia" w:ascii="仿宋" w:hAnsi="仿宋" w:eastAsia="仿宋" w:cs="仿宋"/>
          <w:b/>
          <w:color w:val="auto"/>
          <w:sz w:val="32"/>
          <w:szCs w:val="32"/>
          <w:lang w:val="en-US" w:eastAsia="zh-CN"/>
        </w:rPr>
        <w:t xml:space="preserve"> </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年政府采购总额</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万元,其中: 政府采购货物预算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政府采购工程预算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 政府采购服务预算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w:t>
      </w:r>
    </w:p>
    <w:p w14:paraId="0A2187EB">
      <w:p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(八)国有资产占有使用情况</w:t>
      </w:r>
    </w:p>
    <w:p w14:paraId="6065DF99">
      <w:pPr>
        <w:ind w:firstLine="642"/>
        <w:rPr>
          <w:rFonts w:hint="eastAsia" w:ascii="仿宋" w:hAnsi="仿宋" w:eastAsia="仿宋" w:cs="仿宋"/>
          <w:color w:val="auto"/>
          <w:sz w:val="32"/>
          <w:szCs w:val="32"/>
        </w:rPr>
      </w:pPr>
      <w:r>
        <w:rPr>
          <w:rFonts w:hint="eastAsia" w:ascii="仿宋" w:hAnsi="仿宋" w:eastAsia="仿宋" w:cs="仿宋"/>
          <w:color w:val="auto"/>
          <w:sz w:val="32"/>
          <w:szCs w:val="32"/>
        </w:rPr>
        <w:t>截至</w:t>
      </w:r>
      <w:r>
        <w:rPr>
          <w:rFonts w:hint="eastAsia" w:ascii="仿宋" w:hAnsi="仿宋" w:eastAsia="仿宋" w:cs="仿宋"/>
          <w:color w:val="auto"/>
          <w:sz w:val="32"/>
          <w:szCs w:val="32"/>
          <w:lang w:val="en-US" w:eastAsia="zh-CN"/>
        </w:rPr>
        <w:t>2023</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 xml:space="preserve">日, </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${page540426799.ds376136392_REP_JX_BAS_AGENCY_INFO_DXQRSDW_S_CLSYS}</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单位共有车辆</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辆,其中：一般公务用车实有数</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rPr>
        <w:fldChar w:fldCharType="end"/>
      </w:r>
    </w:p>
    <w:p w14:paraId="1D142E3C">
      <w:pPr>
        <w:ind w:firstLine="642"/>
        <w:rPr>
          <w:rStyle w:val="12"/>
          <w:rFonts w:hint="eastAsia" w:ascii="仿宋" w:hAnsi="仿宋" w:eastAsia="仿宋" w:cs="仿宋"/>
          <w:b/>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年单位预算安排购置车辆</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rPr>
        <w:t>辆，安排购置单位价值200万元以上大型设备具体为：</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u w:val="none"/>
        </w:rPr>
        <w:t xml:space="preserve"> </w:t>
      </w:r>
      <w:r>
        <w:rPr>
          <w:rFonts w:hint="eastAsia" w:ascii="仿宋" w:hAnsi="仿宋" w:eastAsia="仿宋" w:cs="仿宋"/>
          <w:color w:val="auto"/>
          <w:sz w:val="32"/>
          <w:szCs w:val="32"/>
        </w:rPr>
        <w:t>。</w:t>
      </w:r>
    </w:p>
    <w:p w14:paraId="6EE8E009">
      <w:pPr>
        <w:numPr>
          <w:ilvl w:val="0"/>
          <w:numId w:val="1"/>
        </w:numPr>
        <w:ind w:firstLine="321" w:firstLineChars="100"/>
        <w:rPr>
          <w:rStyle w:val="12"/>
          <w:rFonts w:hint="eastAsia" w:ascii="仿宋" w:hAnsi="仿宋" w:eastAsia="仿宋" w:cs="仿宋"/>
          <w:b/>
          <w:color w:val="auto"/>
          <w:sz w:val="32"/>
          <w:szCs w:val="32"/>
        </w:rPr>
      </w:pPr>
      <w:r>
        <w:rPr>
          <w:rStyle w:val="12"/>
          <w:rFonts w:hint="eastAsia" w:ascii="仿宋" w:hAnsi="仿宋" w:eastAsia="仿宋" w:cs="仿宋"/>
          <w:b/>
          <w:color w:val="auto"/>
          <w:sz w:val="32"/>
          <w:szCs w:val="32"/>
        </w:rPr>
        <w:t>项目情况说明</w:t>
      </w:r>
    </w:p>
    <w:p w14:paraId="6B3104D7">
      <w:pPr>
        <w:numPr>
          <w:ilvl w:val="0"/>
          <w:numId w:val="0"/>
        </w:numPr>
        <w:rPr>
          <w:rStyle w:val="12"/>
          <w:rFonts w:hint="eastAsia" w:ascii="仿宋" w:hAnsi="仿宋" w:eastAsia="仿宋" w:cs="仿宋"/>
          <w:b/>
          <w:color w:val="auto"/>
          <w:sz w:val="32"/>
          <w:szCs w:val="32"/>
          <w:lang w:val="en-US" w:eastAsia="zh-CN"/>
        </w:rPr>
      </w:pPr>
      <w:r>
        <w:rPr>
          <w:rStyle w:val="12"/>
          <w:rFonts w:hint="eastAsia" w:ascii="仿宋" w:hAnsi="仿宋" w:eastAsia="仿宋" w:cs="仿宋"/>
          <w:b/>
          <w:color w:val="auto"/>
          <w:sz w:val="32"/>
          <w:szCs w:val="32"/>
          <w:lang w:val="en-US" w:eastAsia="zh-CN"/>
        </w:rPr>
        <w:t xml:space="preserve">     1、幼儿园保安经费</w:t>
      </w:r>
    </w:p>
    <w:p w14:paraId="1FE01CA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:庐山风景名胜区管理局幼儿园校园保安经费</w:t>
      </w:r>
    </w:p>
    <w:p w14:paraId="5F1468C0">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为保障校园安全，历年财政预算安排2名保安人员经费。</w:t>
      </w:r>
    </w:p>
    <w:p w14:paraId="7E7EAB7B">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w:t>
      </w:r>
    </w:p>
    <w:p w14:paraId="665DD338">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庐山风景名胜区管理局幼儿园校园保安服务</w:t>
      </w:r>
    </w:p>
    <w:p w14:paraId="7324F149">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4A544125">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年度预算资金5.28万元。</w:t>
      </w:r>
    </w:p>
    <w:p w14:paraId="3EEC5808">
      <w:pPr>
        <w:ind w:firstLine="642"/>
        <w:rPr>
          <w:rFonts w:hint="eastAsia" w:ascii="仿宋" w:hAnsi="仿宋" w:eastAsia="仿宋" w:cs="仿宋"/>
          <w:color w:val="auto"/>
          <w:sz w:val="32"/>
          <w:szCs w:val="32"/>
          <w:lang w:val="en-US" w:eastAsia="zh-CN"/>
        </w:rPr>
      </w:pPr>
    </w:p>
    <w:p w14:paraId="69E260F6">
      <w:pPr>
        <w:numPr>
          <w:ilvl w:val="0"/>
          <w:numId w:val="0"/>
        </w:numPr>
        <w:rPr>
          <w:rStyle w:val="12"/>
          <w:rFonts w:hint="eastAsia" w:ascii="仿宋" w:hAnsi="仿宋" w:eastAsia="仿宋" w:cs="仿宋"/>
          <w:b/>
          <w:color w:val="auto"/>
          <w:sz w:val="32"/>
          <w:szCs w:val="32"/>
          <w:lang w:val="en-US" w:eastAsia="zh-CN"/>
        </w:rPr>
      </w:pPr>
      <w:r>
        <w:rPr>
          <w:rStyle w:val="12"/>
          <w:rFonts w:hint="eastAsia" w:ascii="仿宋" w:hAnsi="仿宋" w:eastAsia="仿宋" w:cs="仿宋"/>
          <w:b/>
          <w:color w:val="auto"/>
          <w:sz w:val="32"/>
          <w:szCs w:val="32"/>
          <w:lang w:val="en-US" w:eastAsia="zh-CN"/>
        </w:rPr>
        <w:t xml:space="preserve">     2、事业收入支出</w:t>
      </w:r>
    </w:p>
    <w:p w14:paraId="65967393">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:庐山风景名胜区管理局幼儿园事业收入单位安排支出。</w:t>
      </w:r>
    </w:p>
    <w:p w14:paraId="0C3E5579">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为保证学校日常工作正常开展，单位自有资金转入一体化平台支付。</w:t>
      </w:r>
    </w:p>
    <w:p w14:paraId="79D7759F">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w:t>
      </w:r>
    </w:p>
    <w:p w14:paraId="16D67ECE">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庐山风景名胜区管理局幼儿园事业收入单位安排支出。</w:t>
      </w:r>
    </w:p>
    <w:p w14:paraId="1223DE9F">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5814C1D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年度预算资金50万元。</w:t>
      </w:r>
    </w:p>
    <w:p w14:paraId="64FBA36A">
      <w:pPr>
        <w:ind w:firstLine="642"/>
        <w:rPr>
          <w:rFonts w:hint="eastAsia" w:ascii="仿宋" w:hAnsi="仿宋" w:eastAsia="仿宋" w:cs="仿宋"/>
          <w:color w:val="auto"/>
          <w:sz w:val="32"/>
          <w:szCs w:val="32"/>
          <w:lang w:val="en-US" w:eastAsia="zh-CN"/>
        </w:rPr>
      </w:pPr>
    </w:p>
    <w:p w14:paraId="62BA07CE">
      <w:pPr>
        <w:numPr>
          <w:ilvl w:val="0"/>
          <w:numId w:val="0"/>
        </w:numPr>
        <w:ind w:firstLine="643" w:firstLineChars="200"/>
        <w:rPr>
          <w:rStyle w:val="12"/>
          <w:rFonts w:hint="eastAsia" w:ascii="仿宋" w:hAnsi="仿宋" w:eastAsia="仿宋" w:cs="仿宋"/>
          <w:b/>
          <w:color w:val="auto"/>
          <w:sz w:val="32"/>
          <w:szCs w:val="32"/>
          <w:lang w:val="en-US" w:eastAsia="zh-CN"/>
        </w:rPr>
      </w:pPr>
      <w:r>
        <w:rPr>
          <w:rStyle w:val="12"/>
          <w:rFonts w:hint="eastAsia" w:ascii="仿宋" w:hAnsi="仿宋" w:eastAsia="仿宋" w:cs="仿宋"/>
          <w:b/>
          <w:color w:val="auto"/>
          <w:sz w:val="32"/>
          <w:szCs w:val="32"/>
          <w:lang w:val="en-US" w:eastAsia="zh-CN"/>
        </w:rPr>
        <w:t xml:space="preserve"> 3、福利保障经费</w:t>
      </w:r>
    </w:p>
    <w:p w14:paraId="03AE17D8">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1）项目概述</w:t>
      </w:r>
      <w:r>
        <w:rPr>
          <w:rFonts w:hint="eastAsia" w:ascii="仿宋" w:hAnsi="仿宋" w:eastAsia="仿宋" w:cs="仿宋"/>
          <w:color w:val="auto"/>
          <w:sz w:val="32"/>
          <w:szCs w:val="32"/>
          <w:lang w:val="en-US" w:eastAsia="zh-CN"/>
        </w:rPr>
        <w:t>:庐山风景名胜区管理局幼儿园福利保障经费。</w:t>
      </w:r>
    </w:p>
    <w:p w14:paraId="21AFC01B">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2）立项依据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保证职工福利待遇正常发放。</w:t>
      </w:r>
    </w:p>
    <w:p w14:paraId="24CF5263">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3）实施主体</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w:t>
      </w:r>
    </w:p>
    <w:p w14:paraId="03CE03B3">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4）实施方案</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庐山风景名胜区管理局幼儿园福利保障经费支出</w:t>
      </w:r>
    </w:p>
    <w:p w14:paraId="362BD35C">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rPr>
        <w:t xml:space="preserve">   5）实施周期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2024年度</w:t>
      </w:r>
    </w:p>
    <w:p w14:paraId="06047176">
      <w:pPr>
        <w:ind w:firstLine="642"/>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 xml:space="preserve">   6）年度预算安排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年度预算资金11.4万元。</w:t>
      </w:r>
    </w:p>
    <w:p w14:paraId="72943BD2">
      <w:pPr>
        <w:widowControl/>
        <w:spacing w:line="580" w:lineRule="exact"/>
        <w:ind w:firstLine="636"/>
        <w:jc w:val="left"/>
        <w:rPr>
          <w:rFonts w:hint="eastAsia" w:ascii="仿宋" w:hAnsi="仿宋" w:eastAsia="仿宋" w:cs="仿宋"/>
          <w:color w:val="auto"/>
          <w:sz w:val="32"/>
          <w:szCs w:val="32"/>
        </w:rPr>
      </w:pPr>
    </w:p>
    <w:p w14:paraId="1D95D3FC">
      <w:pPr>
        <w:widowControl/>
        <w:spacing w:line="580" w:lineRule="exact"/>
        <w:jc w:val="left"/>
        <w:rPr>
          <w:rFonts w:hint="eastAsia" w:ascii="仿宋" w:hAnsi="仿宋" w:eastAsia="仿宋" w:cs="仿宋"/>
          <w:b/>
          <w:color w:val="auto"/>
          <w:sz w:val="32"/>
          <w:szCs w:val="32"/>
        </w:rPr>
      </w:pPr>
      <w:r>
        <w:rPr>
          <w:rFonts w:hint="eastAsia" w:ascii="仿宋" w:hAnsi="仿宋" w:eastAsia="仿宋" w:cs="仿宋"/>
          <w:b/>
          <w:color w:val="auto"/>
          <w:kern w:val="0"/>
          <w:sz w:val="32"/>
          <w:szCs w:val="32"/>
        </w:rPr>
        <w:t>二、</w:t>
      </w:r>
      <w:r>
        <w:rPr>
          <w:rFonts w:hint="eastAsia" w:ascii="仿宋" w:hAnsi="仿宋" w:eastAsia="仿宋" w:cs="仿宋"/>
          <w:b/>
          <w:color w:val="auto"/>
          <w:sz w:val="32"/>
          <w:szCs w:val="32"/>
        </w:rPr>
        <w:t>202</w:t>
      </w:r>
      <w:r>
        <w:rPr>
          <w:rFonts w:hint="eastAsia" w:ascii="仿宋" w:hAnsi="仿宋" w:eastAsia="仿宋" w:cs="仿宋"/>
          <w:b/>
          <w:color w:val="auto"/>
          <w:sz w:val="32"/>
          <w:szCs w:val="32"/>
          <w:lang w:val="en-US" w:eastAsia="zh-CN"/>
        </w:rPr>
        <w:t>4</w:t>
      </w:r>
      <w:r>
        <w:rPr>
          <w:rFonts w:hint="eastAsia" w:ascii="仿宋" w:hAnsi="仿宋" w:eastAsia="仿宋" w:cs="仿宋"/>
          <w:b/>
          <w:color w:val="auto"/>
          <w:sz w:val="32"/>
          <w:szCs w:val="32"/>
        </w:rPr>
        <w:t>年“三公”经费预算情况说明</w:t>
      </w:r>
    </w:p>
    <w:p w14:paraId="0801815B">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年</w:t>
      </w:r>
      <w:r>
        <w:rPr>
          <w:rFonts w:hint="eastAsia" w:ascii="仿宋" w:hAnsi="仿宋" w:eastAsia="仿宋" w:cs="仿宋"/>
          <w:bCs/>
          <w:color w:val="auto"/>
          <w:sz w:val="32"/>
          <w:szCs w:val="32"/>
        </w:rPr>
        <w:fldChar w:fldCharType="begin"/>
      </w:r>
      <w:r>
        <w:rPr>
          <w:rFonts w:hint="eastAsia" w:ascii="仿宋" w:hAnsi="仿宋" w:eastAsia="仿宋" w:cs="仿宋"/>
          <w:bCs/>
          <w:color w:val="auto"/>
          <w:sz w:val="32"/>
          <w:szCs w:val="32"/>
        </w:rPr>
        <w:instrText xml:space="preserve">MERGEFIELD ${page540426799.ds254512694_REP_JXJC_AGENCY_WZR_NAME}</w:instrText>
      </w:r>
      <w:r>
        <w:rPr>
          <w:rFonts w:hint="eastAsia" w:ascii="仿宋" w:hAnsi="仿宋" w:eastAsia="仿宋" w:cs="仿宋"/>
          <w:bCs/>
          <w:color w:val="auto"/>
          <w:sz w:val="32"/>
          <w:szCs w:val="32"/>
        </w:rPr>
        <w:fldChar w:fldCharType="separate"/>
      </w:r>
      <w:r>
        <w:rPr>
          <w:rFonts w:hint="eastAsia" w:ascii="仿宋" w:hAnsi="仿宋" w:eastAsia="仿宋" w:cs="仿宋"/>
          <w:bCs/>
          <w:color w:val="auto"/>
          <w:sz w:val="32"/>
          <w:szCs w:val="32"/>
          <w:lang w:eastAsia="zh-CN"/>
        </w:rPr>
        <w:t>庐山风景名胜区管理局幼儿园</w:t>
      </w:r>
      <w:r>
        <w:rPr>
          <w:rFonts w:hint="eastAsia" w:ascii="仿宋" w:hAnsi="仿宋" w:eastAsia="仿宋" w:cs="仿宋"/>
          <w:color w:val="auto"/>
          <w:sz w:val="32"/>
          <w:szCs w:val="32"/>
        </w:rPr>
        <w:fldChar w:fldCharType="end"/>
      </w:r>
      <w:r>
        <w:rPr>
          <w:rFonts w:hint="eastAsia" w:ascii="仿宋" w:hAnsi="仿宋" w:eastAsia="仿宋" w:cs="仿宋"/>
          <w:bCs/>
          <w:color w:val="auto"/>
          <w:sz w:val="32"/>
          <w:szCs w:val="32"/>
        </w:rPr>
        <w:t>"三公"经费财政拨款安排</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万元，其中：</w:t>
      </w:r>
    </w:p>
    <w:p w14:paraId="3AD8C391">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因公出国</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Fonts w:hint="eastAsia" w:ascii="仿宋" w:hAnsi="仿宋" w:eastAsia="仿宋" w:cs="仿宋"/>
          <w:bCs/>
          <w:color w:val="auto"/>
          <w:sz w:val="32"/>
          <w:szCs w:val="32"/>
          <w:lang w:val="en-US" w:eastAsia="zh-CN"/>
        </w:rPr>
        <w:t>本单位本年度未安排因公出国经费</w:t>
      </w:r>
      <w:r>
        <w:rPr>
          <w:rFonts w:hint="eastAsia" w:ascii="仿宋" w:hAnsi="仿宋" w:eastAsia="仿宋" w:cs="仿宋"/>
          <w:bCs/>
          <w:color w:val="auto"/>
          <w:sz w:val="32"/>
          <w:szCs w:val="32"/>
        </w:rPr>
        <w:t>。</w:t>
      </w:r>
    </w:p>
    <w:p w14:paraId="782F99AF">
      <w:pPr>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公务接待</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Cs/>
          <w:color w:val="auto"/>
          <w:sz w:val="32"/>
          <w:szCs w:val="32"/>
        </w:rPr>
        <w:t>。</w:t>
      </w:r>
    </w:p>
    <w:p w14:paraId="34C831D4">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Cs/>
          <w:color w:val="auto"/>
          <w:sz w:val="32"/>
          <w:szCs w:val="32"/>
        </w:rPr>
        <w:t>公务用车运行</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0BCFFB62">
      <w:pPr>
        <w:ind w:firstLine="640" w:firstLineChars="200"/>
        <w:jc w:val="left"/>
        <w:rPr>
          <w:rFonts w:hint="eastAsia" w:ascii="仿宋" w:hAnsi="仿宋" w:eastAsia="仿宋" w:cs="仿宋"/>
          <w:b w:val="0"/>
          <w:bCs/>
          <w:color w:val="auto"/>
          <w:sz w:val="32"/>
          <w:szCs w:val="32"/>
        </w:rPr>
      </w:pPr>
      <w:r>
        <w:rPr>
          <w:rFonts w:hint="eastAsia" w:ascii="仿宋" w:hAnsi="仿宋" w:eastAsia="仿宋" w:cs="仿宋"/>
          <w:bCs/>
          <w:color w:val="auto"/>
          <w:sz w:val="32"/>
          <w:szCs w:val="32"/>
        </w:rPr>
        <w:t>公务用车购置</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万元,比上年增（减）</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r>
        <w:rPr>
          <w:rFonts w:hint="eastAsia" w:ascii="仿宋" w:hAnsi="仿宋" w:eastAsia="仿宋" w:cs="仿宋"/>
          <w:b w:val="0"/>
          <w:bCs/>
          <w:color w:val="auto"/>
          <w:sz w:val="32"/>
          <w:szCs w:val="32"/>
        </w:rPr>
        <w:fldChar w:fldCharType="begin"/>
      </w:r>
      <w:r>
        <w:rPr>
          <w:rFonts w:hint="eastAsia" w:ascii="仿宋" w:hAnsi="仿宋" w:eastAsia="仿宋" w:cs="仿宋"/>
          <w:b w:val="0"/>
          <w:bCs/>
          <w:color w:val="auto"/>
          <w:sz w:val="32"/>
          <w:szCs w:val="32"/>
        </w:rPr>
        <w:instrText xml:space="preserve">MERGEFIELD ${page400644146.ds215660413_REP_BGT_T_HC1100002019_DXQ02_ZCSGGZ}</w:instrText>
      </w:r>
      <w:r>
        <w:rPr>
          <w:rFonts w:hint="eastAsia" w:ascii="仿宋" w:hAnsi="仿宋" w:eastAsia="仿宋" w:cs="仿宋"/>
          <w:b w:val="0"/>
          <w:bCs/>
          <w:color w:val="auto"/>
          <w:sz w:val="32"/>
          <w:szCs w:val="32"/>
        </w:rPr>
        <w:fldChar w:fldCharType="end"/>
      </w:r>
    </w:p>
    <w:p w14:paraId="091D0514">
      <w:pPr>
        <w:widowControl/>
        <w:spacing w:line="580" w:lineRule="exact"/>
        <w:ind w:firstLine="636"/>
        <w:jc w:val="left"/>
        <w:rPr>
          <w:rStyle w:val="12"/>
          <w:rFonts w:hint="eastAsia" w:ascii="仿宋" w:hAnsi="仿宋" w:eastAsia="仿宋" w:cs="仿宋"/>
          <w:color w:val="auto"/>
          <w:sz w:val="32"/>
          <w:szCs w:val="32"/>
        </w:rPr>
      </w:pPr>
    </w:p>
    <w:p w14:paraId="125DF5E4">
      <w:pPr>
        <w:widowControl/>
        <w:spacing w:line="580" w:lineRule="exact"/>
        <w:ind w:firstLine="636"/>
        <w:jc w:val="left"/>
        <w:rPr>
          <w:rStyle w:val="12"/>
          <w:rFonts w:hint="eastAsia" w:ascii="仿宋" w:hAnsi="仿宋" w:eastAsia="仿宋" w:cs="仿宋"/>
          <w:color w:val="auto"/>
          <w:sz w:val="32"/>
          <w:szCs w:val="32"/>
        </w:rPr>
      </w:pPr>
    </w:p>
    <w:p w14:paraId="5C35F0F4">
      <w:pPr>
        <w:widowControl/>
        <w:spacing w:line="580" w:lineRule="exact"/>
        <w:ind w:firstLine="636"/>
        <w:jc w:val="left"/>
        <w:rPr>
          <w:rStyle w:val="12"/>
          <w:rFonts w:hint="eastAsia" w:ascii="仿宋" w:hAnsi="仿宋" w:eastAsia="仿宋" w:cs="仿宋"/>
          <w:color w:val="auto"/>
          <w:sz w:val="32"/>
          <w:szCs w:val="32"/>
        </w:rPr>
      </w:pPr>
    </w:p>
    <w:p w14:paraId="3F0DD306">
      <w:pPr>
        <w:widowControl/>
        <w:spacing w:line="580" w:lineRule="exact"/>
        <w:ind w:firstLine="636"/>
        <w:jc w:val="left"/>
        <w:rPr>
          <w:rStyle w:val="12"/>
          <w:rFonts w:hint="eastAsia" w:ascii="仿宋" w:hAnsi="仿宋" w:eastAsia="仿宋" w:cs="仿宋"/>
          <w:color w:val="auto"/>
          <w:sz w:val="32"/>
          <w:szCs w:val="32"/>
        </w:rPr>
      </w:pPr>
    </w:p>
    <w:p w14:paraId="48A6C71D">
      <w:pPr>
        <w:widowControl/>
        <w:spacing w:line="580" w:lineRule="exact"/>
        <w:ind w:firstLine="636"/>
        <w:jc w:val="left"/>
        <w:rPr>
          <w:rStyle w:val="12"/>
          <w:rFonts w:hint="eastAsia" w:ascii="仿宋" w:hAnsi="仿宋" w:eastAsia="仿宋" w:cs="仿宋"/>
          <w:color w:val="auto"/>
          <w:sz w:val="32"/>
          <w:szCs w:val="32"/>
        </w:rPr>
      </w:pPr>
    </w:p>
    <w:p w14:paraId="67914834">
      <w:pPr>
        <w:widowControl/>
        <w:spacing w:line="580" w:lineRule="exact"/>
        <w:ind w:firstLine="636"/>
        <w:jc w:val="left"/>
        <w:rPr>
          <w:rStyle w:val="12"/>
          <w:rFonts w:hint="eastAsia" w:ascii="仿宋" w:hAnsi="仿宋" w:eastAsia="仿宋" w:cs="仿宋"/>
          <w:color w:val="auto"/>
          <w:sz w:val="32"/>
          <w:szCs w:val="32"/>
        </w:rPr>
      </w:pPr>
    </w:p>
    <w:p w14:paraId="196B3BFE">
      <w:pPr>
        <w:widowControl/>
        <w:spacing w:line="580" w:lineRule="exact"/>
        <w:ind w:firstLine="636"/>
        <w:jc w:val="left"/>
        <w:rPr>
          <w:rStyle w:val="12"/>
          <w:rFonts w:hint="eastAsia" w:ascii="仿宋" w:hAnsi="仿宋" w:eastAsia="仿宋" w:cs="仿宋"/>
          <w:color w:val="auto"/>
          <w:sz w:val="32"/>
          <w:szCs w:val="32"/>
        </w:rPr>
      </w:pPr>
    </w:p>
    <w:p w14:paraId="31E04BAD">
      <w:pPr>
        <w:widowControl/>
        <w:spacing w:line="580" w:lineRule="exact"/>
        <w:ind w:firstLine="636"/>
        <w:jc w:val="left"/>
        <w:rPr>
          <w:rStyle w:val="12"/>
          <w:rFonts w:hint="eastAsia" w:ascii="仿宋" w:hAnsi="仿宋" w:eastAsia="仿宋" w:cs="仿宋"/>
          <w:color w:val="auto"/>
          <w:sz w:val="32"/>
          <w:szCs w:val="32"/>
        </w:rPr>
      </w:pPr>
    </w:p>
    <w:p w14:paraId="10E10860">
      <w:pPr>
        <w:widowControl/>
        <w:spacing w:line="580" w:lineRule="exact"/>
        <w:ind w:firstLine="636"/>
        <w:jc w:val="left"/>
        <w:rPr>
          <w:rStyle w:val="12"/>
          <w:rFonts w:hint="eastAsia" w:ascii="仿宋" w:hAnsi="仿宋" w:eastAsia="仿宋" w:cs="仿宋"/>
          <w:color w:val="auto"/>
          <w:sz w:val="32"/>
          <w:szCs w:val="32"/>
        </w:rPr>
      </w:pPr>
    </w:p>
    <w:p w14:paraId="122C73DA">
      <w:pPr>
        <w:widowControl/>
        <w:spacing w:line="580" w:lineRule="exact"/>
        <w:ind w:firstLine="636"/>
        <w:jc w:val="left"/>
        <w:rPr>
          <w:rStyle w:val="12"/>
          <w:rFonts w:hint="eastAsia" w:ascii="仿宋" w:hAnsi="仿宋" w:eastAsia="仿宋" w:cs="仿宋"/>
          <w:color w:val="auto"/>
          <w:sz w:val="32"/>
          <w:szCs w:val="32"/>
        </w:rPr>
      </w:pPr>
    </w:p>
    <w:p w14:paraId="3D560EDB">
      <w:pPr>
        <w:widowControl/>
        <w:spacing w:line="580" w:lineRule="exact"/>
        <w:ind w:firstLine="636"/>
        <w:jc w:val="left"/>
        <w:rPr>
          <w:rStyle w:val="12"/>
          <w:rFonts w:hint="eastAsia" w:ascii="仿宋" w:hAnsi="仿宋" w:eastAsia="仿宋" w:cs="仿宋"/>
          <w:color w:val="auto"/>
          <w:sz w:val="32"/>
          <w:szCs w:val="32"/>
        </w:rPr>
      </w:pPr>
    </w:p>
    <w:p w14:paraId="413BB99D">
      <w:pPr>
        <w:widowControl/>
        <w:spacing w:line="580" w:lineRule="exact"/>
        <w:ind w:firstLine="636"/>
        <w:jc w:val="left"/>
        <w:rPr>
          <w:rStyle w:val="12"/>
          <w:rFonts w:hint="eastAsia" w:ascii="仿宋" w:hAnsi="仿宋" w:eastAsia="仿宋" w:cs="仿宋"/>
          <w:color w:val="auto"/>
          <w:sz w:val="32"/>
          <w:szCs w:val="32"/>
        </w:rPr>
      </w:pPr>
    </w:p>
    <w:p w14:paraId="69D5AC25">
      <w:pPr>
        <w:widowControl/>
        <w:spacing w:line="580" w:lineRule="exact"/>
        <w:ind w:firstLine="636"/>
        <w:jc w:val="left"/>
        <w:rPr>
          <w:rStyle w:val="12"/>
          <w:rFonts w:hint="eastAsia" w:ascii="仿宋" w:hAnsi="仿宋" w:eastAsia="仿宋" w:cs="仿宋"/>
          <w:color w:val="auto"/>
          <w:sz w:val="32"/>
          <w:szCs w:val="32"/>
        </w:rPr>
      </w:pPr>
    </w:p>
    <w:p w14:paraId="4335229E">
      <w:pPr>
        <w:widowControl/>
        <w:spacing w:line="580" w:lineRule="exact"/>
        <w:ind w:firstLine="636"/>
        <w:jc w:val="left"/>
        <w:rPr>
          <w:rStyle w:val="12"/>
          <w:rFonts w:hint="eastAsia" w:ascii="仿宋" w:hAnsi="仿宋" w:eastAsia="仿宋" w:cs="仿宋"/>
          <w:color w:val="auto"/>
          <w:sz w:val="32"/>
          <w:szCs w:val="32"/>
        </w:rPr>
      </w:pPr>
    </w:p>
    <w:p w14:paraId="6ACAC97F">
      <w:pPr>
        <w:widowControl/>
        <w:spacing w:line="580" w:lineRule="exact"/>
        <w:ind w:firstLine="636"/>
        <w:jc w:val="left"/>
        <w:rPr>
          <w:rStyle w:val="12"/>
          <w:rFonts w:hint="eastAsia" w:ascii="仿宋" w:hAnsi="仿宋" w:eastAsia="仿宋" w:cs="仿宋"/>
          <w:color w:val="auto"/>
          <w:sz w:val="32"/>
          <w:szCs w:val="32"/>
        </w:rPr>
      </w:pPr>
    </w:p>
    <w:p w14:paraId="2D3B7F44">
      <w:pPr>
        <w:widowControl/>
        <w:spacing w:line="580" w:lineRule="exact"/>
        <w:ind w:firstLine="636"/>
        <w:jc w:val="left"/>
        <w:rPr>
          <w:rStyle w:val="12"/>
          <w:rFonts w:hint="eastAsia" w:ascii="仿宋" w:hAnsi="仿宋" w:eastAsia="仿宋" w:cs="仿宋"/>
          <w:color w:val="auto"/>
          <w:sz w:val="32"/>
          <w:szCs w:val="32"/>
        </w:rPr>
      </w:pPr>
    </w:p>
    <w:p w14:paraId="62587834">
      <w:pPr>
        <w:widowControl/>
        <w:shd w:val="clear" w:color="auto" w:fill="FFFFFF"/>
        <w:spacing w:line="640" w:lineRule="atLeast"/>
        <w:ind w:firstLine="640"/>
        <w:jc w:val="center"/>
        <w:rPr>
          <w:rFonts w:hint="eastAsia" w:ascii="仿宋" w:hAnsi="仿宋" w:eastAsia="仿宋" w:cs="仿宋"/>
          <w:b/>
          <w:color w:val="auto"/>
          <w:sz w:val="32"/>
          <w:szCs w:val="32"/>
        </w:rPr>
      </w:pPr>
    </w:p>
    <w:p w14:paraId="105A9C6E">
      <w:pPr>
        <w:widowControl/>
        <w:shd w:val="clear" w:color="auto" w:fill="FFFFFF"/>
        <w:spacing w:line="640" w:lineRule="atLeast"/>
        <w:ind w:firstLine="640"/>
        <w:jc w:val="center"/>
        <w:rPr>
          <w:rFonts w:hint="eastAsia" w:ascii="仿宋" w:hAnsi="仿宋" w:eastAsia="仿宋" w:cs="仿宋"/>
          <w:b/>
          <w:color w:val="auto"/>
          <w:sz w:val="32"/>
          <w:szCs w:val="32"/>
        </w:rPr>
      </w:pPr>
    </w:p>
    <w:p w14:paraId="7469875E">
      <w:pPr>
        <w:widowControl/>
        <w:shd w:val="clear" w:color="auto" w:fill="FFFFFF"/>
        <w:spacing w:line="640" w:lineRule="atLeast"/>
        <w:ind w:firstLine="640"/>
        <w:jc w:val="center"/>
        <w:rPr>
          <w:rFonts w:hint="eastAsia" w:ascii="仿宋" w:hAnsi="仿宋" w:eastAsia="仿宋" w:cs="仿宋"/>
          <w:b/>
          <w:color w:val="auto"/>
          <w:sz w:val="32"/>
          <w:szCs w:val="32"/>
        </w:rPr>
      </w:pPr>
    </w:p>
    <w:p w14:paraId="41CAD9AB">
      <w:pPr>
        <w:widowControl/>
        <w:shd w:val="clear" w:color="auto" w:fill="FFFFFF"/>
        <w:spacing w:line="640" w:lineRule="atLeast"/>
        <w:ind w:firstLine="640"/>
        <w:jc w:val="center"/>
        <w:rPr>
          <w:rFonts w:hint="eastAsia" w:ascii="仿宋" w:hAnsi="仿宋" w:eastAsia="仿宋" w:cs="仿宋"/>
          <w:color w:val="auto"/>
          <w:sz w:val="32"/>
          <w:szCs w:val="32"/>
        </w:rPr>
      </w:pPr>
      <w:r>
        <w:rPr>
          <w:rFonts w:hint="eastAsia" w:ascii="仿宋" w:hAnsi="仿宋" w:eastAsia="仿宋" w:cs="仿宋"/>
          <w:b/>
          <w:color w:val="auto"/>
          <w:sz w:val="32"/>
          <w:szCs w:val="32"/>
        </w:rPr>
        <w:t>第四部分   名词解释</w:t>
      </w:r>
    </w:p>
    <w:p w14:paraId="5C479CC5">
      <w:pPr>
        <w:widowControl/>
        <w:shd w:val="clear" w:color="auto" w:fill="FFFFFF"/>
        <w:spacing w:line="640" w:lineRule="atLeast"/>
        <w:ind w:firstLine="800" w:firstLineChars="250"/>
        <w:jc w:val="left"/>
        <w:rPr>
          <w:rFonts w:hint="eastAsia" w:ascii="仿宋" w:hAnsi="仿宋" w:eastAsia="仿宋" w:cs="仿宋"/>
          <w:color w:val="auto"/>
          <w:sz w:val="32"/>
          <w:szCs w:val="32"/>
        </w:rPr>
      </w:pPr>
      <w:r>
        <w:rPr>
          <w:rFonts w:hint="eastAsia" w:ascii="仿宋" w:hAnsi="仿宋" w:eastAsia="仿宋" w:cs="仿宋"/>
          <w:color w:val="auto"/>
          <w:sz w:val="32"/>
          <w:szCs w:val="32"/>
        </w:rPr>
        <w:t>一、收入科目</w:t>
      </w:r>
    </w:p>
    <w:p w14:paraId="2447FA78">
      <w:pPr>
        <w:widowControl/>
        <w:numPr>
          <w:ilvl w:val="0"/>
          <w:numId w:val="2"/>
        </w:numPr>
        <w:spacing w:line="600" w:lineRule="exact"/>
        <w:ind w:firstLine="640"/>
        <w:jc w:val="left"/>
        <w:rPr>
          <w:rFonts w:hint="eastAsia" w:ascii="仿宋" w:hAnsi="仿宋" w:eastAsia="仿宋" w:cs="仿宋"/>
          <w:color w:val="auto"/>
          <w:sz w:val="32"/>
          <w:szCs w:val="32"/>
        </w:rPr>
      </w:pPr>
      <w:r>
        <w:rPr>
          <w:rFonts w:hint="eastAsia" w:ascii="仿宋" w:hAnsi="仿宋" w:eastAsia="仿宋" w:cs="仿宋"/>
          <w:color w:val="auto"/>
          <w:sz w:val="32"/>
          <w:szCs w:val="32"/>
        </w:rPr>
        <w:t>财政拨款：指</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级财政当年拨付的资金。</w:t>
      </w:r>
    </w:p>
    <w:p w14:paraId="0135CB3E">
      <w:pPr>
        <w:widowControl/>
        <w:numPr>
          <w:ilvl w:val="0"/>
          <w:numId w:val="2"/>
        </w:numPr>
        <w:spacing w:line="600" w:lineRule="exact"/>
        <w:ind w:firstLine="640"/>
        <w:jc w:val="left"/>
        <w:rPr>
          <w:rFonts w:hint="eastAsia" w:ascii="仿宋" w:hAnsi="仿宋" w:eastAsia="仿宋" w:cs="仿宋"/>
          <w:color w:val="auto"/>
          <w:sz w:val="32"/>
          <w:szCs w:val="32"/>
        </w:rPr>
      </w:pPr>
      <w:r>
        <w:rPr>
          <w:rFonts w:hint="eastAsia" w:ascii="仿宋" w:hAnsi="仿宋" w:eastAsia="仿宋" w:cs="仿宋"/>
          <w:color w:val="auto"/>
          <w:sz w:val="32"/>
          <w:szCs w:val="32"/>
        </w:rPr>
        <w:t>教育收费资金收入：反映实行专项管理的高中以上学费、住宿费，高校委托培养费，函大、电大、夜大及短训班培训费等教育收费取得的收入。</w:t>
      </w:r>
    </w:p>
    <w:p w14:paraId="2F46C104">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（三）事业收入：指事业单位开展专业业务活动及辅助活动取得的收入。</w:t>
      </w:r>
    </w:p>
    <w:p w14:paraId="65B5E020">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（四）事业单位经营收入：指事业单位在专业业务活动及辅助活动之外开展非独立核算经营活动取得的收入。</w:t>
      </w:r>
    </w:p>
    <w:p w14:paraId="240EAD52">
      <w:pPr>
        <w:widowControl/>
        <w:spacing w:line="58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（五）附属单位上缴收入：反映事业单位附属的独立核算单位按规定标准或比例缴纳的各项收入。包括附属的事业单位上缴的收入和附属的企业上缴的利润等。</w:t>
      </w:r>
    </w:p>
    <w:p w14:paraId="3CF97D22">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（六）上级补助收入：反映事业单位从主管部门和上级单位取得的非财政补助收入。</w:t>
      </w:r>
    </w:p>
    <w:p w14:paraId="25FD63DC">
      <w:pPr>
        <w:widowControl/>
        <w:spacing w:line="600" w:lineRule="exact"/>
        <w:ind w:firstLine="636"/>
        <w:jc w:val="left"/>
        <w:rPr>
          <w:rFonts w:hint="eastAsia" w:ascii="仿宋" w:hAnsi="仿宋" w:eastAsia="仿宋" w:cs="仿宋"/>
          <w:color w:val="auto"/>
          <w:sz w:val="32"/>
          <w:szCs w:val="32"/>
        </w:rPr>
      </w:pPr>
      <w:r>
        <w:rPr>
          <w:rFonts w:hint="eastAsia" w:ascii="仿宋" w:hAnsi="仿宋" w:eastAsia="仿宋" w:cs="仿宋"/>
          <w:color w:val="auto"/>
          <w:sz w:val="32"/>
          <w:szCs w:val="32"/>
        </w:rPr>
        <w:t>（七）其他收入：指除财政拨款、事业收入、事业单位经营收入等以外的各项收入。</w:t>
      </w:r>
    </w:p>
    <w:p w14:paraId="05761D2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（八）使用非财政拨款结余：填列历年滚存的非限定用途的非统计财政拨款结余弥补202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年收支差额的数额。</w:t>
      </w:r>
    </w:p>
    <w:p w14:paraId="7E28650B">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（九）上年结转和结余：填列202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年全部结转和结余的资金数，包括当年结转结余资金和历年滚存结转结余资金。</w:t>
      </w:r>
    </w:p>
    <w:p w14:paraId="378D0AE2">
      <w:pPr>
        <w:ind w:firstLine="640" w:firstLineChars="200"/>
        <w:rPr>
          <w:rFonts w:hint="eastAsia" w:ascii="仿宋" w:hAnsi="仿宋" w:eastAsia="仿宋" w:cs="仿宋"/>
          <w:color w:val="auto"/>
          <w:sz w:val="32"/>
          <w:szCs w:val="32"/>
        </w:rPr>
      </w:pPr>
    </w:p>
    <w:p w14:paraId="431AC0B0">
      <w:pPr>
        <w:ind w:firstLine="640" w:firstLineChars="200"/>
        <w:rPr>
          <w:rFonts w:hint="eastAsia" w:ascii="仿宋" w:hAnsi="仿宋" w:eastAsia="仿宋" w:cs="仿宋"/>
          <w:color w:val="auto"/>
          <w:sz w:val="32"/>
          <w:szCs w:val="32"/>
        </w:rPr>
      </w:pPr>
    </w:p>
    <w:p w14:paraId="4D0D7B65">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二、支出科目</w:t>
      </w:r>
    </w:p>
    <w:p w14:paraId="210B7AF3">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02E2817">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项目支出：指在基本支出之外为完成特定行政任务和事业发展目标所发生的支出。</w:t>
      </w:r>
    </w:p>
    <w:p w14:paraId="6A7FF075">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经营支出：指事业单位在专业业务活动及其辅助活动之外开展非独立核算经营活动发生的支出。</w:t>
      </w:r>
    </w:p>
    <w:p w14:paraId="2B8D5738">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lang w:eastAsia="zh-CN"/>
        </w:rPr>
        <w:t>）工资福利支出（支出经济分类科目类级）：反映单位开支的在职职工和编制外长期聘用人员的各类劳动报酬，以及为上述人员缴纳的各项社会保险费等。</w:t>
      </w:r>
    </w:p>
    <w:p w14:paraId="47E77429">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）商品和服务支出（支出经济分类科目类级）：反映单位购买商品和服务的支出（不包括用于购置固定资产的支出、战略性和应急储备支出）。</w:t>
      </w:r>
    </w:p>
    <w:p w14:paraId="0342D847">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六</w:t>
      </w:r>
      <w:r>
        <w:rPr>
          <w:rFonts w:hint="eastAsia" w:ascii="仿宋" w:hAnsi="仿宋" w:eastAsia="仿宋" w:cs="仿宋"/>
          <w:color w:val="auto"/>
          <w:sz w:val="32"/>
          <w:szCs w:val="32"/>
          <w:lang w:eastAsia="zh-CN"/>
        </w:rPr>
        <w:t>）对个人和家庭的补助（支出经济分类科目类级）：反映用于对个人和家庭的补助支出。</w:t>
      </w:r>
    </w:p>
    <w:p w14:paraId="5BE4FE6A">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七</w:t>
      </w:r>
      <w:r>
        <w:rPr>
          <w:rFonts w:hint="eastAsia" w:ascii="仿宋" w:hAnsi="仿宋" w:eastAsia="仿宋" w:cs="仿宋"/>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B4E6FDD">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三、相关专业名词</w:t>
      </w:r>
    </w:p>
    <w:p w14:paraId="4046EADC">
      <w:pPr>
        <w:widowControl/>
        <w:spacing w:line="60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B8BAABB">
      <w:pPr>
        <w:widowControl/>
        <w:spacing w:line="60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19D14EC6">
      <w:pPr>
        <w:widowControl/>
        <w:spacing w:line="600" w:lineRule="exact"/>
        <w:ind w:firstLine="640" w:firstLineChars="200"/>
        <w:jc w:val="left"/>
        <w:rPr>
          <w:rFonts w:hint="eastAsia" w:ascii="仿宋" w:hAnsi="仿宋" w:eastAsia="仿宋" w:cs="仿宋"/>
          <w:color w:val="FF0000"/>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A922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30E1FBD4"/>
    <w:multiLevelType w:val="singleLevel"/>
    <w:tmpl w:val="30E1FBD4"/>
    <w:lvl w:ilvl="0" w:tentative="0">
      <w:start w:val="9"/>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6A7762"/>
    <w:rsid w:val="05EF21A1"/>
    <w:rsid w:val="067A6028"/>
    <w:rsid w:val="068F47B3"/>
    <w:rsid w:val="06F21F49"/>
    <w:rsid w:val="087010E6"/>
    <w:rsid w:val="08EC3843"/>
    <w:rsid w:val="09AA6B0A"/>
    <w:rsid w:val="0A0925FF"/>
    <w:rsid w:val="0A6C2012"/>
    <w:rsid w:val="0C97247A"/>
    <w:rsid w:val="0D1A7920"/>
    <w:rsid w:val="0D2269B3"/>
    <w:rsid w:val="0DB3098E"/>
    <w:rsid w:val="101B37FE"/>
    <w:rsid w:val="11390774"/>
    <w:rsid w:val="12220323"/>
    <w:rsid w:val="13547AE7"/>
    <w:rsid w:val="13C0517C"/>
    <w:rsid w:val="13FB007C"/>
    <w:rsid w:val="152C2AC9"/>
    <w:rsid w:val="16B036C0"/>
    <w:rsid w:val="17D80CE7"/>
    <w:rsid w:val="19F8741E"/>
    <w:rsid w:val="1A004525"/>
    <w:rsid w:val="1A705E7F"/>
    <w:rsid w:val="1ABF2D84"/>
    <w:rsid w:val="1B140288"/>
    <w:rsid w:val="1E164317"/>
    <w:rsid w:val="1E172FD7"/>
    <w:rsid w:val="1E491A3B"/>
    <w:rsid w:val="1E6908EA"/>
    <w:rsid w:val="1F1F7406"/>
    <w:rsid w:val="206D0602"/>
    <w:rsid w:val="207552A6"/>
    <w:rsid w:val="20CF4C51"/>
    <w:rsid w:val="21156B08"/>
    <w:rsid w:val="212671F1"/>
    <w:rsid w:val="22430342"/>
    <w:rsid w:val="228757E3"/>
    <w:rsid w:val="22AA14D2"/>
    <w:rsid w:val="23977FB1"/>
    <w:rsid w:val="24042E63"/>
    <w:rsid w:val="245C3447"/>
    <w:rsid w:val="25B931E9"/>
    <w:rsid w:val="261455E0"/>
    <w:rsid w:val="28263441"/>
    <w:rsid w:val="2828673B"/>
    <w:rsid w:val="283B6E6F"/>
    <w:rsid w:val="290B705B"/>
    <w:rsid w:val="29981D60"/>
    <w:rsid w:val="2A9860B3"/>
    <w:rsid w:val="2B2339AC"/>
    <w:rsid w:val="2C0E2AD1"/>
    <w:rsid w:val="2C57797E"/>
    <w:rsid w:val="304075B1"/>
    <w:rsid w:val="311C29BA"/>
    <w:rsid w:val="318814ED"/>
    <w:rsid w:val="31931AC3"/>
    <w:rsid w:val="3227669B"/>
    <w:rsid w:val="3328400E"/>
    <w:rsid w:val="351512FA"/>
    <w:rsid w:val="353D61D5"/>
    <w:rsid w:val="374647FA"/>
    <w:rsid w:val="39A3581F"/>
    <w:rsid w:val="39CE49D8"/>
    <w:rsid w:val="3A841EE9"/>
    <w:rsid w:val="3A9B7C26"/>
    <w:rsid w:val="3A9F1A72"/>
    <w:rsid w:val="3ACF1B11"/>
    <w:rsid w:val="3B7D1841"/>
    <w:rsid w:val="3B8F2AA7"/>
    <w:rsid w:val="3BA35A87"/>
    <w:rsid w:val="3BA6547C"/>
    <w:rsid w:val="3D3F610A"/>
    <w:rsid w:val="3DD2151D"/>
    <w:rsid w:val="3E410AE4"/>
    <w:rsid w:val="3F383632"/>
    <w:rsid w:val="3FA910A9"/>
    <w:rsid w:val="3FF84E58"/>
    <w:rsid w:val="4052753A"/>
    <w:rsid w:val="41737C65"/>
    <w:rsid w:val="418F589D"/>
    <w:rsid w:val="41B4781F"/>
    <w:rsid w:val="42905B96"/>
    <w:rsid w:val="42DC038C"/>
    <w:rsid w:val="43C41BF4"/>
    <w:rsid w:val="45D833CA"/>
    <w:rsid w:val="464E5AFF"/>
    <w:rsid w:val="47655843"/>
    <w:rsid w:val="4DB628F2"/>
    <w:rsid w:val="4E0D4F31"/>
    <w:rsid w:val="4EFF051F"/>
    <w:rsid w:val="50AC6291"/>
    <w:rsid w:val="528E6F80"/>
    <w:rsid w:val="53516268"/>
    <w:rsid w:val="554747DA"/>
    <w:rsid w:val="558364F3"/>
    <w:rsid w:val="55924F68"/>
    <w:rsid w:val="55EE43AE"/>
    <w:rsid w:val="56C47F55"/>
    <w:rsid w:val="573A53AA"/>
    <w:rsid w:val="5AB93E8B"/>
    <w:rsid w:val="5DC32E6C"/>
    <w:rsid w:val="5EA31F07"/>
    <w:rsid w:val="5EDA0640"/>
    <w:rsid w:val="5F193B70"/>
    <w:rsid w:val="5F27742B"/>
    <w:rsid w:val="61D17BB5"/>
    <w:rsid w:val="61D94A0C"/>
    <w:rsid w:val="61E31A71"/>
    <w:rsid w:val="62283DE4"/>
    <w:rsid w:val="62C21944"/>
    <w:rsid w:val="63E33020"/>
    <w:rsid w:val="656229B9"/>
    <w:rsid w:val="656767D3"/>
    <w:rsid w:val="658856FB"/>
    <w:rsid w:val="669435F8"/>
    <w:rsid w:val="67890C82"/>
    <w:rsid w:val="67B10C38"/>
    <w:rsid w:val="67DC7D34"/>
    <w:rsid w:val="68E97589"/>
    <w:rsid w:val="6B747DD8"/>
    <w:rsid w:val="6BE248E5"/>
    <w:rsid w:val="6C617282"/>
    <w:rsid w:val="6CCB135B"/>
    <w:rsid w:val="6D0B213A"/>
    <w:rsid w:val="6EAF555B"/>
    <w:rsid w:val="6EDB6140"/>
    <w:rsid w:val="6F084B83"/>
    <w:rsid w:val="6F2C7111"/>
    <w:rsid w:val="6F6B5112"/>
    <w:rsid w:val="714A36AC"/>
    <w:rsid w:val="71AF11DD"/>
    <w:rsid w:val="72746F20"/>
    <w:rsid w:val="72D424E3"/>
    <w:rsid w:val="73543105"/>
    <w:rsid w:val="73A85115"/>
    <w:rsid w:val="74275AAB"/>
    <w:rsid w:val="75093403"/>
    <w:rsid w:val="752244C4"/>
    <w:rsid w:val="759E1500"/>
    <w:rsid w:val="75EF25F8"/>
    <w:rsid w:val="763C15B6"/>
    <w:rsid w:val="76A01B45"/>
    <w:rsid w:val="76C3652E"/>
    <w:rsid w:val="78947487"/>
    <w:rsid w:val="78C23FF4"/>
    <w:rsid w:val="7B290310"/>
    <w:rsid w:val="7C1C38B8"/>
    <w:rsid w:val="7D1C2D3E"/>
    <w:rsid w:val="7EAD5634"/>
    <w:rsid w:val="7F4F5EB6"/>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3687</Words>
  <Characters>3952</Characters>
  <Lines>53</Lines>
  <Paragraphs>15</Paragraphs>
  <TotalTime>83</TotalTime>
  <ScaleCrop>false</ScaleCrop>
  <LinksUpToDate>false</LinksUpToDate>
  <CharactersWithSpaces>4064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2025-08-27T08:09:02Z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10475AADB3664D11B74AE95F9F524621_13</vt:lpwstr>
  </property>
  <property fmtid="{D5CDD505-2E9C-101B-9397-08002B2CF9AE}" pid="4" name="KSOTemplateDocerSaveRecord">
    <vt:lpwstr>eyJoZGlkIjoiZWZkNTE3OWEwZjM5M2Y5ZTY0MjI4YjQyM2NmMGQzNjAiLCJ1c2VySWQiOiIyNzY4NzEyODQifQ==</vt:lpwstr>
  </property>
</Properties>
</file>