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7C8EFC">
      <w:pPr>
        <w:widowControl/>
        <w:spacing w:line="520" w:lineRule="atLeast"/>
        <w:jc w:val="center"/>
        <w:rPr>
          <w:rFonts w:hint="eastAsia"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庐山市文化广电新闻出版局2</w:t>
      </w:r>
      <w:r>
        <w:rPr>
          <w:rFonts w:hint="eastAsia" w:ascii="黑体" w:hAnsi="黑体" w:eastAsia="黑体" w:cs="Times New Roman"/>
          <w:b/>
          <w:bCs/>
          <w:color w:val="000000"/>
          <w:kern w:val="0"/>
          <w:sz w:val="44"/>
          <w:szCs w:val="44"/>
        </w:rPr>
        <w:t>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p>
    <w:p w14:paraId="0B115FC3">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部门</w:t>
      </w:r>
      <w:r>
        <w:rPr>
          <w:rFonts w:hint="eastAsia" w:ascii="黑体" w:hAnsi="黑体" w:eastAsia="黑体" w:cs="Times New Roman"/>
          <w:b/>
          <w:bCs/>
          <w:color w:val="000000"/>
          <w:kern w:val="0"/>
          <w:sz w:val="44"/>
          <w:szCs w:val="44"/>
        </w:rPr>
        <w:t>预算</w:t>
      </w:r>
    </w:p>
    <w:p w14:paraId="509B4675">
      <w:pPr>
        <w:pStyle w:val="12"/>
        <w:spacing w:line="600" w:lineRule="atLeast"/>
        <w:jc w:val="center"/>
        <w:rPr>
          <w:rFonts w:ascii="黑体" w:hAnsi="黑体" w:eastAsia="黑体"/>
          <w:color w:val="000000"/>
          <w:sz w:val="32"/>
          <w:szCs w:val="32"/>
        </w:rPr>
      </w:pPr>
    </w:p>
    <w:p w14:paraId="76990373">
      <w:pPr>
        <w:pStyle w:val="12"/>
        <w:tabs>
          <w:tab w:val="right" w:pos="8306"/>
        </w:tabs>
        <w:spacing w:line="600" w:lineRule="atLeast"/>
        <w:ind w:firstLine="640"/>
        <w:jc w:val="center"/>
        <w:rPr>
          <w:rFonts w:hint="eastAsia" w:ascii="仿宋_GB2312" w:eastAsia="仿宋_GB2312"/>
          <w:b/>
          <w:bCs/>
          <w:color w:val="000000"/>
          <w:sz w:val="32"/>
          <w:szCs w:val="32"/>
          <w:lang w:val="en-US" w:eastAsia="zh-CN"/>
        </w:rPr>
      </w:pPr>
      <w:r>
        <w:rPr>
          <w:rFonts w:hint="eastAsia" w:ascii="仿宋_GB2312" w:eastAsia="仿宋_GB2312"/>
          <w:b/>
          <w:bCs/>
          <w:color w:val="000000"/>
          <w:sz w:val="32"/>
          <w:szCs w:val="32"/>
          <w:lang w:val="en-US" w:eastAsia="zh-CN"/>
        </w:rPr>
        <w:t>目    录</w:t>
      </w:r>
    </w:p>
    <w:p w14:paraId="796BFAF2">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庐山市文化广电新闻出版局</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1787E4F0">
      <w:pPr>
        <w:pStyle w:val="12"/>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一、部门主要职责</w:t>
      </w:r>
    </w:p>
    <w:p w14:paraId="4704CA35">
      <w:pPr>
        <w:pStyle w:val="12"/>
        <w:spacing w:line="600" w:lineRule="atLeast"/>
        <w:ind w:firstLine="1280"/>
        <w:jc w:val="left"/>
        <w:rPr>
          <w:rFonts w:ascii="Adobe 仿宋 Std R" w:hAnsi="Adobe 仿宋 Std R" w:eastAsia="Adobe 仿宋 Std R" w:cstheme="minorBidi"/>
          <w:kern w:val="2"/>
          <w:sz w:val="32"/>
          <w:szCs w:val="30"/>
        </w:rPr>
      </w:pPr>
      <w:r>
        <w:rPr>
          <w:rFonts w:hint="eastAsia" w:ascii="仿宋_GB2312" w:hAnsi="Calibri" w:eastAsia="仿宋_GB2312" w:cs="宋体"/>
          <w:b w:val="0"/>
          <w:bCs/>
          <w:kern w:val="0"/>
          <w:sz w:val="32"/>
          <w:szCs w:val="32"/>
          <w:lang w:val="en-US" w:eastAsia="zh-CN" w:bidi="ar-SA"/>
        </w:rPr>
        <w:t>二、机构设置及人员情况</w:t>
      </w:r>
    </w:p>
    <w:p w14:paraId="26EC1F9C">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val="en-US" w:eastAsia="zh-CN"/>
        </w:rPr>
        <w:t>庐山市文化广电新闻出版局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val="en-US" w:eastAsia="zh-CN"/>
        </w:rPr>
        <w:t>部门</w:t>
      </w:r>
      <w:r>
        <w:rPr>
          <w:rFonts w:hint="eastAsia" w:ascii="仿宋_GB2312" w:eastAsia="仿宋_GB2312"/>
          <w:b/>
          <w:bCs/>
          <w:color w:val="000000"/>
          <w:sz w:val="32"/>
          <w:szCs w:val="32"/>
        </w:rPr>
        <w:t>预算表</w:t>
      </w:r>
    </w:p>
    <w:p w14:paraId="612E822D">
      <w:pPr>
        <w:pStyle w:val="12"/>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一、《收支预算总表》</w:t>
      </w:r>
    </w:p>
    <w:p w14:paraId="6407355C">
      <w:pPr>
        <w:pStyle w:val="12"/>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二、《部门收入总表》</w:t>
      </w:r>
    </w:p>
    <w:p w14:paraId="10E922A4">
      <w:pPr>
        <w:pStyle w:val="12"/>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三、《部门支出总表》</w:t>
      </w:r>
    </w:p>
    <w:p w14:paraId="11AE91C0">
      <w:pPr>
        <w:pStyle w:val="12"/>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四、《财政拨款收支总表》</w:t>
      </w:r>
    </w:p>
    <w:p w14:paraId="0B1E4891">
      <w:pPr>
        <w:pStyle w:val="12"/>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五、《一般公共预算支出表》</w:t>
      </w:r>
    </w:p>
    <w:p w14:paraId="6BC6FCA6">
      <w:pPr>
        <w:pStyle w:val="12"/>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六、《一般公共预算基本支出表》</w:t>
      </w:r>
    </w:p>
    <w:p w14:paraId="19CDE052">
      <w:pPr>
        <w:pStyle w:val="12"/>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七、《财政拨款“三公”经费支出表》</w:t>
      </w:r>
    </w:p>
    <w:p w14:paraId="2769FF73">
      <w:pPr>
        <w:pStyle w:val="12"/>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八、《政府性基金预算支出表》</w:t>
      </w:r>
    </w:p>
    <w:p w14:paraId="172C8598">
      <w:pPr>
        <w:pStyle w:val="12"/>
        <w:tabs>
          <w:tab w:val="left" w:pos="6546"/>
        </w:tabs>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九、《国有资本经营预算支出表》</w:t>
      </w:r>
      <w:r>
        <w:rPr>
          <w:rFonts w:hint="eastAsia" w:ascii="仿宋_GB2312" w:hAnsi="Calibri" w:eastAsia="仿宋_GB2312" w:cs="宋体"/>
          <w:b w:val="0"/>
          <w:bCs/>
          <w:kern w:val="0"/>
          <w:sz w:val="32"/>
          <w:szCs w:val="32"/>
          <w:lang w:val="en-US" w:eastAsia="zh-CN" w:bidi="ar-SA"/>
        </w:rPr>
        <w:tab/>
      </w:r>
    </w:p>
    <w:p w14:paraId="7EA3351A">
      <w:pPr>
        <w:pStyle w:val="12"/>
        <w:tabs>
          <w:tab w:val="left" w:pos="6546"/>
        </w:tabs>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十、《部门整体支出绩效目标表》</w:t>
      </w:r>
    </w:p>
    <w:p w14:paraId="352F3C46">
      <w:pPr>
        <w:pStyle w:val="12"/>
        <w:tabs>
          <w:tab w:val="left" w:pos="6546"/>
        </w:tabs>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十一、《项目绩效目标表》</w:t>
      </w:r>
    </w:p>
    <w:p w14:paraId="3E273535">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庐山市文化广电新闻出版局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val="en-US" w:eastAsia="zh-CN"/>
        </w:rPr>
        <w:t>部门</w:t>
      </w:r>
      <w:r>
        <w:rPr>
          <w:rFonts w:hint="eastAsia" w:ascii="仿宋_GB2312" w:eastAsia="仿宋_GB2312"/>
          <w:b/>
          <w:bCs/>
          <w:color w:val="000000"/>
          <w:sz w:val="32"/>
          <w:szCs w:val="32"/>
        </w:rPr>
        <w:t>预算情况说明</w:t>
      </w:r>
    </w:p>
    <w:p w14:paraId="38CAC4DD">
      <w:pPr>
        <w:pStyle w:val="12"/>
        <w:spacing w:line="600" w:lineRule="atLeast"/>
        <w:ind w:firstLine="128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一、2024年部门预算收支情况说明</w:t>
      </w:r>
    </w:p>
    <w:p w14:paraId="35873EEE">
      <w:pPr>
        <w:pStyle w:val="12"/>
        <w:spacing w:line="600" w:lineRule="atLeast"/>
        <w:ind w:firstLine="1120" w:firstLineChars="350"/>
        <w:jc w:val="left"/>
        <w:rPr>
          <w:rFonts w:hint="eastAsia" w:ascii="仿宋_GB2312" w:hAnsi="Calibri" w:eastAsia="仿宋_GB2312" w:cs="宋体"/>
          <w:b w:val="0"/>
          <w:bCs/>
          <w:kern w:val="0"/>
          <w:sz w:val="32"/>
          <w:szCs w:val="32"/>
          <w:lang w:val="en-US" w:eastAsia="zh-CN" w:bidi="ar-SA"/>
        </w:rPr>
      </w:pPr>
      <w:r>
        <w:rPr>
          <w:rFonts w:hint="eastAsia" w:ascii="仿宋_GB2312" w:hAnsi="Calibri" w:eastAsia="仿宋_GB2312" w:cs="宋体"/>
          <w:b w:val="0"/>
          <w:bCs/>
          <w:kern w:val="0"/>
          <w:sz w:val="32"/>
          <w:szCs w:val="32"/>
          <w:lang w:val="en-US" w:eastAsia="zh-CN" w:bidi="ar-SA"/>
        </w:rPr>
        <w:t xml:space="preserve"> 二、2024年“三公”经费预算情况说明</w:t>
      </w:r>
    </w:p>
    <w:p w14:paraId="56186620">
      <w:pPr>
        <w:pStyle w:val="12"/>
        <w:spacing w:line="600" w:lineRule="atLeast"/>
        <w:ind w:firstLine="1120" w:firstLineChars="350"/>
        <w:jc w:val="left"/>
        <w:rPr>
          <w:rFonts w:hint="eastAsia" w:ascii="仿宋_GB2312" w:hAnsi="Calibri" w:eastAsia="仿宋_GB2312" w:cs="宋体"/>
          <w:b w:val="0"/>
          <w:bCs/>
          <w:kern w:val="0"/>
          <w:sz w:val="32"/>
          <w:szCs w:val="32"/>
          <w:lang w:val="en-US" w:eastAsia="zh-CN" w:bidi="ar-SA"/>
        </w:rPr>
      </w:pPr>
    </w:p>
    <w:p w14:paraId="7C8C78C0">
      <w:pPr>
        <w:pStyle w:val="12"/>
        <w:numPr>
          <w:ilvl w:val="0"/>
          <w:numId w:val="1"/>
        </w:numPr>
        <w:spacing w:line="600" w:lineRule="atLeast"/>
        <w:ind w:firstLine="321" w:firstLineChars="100"/>
        <w:jc w:val="left"/>
        <w:rPr>
          <w:rFonts w:hint="eastAsia" w:ascii="仿宋_GB2312" w:eastAsia="仿宋_GB2312"/>
          <w:b/>
          <w:bCs/>
          <w:color w:val="000000"/>
          <w:sz w:val="32"/>
          <w:szCs w:val="32"/>
        </w:rPr>
      </w:pPr>
      <w:r>
        <w:rPr>
          <w:rFonts w:hint="eastAsia" w:ascii="仿宋_GB2312" w:eastAsia="仿宋_GB2312"/>
          <w:b/>
          <w:bCs/>
          <w:color w:val="000000"/>
          <w:sz w:val="32"/>
          <w:szCs w:val="32"/>
        </w:rPr>
        <w:t xml:space="preserve"> 名词解释</w:t>
      </w:r>
    </w:p>
    <w:p w14:paraId="02E34C19">
      <w:pPr>
        <w:pStyle w:val="12"/>
        <w:spacing w:line="600" w:lineRule="atLeast"/>
        <w:ind w:firstLine="1120" w:firstLineChars="350"/>
        <w:jc w:val="left"/>
        <w:rPr>
          <w:rFonts w:hint="eastAsia" w:ascii="仿宋_GB2312" w:hAnsi="Calibri" w:eastAsia="仿宋_GB2312" w:cs="宋体"/>
          <w:b w:val="0"/>
          <w:bCs/>
          <w:kern w:val="0"/>
          <w:sz w:val="32"/>
          <w:szCs w:val="32"/>
          <w:lang w:val="en-US" w:eastAsia="zh-CN" w:bidi="ar-SA"/>
        </w:rPr>
      </w:pPr>
    </w:p>
    <w:p w14:paraId="1CA5BBFD">
      <w:pPr>
        <w:pStyle w:val="12"/>
        <w:spacing w:line="600" w:lineRule="atLeast"/>
        <w:ind w:firstLine="1120" w:firstLineChars="350"/>
        <w:jc w:val="left"/>
        <w:rPr>
          <w:rFonts w:hint="eastAsia" w:ascii="仿宋_GB2312" w:hAnsi="Calibri" w:eastAsia="仿宋_GB2312" w:cs="宋体"/>
          <w:b w:val="0"/>
          <w:bCs/>
          <w:kern w:val="0"/>
          <w:sz w:val="32"/>
          <w:szCs w:val="32"/>
          <w:lang w:val="en-US" w:eastAsia="zh-CN" w:bidi="ar-SA"/>
        </w:rPr>
      </w:pPr>
    </w:p>
    <w:p w14:paraId="65B4D1DC">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val="en-US" w:eastAsia="zh-CN"/>
        </w:rPr>
        <w:t>庐山市文化广电新闻出版局</w:t>
      </w:r>
      <w:r>
        <w:rPr>
          <w:rFonts w:hint="eastAsia" w:ascii="仿宋_GB2312" w:eastAsia="仿宋_GB2312"/>
          <w:b/>
          <w:sz w:val="32"/>
          <w:szCs w:val="30"/>
        </w:rPr>
        <w:t>概况</w:t>
      </w:r>
    </w:p>
    <w:p w14:paraId="04C72C5E">
      <w:pPr>
        <w:pStyle w:val="12"/>
        <w:spacing w:line="600" w:lineRule="atLeast"/>
        <w:ind w:firstLine="1120" w:firstLineChars="350"/>
        <w:jc w:val="left"/>
        <w:rPr>
          <w:rFonts w:hint="eastAsia" w:ascii="仿宋_GB2312" w:hAnsi="Calibri" w:eastAsia="仿宋_GB2312" w:cs="宋体"/>
          <w:b w:val="0"/>
          <w:bCs/>
          <w:kern w:val="0"/>
          <w:sz w:val="32"/>
          <w:szCs w:val="32"/>
          <w:lang w:val="en-US" w:eastAsia="zh-CN" w:bidi="ar-SA"/>
        </w:rPr>
      </w:pPr>
    </w:p>
    <w:p w14:paraId="05418357">
      <w:pPr>
        <w:widowControl/>
        <w:spacing w:line="580" w:lineRule="exact"/>
        <w:jc w:val="left"/>
        <w:rPr>
          <w:rFonts w:hint="eastAsia" w:asciiTheme="minorEastAsia" w:hAnsiTheme="minorEastAsia"/>
          <w:b/>
          <w:sz w:val="36"/>
          <w:szCs w:val="36"/>
        </w:rPr>
      </w:pPr>
      <w:r>
        <w:rPr>
          <w:rFonts w:hint="eastAsia" w:ascii="仿宋_GB2312" w:eastAsia="仿宋_GB2312"/>
          <w:b/>
          <w:sz w:val="32"/>
          <w:szCs w:val="30"/>
          <w:lang w:val="en-US" w:eastAsia="zh-CN"/>
        </w:rPr>
        <w:t>一、部门主要职责</w:t>
      </w:r>
    </w:p>
    <w:p w14:paraId="58679605">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庐山市文化广电新闻出版局是主管全市文化、广播电视、新闻出版工作的人民政府工作部门，主要职责是：</w:t>
      </w:r>
    </w:p>
    <w:p w14:paraId="06476219">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1、贯彻落实党和国家关于文化、广电、新闻出版方面的路线、方针、政策，研究制定有关政策并监督执行。</w:t>
      </w:r>
    </w:p>
    <w:p w14:paraId="25DF5ADB">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2、研究制定全市文化、广播电视、新闻出版事业发展战略和规划，指导和推动文化、广电、新闻出版体制改革。</w:t>
      </w:r>
    </w:p>
    <w:p w14:paraId="3AD2D34F">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3、负责全市文化、广播电视、新闻出版市场的管理，严格依法行政，规范市场经营，有效促进文化、新闻出版、广播电视市场健康快速发展。</w:t>
      </w:r>
    </w:p>
    <w:p w14:paraId="3A1FCAEE">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4、参与或实施制订文化文物、广播电视、新闻出版产业规划和政策；指导、协调文化文物、广播电视、新闻出版产业发展；参与重点文化文物、广电基础设施建设，管理文化公共设施。</w:t>
      </w:r>
    </w:p>
    <w:p w14:paraId="61C79C0A">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5、归口管理全市文化艺术活动及公益性群众艺术馆、文化馆、公共图书馆、美术馆和社会文化社团；指导、推动城乡群众性文化工作。</w:t>
      </w:r>
    </w:p>
    <w:p w14:paraId="54988156">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6、归口管理文物工作。承担县级文物保护单位的审核和管理、县级以上文物保护单位的推荐、申报工作；实施文物市场的日常监管及文物经营单位的审批工作；负责申报、管理文物维修经费；协调、指导、检查全市的文物安全工作。</w:t>
      </w:r>
    </w:p>
    <w:p w14:paraId="7D1DA8AE">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7、负责全市广播电视行政管理，加强政策指导和业务协调；负责“村村通”工程的组织实施，加强对广播电视栏目和节目编审，不断提高节目质量，扩大有线电视的覆盖面。</w:t>
      </w:r>
    </w:p>
    <w:p w14:paraId="5D8B3394">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8、管理全市文学、艺术事业；指导艺术创作与生产，扶持有代表性、示范性、实验性的文化艺术品种，推动各门类艺术的发展；归口管理全市重大文化体育活动；制定全市性文艺比赛、评奖等活动的管理办法并组织实施。</w:t>
      </w:r>
    </w:p>
    <w:p w14:paraId="5749898F">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9、承办市“扫黄打非”工作领导小组的日常工作。负责全市出版物市场“扫黄打非”的组织策划、督促检查、协调服务，研究提出全市出版物市场“扫黄打非”工作计划和措施并组织实施。</w:t>
      </w:r>
    </w:p>
    <w:p w14:paraId="1811C98C">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10、实施文化市场、广播电影电视、新闻出版（版权）综合执法。</w:t>
      </w:r>
    </w:p>
    <w:p w14:paraId="4986B31B">
      <w:pPr>
        <w:widowControl/>
        <w:spacing w:line="580" w:lineRule="exact"/>
        <w:ind w:firstLine="640" w:firstLineChars="200"/>
        <w:jc w:val="left"/>
        <w:rPr>
          <w:rFonts w:hint="eastAsia" w:ascii="仿宋" w:hAnsi="仿宋" w:eastAsia="仿宋" w:cs="仿宋"/>
          <w:sz w:val="32"/>
          <w:szCs w:val="32"/>
        </w:rPr>
      </w:pPr>
      <w:r>
        <w:rPr>
          <w:rFonts w:hint="eastAsia" w:ascii="仿宋_GB2312" w:hAnsi="Calibri" w:eastAsia="仿宋_GB2312" w:cs="宋体"/>
          <w:b w:val="0"/>
          <w:bCs/>
          <w:kern w:val="0"/>
          <w:sz w:val="32"/>
          <w:szCs w:val="32"/>
          <w:lang w:val="en-US" w:eastAsia="zh-CN"/>
        </w:rPr>
        <w:t>11、承办市政府和上级业务指导部门交办的其他事项。</w:t>
      </w:r>
    </w:p>
    <w:p w14:paraId="6EB0520B">
      <w:pPr>
        <w:widowControl/>
        <w:spacing w:line="580" w:lineRule="exact"/>
        <w:ind w:firstLine="640"/>
        <w:jc w:val="left"/>
        <w:rPr>
          <w:rFonts w:ascii="Adobe 仿宋 Std R" w:hAnsi="Adobe 仿宋 Std R" w:eastAsia="Adobe 仿宋 Std R"/>
          <w:sz w:val="32"/>
          <w:szCs w:val="30"/>
        </w:rPr>
      </w:pPr>
    </w:p>
    <w:p w14:paraId="40946120">
      <w:pPr>
        <w:widowControl/>
        <w:spacing w:line="580" w:lineRule="exact"/>
        <w:jc w:val="left"/>
        <w:rPr>
          <w:rFonts w:hint="eastAsia" w:ascii="仿宋_GB2312" w:eastAsia="仿宋_GB2312"/>
          <w:b/>
          <w:sz w:val="32"/>
          <w:szCs w:val="30"/>
          <w:lang w:val="en-US" w:eastAsia="zh-CN"/>
        </w:rPr>
      </w:pPr>
      <w:r>
        <w:rPr>
          <w:rFonts w:hint="eastAsia" w:ascii="仿宋_GB2312" w:eastAsia="仿宋_GB2312"/>
          <w:b/>
          <w:sz w:val="32"/>
          <w:szCs w:val="30"/>
          <w:lang w:val="en-US" w:eastAsia="zh-CN"/>
        </w:rPr>
        <w:t>二、机构设置及人员情况</w:t>
      </w:r>
    </w:p>
    <w:p w14:paraId="4B7656CA">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2024年庐山市文广新局共有预算单位4个，包括</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${page400644146.ds204012617_BMQKZDY_DIVNUMQK}</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3个二级预算单位</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t>，二级预算单位具体包括：庐山市文化广电新闻出版局局本级，包括：（办公室、综合业务股（政务服务股）、文博股），2024年</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${page540426799.ds254512694_REP_JXJC_AGENCY_WZR_NAME}</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庐山市图书馆</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t>（美术馆）内设处室3个，包括：（办公室，阅览室，财务室）。2024年庐山市文化馆，内设处室4个，包括：（办公室、非遗室、群文室、财务室）。2024年庐山市文物管理所，内设处室3个，包括：（办公室、文保室、财务室）。</w:t>
      </w:r>
    </w:p>
    <w:p w14:paraId="2B9D2FC6">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编制人数小计53人，其中：行政编制人数9人，全部补助事业编44人，部分补助事业在职人数0人。实有人数小计47人，其中：</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${page540426799.ds376136392_REP_JX_BAS_AGENCY_INFO_DXQRSDW_S_ZZRSXJ}</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在职人数小计47人,</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${page540426799.ds376136392_REP_JX_BAS_AGENCY_INFO_DXQRSDW_S_ZZRSMX}</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行政在职人数3人，全部补助事业在职人数44人，部分补助事业在职人数0人。</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${page540426799.ds376136392_REP_JX_BAS_AGENCY_INFO_DXQRSDW_S_QTRSMX}</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离休人数小计0人,退休人数小计63人,遗属人数1人。</w:t>
      </w:r>
      <w:r>
        <w:rPr>
          <w:rFonts w:hint="eastAsia" w:ascii="仿宋_GB2312" w:hAnsi="Calibri" w:eastAsia="仿宋_GB2312" w:cs="宋体"/>
          <w:b w:val="0"/>
          <w:bCs/>
          <w:kern w:val="0"/>
          <w:sz w:val="32"/>
          <w:szCs w:val="32"/>
          <w:lang w:val="en-US" w:eastAsia="zh-CN"/>
        </w:rPr>
        <w:fldChar w:fldCharType="end"/>
      </w:r>
    </w:p>
    <w:p w14:paraId="163B508A">
      <w:pPr>
        <w:ind w:firstLine="420" w:firstLineChars="200"/>
        <w:rPr>
          <w:rFonts w:hint="default"/>
          <w:lang w:val="en-US" w:eastAsia="zh-CN"/>
        </w:rPr>
      </w:pPr>
    </w:p>
    <w:p w14:paraId="45503E2A">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lang w:val="en-US" w:eastAsia="zh-CN"/>
        </w:rPr>
        <w:t>庐山市文化广电新闻出版局</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w:t>
      </w:r>
      <w:r>
        <w:rPr>
          <w:rFonts w:hint="eastAsia" w:ascii="仿宋_GB2312" w:eastAsia="仿宋_GB2312"/>
          <w:b/>
          <w:sz w:val="32"/>
          <w:szCs w:val="30"/>
          <w:lang w:val="en-US" w:eastAsia="zh-CN"/>
        </w:rPr>
        <w:t>部门</w:t>
      </w:r>
      <w:r>
        <w:rPr>
          <w:rFonts w:hint="eastAsia" w:ascii="仿宋_GB2312" w:eastAsia="仿宋_GB2312"/>
          <w:b/>
          <w:sz w:val="32"/>
          <w:szCs w:val="30"/>
        </w:rPr>
        <w:t>预算表</w:t>
      </w:r>
    </w:p>
    <w:p w14:paraId="1BE26F99">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（详见附表）</w:t>
      </w:r>
    </w:p>
    <w:p w14:paraId="18B5B9A6">
      <w:pPr>
        <w:ind w:firstLine="640" w:firstLineChars="200"/>
        <w:jc w:val="left"/>
        <w:rPr>
          <w:rStyle w:val="11"/>
          <w:rFonts w:ascii="仿宋" w:hAnsi="仿宋" w:eastAsia="仿宋"/>
          <w:bCs/>
          <w:sz w:val="32"/>
          <w:szCs w:val="32"/>
        </w:rPr>
      </w:pPr>
    </w:p>
    <w:p w14:paraId="3054DBC9">
      <w:pPr>
        <w:widowControl/>
        <w:spacing w:line="580" w:lineRule="exact"/>
        <w:jc w:val="center"/>
        <w:rPr>
          <w:rFonts w:hint="eastAsia" w:ascii="仿宋_GB2312" w:hAnsi="Calibri" w:eastAsia="仿宋_GB2312" w:cs="宋体"/>
          <w:b/>
          <w:kern w:val="0"/>
          <w:sz w:val="32"/>
          <w:szCs w:val="32"/>
        </w:rPr>
      </w:pPr>
      <w:r>
        <w:rPr>
          <w:rFonts w:hint="eastAsia" w:ascii="仿宋_GB2312" w:hAnsi="Calibri" w:eastAsia="仿宋_GB2312" w:cs="宋体"/>
          <w:b/>
          <w:kern w:val="0"/>
          <w:sz w:val="32"/>
          <w:szCs w:val="32"/>
        </w:rPr>
        <w:t xml:space="preserve">第三部分 </w:t>
      </w:r>
      <w:r>
        <w:rPr>
          <w:rFonts w:hint="eastAsia" w:ascii="仿宋_GB2312" w:hAnsi="Calibri" w:eastAsia="仿宋_GB2312" w:cs="宋体"/>
          <w:b/>
          <w:kern w:val="0"/>
          <w:sz w:val="32"/>
          <w:szCs w:val="32"/>
          <w:lang w:val="en-US" w:eastAsia="zh-CN"/>
        </w:rPr>
        <w:t>庐山市文化广电新闻出版局</w:t>
      </w:r>
      <w:r>
        <w:rPr>
          <w:rFonts w:hint="eastAsia" w:ascii="仿宋_GB2312" w:hAnsi="Calibri" w:eastAsia="仿宋_GB2312" w:cs="宋体"/>
          <w:b/>
          <w:kern w:val="0"/>
          <w:sz w:val="32"/>
          <w:szCs w:val="32"/>
        </w:rPr>
        <w:t>20</w:t>
      </w:r>
      <w:r>
        <w:rPr>
          <w:rFonts w:hint="eastAsia" w:ascii="仿宋_GB2312" w:hAnsi="Calibri" w:eastAsia="仿宋_GB2312" w:cs="宋体"/>
          <w:b/>
          <w:kern w:val="0"/>
          <w:sz w:val="32"/>
          <w:szCs w:val="32"/>
          <w:lang w:val="en-US" w:eastAsia="zh-CN"/>
        </w:rPr>
        <w:t>24</w:t>
      </w:r>
      <w:r>
        <w:rPr>
          <w:rFonts w:hint="eastAsia" w:ascii="仿宋_GB2312" w:hAnsi="Calibri" w:eastAsia="仿宋_GB2312" w:cs="宋体"/>
          <w:b/>
          <w:kern w:val="0"/>
          <w:sz w:val="32"/>
          <w:szCs w:val="32"/>
        </w:rPr>
        <w:t>年</w:t>
      </w:r>
      <w:r>
        <w:rPr>
          <w:rFonts w:hint="eastAsia" w:ascii="仿宋_GB2312" w:hAnsi="Calibri" w:eastAsia="仿宋_GB2312" w:cs="宋体"/>
          <w:b/>
          <w:kern w:val="0"/>
          <w:sz w:val="32"/>
          <w:szCs w:val="32"/>
          <w:lang w:val="en-US" w:eastAsia="zh-CN"/>
        </w:rPr>
        <w:t>部门</w:t>
      </w:r>
      <w:r>
        <w:rPr>
          <w:rFonts w:hint="eastAsia" w:ascii="仿宋_GB2312" w:hAnsi="Calibri" w:eastAsia="仿宋_GB2312" w:cs="宋体"/>
          <w:b/>
          <w:kern w:val="0"/>
          <w:sz w:val="32"/>
          <w:szCs w:val="32"/>
        </w:rPr>
        <w:t>预算</w:t>
      </w:r>
    </w:p>
    <w:p w14:paraId="10358FF3">
      <w:pPr>
        <w:widowControl/>
        <w:spacing w:line="580" w:lineRule="exact"/>
        <w:jc w:val="center"/>
        <w:rPr>
          <w:rFonts w:hint="eastAsia" w:ascii="仿宋_GB2312" w:hAnsi="Calibri" w:eastAsia="仿宋_GB2312" w:cs="宋体"/>
          <w:b/>
          <w:kern w:val="0"/>
          <w:sz w:val="32"/>
          <w:szCs w:val="32"/>
        </w:rPr>
      </w:pPr>
      <w:r>
        <w:rPr>
          <w:rFonts w:hint="eastAsia" w:ascii="仿宋_GB2312" w:hAnsi="Calibri" w:eastAsia="仿宋_GB2312" w:cs="宋体"/>
          <w:b/>
          <w:kern w:val="0"/>
          <w:sz w:val="32"/>
          <w:szCs w:val="32"/>
        </w:rPr>
        <w:t>情况说明</w:t>
      </w:r>
    </w:p>
    <w:p w14:paraId="7809413E">
      <w:pPr>
        <w:widowControl/>
        <w:spacing w:line="580" w:lineRule="exact"/>
        <w:jc w:val="center"/>
        <w:rPr>
          <w:rFonts w:ascii="仿宋_GB2312" w:eastAsia="仿宋_GB2312"/>
          <w:b/>
          <w:sz w:val="32"/>
          <w:szCs w:val="30"/>
        </w:rPr>
      </w:pPr>
    </w:p>
    <w:p w14:paraId="549E0D9A">
      <w:pPr>
        <w:widowControl/>
        <w:spacing w:line="580" w:lineRule="exact"/>
        <w:jc w:val="left"/>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一、2024年部门</w:t>
      </w:r>
      <w:r>
        <w:rPr>
          <w:rFonts w:hint="eastAsia" w:ascii="仿宋_GB2312" w:eastAsia="仿宋_GB2312"/>
          <w:b/>
          <w:sz w:val="32"/>
          <w:szCs w:val="30"/>
          <w:lang w:val="en-US" w:eastAsia="zh-CN"/>
        </w:rPr>
        <w:t>预</w:t>
      </w:r>
      <w:r>
        <w:rPr>
          <w:rFonts w:hint="eastAsia" w:ascii="仿宋_GB2312" w:hAnsi="Calibri" w:eastAsia="仿宋_GB2312" w:cs="宋体"/>
          <w:b/>
          <w:bCs w:val="0"/>
          <w:kern w:val="0"/>
          <w:sz w:val="32"/>
          <w:szCs w:val="32"/>
          <w:lang w:val="en-US" w:eastAsia="zh-CN"/>
        </w:rPr>
        <w:t>算收支情况说明</w:t>
      </w:r>
    </w:p>
    <w:p w14:paraId="2A3CCFBF">
      <w:pPr>
        <w:widowControl/>
        <w:spacing w:line="580" w:lineRule="exact"/>
        <w:jc w:val="left"/>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(一)收入预算情况</w:t>
      </w:r>
    </w:p>
    <w:p w14:paraId="28813103">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2024年</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${page540426799.ds254512694_REP_JXJC_AGENCY_WZR_NAME}</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庐山市文化广电新闻出版局</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${page540426799.ds254512694_V_BGT_DEP_INCOME_DXQDW01_ZJ}</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收入预算总额为1513.56万元,较上年预算安排增加492.87 万元;</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${page540426799.ds254512694_V_BGT_DEP_INCOME_DXQDW01_SRXMMX}</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财政拨款收入1388.46万元,较上年预算安排增加 367.77万元。</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t>事业单位经营收入0万元,较上年预算安排增加（减少）0万元。增减原因：2024年提高了老电影放映员生活补助标准，财政增加了老体协项目专项资金和三馆一站免费开放项目资金。2023年度新进人员6人，本年度免费开放本级配套金额不纳入年初预算项目。文化馆丧葬费、一次性抚恤金申报审批表，保障退休人员的利益，给予其家属的经济补偿和精神安慰。</w:t>
      </w:r>
    </w:p>
    <w:p w14:paraId="646B2D20">
      <w:pPr>
        <w:widowControl/>
        <w:ind w:firstLine="640" w:firstLineChars="200"/>
        <w:rPr>
          <w:rFonts w:hint="eastAsia" w:ascii="仿宋" w:hAnsi="仿宋" w:cs="Times New Roman" w:eastAsiaTheme="minorEastAsia"/>
          <w:color w:val="FF0000"/>
          <w:kern w:val="0"/>
          <w:sz w:val="32"/>
          <w:szCs w:val="32"/>
          <w:lang w:eastAsia="zh-CN"/>
        </w:rPr>
      </w:pPr>
    </w:p>
    <w:p w14:paraId="4196EE1F">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w:t>
      </w:r>
      <w:r>
        <w:rPr>
          <w:rFonts w:hint="eastAsia" w:ascii="仿宋_GB2312" w:hAnsi="Calibri" w:eastAsia="仿宋_GB2312" w:cs="宋体"/>
          <w:b/>
          <w:bCs w:val="0"/>
          <w:kern w:val="0"/>
          <w:sz w:val="32"/>
          <w:szCs w:val="32"/>
          <w:lang w:val="en-US" w:eastAsia="zh-CN"/>
        </w:rPr>
        <w:t>(二)支出预算情况</w:t>
      </w:r>
    </w:p>
    <w:p w14:paraId="69349578">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2024年</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${page540426799.ds254512694_REP_JXJC_AGENCY_WZR_NAME}</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庐山市文化广电新闻出版局</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${page540426799.ds357974894_REP_BGT_T_HC1100002019_DXQ02DW_S_ZJ}</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支出预算总额为1513.56万元,较上年预算安排增加492.87万元;</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t>增减原因： 2024年提高了老电影放映员生活补助标准，财政增加了老体协项目专项资金和三馆一站免费开放项目资金。2023年度新进人员6人，本年度免费开放本级配套金额不纳入年初预算项目。文化馆丧葬费、一次性抚恤金申报审批表，保障退休人员的利益，给予其家属的经济补偿和精神安慰。</w:t>
      </w:r>
    </w:p>
    <w:p w14:paraId="22D4F322">
      <w:pPr>
        <w:widowControl/>
        <w:spacing w:line="580" w:lineRule="exact"/>
        <w:ind w:firstLine="640" w:firstLineChars="200"/>
        <w:jc w:val="left"/>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其中：按支出项目类别划分：</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${page540426799.ds357974894_REP_BGT_T_HC1100002019_DXQ02DW_JBZCQK}</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基本支出900.36万元,较上年预算安排增加37.49万元;其中：工资福利支出844.87万元,商品和服务支出35.62万元,对个人和家庭的补助19.86万元，</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t>资本性支出0万元；项目支出613.20万元，较上年预算安排增加455.38万元;其中：商品和服务支出95.04万元,资本性支出0万元。</w:t>
      </w:r>
    </w:p>
    <w:p w14:paraId="6F0BA539">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按支出功能科目划分：</w:t>
      </w:r>
      <w:r>
        <w:rPr>
          <w:rFonts w:hint="eastAsia" w:ascii="仿宋_GB2312" w:hAnsi="Calibri" w:eastAsia="仿宋_GB2312" w:cs="宋体"/>
          <w:b w:val="0"/>
          <w:bCs/>
          <w:kern w:val="0"/>
          <w:sz w:val="32"/>
          <w:szCs w:val="32"/>
          <w:highlight w:val="none"/>
          <w:lang w:val="en-US" w:eastAsia="zh-CN"/>
        </w:rPr>
        <w:t>一般公共服务支出1293.61万元,较上年预算安排增加455.67万元；卫生健康支出44.27万元，较上年预算安排增加19.5万元</w:t>
      </w:r>
      <w:r>
        <w:rPr>
          <w:rFonts w:hint="eastAsia" w:ascii="仿宋_GB2312" w:hAnsi="Calibri" w:eastAsia="仿宋_GB2312" w:cs="宋体"/>
          <w:b w:val="0"/>
          <w:bCs/>
          <w:kern w:val="0"/>
          <w:sz w:val="32"/>
          <w:szCs w:val="32"/>
          <w:lang w:val="en-US" w:eastAsia="zh-CN"/>
        </w:rPr>
        <w:t>，住房保障支出55.83万元。较上年预算安排增加0.21万元。</w:t>
      </w:r>
    </w:p>
    <w:p w14:paraId="33BE2AF6">
      <w:pPr>
        <w:widowControl/>
        <w:spacing w:line="580" w:lineRule="exact"/>
        <w:ind w:firstLine="640" w:firstLineChars="200"/>
        <w:jc w:val="left"/>
        <w:rPr>
          <w:sz w:val="32"/>
          <w:szCs w:val="32"/>
          <w:highlight w:val="none"/>
        </w:rPr>
      </w:pPr>
      <w:r>
        <w:rPr>
          <w:rFonts w:hint="eastAsia" w:ascii="仿宋_GB2312" w:hAnsi="Calibri" w:eastAsia="仿宋_GB2312" w:cs="宋体"/>
          <w:b w:val="0"/>
          <w:bCs/>
          <w:kern w:val="0"/>
          <w:sz w:val="32"/>
          <w:szCs w:val="32"/>
          <w:lang w:val="en-US" w:eastAsia="zh-CN"/>
        </w:rPr>
        <w:t>按支出经济分类划分：</w:t>
      </w:r>
      <w:r>
        <w:rPr>
          <w:rFonts w:hint="eastAsia" w:ascii="仿宋_GB2312" w:hAnsi="Calibri" w:eastAsia="仿宋_GB2312" w:cs="宋体"/>
          <w:b w:val="0"/>
          <w:bCs/>
          <w:kern w:val="0"/>
          <w:sz w:val="32"/>
          <w:szCs w:val="32"/>
          <w:highlight w:val="none"/>
          <w:lang w:val="en-US" w:eastAsia="zh-CN"/>
        </w:rPr>
        <w:fldChar w:fldCharType="begin"/>
      </w:r>
      <w:r>
        <w:rPr>
          <w:rFonts w:hint="eastAsia" w:ascii="仿宋_GB2312" w:hAnsi="Calibri" w:eastAsia="仿宋_GB2312" w:cs="宋体"/>
          <w:b w:val="0"/>
          <w:bCs/>
          <w:kern w:val="0"/>
          <w:sz w:val="32"/>
          <w:szCs w:val="32"/>
          <w:highlight w:val="none"/>
          <w:lang w:val="en-US" w:eastAsia="zh-CN"/>
        </w:rPr>
        <w:instrText xml:space="preserve">MERGEFIELD ${page540426799.ds197859873_REP_BGT_T_HC1100002019DXQ01DW_JJMX}</w:instrText>
      </w:r>
      <w:r>
        <w:rPr>
          <w:rFonts w:hint="eastAsia" w:ascii="仿宋_GB2312" w:hAnsi="Calibri" w:eastAsia="仿宋_GB2312" w:cs="宋体"/>
          <w:b w:val="0"/>
          <w:bCs/>
          <w:kern w:val="0"/>
          <w:sz w:val="32"/>
          <w:szCs w:val="32"/>
          <w:highlight w:val="none"/>
          <w:lang w:val="en-US" w:eastAsia="zh-CN"/>
        </w:rPr>
        <w:fldChar w:fldCharType="separate"/>
      </w:r>
      <w:r>
        <w:rPr>
          <w:rFonts w:hint="eastAsia" w:ascii="仿宋_GB2312" w:hAnsi="Calibri" w:eastAsia="仿宋_GB2312" w:cs="宋体"/>
          <w:b w:val="0"/>
          <w:bCs/>
          <w:kern w:val="0"/>
          <w:sz w:val="32"/>
          <w:szCs w:val="32"/>
          <w:highlight w:val="none"/>
          <w:lang w:val="en-US" w:eastAsia="zh-CN"/>
        </w:rPr>
        <w:t>工资福利支出844.87万元,较上年预算安排增加44.24万元;商品和服务支出35.65万元,较上年预算安排减少129.86万元;对个人和家庭的补助19.86万元,较上年预算安排减少6.68万元;资本性支出0万元,较上年预算安排减少8万元。</w:t>
      </w:r>
      <w:r>
        <w:rPr>
          <w:rFonts w:hint="eastAsia" w:ascii="仿宋_GB2312" w:hAnsi="Calibri" w:eastAsia="仿宋_GB2312" w:cs="宋体"/>
          <w:b w:val="0"/>
          <w:bCs/>
          <w:kern w:val="0"/>
          <w:sz w:val="32"/>
          <w:szCs w:val="32"/>
          <w:highlight w:val="none"/>
          <w:lang w:val="en-US" w:eastAsia="zh-CN"/>
        </w:rPr>
        <w:fldChar w:fldCharType="end"/>
      </w:r>
    </w:p>
    <w:p w14:paraId="249FB52A">
      <w:pPr>
        <w:ind w:firstLine="320" w:firstLineChars="100"/>
        <w:rPr>
          <w:rStyle w:val="11"/>
          <w:rFonts w:hint="eastAsia" w:ascii="Adobe 仿宋 Std R" w:hAnsi="Adobe 仿宋 Std R" w:eastAsia="Adobe 仿宋 Std R"/>
          <w:b/>
          <w:sz w:val="32"/>
          <w:szCs w:val="32"/>
          <w:lang w:eastAsia="zh-CN"/>
        </w:rPr>
      </w:pPr>
      <w:r>
        <w:rPr>
          <w:rFonts w:hint="eastAsia"/>
          <w:color w:val="FF0000"/>
          <w:sz w:val="32"/>
          <w:szCs w:val="32"/>
          <w:lang w:val="en-US" w:eastAsia="zh-CN"/>
        </w:rPr>
        <w:t xml:space="preserve"> </w:t>
      </w:r>
      <w:r>
        <w:rPr>
          <w:rStyle w:val="11"/>
          <w:rFonts w:hint="eastAsia" w:ascii="Adobe 仿宋 Std R" w:hAnsi="Adobe 仿宋 Std R" w:eastAsia="Adobe 仿宋 Std R"/>
          <w:b/>
          <w:sz w:val="32"/>
          <w:szCs w:val="32"/>
        </w:rPr>
        <w:t xml:space="preserve"> </w:t>
      </w:r>
      <w:r>
        <w:rPr>
          <w:rFonts w:hint="eastAsia" w:ascii="仿宋_GB2312" w:hAnsi="Calibri" w:eastAsia="仿宋_GB2312" w:cs="宋体"/>
          <w:b/>
          <w:bCs w:val="0"/>
          <w:kern w:val="0"/>
          <w:sz w:val="32"/>
          <w:szCs w:val="32"/>
          <w:lang w:val="en-US" w:eastAsia="zh-CN"/>
        </w:rPr>
        <w:t>(三)财政拨款支出情况</w:t>
      </w:r>
    </w:p>
    <w:p w14:paraId="51DF8195">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2024年</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${page540426799.ds254512694_REP_JXJC_AGENCY_WZR_NAME}</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庐山市文化广电新闻出版局</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${page540426799.ds357974894_REP_BGT_T_HC1100002019_DXQ02DW_S_CBXJ}</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财政拨款支出预算总额1388.46万元,较上年预算安排增加367.77万元。</w:t>
      </w:r>
      <w:r>
        <w:rPr>
          <w:rFonts w:hint="eastAsia" w:ascii="仿宋_GB2312" w:hAnsi="Calibri" w:eastAsia="仿宋_GB2312" w:cs="宋体"/>
          <w:b w:val="0"/>
          <w:bCs/>
          <w:kern w:val="0"/>
          <w:sz w:val="32"/>
          <w:szCs w:val="32"/>
          <w:lang w:val="en-US" w:eastAsia="zh-CN"/>
        </w:rPr>
        <w:fldChar w:fldCharType="end"/>
      </w:r>
    </w:p>
    <w:p w14:paraId="617C0D65">
      <w:pPr>
        <w:widowControl/>
        <w:spacing w:line="580" w:lineRule="exact"/>
        <w:ind w:firstLine="640" w:firstLineChars="200"/>
        <w:jc w:val="left"/>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增减原因： 2024年提高了老电影放映员生活补助标准，财政增加了老体协项目专项资金和三馆一站免费开放项目资金。减少变化原因为本年度免费开放本级配套金额不纳入年初预算项目。增加变化原因为在职人员增加了6名。文化馆丧葬费、一次性抚恤金申报审批表，保障退休人员的利益，给予其家属的经济补偿和精神安慰。</w:t>
      </w:r>
    </w:p>
    <w:p w14:paraId="2DAA0B74">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按支出功能科目划分：</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${page540426799.ds197859873_REP_BGT_T_HC1100002019DXQ01DW_GNZJMX}</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一般公共服务支出1168.51万元,较上年预算安排增加330.57万元；社会保障和就业支出119.80万元，较上年预算安排增加17.43万元；卫生健康支出44.27万元，较上年预算安排增加19.5万元；住房保障支出55.83万元。较上年预算安排增加0.21万元</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t>。</w:t>
      </w:r>
    </w:p>
    <w:p w14:paraId="6B40461F">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按支出项目类别划分：</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${page540426799.ds357974894_REP_BGT_T_HC1100002019_DXQ02DW_JBZCQK}</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基本支出900.36万元,较上年预算安排增加37.49万元；其中：工资福利支出844.87万元，商品和服务支出35.65万元,对个人和家庭的补助19.86万元。</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${page540426799.ds357974894_REP_BGT_T_HC1100002019_DXQ02DW_XMZCQK}</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项目支出497.02万元，较上年预算安排增加339.16万元;</w:t>
      </w:r>
      <w:r>
        <w:rPr>
          <w:rStyle w:val="11"/>
          <w:rFonts w:ascii="仿宋" w:hAnsi="仿宋" w:eastAsia="仿宋"/>
          <w:sz w:val="32"/>
          <w:szCs w:val="32"/>
        </w:rPr>
        <w:t>其中：商品和服务支出</w:t>
      </w:r>
      <w:r>
        <w:rPr>
          <w:rStyle w:val="11"/>
          <w:rFonts w:hint="eastAsia" w:ascii="仿宋" w:hAnsi="仿宋" w:eastAsia="仿宋"/>
          <w:sz w:val="32"/>
          <w:szCs w:val="32"/>
          <w:lang w:val="en-US" w:eastAsia="zh-CN"/>
        </w:rPr>
        <w:t>95.04</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rPr>
          <w:rFonts w:hint="eastAsia" w:ascii="仿宋_GB2312" w:hAnsi="Calibri" w:eastAsia="仿宋_GB2312" w:cs="宋体"/>
          <w:b w:val="0"/>
          <w:bCs/>
          <w:kern w:val="0"/>
          <w:sz w:val="32"/>
          <w:szCs w:val="32"/>
          <w:lang w:val="en-US" w:eastAsia="zh-CN"/>
        </w:rPr>
        <w:fldChar w:fldCharType="end"/>
      </w:r>
    </w:p>
    <w:p w14:paraId="33FA79B2">
      <w:pPr>
        <w:ind w:firstLine="640" w:firstLineChars="200"/>
        <w:rPr>
          <w:sz w:val="32"/>
          <w:szCs w:val="32"/>
        </w:rPr>
      </w:pPr>
      <w:r>
        <w:rPr>
          <w:rStyle w:val="11"/>
          <w:rFonts w:ascii="仿宋" w:hAnsi="仿宋" w:eastAsia="仿宋"/>
          <w:sz w:val="32"/>
          <w:szCs w:val="32"/>
        </w:rPr>
        <w:t xml:space="preserve"> </w:t>
      </w:r>
    </w:p>
    <w:p w14:paraId="762ADAC3">
      <w:pPr>
        <w:ind w:firstLine="640" w:firstLineChars="200"/>
        <w:rPr>
          <w:sz w:val="32"/>
          <w:szCs w:val="32"/>
        </w:rPr>
      </w:pPr>
    </w:p>
    <w:p w14:paraId="3524522F">
      <w:pPr>
        <w:ind w:firstLine="321" w:firstLineChars="100"/>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(四)政府性基金情况</w:t>
      </w:r>
    </w:p>
    <w:p w14:paraId="5B9D520B">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2024年</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${page540426799.ds254512694_REP_JXJC_AGENCY_WZR_NAME}</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庐山市文化广电新闻出版局</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t>政府性基金支出预算为0万元，本单位没有使用政府性基金预算拨款安排的支出。</w:t>
      </w:r>
    </w:p>
    <w:p w14:paraId="175EBBAE">
      <w:pPr>
        <w:ind w:firstLine="321" w:firstLineChars="100"/>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（五）国有资本经营情况</w:t>
      </w:r>
    </w:p>
    <w:p w14:paraId="63FD8D0E">
      <w:pPr>
        <w:widowControl/>
        <w:spacing w:line="580" w:lineRule="exact"/>
        <w:ind w:firstLine="640" w:firstLineChars="200"/>
        <w:jc w:val="left"/>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本单位没有使用国有资本经营预算拨款安排的支出。</w:t>
      </w:r>
    </w:p>
    <w:p w14:paraId="6D377604">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Fonts w:hint="eastAsia" w:ascii="仿宋_GB2312" w:hAnsi="Calibri" w:eastAsia="仿宋_GB2312" w:cs="宋体"/>
          <w:b/>
          <w:bCs w:val="0"/>
          <w:kern w:val="0"/>
          <w:sz w:val="32"/>
          <w:szCs w:val="32"/>
          <w:lang w:val="en-US" w:eastAsia="zh-CN"/>
        </w:rPr>
        <w:t>(六)机关运行经费等重要事项的说明</w:t>
      </w:r>
    </w:p>
    <w:p w14:paraId="3F6F355D">
      <w:pPr>
        <w:widowControl/>
        <w:spacing w:line="580" w:lineRule="exact"/>
        <w:ind w:firstLine="640" w:firstLineChars="200"/>
        <w:jc w:val="left"/>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2024年单位机关运行费预算12.94万元，比2023年预算减少13.52万元，下降51.09%。下降原因为本着过紧日子，压缩公用经费开支。</w:t>
      </w:r>
    </w:p>
    <w:p w14:paraId="4145B711">
      <w:pPr>
        <w:widowControl/>
        <w:spacing w:line="580" w:lineRule="exact"/>
        <w:ind w:firstLine="640" w:firstLineChars="200"/>
        <w:jc w:val="left"/>
        <w:rPr>
          <w:rFonts w:hint="eastAsia" w:ascii="Adobe 仿宋 Std R" w:hAnsi="Adobe 仿宋 Std R" w:eastAsia="Adobe 仿宋 Std R"/>
          <w:sz w:val="32"/>
          <w:szCs w:val="32"/>
        </w:rPr>
      </w:pPr>
      <w:r>
        <w:rPr>
          <w:rFonts w:hint="eastAsia" w:ascii="仿宋_GB2312" w:hAnsi="Calibri" w:eastAsia="仿宋_GB2312" w:cs="宋体"/>
          <w:b w:val="0"/>
          <w:bCs/>
          <w:kern w:val="0"/>
          <w:sz w:val="32"/>
          <w:szCs w:val="32"/>
          <w:lang w:val="en-US" w:eastAsia="zh-CN"/>
        </w:rPr>
        <w:t>按照财政部《地方预决算公开操作规程》明确的口径，机关运行费指各部门的公用经费，包括公务接待费3.19万元、工会经费9万元、福利费0.75万元。</w:t>
      </w:r>
    </w:p>
    <w:p w14:paraId="2E841D2D">
      <w:pPr>
        <w:widowControl/>
        <w:spacing w:line="580" w:lineRule="exact"/>
        <w:ind w:firstLine="640" w:firstLineChars="200"/>
        <w:jc w:val="left"/>
        <w:rPr>
          <w:rFonts w:hint="eastAsia" w:ascii="Adobe 仿宋 Std R" w:hAnsi="Adobe 仿宋 Std R" w:eastAsia="Adobe 仿宋 Std R"/>
          <w:sz w:val="32"/>
          <w:szCs w:val="32"/>
          <w:lang w:val="en-US" w:eastAsia="zh-CN"/>
        </w:rPr>
      </w:pPr>
      <w:bookmarkStart w:id="0" w:name="_GoBack"/>
      <w:bookmarkEnd w:id="0"/>
    </w:p>
    <w:p w14:paraId="632B96F8">
      <w:pPr>
        <w:ind w:firstLine="321" w:firstLineChars="100"/>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(七)政府采购情况</w:t>
      </w:r>
    </w:p>
    <w:p w14:paraId="38F2BE53">
      <w:pPr>
        <w:rPr>
          <w:rFonts w:hint="eastAsia" w:ascii="仿宋_GB2312" w:hAnsi="Calibri" w:eastAsia="仿宋_GB2312" w:cs="宋体"/>
          <w:b w:val="0"/>
          <w:bCs/>
          <w:kern w:val="0"/>
          <w:sz w:val="32"/>
          <w:szCs w:val="32"/>
          <w:lang w:val="en-US" w:eastAsia="zh-CN"/>
        </w:rPr>
      </w:pPr>
      <w:r>
        <w:rPr>
          <w:rStyle w:val="11"/>
          <w:rFonts w:hint="eastAsia" w:asciiTheme="majorEastAsia" w:hAnsiTheme="majorEastAsia" w:eastAsiaTheme="majorEastAsia"/>
          <w:b/>
          <w:sz w:val="32"/>
          <w:szCs w:val="32"/>
        </w:rPr>
        <w:t xml:space="preserve">   </w:t>
      </w:r>
      <w:r>
        <w:rPr>
          <w:rFonts w:hint="eastAsia" w:ascii="仿宋_GB2312" w:hAnsi="Calibri" w:eastAsia="仿宋_GB2312" w:cs="宋体"/>
          <w:b w:val="0"/>
          <w:bCs/>
          <w:kern w:val="0"/>
          <w:sz w:val="32"/>
          <w:szCs w:val="32"/>
          <w:lang w:val="en-US" w:eastAsia="zh-CN"/>
        </w:rPr>
        <w:t>2024年部门所属各单位政府采购总额0万元,其中: 政府采购货物预算0万元, 政府采购工程预算0万元, 政府采购服务预算0万元。</w:t>
      </w:r>
    </w:p>
    <w:p w14:paraId="1DC5727C">
      <w:pPr>
        <w:ind w:firstLine="321" w:firstLineChars="100"/>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(八)国有资产占有使用情况</w:t>
      </w:r>
    </w:p>
    <w:p w14:paraId="51406EC1">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 xml:space="preserve">截至2023年12月31日, </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${page540426799.ds376136392_REP_JX_BAS_AGENCY_INFO_DXQRSDW_S_CLSYS}</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部门共有车辆1辆,其中：一般公务用车实有数1辆。</w:t>
      </w:r>
      <w:r>
        <w:rPr>
          <w:rFonts w:hint="eastAsia" w:ascii="仿宋_GB2312" w:hAnsi="Calibri" w:eastAsia="仿宋_GB2312" w:cs="宋体"/>
          <w:b w:val="0"/>
          <w:bCs/>
          <w:kern w:val="0"/>
          <w:sz w:val="32"/>
          <w:szCs w:val="32"/>
          <w:lang w:val="en-US" w:eastAsia="zh-CN"/>
        </w:rPr>
        <w:fldChar w:fldCharType="end"/>
      </w:r>
    </w:p>
    <w:p w14:paraId="4C27A036">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2024年部门预算安排购置车辆0辆，安排购置单位价值200万元以上大型设备具体为：</w:t>
      </w:r>
      <w:r>
        <w:rPr>
          <w:rFonts w:hint="eastAsia" w:ascii="仿宋_GB2312" w:hAnsi="Calibri" w:eastAsia="仿宋_GB2312" w:cs="宋体"/>
          <w:b w:val="0"/>
          <w:bCs/>
          <w:kern w:val="0"/>
          <w:sz w:val="32"/>
          <w:szCs w:val="32"/>
          <w:u w:val="single"/>
          <w:lang w:val="en-US" w:eastAsia="zh-CN"/>
        </w:rPr>
        <w:t xml:space="preserve">      无      </w:t>
      </w:r>
      <w:r>
        <w:rPr>
          <w:rFonts w:hint="eastAsia" w:ascii="仿宋_GB2312" w:hAnsi="Calibri" w:eastAsia="仿宋_GB2312" w:cs="宋体"/>
          <w:b w:val="0"/>
          <w:bCs/>
          <w:kern w:val="0"/>
          <w:sz w:val="32"/>
          <w:szCs w:val="32"/>
          <w:lang w:val="en-US" w:eastAsia="zh-CN"/>
        </w:rPr>
        <w:t xml:space="preserve"> 。</w:t>
      </w:r>
    </w:p>
    <w:p w14:paraId="22940D53">
      <w:pPr>
        <w:ind w:firstLine="321" w:firstLineChars="100"/>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（九）罚没收入分配支出项目情况说明</w:t>
      </w:r>
    </w:p>
    <w:p w14:paraId="39722C13">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1）项目概述</w:t>
      </w:r>
    </w:p>
    <w:p w14:paraId="6EAE399A">
      <w:pPr>
        <w:ind w:firstLine="642"/>
        <w:rPr>
          <w:rFonts w:hint="eastAsia" w:ascii="Adobe 仿宋 Std R" w:hAnsi="Adobe 仿宋 Std R" w:eastAsia="Adobe 仿宋 Std R"/>
          <w:sz w:val="32"/>
          <w:szCs w:val="32"/>
        </w:rPr>
      </w:pPr>
      <w:r>
        <w:rPr>
          <w:rFonts w:hint="eastAsia" w:ascii="仿宋_GB2312" w:hAnsi="Calibri" w:eastAsia="仿宋_GB2312" w:cs="宋体"/>
          <w:b w:val="0"/>
          <w:bCs/>
          <w:kern w:val="0"/>
          <w:sz w:val="32"/>
          <w:szCs w:val="32"/>
          <w:lang w:val="en-US" w:eastAsia="zh-CN"/>
        </w:rPr>
        <w:t>资金用于加强文化市场管理，保障日常工作开支。</w:t>
      </w:r>
    </w:p>
    <w:p w14:paraId="73C8316E">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2）立项依据</w:t>
      </w:r>
    </w:p>
    <w:p w14:paraId="673A7952">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依据《互联网上网服务营业场所管理条例》、《文物法》等法律法规的罚没收入，资金用于加强文化市场管理，保障日常工作开支。</w:t>
      </w:r>
    </w:p>
    <w:p w14:paraId="3EE00AA7">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3）实施主体：庐山市文化广电新闻出版局</w:t>
      </w:r>
    </w:p>
    <w:p w14:paraId="7C7B108F">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4）实施方案：</w:t>
      </w:r>
    </w:p>
    <w:p w14:paraId="1DD38AAB">
      <w:pPr>
        <w:ind w:firstLine="642"/>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根据庐山市文广新局2024年工作计划，加强文化市场管理，推进工作有序开展。</w:t>
      </w:r>
    </w:p>
    <w:p w14:paraId="2D6587EA">
      <w:pPr>
        <w:ind w:firstLine="642"/>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 xml:space="preserve">     5）实施周期：2024年</w:t>
      </w:r>
    </w:p>
    <w:p w14:paraId="1914F2C7">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 xml:space="preserve">     6）年度预算安排：4.8万</w:t>
      </w:r>
    </w:p>
    <w:p w14:paraId="719B60F3">
      <w:pPr>
        <w:rPr>
          <w:rFonts w:hint="eastAsia" w:ascii="Adobe 仿宋 Std R" w:hAnsi="Adobe 仿宋 Std R" w:eastAsia="Adobe 仿宋 Std R"/>
          <w:sz w:val="32"/>
          <w:szCs w:val="32"/>
          <w:lang w:val="en-US" w:eastAsia="zh-CN"/>
        </w:rPr>
      </w:pPr>
    </w:p>
    <w:p w14:paraId="3869FA0C">
      <w:pPr>
        <w:ind w:firstLine="321" w:firstLineChars="100"/>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免费开放本级配套资金项目情况说明</w:t>
      </w:r>
    </w:p>
    <w:p w14:paraId="513A1AA1">
      <w:pPr>
        <w:ind w:firstLine="642"/>
        <w:rPr>
          <w:rFonts w:hint="eastAsia" w:ascii="仿宋_GB2312" w:hAnsi="Calibri" w:eastAsia="仿宋_GB2312" w:cs="宋体"/>
          <w:b w:val="0"/>
          <w:bCs/>
          <w:kern w:val="0"/>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仿宋_GB2312" w:hAnsi="Calibri" w:eastAsia="仿宋_GB2312" w:cs="宋体"/>
          <w:b w:val="0"/>
          <w:bCs/>
          <w:kern w:val="0"/>
          <w:sz w:val="32"/>
          <w:szCs w:val="32"/>
          <w:lang w:val="en-US" w:eastAsia="zh-CN"/>
        </w:rPr>
        <w:t xml:space="preserve"> 1）项目概述</w:t>
      </w:r>
    </w:p>
    <w:p w14:paraId="07B4FB40">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保障乡镇文化站免费开放正常运转。</w:t>
      </w:r>
    </w:p>
    <w:p w14:paraId="439CBEAE">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2）立项依据</w:t>
      </w:r>
    </w:p>
    <w:p w14:paraId="70D6AC46">
      <w:pPr>
        <w:ind w:firstLine="642"/>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《关于下达2023年公共图书馆、美术馆、文化馆（站）免费开放补助资金预算的通知》（九财文指【2023】9号）</w:t>
      </w:r>
    </w:p>
    <w:p w14:paraId="6257E492">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3）实施主体：各乡镇文化站</w:t>
      </w:r>
    </w:p>
    <w:p w14:paraId="50580D65">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4）实施方案：</w:t>
      </w:r>
    </w:p>
    <w:p w14:paraId="319F94D9">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 xml:space="preserve"> 根据群众的需求，整合业务流程，合理调配资源，改善服务效能。不断拓展服务领域、方式和手段，提供更加人性化的服务设施和服务项目，努力强化文化的感染力和辐射力，最大限度地缓解因免费开放带来的供需矛盾。尊重和贴近群众的文化需求，在实现均等普惠的公共服务基础上，逐步增设多样化服务。   </w:t>
      </w:r>
    </w:p>
    <w:p w14:paraId="3F1D60E0">
      <w:pPr>
        <w:ind w:firstLine="1296" w:firstLineChars="405"/>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5）实施周期：2024年</w:t>
      </w:r>
    </w:p>
    <w:p w14:paraId="0807738B">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6）年度预算安排：239万</w:t>
      </w:r>
    </w:p>
    <w:p w14:paraId="77A15EEF">
      <w:pPr>
        <w:ind w:firstLine="642"/>
        <w:rPr>
          <w:rFonts w:hint="eastAsia" w:ascii="Adobe 仿宋 Std R" w:hAnsi="Adobe 仿宋 Std R" w:eastAsia="Adobe 仿宋 Std R"/>
          <w:sz w:val="32"/>
          <w:szCs w:val="32"/>
          <w:lang w:val="en-US" w:eastAsia="zh-CN"/>
        </w:rPr>
      </w:pPr>
    </w:p>
    <w:p w14:paraId="6939EB7F">
      <w:pPr>
        <w:ind w:firstLine="321" w:firstLineChars="100"/>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非物质文化遗产保护项目情况说明</w:t>
      </w:r>
    </w:p>
    <w:p w14:paraId="4F38351A">
      <w:pPr>
        <w:ind w:firstLine="642"/>
        <w:rPr>
          <w:rFonts w:hint="eastAsia" w:ascii="仿宋_GB2312" w:hAnsi="Calibri" w:eastAsia="仿宋_GB2312" w:cs="宋体"/>
          <w:b w:val="0"/>
          <w:bCs/>
          <w:kern w:val="0"/>
          <w:sz w:val="32"/>
          <w:szCs w:val="32"/>
          <w:lang w:val="en-US" w:eastAsia="zh-CN"/>
        </w:rPr>
      </w:pPr>
      <w:r>
        <w:rPr>
          <w:rFonts w:hint="eastAsia" w:ascii="Adobe 仿宋 Std R" w:hAnsi="Adobe 仿宋 Std R" w:eastAsia="Adobe 仿宋 Std R"/>
          <w:sz w:val="32"/>
          <w:szCs w:val="32"/>
        </w:rPr>
        <w:t xml:space="preserve">   </w:t>
      </w:r>
      <w:r>
        <w:rPr>
          <w:rFonts w:hint="eastAsia" w:ascii="仿宋_GB2312" w:hAnsi="Calibri" w:eastAsia="仿宋_GB2312" w:cs="宋体"/>
          <w:b w:val="0"/>
          <w:bCs/>
          <w:kern w:val="0"/>
          <w:sz w:val="32"/>
          <w:szCs w:val="32"/>
          <w:lang w:val="en-US" w:eastAsia="zh-CN"/>
        </w:rPr>
        <w:t>1）项目概述</w:t>
      </w:r>
    </w:p>
    <w:p w14:paraId="510D6AC9">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社会参与非遗保护与传承，提高非遗传承人保护环境、珍惜资源、合理利用资源的生态意识。</w:t>
      </w:r>
    </w:p>
    <w:p w14:paraId="7A7CCE10">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2）立项依据</w:t>
      </w:r>
    </w:p>
    <w:p w14:paraId="7824872B">
      <w:pPr>
        <w:ind w:firstLine="642"/>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《非物质文化遗产保护条例》</w:t>
      </w:r>
    </w:p>
    <w:p w14:paraId="2110C96E">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3）实施主体：庐山市文化广电新闻出版局</w:t>
      </w:r>
    </w:p>
    <w:p w14:paraId="18B3A7DB">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4）实施方案：</w:t>
      </w:r>
    </w:p>
    <w:p w14:paraId="6DC7AB22">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 xml:space="preserve"> 开展保护与传承活动，非物质文化遗产保护工作稳步提升。   </w:t>
      </w:r>
    </w:p>
    <w:p w14:paraId="629530C5">
      <w:pPr>
        <w:ind w:firstLine="642"/>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5）实施周期：2024年</w:t>
      </w:r>
    </w:p>
    <w:p w14:paraId="6114CAE1">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6）年度预算安排：1.7万</w:t>
      </w:r>
    </w:p>
    <w:p w14:paraId="00A4080D">
      <w:pPr>
        <w:ind w:firstLine="1296" w:firstLineChars="405"/>
        <w:rPr>
          <w:rFonts w:hint="eastAsia" w:ascii="Adobe 仿宋 Std R" w:hAnsi="Adobe 仿宋 Std R" w:eastAsia="Adobe 仿宋 Std R"/>
          <w:sz w:val="32"/>
          <w:szCs w:val="32"/>
          <w:lang w:val="en-US" w:eastAsia="zh-CN"/>
        </w:rPr>
      </w:pPr>
    </w:p>
    <w:p w14:paraId="0AF67701">
      <w:pPr>
        <w:ind w:firstLine="321" w:firstLineChars="100"/>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农家书屋出版物补充更新项目情况说明</w:t>
      </w:r>
    </w:p>
    <w:p w14:paraId="4ED0888F">
      <w:pPr>
        <w:ind w:firstLine="642"/>
        <w:rPr>
          <w:rFonts w:hint="eastAsia" w:ascii="仿宋_GB2312" w:hAnsi="Calibri" w:eastAsia="仿宋_GB2312" w:cs="宋体"/>
          <w:b w:val="0"/>
          <w:bCs/>
          <w:kern w:val="0"/>
          <w:sz w:val="32"/>
          <w:szCs w:val="32"/>
          <w:lang w:val="en-US" w:eastAsia="zh-CN"/>
        </w:rPr>
      </w:pPr>
      <w:r>
        <w:rPr>
          <w:rFonts w:hint="eastAsia" w:ascii="Adobe 仿宋 Std R" w:hAnsi="Adobe 仿宋 Std R" w:eastAsia="Adobe 仿宋 Std R"/>
          <w:sz w:val="32"/>
          <w:szCs w:val="32"/>
        </w:rPr>
        <w:t xml:space="preserve">  </w:t>
      </w:r>
      <w:r>
        <w:rPr>
          <w:rFonts w:hint="eastAsia" w:ascii="仿宋_GB2312" w:hAnsi="Calibri" w:eastAsia="仿宋_GB2312" w:cs="宋体"/>
          <w:b w:val="0"/>
          <w:bCs/>
          <w:kern w:val="0"/>
          <w:sz w:val="32"/>
          <w:szCs w:val="32"/>
          <w:lang w:val="en-US" w:eastAsia="zh-CN"/>
        </w:rPr>
        <w:t xml:space="preserve"> 1）项目概述</w:t>
      </w:r>
    </w:p>
    <w:p w14:paraId="07EEE22F">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为农家书屋出版物更新工作提供经费保障，满足人民群众日益增长的精神文化需求。</w:t>
      </w:r>
    </w:p>
    <w:p w14:paraId="430CD7AC">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2）立项依据</w:t>
      </w:r>
    </w:p>
    <w:p w14:paraId="48D9129A">
      <w:pPr>
        <w:ind w:firstLine="642"/>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《关于做好 2020 年度九江市农家书屋出版物补充更新工作的通知》（九文旅字〔2020〕76 号）</w:t>
      </w:r>
    </w:p>
    <w:p w14:paraId="2F675C21">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3）实施主体：庐山市文化广电新闻出版局</w:t>
      </w:r>
    </w:p>
    <w:p w14:paraId="064CD0DE">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4）实施方案：</w:t>
      </w:r>
    </w:p>
    <w:p w14:paraId="3CC173C7">
      <w:pPr>
        <w:ind w:firstLine="642"/>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 xml:space="preserve"> 为89家农家书屋科学制定更新计划，解决百姓看书难等问题。</w:t>
      </w:r>
    </w:p>
    <w:p w14:paraId="0732DAE9">
      <w:pPr>
        <w:ind w:firstLine="1296" w:firstLineChars="405"/>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5）实施周期：2024年</w:t>
      </w:r>
    </w:p>
    <w:p w14:paraId="3093B0AC">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6）年度预算安排：5.34万</w:t>
      </w:r>
    </w:p>
    <w:p w14:paraId="0D05FEBA">
      <w:pPr>
        <w:ind w:firstLine="1296" w:firstLineChars="405"/>
        <w:rPr>
          <w:rFonts w:hint="eastAsia" w:ascii="Adobe 仿宋 Std R" w:hAnsi="Adobe 仿宋 Std R" w:eastAsia="Adobe 仿宋 Std R"/>
          <w:sz w:val="32"/>
          <w:szCs w:val="32"/>
          <w:lang w:val="en-US" w:eastAsia="zh-CN"/>
        </w:rPr>
      </w:pPr>
    </w:p>
    <w:p w14:paraId="593AF390">
      <w:pPr>
        <w:ind w:firstLine="321" w:firstLineChars="100"/>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老电影放映员生活补助项目情况说明</w:t>
      </w:r>
    </w:p>
    <w:p w14:paraId="197DB208">
      <w:pPr>
        <w:ind w:firstLine="1296" w:firstLineChars="405"/>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1）项目概述</w:t>
      </w:r>
    </w:p>
    <w:p w14:paraId="748FB7D4">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依据赣新广局字【2014】108号文件精神，妥善解决老放映员生活待遇，维护社会稳定。</w:t>
      </w:r>
    </w:p>
    <w:p w14:paraId="43E290AC">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2）立项依据</w:t>
      </w:r>
    </w:p>
    <w:p w14:paraId="0CDD642F">
      <w:pPr>
        <w:ind w:firstLine="640" w:firstLineChars="200"/>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《关于妥善解决乡镇（公社）老放映员历史遗留问题的实施方案》（赣新广局字【2014】108号）、《关于进一步妥善解决乡镇（公社）老放映员历史遗留问题的请示》</w:t>
      </w:r>
    </w:p>
    <w:p w14:paraId="7B53E598">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3）实施主体：庐山市文化广电新闻出版局</w:t>
      </w:r>
    </w:p>
    <w:p w14:paraId="0BEEC11A">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4）实施方案：</w:t>
      </w:r>
    </w:p>
    <w:p w14:paraId="496AB411">
      <w:pPr>
        <w:ind w:firstLine="640" w:firstLineChars="200"/>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我市 2024年满足发放农村电影放映员生活补助的共27人，需发放资金23.8750元。</w:t>
      </w:r>
    </w:p>
    <w:p w14:paraId="4750774E">
      <w:pPr>
        <w:ind w:firstLine="1280" w:firstLineChars="400"/>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5）实施周期：2024年</w:t>
      </w:r>
    </w:p>
    <w:p w14:paraId="102E5742">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6）年度预算安排：23.8750万</w:t>
      </w:r>
    </w:p>
    <w:p w14:paraId="0C7E7281">
      <w:pPr>
        <w:ind w:firstLine="1296" w:firstLineChars="405"/>
        <w:rPr>
          <w:rFonts w:hint="eastAsia" w:ascii="Adobe 仿宋 Std R" w:hAnsi="Adobe 仿宋 Std R" w:eastAsia="Adobe 仿宋 Std R"/>
          <w:sz w:val="32"/>
          <w:szCs w:val="32"/>
          <w:lang w:val="en-US" w:eastAsia="zh-CN"/>
        </w:rPr>
      </w:pPr>
    </w:p>
    <w:p w14:paraId="32194DDA">
      <w:pPr>
        <w:ind w:firstLine="321" w:firstLineChars="100"/>
        <w:rPr>
          <w:rFonts w:ascii="Adobe 仿宋 Std R" w:hAnsi="Adobe 仿宋 Std R" w:eastAsia="Adobe 仿宋 Std R"/>
          <w:b/>
          <w:sz w:val="32"/>
          <w:szCs w:val="32"/>
        </w:rPr>
      </w:pPr>
      <w:r>
        <w:rPr>
          <w:rFonts w:hint="eastAsia" w:ascii="仿宋_GB2312" w:hAnsi="Calibri" w:eastAsia="仿宋_GB2312" w:cs="宋体"/>
          <w:b/>
          <w:bCs w:val="0"/>
          <w:kern w:val="0"/>
          <w:sz w:val="32"/>
          <w:szCs w:val="32"/>
          <w:lang w:val="en-US" w:eastAsia="zh-CN"/>
        </w:rPr>
        <w:t>扫黄打非工作经费项目情况说明</w:t>
      </w:r>
    </w:p>
    <w:p w14:paraId="55F304EA">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1）项目概述</w:t>
      </w:r>
    </w:p>
    <w:p w14:paraId="07FDF4D5">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调动查办“扫黄打非”案件的积极性，提高“扫黄打非”案件查办的数量和质量，确保“扫黄打非”工作成效。</w:t>
      </w:r>
    </w:p>
    <w:p w14:paraId="298C00DC">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2）立项依据</w:t>
      </w:r>
    </w:p>
    <w:p w14:paraId="1D7C1AE2">
      <w:pPr>
        <w:ind w:firstLine="640" w:firstLineChars="200"/>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依据《九江市“扫黄打非”工作考评办法》</w:t>
      </w:r>
    </w:p>
    <w:p w14:paraId="7EAE8106">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3）实施主体：庐山市文化广电新闻出版局</w:t>
      </w:r>
    </w:p>
    <w:p w14:paraId="39CB84C5">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4）实施方案：</w:t>
      </w:r>
    </w:p>
    <w:p w14:paraId="387B449C">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保障“扫黄打非”工作经费，促进文化市场良性发展，营造良好的文化氛围。</w:t>
      </w:r>
    </w:p>
    <w:p w14:paraId="5C9D7F72">
      <w:pPr>
        <w:ind w:firstLine="1280" w:firstLineChars="400"/>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5）实施周期：2024年</w:t>
      </w:r>
    </w:p>
    <w:p w14:paraId="345406DC">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6）年度预算安排：5万</w:t>
      </w:r>
    </w:p>
    <w:p w14:paraId="1199E2EE">
      <w:pPr>
        <w:rPr>
          <w:rStyle w:val="11"/>
          <w:rFonts w:hint="eastAsia" w:ascii="Adobe 仿宋 Std R" w:hAnsi="Adobe 仿宋 Std R" w:eastAsia="Adobe 仿宋 Std R"/>
          <w:b/>
          <w:sz w:val="32"/>
          <w:szCs w:val="32"/>
        </w:rPr>
      </w:pPr>
    </w:p>
    <w:p w14:paraId="084E662D">
      <w:pPr>
        <w:ind w:firstLine="321" w:firstLineChars="100"/>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协会团体组织工作经费项目情况说明</w:t>
      </w:r>
    </w:p>
    <w:p w14:paraId="7FEFEB37">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 xml:space="preserve"> 1）项目概述</w:t>
      </w:r>
    </w:p>
    <w:p w14:paraId="2A2A1C4E">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 xml:space="preserve">发挥群众团体在传承弘扬中华优秀传统文化中的作用，更好地为社会主义服务，为人民服务，为建设大美庐山服务。           </w:t>
      </w:r>
    </w:p>
    <w:p w14:paraId="59BD2D3D">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2）立项依据</w:t>
      </w:r>
    </w:p>
    <w:p w14:paraId="49CB6B4E">
      <w:pPr>
        <w:ind w:firstLine="640" w:firstLineChars="200"/>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 xml:space="preserve"> 财政预算安排</w:t>
      </w:r>
    </w:p>
    <w:p w14:paraId="29E09151">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3）实施主体：庐山市文化广电新闻出版局</w:t>
      </w:r>
    </w:p>
    <w:p w14:paraId="14486507">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4）实施方案：</w:t>
      </w:r>
    </w:p>
    <w:p w14:paraId="0ADA08AA">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保障协会团体组织工作经费，助推庐山文化品牌知名度。</w:t>
      </w:r>
    </w:p>
    <w:p w14:paraId="32582643">
      <w:pPr>
        <w:ind w:firstLine="1280" w:firstLineChars="400"/>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5）实施周期：2024年</w:t>
      </w:r>
    </w:p>
    <w:p w14:paraId="0A16CEA3">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6）年度预算安排：83万</w:t>
      </w:r>
    </w:p>
    <w:p w14:paraId="2CC15A49">
      <w:pPr>
        <w:ind w:firstLine="321" w:firstLineChars="100"/>
        <w:rPr>
          <w:rFonts w:hint="eastAsia" w:ascii="仿宋_GB2312" w:hAnsi="Calibri" w:eastAsia="仿宋_GB2312" w:cs="宋体"/>
          <w:b/>
          <w:bCs w:val="0"/>
          <w:kern w:val="0"/>
          <w:sz w:val="32"/>
          <w:szCs w:val="32"/>
          <w:lang w:val="en-US" w:eastAsia="zh-CN"/>
        </w:rPr>
      </w:pPr>
      <w:r>
        <w:rPr>
          <w:rFonts w:hint="eastAsia" w:ascii="仿宋_GB2312" w:hAnsi="Calibri" w:eastAsia="仿宋_GB2312" w:cs="宋体"/>
          <w:b/>
          <w:bCs w:val="0"/>
          <w:kern w:val="0"/>
          <w:sz w:val="32"/>
          <w:szCs w:val="32"/>
          <w:lang w:val="en-US" w:eastAsia="zh-CN"/>
        </w:rPr>
        <w:t>退休人员死亡丧葬费及一次性抚恤金（黄碧青）项目情况说明</w:t>
      </w:r>
    </w:p>
    <w:p w14:paraId="09A2233F">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1）项目概述</w:t>
      </w:r>
    </w:p>
    <w:p w14:paraId="3DC62CE6">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为保障事业单位退休人员的利益，缓解抚恤对象的经济困难，进一步维护社会稳定，根据政策安排，向抚恤对象发放丧葬费及一次性抚恤金补助。</w:t>
      </w:r>
    </w:p>
    <w:p w14:paraId="4EB2876B">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2）立项依据</w:t>
      </w:r>
    </w:p>
    <w:p w14:paraId="2F505292">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根据庐山市文化馆丧葬费、一次性抚恤金申报审批表，保障退休人员的利益，给予其家属的经济补偿和精神安慰。</w:t>
      </w:r>
    </w:p>
    <w:p w14:paraId="4F1B6391">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3）实施主体：庐山市文化馆</w:t>
      </w:r>
    </w:p>
    <w:p w14:paraId="0B91A990">
      <w:pPr>
        <w:ind w:firstLine="1280" w:firstLineChars="4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4）实施方案</w:t>
      </w:r>
    </w:p>
    <w:p w14:paraId="51DE75CD">
      <w:pPr>
        <w:ind w:firstLine="640" w:firstLineChars="200"/>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丧葬费0.5万元、一次性抚恤金为生前20个月基本退休费（基本工资）为2.98万元，总计3.48万元。</w:t>
      </w:r>
    </w:p>
    <w:p w14:paraId="04B0133C">
      <w:pPr>
        <w:ind w:firstLine="960" w:firstLineChars="300"/>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 xml:space="preserve">  5）实施周期：2024年</w:t>
      </w:r>
    </w:p>
    <w:p w14:paraId="0078D6DD">
      <w:pPr>
        <w:ind w:firstLine="960" w:firstLineChars="3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 xml:space="preserve">  6）年度预算安排：3.48万</w:t>
      </w:r>
    </w:p>
    <w:p w14:paraId="561A60D1">
      <w:pPr>
        <w:ind w:firstLine="960" w:firstLineChars="300"/>
        <w:rPr>
          <w:rFonts w:hint="eastAsia" w:ascii="仿宋_GB2312" w:hAnsi="Calibri" w:eastAsia="仿宋_GB2312" w:cs="宋体"/>
          <w:b w:val="0"/>
          <w:bCs/>
          <w:kern w:val="0"/>
          <w:sz w:val="32"/>
          <w:szCs w:val="32"/>
          <w:lang w:val="en-US" w:eastAsia="zh-CN"/>
        </w:rPr>
      </w:pPr>
    </w:p>
    <w:p w14:paraId="120ACB88">
      <w:pPr>
        <w:ind w:firstLine="960" w:firstLineChars="300"/>
        <w:rPr>
          <w:rFonts w:hint="eastAsia" w:ascii="仿宋_GB2312" w:hAnsi="Calibri" w:eastAsia="仿宋_GB2312" w:cs="宋体"/>
          <w:b w:val="0"/>
          <w:bCs/>
          <w:kern w:val="0"/>
          <w:sz w:val="32"/>
          <w:szCs w:val="32"/>
          <w:lang w:val="en-US" w:eastAsia="zh-CN"/>
        </w:rPr>
      </w:pPr>
    </w:p>
    <w:p w14:paraId="28E5C762">
      <w:pPr>
        <w:widowControl/>
        <w:spacing w:line="580" w:lineRule="exact"/>
        <w:jc w:val="left"/>
        <w:rPr>
          <w:rFonts w:ascii="楷体_GB2312" w:eastAsia="楷体_GB2312"/>
          <w:b/>
          <w:sz w:val="32"/>
          <w:szCs w:val="30"/>
        </w:rPr>
      </w:pPr>
      <w:r>
        <w:rPr>
          <w:rFonts w:hint="eastAsia" w:ascii="仿宋_GB2312" w:hAnsi="Calibri" w:eastAsia="仿宋_GB2312" w:cs="宋体"/>
          <w:b/>
          <w:bCs w:val="0"/>
          <w:kern w:val="0"/>
          <w:sz w:val="32"/>
          <w:szCs w:val="32"/>
          <w:lang w:val="en-US" w:eastAsia="zh-CN"/>
        </w:rPr>
        <w:t>二、2024年“三公”经费预算情况说明</w:t>
      </w:r>
    </w:p>
    <w:p w14:paraId="71B7EB7B">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2024年</w:t>
      </w: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${page540426799.ds254512694_REP_JXJC_AGENCY_WZR_NAME}</w:instrText>
      </w:r>
      <w:r>
        <w:rPr>
          <w:rFonts w:hint="eastAsia" w:ascii="仿宋_GB2312" w:hAnsi="Calibri" w:eastAsia="仿宋_GB2312" w:cs="宋体"/>
          <w:b w:val="0"/>
          <w:bCs/>
          <w:kern w:val="0"/>
          <w:sz w:val="32"/>
          <w:szCs w:val="32"/>
          <w:lang w:val="en-US" w:eastAsia="zh-CN"/>
        </w:rPr>
        <w:fldChar w:fldCharType="separate"/>
      </w:r>
      <w:r>
        <w:rPr>
          <w:rFonts w:hint="eastAsia" w:ascii="仿宋_GB2312" w:hAnsi="Calibri" w:eastAsia="仿宋_GB2312" w:cs="宋体"/>
          <w:b w:val="0"/>
          <w:bCs/>
          <w:kern w:val="0"/>
          <w:sz w:val="32"/>
          <w:szCs w:val="32"/>
          <w:lang w:val="en-US" w:eastAsia="zh-CN"/>
        </w:rPr>
        <w:t>庐山市文化广电新闻出版局</w:t>
      </w:r>
      <w:r>
        <w:rPr>
          <w:rFonts w:hint="eastAsia" w:ascii="仿宋_GB2312" w:hAnsi="Calibri" w:eastAsia="仿宋_GB2312" w:cs="宋体"/>
          <w:b w:val="0"/>
          <w:bCs/>
          <w:kern w:val="0"/>
          <w:sz w:val="32"/>
          <w:szCs w:val="32"/>
          <w:lang w:val="en-US" w:eastAsia="zh-CN"/>
        </w:rPr>
        <w:fldChar w:fldCharType="end"/>
      </w:r>
      <w:r>
        <w:rPr>
          <w:rFonts w:hint="eastAsia" w:ascii="仿宋_GB2312" w:hAnsi="Calibri" w:eastAsia="仿宋_GB2312" w:cs="宋体"/>
          <w:b w:val="0"/>
          <w:bCs/>
          <w:kern w:val="0"/>
          <w:sz w:val="32"/>
          <w:szCs w:val="32"/>
          <w:lang w:val="en-US" w:eastAsia="zh-CN"/>
        </w:rPr>
        <w:t>部门三公"经费财政拨款安排4.81万元，其中：</w:t>
      </w:r>
    </w:p>
    <w:p w14:paraId="295F1DF1">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因公出国0万元,比上年增（减）0万元，主要原因是：与上年安排保持一致。</w:t>
      </w:r>
    </w:p>
    <w:p w14:paraId="7CBCAEE1">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公务接待4.41万元,比上年减少1.75万元，主要原因是：贯彻落实中央八项规定精神，合理调减公务接待开支。</w:t>
      </w:r>
    </w:p>
    <w:p w14:paraId="2D893DD7">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公务用车运行0.4万元,比上年增（减）0万元，主要原因是：与上年安排保持一致。</w:t>
      </w:r>
    </w:p>
    <w:p w14:paraId="5344CD75">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公务用车购置0万元,比上年增（减）0万元，主要原因是：与上年安排保持一致。</w:t>
      </w:r>
    </w:p>
    <w:p w14:paraId="405969A8">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fldChar w:fldCharType="begin"/>
      </w:r>
      <w:r>
        <w:rPr>
          <w:rFonts w:hint="eastAsia" w:ascii="仿宋_GB2312" w:hAnsi="Calibri" w:eastAsia="仿宋_GB2312" w:cs="宋体"/>
          <w:b w:val="0"/>
          <w:bCs/>
          <w:kern w:val="0"/>
          <w:sz w:val="32"/>
          <w:szCs w:val="32"/>
          <w:lang w:val="en-US" w:eastAsia="zh-CN"/>
        </w:rPr>
        <w:instrText xml:space="preserve">MERGEFIELD ${page400644146.ds215660413_REP_BGT_T_HC1100002019_DXQ02_ZCSGGZ}</w:instrText>
      </w:r>
      <w:r>
        <w:rPr>
          <w:rFonts w:hint="eastAsia" w:ascii="仿宋_GB2312" w:hAnsi="Calibri" w:eastAsia="仿宋_GB2312" w:cs="宋体"/>
          <w:b w:val="0"/>
          <w:bCs/>
          <w:kern w:val="0"/>
          <w:sz w:val="32"/>
          <w:szCs w:val="32"/>
          <w:lang w:val="en-US" w:eastAsia="zh-CN"/>
        </w:rPr>
        <w:fldChar w:fldCharType="end"/>
      </w:r>
    </w:p>
    <w:p w14:paraId="428A0FE8">
      <w:pPr>
        <w:ind w:firstLine="640" w:firstLineChars="200"/>
        <w:rPr>
          <w:rFonts w:hint="eastAsia" w:ascii="仿宋_GB2312" w:hAnsi="Calibri" w:eastAsia="仿宋_GB2312" w:cs="宋体"/>
          <w:b w:val="0"/>
          <w:bCs/>
          <w:kern w:val="0"/>
          <w:sz w:val="32"/>
          <w:szCs w:val="32"/>
          <w:lang w:val="en-US" w:eastAsia="zh-CN"/>
        </w:rPr>
      </w:pPr>
    </w:p>
    <w:p w14:paraId="215CDDC1">
      <w:pPr>
        <w:ind w:firstLine="640" w:firstLineChars="200"/>
        <w:rPr>
          <w:rFonts w:hint="eastAsia" w:ascii="仿宋_GB2312" w:hAnsi="Calibri" w:eastAsia="仿宋_GB2312" w:cs="宋体"/>
          <w:b w:val="0"/>
          <w:bCs/>
          <w:kern w:val="0"/>
          <w:sz w:val="32"/>
          <w:szCs w:val="32"/>
          <w:lang w:val="en-US" w:eastAsia="zh-CN"/>
        </w:rPr>
      </w:pPr>
    </w:p>
    <w:p w14:paraId="03582F2A">
      <w:pPr>
        <w:ind w:firstLine="640" w:firstLineChars="200"/>
        <w:rPr>
          <w:rFonts w:hint="eastAsia" w:ascii="仿宋_GB2312" w:hAnsi="Calibri" w:eastAsia="仿宋_GB2312" w:cs="宋体"/>
          <w:b w:val="0"/>
          <w:bCs/>
          <w:kern w:val="0"/>
          <w:sz w:val="32"/>
          <w:szCs w:val="32"/>
          <w:lang w:val="en-US" w:eastAsia="zh-CN"/>
        </w:rPr>
      </w:pPr>
    </w:p>
    <w:p w14:paraId="33166233">
      <w:pPr>
        <w:widowControl/>
        <w:shd w:val="clear" w:color="auto" w:fill="FFFFFF"/>
        <w:spacing w:line="640" w:lineRule="atLeast"/>
        <w:ind w:firstLine="640"/>
        <w:jc w:val="center"/>
        <w:rPr>
          <w:rFonts w:ascii="Arial" w:hAnsi="Arial" w:cs="Arial"/>
          <w:color w:val="333333"/>
          <w:sz w:val="32"/>
          <w:szCs w:val="32"/>
        </w:rPr>
      </w:pPr>
      <w:r>
        <w:rPr>
          <w:rFonts w:hint="eastAsia" w:ascii="仿宋_GB2312" w:eastAsia="仿宋_GB2312"/>
          <w:b/>
          <w:sz w:val="32"/>
          <w:szCs w:val="32"/>
        </w:rPr>
        <w:t>第四部分   名词解释</w:t>
      </w:r>
    </w:p>
    <w:p w14:paraId="65379AB3">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一、收入科目</w:t>
      </w:r>
    </w:p>
    <w:p w14:paraId="08C10343">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（一）财政拨款：指市级财政当年拨付的资金。</w:t>
      </w:r>
    </w:p>
    <w:p w14:paraId="77127859">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（二）教育收费资金收入：反映实行专项管理的高中以上学费、住宿费，高校委托培养费，函大、电大、夜大及短训班培训费等教育收费取得的收入。</w:t>
      </w:r>
    </w:p>
    <w:p w14:paraId="5F1B21F1">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（三）事业收入：指事业单位开展专业业务活动及辅助活动取得的收入。</w:t>
      </w:r>
    </w:p>
    <w:p w14:paraId="13A2EF0D">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（四）事业单位经营收入：指事业单位在专业业务活动及辅助活动之外开展非独立核算经营活动取得的收入。</w:t>
      </w:r>
    </w:p>
    <w:p w14:paraId="30CF0E8C">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（五）附属单位上缴收入：反映事业单位附属的独立核算单位按规定标准或比例缴纳的各项收入。包括附属的事业单位上缴的收入和附属的企业上缴的利润等。</w:t>
      </w:r>
    </w:p>
    <w:p w14:paraId="51453EF0">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（六）上级补助收入：反映事业单位从主管部门和上级单位取得的非财政补助收入。</w:t>
      </w:r>
    </w:p>
    <w:p w14:paraId="449051E5">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（七）其他收入：指除财政拨款、事业收入、事业单位经营收入等以外的各项收入。</w:t>
      </w:r>
    </w:p>
    <w:p w14:paraId="0491B478">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（八）使用非财政拨款结余：填列历年滚存的非限定用途的非统计财政拨款结余弥补2024年收支差额的数额。</w:t>
      </w:r>
    </w:p>
    <w:p w14:paraId="2ED844D2">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（九）上年结转和结余：填列2023年全部结转和结余的资金数，包括当年结转结余资金和历年滚存结转结余资金。</w:t>
      </w:r>
    </w:p>
    <w:p w14:paraId="6B79D5CD">
      <w:pPr>
        <w:ind w:firstLine="640" w:firstLineChars="200"/>
        <w:rPr>
          <w:rFonts w:ascii="Adobe 仿宋 Std R" w:hAnsi="Adobe 仿宋 Std R" w:eastAsia="Adobe 仿宋 Std R"/>
          <w:sz w:val="32"/>
          <w:szCs w:val="32"/>
        </w:rPr>
      </w:pPr>
    </w:p>
    <w:p w14:paraId="62EBBD57">
      <w:pPr>
        <w:ind w:firstLine="640" w:firstLineChars="200"/>
        <w:rPr>
          <w:rFonts w:ascii="Adobe 仿宋 Std R" w:hAnsi="Adobe 仿宋 Std R" w:eastAsia="Adobe 仿宋 Std R"/>
          <w:sz w:val="32"/>
          <w:szCs w:val="32"/>
        </w:rPr>
      </w:pPr>
    </w:p>
    <w:p w14:paraId="59727FB6">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二、支出科目</w:t>
      </w:r>
    </w:p>
    <w:p w14:paraId="3D7B73CC">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0FFEF10B">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（二）项目支出：指在基本支出之外为完成特定行政任务和事业发展目标所发生的支出。</w:t>
      </w:r>
    </w:p>
    <w:p w14:paraId="43F05341">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（三）经营支出：指事业单位在专业业务活动及其辅助活动之外开展非独立核算经营活动发生的支出。</w:t>
      </w:r>
    </w:p>
    <w:p w14:paraId="29B16AD0">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（四）工资福利支出（支出经济分类科目类级）：反映单位开支的在职职工和编制外长期聘用人员的各类劳动报酬，以及为上述人员缴纳的各项社会保险费等。</w:t>
      </w:r>
    </w:p>
    <w:p w14:paraId="47200F1E">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（五）商品和服务支出（支出经济分类科目类级）：反映单位购买商品和服务的支出（不包括用于购置固定资产的支出、战略性和应急储备支出）。</w:t>
      </w:r>
    </w:p>
    <w:p w14:paraId="2773B079">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（六）对个人和家庭的补助（支出经济分类科目类级）：反映用于对个人和家庭的补助支出。</w:t>
      </w:r>
    </w:p>
    <w:p w14:paraId="33BD9FFF">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3DFA12E8">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三、相关专业名词</w:t>
      </w:r>
    </w:p>
    <w:p w14:paraId="284E2B36">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6F345A3">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7C43AD5D">
      <w:pPr>
        <w:ind w:firstLine="640" w:firstLineChars="200"/>
        <w:rPr>
          <w:rFonts w:hint="default"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非物质文化遗产：是指各族人民</w:t>
      </w:r>
      <w:r>
        <w:rPr>
          <w:rFonts w:hint="default" w:ascii="仿宋_GB2312" w:hAnsi="Calibri" w:eastAsia="仿宋_GB2312" w:cs="宋体"/>
          <w:b w:val="0"/>
          <w:bCs/>
          <w:kern w:val="0"/>
          <w:sz w:val="32"/>
          <w:szCs w:val="32"/>
          <w:lang w:val="en-US" w:eastAsia="zh-CN"/>
        </w:rPr>
        <w:fldChar w:fldCharType="begin"/>
      </w:r>
      <w:r>
        <w:rPr>
          <w:rFonts w:hint="default" w:ascii="仿宋_GB2312" w:hAnsi="Calibri" w:eastAsia="仿宋_GB2312" w:cs="宋体"/>
          <w:b w:val="0"/>
          <w:bCs/>
          <w:kern w:val="0"/>
          <w:sz w:val="32"/>
          <w:szCs w:val="32"/>
          <w:lang w:val="en-US" w:eastAsia="zh-CN"/>
        </w:rPr>
        <w:instrText xml:space="preserve"> HYPERLINK "https://baike.so.com/doc/1538545-1626503.html" \t "https://baike.so.com/doc/_blank" </w:instrText>
      </w:r>
      <w:r>
        <w:rPr>
          <w:rFonts w:hint="default" w:ascii="仿宋_GB2312" w:hAnsi="Calibri" w:eastAsia="仿宋_GB2312" w:cs="宋体"/>
          <w:b w:val="0"/>
          <w:bCs/>
          <w:kern w:val="0"/>
          <w:sz w:val="32"/>
          <w:szCs w:val="32"/>
          <w:lang w:val="en-US" w:eastAsia="zh-CN"/>
        </w:rPr>
        <w:fldChar w:fldCharType="separate"/>
      </w:r>
      <w:r>
        <w:rPr>
          <w:rFonts w:hint="default" w:ascii="仿宋_GB2312" w:hAnsi="Calibri" w:eastAsia="仿宋_GB2312" w:cs="宋体"/>
          <w:b w:val="0"/>
          <w:bCs/>
          <w:kern w:val="0"/>
          <w:sz w:val="32"/>
          <w:szCs w:val="32"/>
          <w:lang w:val="en-US" w:eastAsia="zh-CN"/>
        </w:rPr>
        <w:t>世代相传</w:t>
      </w:r>
      <w:r>
        <w:rPr>
          <w:rFonts w:hint="default" w:ascii="仿宋_GB2312" w:hAnsi="Calibri" w:eastAsia="仿宋_GB2312" w:cs="宋体"/>
          <w:b w:val="0"/>
          <w:bCs/>
          <w:kern w:val="0"/>
          <w:sz w:val="32"/>
          <w:szCs w:val="32"/>
          <w:lang w:val="en-US" w:eastAsia="zh-CN"/>
        </w:rPr>
        <w:fldChar w:fldCharType="end"/>
      </w:r>
      <w:r>
        <w:rPr>
          <w:rFonts w:hint="default" w:ascii="仿宋_GB2312" w:hAnsi="Calibri" w:eastAsia="仿宋_GB2312" w:cs="宋体"/>
          <w:b w:val="0"/>
          <w:bCs/>
          <w:kern w:val="0"/>
          <w:sz w:val="32"/>
          <w:szCs w:val="32"/>
          <w:lang w:val="en-US" w:eastAsia="zh-CN"/>
        </w:rPr>
        <w:t>，并视为其文化遗产组成部分的各种传统文化表现形式，以及与传统文化表现形式相关的实物和场所。 非物质文化遗产是一个国家和民族历史文化成就的重要标志，是优秀传统文化的重要组成部分。</w:t>
      </w:r>
    </w:p>
    <w:p w14:paraId="6E7F9396">
      <w:pPr>
        <w:ind w:firstLine="640" w:firstLineChars="200"/>
        <w:rPr>
          <w:rFonts w:hint="eastAsia" w:ascii="仿宋_GB2312" w:hAnsi="Calibri" w:eastAsia="仿宋_GB2312" w:cs="宋体"/>
          <w:b w:val="0"/>
          <w:bCs/>
          <w:kern w:val="0"/>
          <w:sz w:val="32"/>
          <w:szCs w:val="32"/>
          <w:lang w:val="en-US" w:eastAsia="zh-CN"/>
        </w:rPr>
      </w:pPr>
      <w:r>
        <w:rPr>
          <w:rFonts w:hint="eastAsia" w:ascii="仿宋_GB2312" w:hAnsi="Calibri" w:eastAsia="仿宋_GB2312" w:cs="宋体"/>
          <w:b w:val="0"/>
          <w:bCs/>
          <w:kern w:val="0"/>
          <w:sz w:val="32"/>
          <w:szCs w:val="32"/>
          <w:lang w:val="en-US" w:eastAsia="zh-CN"/>
        </w:rPr>
        <w:t>文物保护：指的是对具有历史价值、文化价值、科学价值的历史遗留物采取的一系列防止其受到损害的措施，这个过程叫做文物保护。</w:t>
      </w:r>
    </w:p>
    <w:p w14:paraId="1121401B">
      <w:pPr>
        <w:widowControl/>
        <w:spacing w:line="600" w:lineRule="exact"/>
        <w:ind w:firstLine="640" w:firstLineChars="200"/>
        <w:jc w:val="left"/>
        <w:rPr>
          <w:rFonts w:hint="default" w:ascii="仿宋_GB2312" w:eastAsia="仿宋_GB2312"/>
          <w:color w:val="00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20204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CF500">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69A1CF"/>
    <w:multiLevelType w:val="singleLevel"/>
    <w:tmpl w:val="EA69A1CF"/>
    <w:lvl w:ilvl="0" w:tentative="0">
      <w:start w:val="4"/>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jODBiZTI5MzM4M2E0YTExMTkxOGE5Y2QyOWFmZWY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9B"/>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E03025"/>
    <w:rsid w:val="02263797"/>
    <w:rsid w:val="031C4705"/>
    <w:rsid w:val="04EF3842"/>
    <w:rsid w:val="067A6028"/>
    <w:rsid w:val="068F47B3"/>
    <w:rsid w:val="08EC3843"/>
    <w:rsid w:val="099077F7"/>
    <w:rsid w:val="0A0925FF"/>
    <w:rsid w:val="0BFC6309"/>
    <w:rsid w:val="0C076D8A"/>
    <w:rsid w:val="0C97247A"/>
    <w:rsid w:val="0D1A7920"/>
    <w:rsid w:val="0D2269B3"/>
    <w:rsid w:val="0D2F0331"/>
    <w:rsid w:val="0DB3098E"/>
    <w:rsid w:val="0E356BBF"/>
    <w:rsid w:val="13FB007C"/>
    <w:rsid w:val="15A30147"/>
    <w:rsid w:val="162D4D4B"/>
    <w:rsid w:val="16302145"/>
    <w:rsid w:val="16B036C0"/>
    <w:rsid w:val="1A705E7F"/>
    <w:rsid w:val="1E491A3B"/>
    <w:rsid w:val="1F1F7406"/>
    <w:rsid w:val="206D0602"/>
    <w:rsid w:val="22430342"/>
    <w:rsid w:val="23977FB1"/>
    <w:rsid w:val="23EA606D"/>
    <w:rsid w:val="245C3447"/>
    <w:rsid w:val="25B931E9"/>
    <w:rsid w:val="25CB1138"/>
    <w:rsid w:val="28263441"/>
    <w:rsid w:val="2828673B"/>
    <w:rsid w:val="290B705B"/>
    <w:rsid w:val="29543F45"/>
    <w:rsid w:val="29981D60"/>
    <w:rsid w:val="2B2339AC"/>
    <w:rsid w:val="2C57797E"/>
    <w:rsid w:val="304075B1"/>
    <w:rsid w:val="317A5256"/>
    <w:rsid w:val="31931AC3"/>
    <w:rsid w:val="32EA273A"/>
    <w:rsid w:val="3328400E"/>
    <w:rsid w:val="351512FA"/>
    <w:rsid w:val="368F0CB2"/>
    <w:rsid w:val="37CF580A"/>
    <w:rsid w:val="39763A64"/>
    <w:rsid w:val="39A3581F"/>
    <w:rsid w:val="3A841EE9"/>
    <w:rsid w:val="3A9F1A72"/>
    <w:rsid w:val="3AC7206B"/>
    <w:rsid w:val="3ACF1B11"/>
    <w:rsid w:val="3B7D1841"/>
    <w:rsid w:val="3BA35A87"/>
    <w:rsid w:val="3BA6547C"/>
    <w:rsid w:val="3C6F22A8"/>
    <w:rsid w:val="3F383632"/>
    <w:rsid w:val="3FF84E58"/>
    <w:rsid w:val="4052753A"/>
    <w:rsid w:val="42AE24C0"/>
    <w:rsid w:val="42DC038C"/>
    <w:rsid w:val="44042A23"/>
    <w:rsid w:val="442D189D"/>
    <w:rsid w:val="4543393B"/>
    <w:rsid w:val="45D833CA"/>
    <w:rsid w:val="464E5AFF"/>
    <w:rsid w:val="4B195C32"/>
    <w:rsid w:val="4D2C6AA8"/>
    <w:rsid w:val="4DB628F2"/>
    <w:rsid w:val="4DBF1A26"/>
    <w:rsid w:val="4E0A4199"/>
    <w:rsid w:val="4E0D4F31"/>
    <w:rsid w:val="4EFF051F"/>
    <w:rsid w:val="528E6F80"/>
    <w:rsid w:val="53516268"/>
    <w:rsid w:val="55924F68"/>
    <w:rsid w:val="55DD5E69"/>
    <w:rsid w:val="55EE43AE"/>
    <w:rsid w:val="56C47F55"/>
    <w:rsid w:val="56CB4A1D"/>
    <w:rsid w:val="58B40A38"/>
    <w:rsid w:val="5BC8730D"/>
    <w:rsid w:val="5C0C7591"/>
    <w:rsid w:val="5C8E1829"/>
    <w:rsid w:val="5E421412"/>
    <w:rsid w:val="5EA31F07"/>
    <w:rsid w:val="5F193B70"/>
    <w:rsid w:val="5F3846E1"/>
    <w:rsid w:val="5F482B61"/>
    <w:rsid w:val="5FFF6C4D"/>
    <w:rsid w:val="61E31A71"/>
    <w:rsid w:val="62283DE4"/>
    <w:rsid w:val="631F567A"/>
    <w:rsid w:val="63724C70"/>
    <w:rsid w:val="63E33020"/>
    <w:rsid w:val="656229B9"/>
    <w:rsid w:val="658856FB"/>
    <w:rsid w:val="679A7EF2"/>
    <w:rsid w:val="67DC7D34"/>
    <w:rsid w:val="68D23B67"/>
    <w:rsid w:val="68E0535C"/>
    <w:rsid w:val="68E97589"/>
    <w:rsid w:val="69004F74"/>
    <w:rsid w:val="6BE248E5"/>
    <w:rsid w:val="6C0B610A"/>
    <w:rsid w:val="6CC74B55"/>
    <w:rsid w:val="6CCB135B"/>
    <w:rsid w:val="6EAF555B"/>
    <w:rsid w:val="6EB63855"/>
    <w:rsid w:val="6EDB6140"/>
    <w:rsid w:val="6F2C7111"/>
    <w:rsid w:val="6F392F8E"/>
    <w:rsid w:val="6F3D018E"/>
    <w:rsid w:val="6FEC1DAE"/>
    <w:rsid w:val="714A36AC"/>
    <w:rsid w:val="72746F20"/>
    <w:rsid w:val="73543105"/>
    <w:rsid w:val="73A85115"/>
    <w:rsid w:val="73AF1A71"/>
    <w:rsid w:val="755C43C4"/>
    <w:rsid w:val="759E1500"/>
    <w:rsid w:val="76393874"/>
    <w:rsid w:val="78D36217"/>
    <w:rsid w:val="79EB5427"/>
    <w:rsid w:val="7C1C38B8"/>
    <w:rsid w:val="7D1C2D3E"/>
    <w:rsid w:val="7DF2712A"/>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row_tree_level_3"/>
    <w:basedOn w:val="6"/>
    <w:qFormat/>
    <w:uiPriority w:val="0"/>
  </w:style>
  <w:style w:type="character" w:customStyle="1" w:styleId="11">
    <w:name w:val="row_tree_level_4"/>
    <w:basedOn w:val="6"/>
    <w:qFormat/>
    <w:uiPriority w:val="0"/>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15"/>
    <w:basedOn w:val="6"/>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6247</Words>
  <Characters>6674</Characters>
  <Lines>53</Lines>
  <Paragraphs>15</Paragraphs>
  <TotalTime>32</TotalTime>
  <ScaleCrop>false</ScaleCrop>
  <LinksUpToDate>false</LinksUpToDate>
  <CharactersWithSpaces>6775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2663010</cp:lastModifiedBy>
  <dcterms:modified xsi:type="dcterms:W3CDTF">2025-08-28T06:59:36Z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2213BF26F7C9427B8D287861790E788B_13</vt:lpwstr>
  </property>
  <property fmtid="{D5CDD505-2E9C-101B-9397-08002B2CF9AE}" pid="4" name="KSOTemplateDocerSaveRecord">
    <vt:lpwstr>eyJoZGlkIjoiZTJjODBiZTI5MzM4M2E0YTExMTkxOGE5Y2QyOWFmZWYiLCJ1c2VySWQiOiIxNjE1ODQ2MjcwIn0=</vt:lpwstr>
  </property>
</Properties>
</file>