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中共庐山市委组织部</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pPr>
        <w:pStyle w:val="13"/>
        <w:spacing w:line="600" w:lineRule="atLeast"/>
        <w:jc w:val="center"/>
        <w:rPr>
          <w:rFonts w:ascii="黑体" w:hAnsi="黑体" w:eastAsia="黑体"/>
          <w:color w:val="auto"/>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000000"/>
          <w:sz w:val="32"/>
          <w:szCs w:val="32"/>
        </w:rPr>
        <w:t xml:space="preserve">第一部分  </w:t>
      </w:r>
      <w:r>
        <w:rPr>
          <w:rFonts w:hint="eastAsia" w:ascii="仿宋" w:hAnsi="仿宋" w:eastAsia="仿宋" w:cs="仿宋"/>
          <w:b/>
          <w:bCs/>
          <w:color w:val="auto"/>
          <w:sz w:val="32"/>
          <w:szCs w:val="32"/>
        </w:rPr>
        <w:fldChar w:fldCharType="begin"/>
      </w:r>
      <w:r>
        <w:rPr>
          <w:rFonts w:hint="eastAsia" w:ascii="仿宋" w:hAnsi="仿宋" w:eastAsia="仿宋" w:cs="仿宋"/>
          <w:b/>
          <w:bCs/>
          <w:color w:val="auto"/>
          <w:sz w:val="32"/>
          <w:szCs w:val="32"/>
        </w:rPr>
        <w:instrText xml:space="preserve">MERGEFIELD ${page400644146.ds509943833_REP_JXJC_AGENCY_WZR_NAME}</w:instrText>
      </w:r>
      <w:r>
        <w:rPr>
          <w:rFonts w:hint="eastAsia" w:ascii="仿宋" w:hAnsi="仿宋" w:eastAsia="仿宋" w:cs="仿宋"/>
          <w:b/>
          <w:bCs/>
          <w:color w:val="auto"/>
          <w:sz w:val="32"/>
          <w:szCs w:val="32"/>
        </w:rPr>
        <w:fldChar w:fldCharType="separate"/>
      </w:r>
      <w:r>
        <w:rPr>
          <w:rFonts w:hint="eastAsia" w:ascii="仿宋" w:hAnsi="仿宋" w:eastAsia="仿宋" w:cs="仿宋"/>
          <w:b/>
          <w:bCs/>
          <w:color w:val="auto"/>
          <w:sz w:val="32"/>
          <w:szCs w:val="32"/>
          <w:lang w:eastAsia="zh-CN"/>
        </w:rPr>
        <w:t>中共庐山市委组织部</w:t>
      </w:r>
      <w:r>
        <w:rPr>
          <w:rFonts w:hint="eastAsia" w:ascii="仿宋" w:hAnsi="仿宋" w:eastAsia="仿宋" w:cs="仿宋"/>
          <w:color w:val="auto"/>
          <w:sz w:val="32"/>
          <w:szCs w:val="32"/>
        </w:rPr>
        <w:fldChar w:fldCharType="end"/>
      </w:r>
      <w:r>
        <w:rPr>
          <w:rFonts w:hint="eastAsia" w:ascii="仿宋" w:hAnsi="仿宋" w:eastAsia="仿宋" w:cs="仿宋"/>
          <w:b/>
          <w:bCs/>
          <w:color w:val="auto"/>
          <w:sz w:val="32"/>
          <w:szCs w:val="32"/>
        </w:rPr>
        <w:t>概况</w:t>
      </w:r>
      <w:r>
        <w:rPr>
          <w:rFonts w:hint="eastAsia" w:ascii="仿宋" w:hAnsi="仿宋" w:eastAsia="仿宋" w:cs="仿宋"/>
          <w:b/>
          <w:bCs/>
          <w:color w:val="auto"/>
          <w:sz w:val="32"/>
          <w:szCs w:val="32"/>
        </w:rPr>
        <w:tab/>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Fonts w:hint="eastAsia" w:ascii="仿宋" w:hAnsi="仿宋" w:eastAsia="仿宋" w:cs="仿宋"/>
          <w:color w:val="auto"/>
          <w:kern w:val="2"/>
          <w:sz w:val="32"/>
          <w:szCs w:val="32"/>
        </w:rPr>
        <w:t xml:space="preserve"> </w:t>
      </w:r>
      <w:r>
        <w:rPr>
          <w:rStyle w:val="12"/>
          <w:rFonts w:hint="eastAsia" w:ascii="Adobe 仿宋 Std R" w:hAnsi="Adobe 仿宋 Std R" w:eastAsia="Adobe 仿宋 Std R" w:cs="Times New Roman"/>
          <w:kern w:val="2"/>
          <w:sz w:val="32"/>
          <w:szCs w:val="32"/>
          <w:lang w:val="en-US" w:eastAsia="zh-CN" w:bidi="ar-SA"/>
        </w:rPr>
        <w:t>一、部门主要职责</w:t>
      </w:r>
    </w:p>
    <w:p>
      <w:pPr>
        <w:pStyle w:val="13"/>
        <w:spacing w:line="600" w:lineRule="atLeast"/>
        <w:ind w:firstLine="1280" w:firstLineChars="40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二、机构设置及人员情况</w:t>
      </w:r>
    </w:p>
    <w:p>
      <w:pPr>
        <w:pStyle w:val="13"/>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第二部分  </w:t>
      </w:r>
      <w:r>
        <w:rPr>
          <w:rFonts w:hint="eastAsia" w:ascii="仿宋" w:hAnsi="仿宋" w:eastAsia="仿宋" w:cs="仿宋"/>
          <w:b/>
          <w:bCs/>
          <w:color w:val="auto"/>
          <w:sz w:val="32"/>
          <w:szCs w:val="32"/>
        </w:rPr>
        <w:fldChar w:fldCharType="begin"/>
      </w:r>
      <w:r>
        <w:rPr>
          <w:rFonts w:hint="eastAsia" w:ascii="仿宋" w:hAnsi="仿宋" w:eastAsia="仿宋" w:cs="仿宋"/>
          <w:b/>
          <w:bCs/>
          <w:color w:val="auto"/>
          <w:sz w:val="32"/>
          <w:szCs w:val="32"/>
        </w:rPr>
        <w:instrText xml:space="preserve">MERGEFIELD ${page400644146.ds509943833_REP_JXJC_AGENCY_WZR_NAME}</w:instrText>
      </w:r>
      <w:r>
        <w:rPr>
          <w:rFonts w:hint="eastAsia" w:ascii="仿宋" w:hAnsi="仿宋" w:eastAsia="仿宋" w:cs="仿宋"/>
          <w:b/>
          <w:bCs/>
          <w:color w:val="auto"/>
          <w:sz w:val="32"/>
          <w:szCs w:val="32"/>
        </w:rPr>
        <w:fldChar w:fldCharType="separate"/>
      </w:r>
      <w:r>
        <w:rPr>
          <w:rFonts w:hint="eastAsia" w:ascii="仿宋" w:hAnsi="仿宋" w:eastAsia="仿宋" w:cs="仿宋"/>
          <w:b/>
          <w:bCs/>
          <w:color w:val="auto"/>
          <w:sz w:val="32"/>
          <w:szCs w:val="32"/>
          <w:lang w:eastAsia="zh-CN"/>
        </w:rPr>
        <w:t>中共庐山市委组织部</w:t>
      </w:r>
      <w:r>
        <w:rPr>
          <w:rFonts w:hint="eastAsia" w:ascii="仿宋" w:hAnsi="仿宋" w:eastAsia="仿宋" w:cs="仿宋"/>
          <w:color w:val="auto"/>
          <w:sz w:val="32"/>
          <w:szCs w:val="32"/>
        </w:rPr>
        <w:fldChar w:fldCharType="end"/>
      </w:r>
      <w:r>
        <w:rPr>
          <w:rFonts w:hint="eastAsia" w:ascii="仿宋" w:hAnsi="仿宋" w:eastAsia="仿宋" w:cs="仿宋"/>
          <w:b/>
          <w:bCs/>
          <w:color w:val="auto"/>
          <w:sz w:val="32"/>
          <w:szCs w:val="32"/>
        </w:rPr>
        <w:t>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年部门预算表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一、《收支预算总表》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二、《部门收入总表》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三、《部门支出总表》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四、《财政拨款收支总表》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五、《一般公共预算支出表》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六、《一般公共预算基本支出表》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七、《财政拨款“三公”经费支出表》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八、《政府性基金预算支出表》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九、《国有资本经营预算支出表》</w:t>
      </w:r>
      <w:r>
        <w:rPr>
          <w:rStyle w:val="12"/>
          <w:rFonts w:hint="eastAsia" w:ascii="Adobe 仿宋 Std R" w:hAnsi="Adobe 仿宋 Std R" w:eastAsia="Adobe 仿宋 Std R" w:cs="Times New Roman"/>
          <w:kern w:val="2"/>
          <w:sz w:val="32"/>
          <w:szCs w:val="32"/>
          <w:lang w:val="en-US" w:eastAsia="zh-CN" w:bidi="ar-SA"/>
        </w:rPr>
        <w:tab/>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十、《部门整体支出绩效目标表》</w:t>
      </w:r>
    </w:p>
    <w:p>
      <w:pPr>
        <w:pStyle w:val="13"/>
        <w:spacing w:line="600" w:lineRule="atLeast"/>
        <w:ind w:firstLine="1120" w:firstLineChars="350"/>
        <w:jc w:val="left"/>
        <w:rPr>
          <w:rStyle w:val="12"/>
          <w:rFonts w:hint="eastAsia" w:ascii="Adobe 仿宋 Std R" w:hAnsi="Adobe 仿宋 Std R" w:eastAsia="Adobe 仿宋 Std R" w:cs="Times New Roman"/>
          <w:kern w:val="2"/>
          <w:sz w:val="32"/>
          <w:szCs w:val="32"/>
          <w:lang w:val="en-US" w:eastAsia="zh-CN" w:bidi="ar-SA"/>
        </w:rPr>
      </w:pPr>
      <w:r>
        <w:rPr>
          <w:rStyle w:val="12"/>
          <w:rFonts w:hint="eastAsia" w:ascii="Adobe 仿宋 Std R" w:hAnsi="Adobe 仿宋 Std R" w:eastAsia="Adobe 仿宋 Std R" w:cs="Times New Roman"/>
          <w:kern w:val="2"/>
          <w:sz w:val="32"/>
          <w:szCs w:val="32"/>
          <w:lang w:val="en-US" w:eastAsia="zh-CN" w:bidi="ar-SA"/>
        </w:rPr>
        <w:t>十一、《项目绩效目标表》</w:t>
      </w:r>
    </w:p>
    <w:p>
      <w:pPr>
        <w:pStyle w:val="13"/>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第三部分 </w:t>
      </w:r>
      <w:r>
        <w:rPr>
          <w:rFonts w:hint="eastAsia" w:ascii="仿宋" w:hAnsi="仿宋" w:eastAsia="仿宋" w:cs="仿宋"/>
          <w:b/>
          <w:bCs/>
          <w:color w:val="auto"/>
          <w:sz w:val="32"/>
          <w:szCs w:val="32"/>
        </w:rPr>
        <w:fldChar w:fldCharType="begin"/>
      </w:r>
      <w:r>
        <w:rPr>
          <w:rFonts w:hint="eastAsia" w:ascii="仿宋" w:hAnsi="仿宋" w:eastAsia="仿宋" w:cs="仿宋"/>
          <w:b/>
          <w:bCs/>
          <w:color w:val="auto"/>
          <w:sz w:val="32"/>
          <w:szCs w:val="32"/>
        </w:rPr>
        <w:instrText xml:space="preserve">MERGEFIELD ${page400644146.ds509943833_REP_JXJC_AGENCY_WZR_NAME}</w:instrText>
      </w:r>
      <w:r>
        <w:rPr>
          <w:rFonts w:hint="eastAsia" w:ascii="仿宋" w:hAnsi="仿宋" w:eastAsia="仿宋" w:cs="仿宋"/>
          <w:b/>
          <w:bCs/>
          <w:color w:val="auto"/>
          <w:sz w:val="32"/>
          <w:szCs w:val="32"/>
        </w:rPr>
        <w:fldChar w:fldCharType="separate"/>
      </w:r>
      <w:r>
        <w:rPr>
          <w:rFonts w:hint="eastAsia" w:ascii="仿宋" w:hAnsi="仿宋" w:eastAsia="仿宋" w:cs="仿宋"/>
          <w:b/>
          <w:bCs/>
          <w:color w:val="auto"/>
          <w:sz w:val="32"/>
          <w:szCs w:val="32"/>
          <w:lang w:eastAsia="zh-CN"/>
        </w:rPr>
        <w:t>中共庐山市委组织部</w:t>
      </w:r>
      <w:r>
        <w:rPr>
          <w:rFonts w:hint="eastAsia" w:ascii="仿宋" w:hAnsi="仿宋" w:eastAsia="仿宋" w:cs="仿宋"/>
          <w:color w:val="auto"/>
          <w:sz w:val="32"/>
          <w:szCs w:val="32"/>
        </w:rPr>
        <w:fldChar w:fldCharType="end"/>
      </w:r>
      <w:r>
        <w:rPr>
          <w:rFonts w:hint="eastAsia" w:ascii="仿宋" w:hAnsi="仿宋" w:eastAsia="仿宋" w:cs="仿宋"/>
          <w:b/>
          <w:bCs/>
          <w:color w:val="auto"/>
          <w:sz w:val="32"/>
          <w:szCs w:val="32"/>
        </w:rPr>
        <w:t xml:space="preserve"> 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年部门预算情况说明</w:t>
      </w:r>
    </w:p>
    <w:p>
      <w:pPr>
        <w:pStyle w:val="13"/>
        <w:spacing w:line="600" w:lineRule="atLeast"/>
        <w:ind w:firstLine="1280"/>
        <w:jc w:val="left"/>
        <w:rPr>
          <w:rFonts w:hint="eastAsia" w:ascii="仿宋" w:hAnsi="仿宋" w:eastAsia="仿宋" w:cs="仿宋"/>
          <w:kern w:val="2"/>
          <w:sz w:val="32"/>
          <w:szCs w:val="32"/>
        </w:rPr>
      </w:pPr>
      <w:r>
        <w:rPr>
          <w:rFonts w:hint="eastAsia" w:ascii="仿宋" w:hAnsi="仿宋" w:eastAsia="仿宋" w:cs="仿宋"/>
          <w:color w:val="auto"/>
          <w:kern w:val="2"/>
          <w:sz w:val="32"/>
          <w:szCs w:val="32"/>
        </w:rPr>
        <w:t>一、202</w:t>
      </w:r>
      <w:r>
        <w:rPr>
          <w:rFonts w:hint="eastAsia" w:ascii="仿宋" w:hAnsi="仿宋" w:eastAsia="仿宋" w:cs="仿宋"/>
          <w:color w:val="auto"/>
          <w:kern w:val="2"/>
          <w:sz w:val="32"/>
          <w:szCs w:val="32"/>
          <w:lang w:val="en-US" w:eastAsia="zh-CN"/>
        </w:rPr>
        <w:t>4</w:t>
      </w:r>
      <w:r>
        <w:rPr>
          <w:rFonts w:hint="eastAsia" w:ascii="仿宋" w:hAnsi="仿宋" w:eastAsia="仿宋" w:cs="仿宋"/>
          <w:color w:val="auto"/>
          <w:kern w:val="2"/>
          <w:sz w:val="32"/>
          <w:szCs w:val="32"/>
        </w:rPr>
        <w:t>年部门预算收支情况说明</w:t>
      </w:r>
    </w:p>
    <w:p>
      <w:pPr>
        <w:pStyle w:val="13"/>
        <w:spacing w:line="600" w:lineRule="atLeast"/>
        <w:ind w:firstLine="1120" w:firstLineChars="350"/>
        <w:jc w:val="left"/>
        <w:rPr>
          <w:rFonts w:hint="eastAsia" w:ascii="仿宋" w:hAnsi="仿宋" w:eastAsia="仿宋" w:cs="仿宋"/>
          <w:kern w:val="2"/>
          <w:sz w:val="32"/>
          <w:szCs w:val="32"/>
        </w:rPr>
      </w:pPr>
      <w:r>
        <w:rPr>
          <w:rFonts w:hint="eastAsia" w:ascii="仿宋" w:hAnsi="仿宋" w:eastAsia="仿宋" w:cs="仿宋"/>
          <w:kern w:val="2"/>
          <w:sz w:val="32"/>
          <w:szCs w:val="32"/>
        </w:rPr>
        <w:t xml:space="preserve"> 二、202</w:t>
      </w:r>
      <w:r>
        <w:rPr>
          <w:rFonts w:hint="eastAsia" w:ascii="仿宋" w:hAnsi="仿宋" w:eastAsia="仿宋" w:cs="仿宋"/>
          <w:kern w:val="2"/>
          <w:sz w:val="32"/>
          <w:szCs w:val="32"/>
          <w:lang w:val="en-US" w:eastAsia="zh-CN"/>
        </w:rPr>
        <w:t>4</w:t>
      </w:r>
      <w:r>
        <w:rPr>
          <w:rFonts w:hint="eastAsia" w:ascii="仿宋" w:hAnsi="仿宋" w:eastAsia="仿宋" w:cs="仿宋"/>
          <w:kern w:val="2"/>
          <w:sz w:val="32"/>
          <w:szCs w:val="32"/>
        </w:rPr>
        <w:t>年“三公”经费预算情况说明</w:t>
      </w:r>
    </w:p>
    <w:p>
      <w:pPr>
        <w:pStyle w:val="13"/>
        <w:tabs>
          <w:tab w:val="left" w:pos="6546"/>
        </w:tabs>
        <w:spacing w:line="600" w:lineRule="atLeast"/>
        <w:ind w:firstLine="1280"/>
        <w:jc w:val="left"/>
        <w:rPr>
          <w:rFonts w:hint="eastAsia" w:ascii="仿宋" w:hAnsi="仿宋" w:eastAsia="仿宋" w:cs="仿宋"/>
          <w:kern w:val="2"/>
          <w:sz w:val="32"/>
          <w:szCs w:val="32"/>
        </w:rPr>
      </w:pPr>
    </w:p>
    <w:p>
      <w:pPr>
        <w:pStyle w:val="13"/>
        <w:spacing w:line="600" w:lineRule="atLeast"/>
        <w:ind w:firstLine="640"/>
        <w:jc w:val="left"/>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第四部分  名词解释</w:t>
      </w:r>
    </w:p>
    <w:p>
      <w:pPr>
        <w:widowControl/>
        <w:spacing w:line="580" w:lineRule="exact"/>
        <w:jc w:val="center"/>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第一部分  </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概况</w:t>
      </w:r>
    </w:p>
    <w:p>
      <w:pPr>
        <w:widowControl/>
        <w:spacing w:line="580" w:lineRule="exact"/>
        <w:jc w:val="left"/>
        <w:rPr>
          <w:rFonts w:hint="eastAsia" w:ascii="仿宋" w:hAnsi="仿宋" w:eastAsia="仿宋" w:cs="仿宋"/>
          <w:b/>
          <w:color w:val="auto"/>
          <w:sz w:val="32"/>
          <w:szCs w:val="32"/>
        </w:rPr>
      </w:pPr>
    </w:p>
    <w:p>
      <w:pPr>
        <w:widowControl/>
        <w:spacing w:line="580" w:lineRule="exact"/>
        <w:jc w:val="left"/>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（一）研究和指导全市农村、机关、学校、企业、社会组织等各领域党的基层组织建设；指导基层党组织设置；督促指导各级基层党组织按期换届；负责各级党代表的推选、市党代会的组织工作。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（二）研究和指导全市党员队伍建设，指导发展党员和党员管理工作，规划、指导、协调党员教育工作，负责党员电化教育工作，负责党内统计、党内关怀工作。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（三）督促指导党费收缴，负责党费管理，研究提出党费使用计划。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四）办理我市属于九江市委管理的干部有关事项的报批手续；负责提出关于乡（镇、场、处）和市直科级单位以及其他列入市委管理的领导班子调整、配备的意见和建议；负责市委管理干部的考察和办理任免、工资福利、待遇、退休审批手续以及有关问题的调查审理工作；指导乡(镇、场、处)和市直科级单位领导班子的思想作风建设；负责乡(镇、场、处)和党群口事业单位工作人员调配、审批工作；协助做好驻市科级以上单位领导班子建设和干部管理的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五）研究提出贯彻中央、省委、九江市委关于干部队伍建设方针、政策的意见和措施，组织实施培养选拔后备干部、年轻干部妇女干部、党外干部，少数民族干部工作；负责省、九江市选聘优秀大学毕业生到村任职的考察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（六）负责全市党的组织建设和干部人事制度的调查研究、宏观指导和综合协调，制订或参与制订组织、干部、人事工作的政策规定和重要制度。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（七）负责全市组织工作和干部工作的督促检查，及时向市委和九江市委组织部反映重要的情况，并提出相应的意见和建议。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八）落实中央、省委和九江市委从严管理干部要求，牵头制订全市从严管理干部工作的意见和政策；负责市委管理干部的定期考核和日常监督管理工作；负责乡(镇、场、处)和部门管理股级干部选拨任用工作的指导和监督检查；协助九江市委组织部做好县处级干部的因公因私出国(境)审查工作，做好全市因公因私出国(境)人员的审查审批、监督检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九）主管全市干部教育工作。贯彻执行中央、省、九江市委干部教育的方针政策，制订全市干部教育工作规划；负责落实九江市委组织部下达抽调我市干部培训的计划；负责市委管理干部和一定层次的优秀中青年干部以及组织工作干部的培训。指导、协调、检查乡（镇、场、处）和市直科级单位干部教育工作。研究和制订有关干部教育工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（十）调查了解人才工作情况，牵头制订和组织实施有关人才工作的规定、措施；指导、协调、检查贯彻人才政策的情况；联系和组织部分优秀专家、拔尖人才开展活动。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一）统一管理全市公务员工作；贯彻执行公务员法及公务员分类、录用、考核、奖惩、任用、转任、调任、培训、辞退,工资福利等方面的配套法规；负责全市公务员的总体规划、结构调整和职位分类的宏观管理；综合管理全市公务员、参照公务员法管理单位工作人员的考试录用和职级晋升工作；承办全市公务员和参照公务员法管理单位工作人员登记、信息统计、调任、转任等管理工作；组织实施有关人员调配政策和特殊人员安置政策，会同有关部门组织落实国家荣誉制度和政府奖励制度；负责有关人事惩戒与申诉控告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二）负责全市离退休干部的宏观管理，会同有关部门研究拟定老干部工作的具体规定，检查、督促离退休干部方针、政策的贯彻落实；负责指导各乡(镇、场、处)和市直各单位离退休干部政治学习，老干部党支部建设和思想政治工作，科学引导老干部在社会主义五个文明建设中发挥作用；指导督促各乡（镇、场、处）和市直各单位按照有关政策规定，落实离退休干部政治生活待遇；指导老干部活动中心、老年大学工作；协调有关部门宣传老干部的历史功绩和在改革开放中的现实作用，并向上级组织推荐先进人物和先进事迹；探讨在新形势下做好老干部工作的新办法、新途径；负责离退休干部有关生活待遇方面的来信来访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（十三）负责军队营职转业干部的安置工作。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（十三)负责重大项目督察工作。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（十四）承办庐山市委和九江市委组织部交办的其他工作事项。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（十五）负责老年大学的日常教学活动等。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2"/>
          <w:rFonts w:hint="eastAsia" w:asciiTheme="minorEastAsia" w:hAnsiTheme="minorEastAsia" w:eastAsiaTheme="minorEastAsia" w:cstheme="minorEastAsia"/>
          <w:b/>
          <w:bCs/>
          <w:sz w:val="32"/>
          <w:szCs w:val="32"/>
          <w:lang w:val="en-US" w:eastAsia="zh-CN"/>
        </w:rPr>
      </w:pPr>
      <w:r>
        <w:rPr>
          <w:rStyle w:val="12"/>
          <w:rFonts w:hint="eastAsia" w:asciiTheme="minorEastAsia" w:hAnsiTheme="minorEastAsia" w:eastAsiaTheme="minorEastAsia" w:cstheme="minorEastAsia"/>
          <w:b/>
          <w:bCs/>
          <w:sz w:val="32"/>
          <w:szCs w:val="32"/>
          <w:lang w:val="en-US" w:eastAsia="zh-CN"/>
        </w:rPr>
        <w:t>二、机构设置及人员情况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${page400644146.ds204012617_REP_JXJC_AGENCY_WZR_NAME}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共有预算单位1个，包括庐山市委组织部</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${page400644146.ds204012617_BMQKZDY_DIVNUMQK}</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和1个二级预算单位</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，二级预算单位具体包括：庐山市老干部老年活动中心。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${page540426799.ds376136392_REP_JX_BAS_AGENCY_INFO_DXQRSDW_S_BZRSXJ}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编制人数小计40人,</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其中：</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${page540426799.ds376136392_REP_JX_BAS_AGENCY_INFO_DXQRSDW_S_BZRSMX}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行政编制人数16人。</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${page540426799.ds376136392_REP_JX_BAS_AGENCY_INFO_DXQRSDW_S_SYRSXJ}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实有人数小计23人,</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其中：</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${page540426799.ds376136392_REP_JX_BAS_AGENCY_INFO_DXQRSDW_S_ZZRSXJ}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在职人数小计23人,</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${page540426799.ds376136392_REP_JX_BAS_AGENCY_INFO_DXQRSDW_S_ZZRSMX}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行政在职人数12人。</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${page540426799.ds376136392_REP_JX_BAS_AGENCY_INFO_DXQRSDW_S_QTRSMX}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离休人数小计0人,退休人数小计3人,遗属人数1人。</w:t>
      </w:r>
      <w:r>
        <w:rPr>
          <w:rStyle w:val="12"/>
          <w:rFonts w:hint="eastAsia" w:ascii="Adobe 仿宋 Std R" w:hAnsi="Adobe 仿宋 Std R" w:eastAsia="Adobe 仿宋 Std R" w:cs="Times New Roman"/>
          <w:sz w:val="32"/>
          <w:szCs w:val="32"/>
          <w:lang w:val="en-US" w:eastAsia="zh-CN"/>
        </w:rPr>
        <w:fldChar w:fldCharType="end"/>
      </w:r>
    </w:p>
    <w:p>
      <w:pPr>
        <w:ind w:firstLine="640" w:firstLineChars="20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第二部分  </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2024年部门预算表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（详见附表）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ind w:firstLine="420" w:firstLineChars="200"/>
        <w:jc w:val="left"/>
      </w:pPr>
      <w:r>
        <w:drawing>
          <wp:inline distT="0" distB="0" distL="114300" distR="114300">
            <wp:extent cx="5265420" cy="5320030"/>
            <wp:effectExtent l="0" t="0" r="762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5420" cy="5320030"/>
                    </a:xfrm>
                    <a:prstGeom prst="rect">
                      <a:avLst/>
                    </a:prstGeom>
                    <a:noFill/>
                    <a:ln>
                      <a:noFill/>
                    </a:ln>
                  </pic:spPr>
                </pic:pic>
              </a:graphicData>
            </a:graphic>
          </wp:inline>
        </w:drawing>
      </w:r>
    </w:p>
    <w:p>
      <w:pPr>
        <w:ind w:firstLine="420" w:firstLineChars="200"/>
        <w:jc w:val="left"/>
      </w:pPr>
    </w:p>
    <w:p>
      <w:pPr>
        <w:ind w:firstLine="420" w:firstLineChars="200"/>
        <w:jc w:val="left"/>
      </w:pPr>
      <w:r>
        <w:drawing>
          <wp:inline distT="0" distB="0" distL="114300" distR="114300">
            <wp:extent cx="5264150" cy="3183890"/>
            <wp:effectExtent l="0" t="0" r="889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4150" cy="3183890"/>
                    </a:xfrm>
                    <a:prstGeom prst="rect">
                      <a:avLst/>
                    </a:prstGeom>
                    <a:noFill/>
                    <a:ln>
                      <a:noFill/>
                    </a:ln>
                  </pic:spPr>
                </pic:pic>
              </a:graphicData>
            </a:graphic>
          </wp:inline>
        </w:drawing>
      </w:r>
    </w:p>
    <w:p>
      <w:pPr>
        <w:ind w:firstLine="420" w:firstLineChars="200"/>
        <w:jc w:val="left"/>
      </w:pPr>
      <w:r>
        <w:drawing>
          <wp:inline distT="0" distB="0" distL="114300" distR="114300">
            <wp:extent cx="5269230" cy="4718685"/>
            <wp:effectExtent l="0" t="0" r="381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9230" cy="4718685"/>
                    </a:xfrm>
                    <a:prstGeom prst="rect">
                      <a:avLst/>
                    </a:prstGeom>
                    <a:noFill/>
                    <a:ln>
                      <a:noFill/>
                    </a:ln>
                  </pic:spPr>
                </pic:pic>
              </a:graphicData>
            </a:graphic>
          </wp:inline>
        </w:drawing>
      </w:r>
    </w:p>
    <w:p>
      <w:pPr>
        <w:ind w:firstLine="420" w:firstLineChars="200"/>
        <w:jc w:val="left"/>
      </w:pPr>
    </w:p>
    <w:p>
      <w:pPr>
        <w:ind w:firstLine="420" w:firstLineChars="200"/>
        <w:jc w:val="left"/>
      </w:pPr>
      <w:r>
        <w:drawing>
          <wp:inline distT="0" distB="0" distL="114300" distR="114300">
            <wp:extent cx="5264785" cy="4919980"/>
            <wp:effectExtent l="0" t="0" r="825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64785" cy="4919980"/>
                    </a:xfrm>
                    <a:prstGeom prst="rect">
                      <a:avLst/>
                    </a:prstGeom>
                    <a:noFill/>
                    <a:ln>
                      <a:noFill/>
                    </a:ln>
                  </pic:spPr>
                </pic:pic>
              </a:graphicData>
            </a:graphic>
          </wp:inline>
        </w:drawing>
      </w:r>
    </w:p>
    <w:p>
      <w:pPr>
        <w:ind w:firstLine="420" w:firstLineChars="200"/>
        <w:jc w:val="left"/>
      </w:pPr>
      <w:r>
        <w:drawing>
          <wp:inline distT="0" distB="0" distL="114300" distR="114300">
            <wp:extent cx="5268595" cy="4712335"/>
            <wp:effectExtent l="0" t="0" r="444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68595" cy="4712335"/>
                    </a:xfrm>
                    <a:prstGeom prst="rect">
                      <a:avLst/>
                    </a:prstGeom>
                    <a:noFill/>
                    <a:ln>
                      <a:noFill/>
                    </a:ln>
                  </pic:spPr>
                </pic:pic>
              </a:graphicData>
            </a:graphic>
          </wp:inline>
        </w:drawing>
      </w:r>
    </w:p>
    <w:p>
      <w:pPr>
        <w:ind w:firstLine="420" w:firstLineChars="200"/>
        <w:jc w:val="left"/>
      </w:pPr>
      <w:r>
        <w:drawing>
          <wp:inline distT="0" distB="0" distL="114300" distR="114300">
            <wp:extent cx="5271135" cy="5937885"/>
            <wp:effectExtent l="0" t="0" r="1905"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1135" cy="5937885"/>
                    </a:xfrm>
                    <a:prstGeom prst="rect">
                      <a:avLst/>
                    </a:prstGeom>
                    <a:noFill/>
                    <a:ln>
                      <a:noFill/>
                    </a:ln>
                  </pic:spPr>
                </pic:pic>
              </a:graphicData>
            </a:graphic>
          </wp:inline>
        </w:drawing>
      </w:r>
    </w:p>
    <w:p>
      <w:pPr>
        <w:ind w:firstLine="420" w:firstLineChars="200"/>
        <w:jc w:val="left"/>
      </w:pPr>
      <w:r>
        <w:drawing>
          <wp:inline distT="0" distB="0" distL="114300" distR="114300">
            <wp:extent cx="5269230" cy="1276350"/>
            <wp:effectExtent l="0" t="0" r="381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69230" cy="1276350"/>
                    </a:xfrm>
                    <a:prstGeom prst="rect">
                      <a:avLst/>
                    </a:prstGeom>
                    <a:noFill/>
                    <a:ln>
                      <a:noFill/>
                    </a:ln>
                  </pic:spPr>
                </pic:pic>
              </a:graphicData>
            </a:graphic>
          </wp:inline>
        </w:drawing>
      </w:r>
    </w:p>
    <w:p>
      <w:pPr>
        <w:ind w:firstLine="420" w:firstLineChars="200"/>
        <w:jc w:val="left"/>
      </w:pPr>
      <w:r>
        <w:drawing>
          <wp:inline distT="0" distB="0" distL="114300" distR="114300">
            <wp:extent cx="5266055" cy="1832610"/>
            <wp:effectExtent l="0" t="0" r="6985" b="1143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5266055" cy="1832610"/>
                    </a:xfrm>
                    <a:prstGeom prst="rect">
                      <a:avLst/>
                    </a:prstGeom>
                    <a:noFill/>
                    <a:ln>
                      <a:noFill/>
                    </a:ln>
                  </pic:spPr>
                </pic:pic>
              </a:graphicData>
            </a:graphic>
          </wp:inline>
        </w:drawing>
      </w:r>
    </w:p>
    <w:p>
      <w:pPr>
        <w:ind w:firstLine="420" w:firstLineChars="200"/>
        <w:jc w:val="left"/>
      </w:pPr>
      <w:r>
        <w:drawing>
          <wp:inline distT="0" distB="0" distL="114300" distR="114300">
            <wp:extent cx="5266055" cy="954405"/>
            <wp:effectExtent l="0" t="0" r="6985"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5266055" cy="9544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第三部分  </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2024年部门预算情况说明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2"/>
          <w:rFonts w:hint="eastAsia" w:ascii="楷体_GB2312" w:hAnsi="楷体_GB2312" w:eastAsia="楷体_GB2312" w:cs="楷体_GB2312"/>
          <w:b/>
          <w:bCs/>
          <w:sz w:val="32"/>
          <w:szCs w:val="32"/>
          <w:lang w:val="en-US" w:eastAsia="zh-CN"/>
        </w:rPr>
      </w:pPr>
      <w:r>
        <w:rPr>
          <w:rStyle w:val="12"/>
          <w:rFonts w:hint="eastAsia" w:ascii="楷体_GB2312" w:hAnsi="楷体_GB2312" w:eastAsia="楷体_GB2312" w:cs="楷体_GB2312"/>
          <w:b/>
          <w:bCs/>
          <w:sz w:val="32"/>
          <w:szCs w:val="32"/>
          <w:lang w:val="en-US" w:eastAsia="zh-CN"/>
        </w:rPr>
        <w:t>一、2024年部门预算收支情况说明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(一)收入预算情况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${page400644146.ds509943833_V_BGT_DEP_INCOME_DXQ01_ZJ}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收入预算总额为765.82万元,较上年预算安排增加159.78万元;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${page400644146.ds509943833_V_BGT_DEP_INCOME_DXQ01_SRXMMX}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财政拨款收入747.82万元,较上年预算安排增加159.78万元;事业单位经营收入18万元,较上年预算安排增加0万元。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增加变化原因为增加了项目收入。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(二)支出预算情况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${page400644146.ds215660413_REP_BGT_T_HC1100002019_DXQ02_S_ZJ}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支出预算总额为765.82万元,较上年预算安排增加159.78万元;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增加变化原因为项目专班工作内容增加，增加各项支出。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其中：按支出项目类别划分：</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${page400644146.ds215660413_REP_BGT_T_HC1100002019_DXQ02_JBZCQK}</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基本支出359.98万元,较上年预算安排增加11.92万元;其中：工资福利支出324.9万元,商品和服务支出33.95万元,对个人和家庭的补助1.13万元,资本性支出0万元；。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${page400644146.ds215660413_REP_BGT_T_HC1100002019_DXQ02_XMZCQK}</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项目支出405.84万元,较上年预算安排增加147.85万元;其中：商品和服务支出305.84万元,资本性支出10万元。</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按支出功能科目划分：</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${page400644146.ds247441498_REP_BGT_T_HC1100002019DXQ01_GNZJMX}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一般公共服务支出647.09万元,较上年预算安排增加121.21万元;社会保障支出48.21万元，较上年预算安排增加5066万元；卫生健康支出16.53万元,较上年预算安排增加2.3万元;住房保障支出25.99万元,较上年预算安排增加2.62万元。</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按支出经济分类划分：</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${page400644146.ds247441498_REP_BGT_T_HC1100002019DXQ01_JJMX}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工资福利支出324.9万元,较上年预算安排增加22.29万元;商品和服务支出439.79万元,较上年预算安排增加223.36万元;对个人和家庭的补助1.13万元,较上年预算安排增加0.12万元;资本性支出10万元,较上年预算安排增加2万元。</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(三)财政拨款支出情况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${page400644146.ds215660413_REP_JXJC_AGENCY_WZR_NAME}</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中共庐山市委组织部</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${page400644146.ds215660413_REP_BGT_T_HC1100002019_DXQ02_S_CBXJ}</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财政拨款支出预算总额747.82万元,较上年预算安排增加159.78万元;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t>增加变化原因为项目专班工作内容增加，增加各项支出。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按支出功能科目划分：</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${page400644146.ds247441498_REP_BGT_T_HC1100002019DXQ01_GNZJMX}</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一般公共服务支出629.09万元,较上年预算安排增加121.21万元;社会保障支出48.21万元，较上年预算安排增加5066万元；卫生健康支出16.53万元,较上年预算安排增加2.3万元;住房保障支出25.99万元,较上年预算安排增加2.62万元。</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按支出项目类别划分：</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${page400644146.ds215660413_REP_BGT_T_HC1100002019_DXQ02_JBZCQK}</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基本支出359.98万元,较上年预算安排增加11.92万元;其中：工资福利支出324.9万元,商品和服务支出33.95万元,对个人和家庭的补助1.13万元,资本性支出0万元；。</w: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${page400644146.ds215660413_REP_BGT_T_HC1100002019_DXQ02_XMZCQK}</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项目支出387.84万元,较上年预算安排增加147.85万元;其中：商品和服务支出297.84万元,资本性支出10万元。</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(四)政府性基金情况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2024年庐山市委组织部政府性基金支出预算为10万元。</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${page400644146.ds215660413_REP_BGT_T_HC1100002019_DXQ02_S_ZFXJJ}</w:instrTex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按支出项目类别划分：项目支出10万元；较上年预算安排没有变化。</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${page540426799.ds357974894_REP_BGT_T_HC1100002019_DXQ02DW_JBZCQKJJ}</w:instrTex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${page540426799.ds357974894_REP_BGT_T_HC1100002019_DXQ02DW_XMZCQKJJ}</w:instrTex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${page400644146.ds215660413_REP_BGT_T_HC1100002019_DXQ02_JBZCQKJJ}</w:instrText>
      </w:r>
      <w:r>
        <w:rPr>
          <w:rStyle w:val="12"/>
          <w:rFonts w:hint="eastAsia" w:ascii="Adobe 仿宋 Std R" w:hAnsi="Adobe 仿宋 Std R" w:eastAsia="Adobe 仿宋 Std R" w:cs="Times New Roman"/>
          <w:sz w:val="32"/>
          <w:szCs w:val="32"/>
          <w:lang w:val="en-US" w:eastAsia="zh-CN"/>
        </w:rPr>
        <w:fldChar w:fldCharType="end"/>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${page400644146.ds215660413_REP_BGT_T_HC1100002019_DXQ02_XMZCQKJJ}</w:instrTex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（五）国有资本经营情况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本部门没有使用国有资本经营预算拨款安排的支出。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(六)机关运行经费等重要事项的说明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2024年部门机关运行费预算33.95万元，比2023年预算减少10.49万元，下降23.6%。下降变化原因为人员减少。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按照财政部《地方预决算公开操作规程》明确的口径，机关运行费指各部门的公用经费，包括差旅费5.2万元，电费3万元，邮电费2万元，公务接待费2万元，办公费3.25万元，物业费2万元，其他商品服务支出1.5万元，福利费6万元，工会经费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(七)政府采购情况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2024年部门所属各单位政府采购总额10万元,其中: 政府采购货物预算10万元, 政府采购工程预算0万元, 政府采购服务预算0万元。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(八)国有资产占有使用情况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截至2023年12月31日, </w:t>
      </w:r>
      <w:r>
        <w:rPr>
          <w:rStyle w:val="12"/>
          <w:rFonts w:hint="eastAsia" w:ascii="Adobe 仿宋 Std R" w:hAnsi="Adobe 仿宋 Std R" w:eastAsia="Adobe 仿宋 Std R" w:cs="Times New Roman"/>
          <w:sz w:val="32"/>
          <w:szCs w:val="32"/>
          <w:lang w:val="en-US" w:eastAsia="zh-CN"/>
        </w:rPr>
        <w:fldChar w:fldCharType="begin"/>
      </w:r>
      <w:r>
        <w:rPr>
          <w:rStyle w:val="12"/>
          <w:rFonts w:hint="eastAsia" w:ascii="Adobe 仿宋 Std R" w:hAnsi="Adobe 仿宋 Std R" w:eastAsia="Adobe 仿宋 Std R" w:cs="Times New Roman"/>
          <w:sz w:val="32"/>
          <w:szCs w:val="32"/>
          <w:lang w:val="en-US" w:eastAsia="zh-CN"/>
        </w:rPr>
        <w:instrText xml:space="preserve">MERGEFIELD ${page400644146.ds532982397_REP_JX_BAS_AGENCY_INFO_ZYFRS_S_CLSYS}</w:instrText>
      </w:r>
      <w:r>
        <w:rPr>
          <w:rStyle w:val="12"/>
          <w:rFonts w:hint="eastAsia" w:ascii="Adobe 仿宋 Std R" w:hAnsi="Adobe 仿宋 Std R" w:eastAsia="Adobe 仿宋 Std R" w:cs="Times New Roman"/>
          <w:sz w:val="32"/>
          <w:szCs w:val="32"/>
          <w:lang w:val="en-US" w:eastAsia="zh-CN"/>
        </w:rPr>
        <w:fldChar w:fldCharType="separate"/>
      </w:r>
      <w:r>
        <w:rPr>
          <w:rStyle w:val="12"/>
          <w:rFonts w:hint="eastAsia" w:ascii="Adobe 仿宋 Std R" w:hAnsi="Adobe 仿宋 Std R" w:eastAsia="Adobe 仿宋 Std R" w:cs="Times New Roman"/>
          <w:sz w:val="32"/>
          <w:szCs w:val="32"/>
          <w:lang w:val="en-US" w:eastAsia="zh-CN"/>
        </w:rPr>
        <w:t>部门共有车辆0辆,其中：一般公务用车实有数0辆。</w:t>
      </w:r>
      <w:r>
        <w:rPr>
          <w:rStyle w:val="12"/>
          <w:rFonts w:hint="eastAsia" w:ascii="Adobe 仿宋 Std R" w:hAnsi="Adobe 仿宋 Std R" w:eastAsia="Adobe 仿宋 Std R"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2024年部门预算安排购置车辆0辆，安排购置单位价值200万元以上大型设备具体为：0。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（九）项目情况说明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1.重点项目专班项目情况说明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1）项目概述：根据全市项目建设要求，对重大项目进行督导工作。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2）立项依据：市领导呈报件批复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4）实施方案：对重大项目进行督察工作，解决项目建设中的问题，保证项目建设不停产不停工。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6）年度预算安排：30万元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2.党建服务工作项目情况说明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1）项目概述：对党员进行教育培训管理，开展党建引领创建。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2）立项依据：九字【2017】15号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4）实施方案：打造红色教育基地，服务党员群众。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6）年度预算安排：25万元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3.“两新”组织专职党建员经费项目情况说明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1）项目概述：保障两新组织专职党建宣传的工资福利支出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2）立项依据：九字【2022】20号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4）实施方案：保障两新人员工资及福利支出及时发放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6）年度预算安排：6.5万元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4.考核考评工作项目情况说明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1）项目概述：保障市委综合考核委日常事务，每年度对干部进行考核考察工作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2）立项依据：九字【2022】20号，星组字【2014】10号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4）实施方案：综合考核办制定考核意见，考核方案，并提出考核结果。对干部进行评先评优，调动广大干部的工作积极性。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6）年度预算安排：10万元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机关文体活动项目情况说明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1）项目概述：每年度开展各机关开展文体活动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2）立项依据：文体活动赛事方案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4）实施方案：组织各种文体活动，丰富各机关干部的业余生活。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6）年度预算安排：10万元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异地干部交流项目情况说明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1）项目概述：副处级领导干部异地交流工作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2）立项依据：异地干部交流文件标准要求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4）实施方案：保障异地干部交流以工作的顺利开展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公务员管理工作项目情况说明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1）项目概述：管理公务员的日常事务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2）立项依据：庐干教字【2022】3号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4）实施方案：开展公务的员的招聘录用工作，并对公务员进行培训，教育，管理。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6）年度预算安排：35万元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副处级干部通讯费项目情况说明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1）项目概述：规范处级干部通讯费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2）立项依据：九人社字【2019】117号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4）实施方案：按时间进度保障通讯费用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5）实施周期：2023年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6）年度预算安排：0.768万元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老干部工作活动经费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项目概述：关心爱护，关怀帮护老党员老干部，精心组织开展老干部的业余文化生活，增进形成尊重爱护老党员干部的良好社会氛围。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2）立项依据：《老干部工作文件汇编》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4）实施方案：用于老干部走访，离退休干部慰问，开展老干活文体活动支出。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6）年度预算安排：24万元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党代表工作经费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项目概述：按照同级人在代表1300元／人的标准确定党代表工作经费</w:t>
      </w:r>
      <w:bookmarkStart w:id="0" w:name="_GoBack"/>
      <w:bookmarkEnd w:id="0"/>
      <w:r>
        <w:rPr>
          <w:rStyle w:val="12"/>
          <w:rFonts w:hint="eastAsia" w:ascii="Adobe 仿宋 Std R" w:hAnsi="Adobe 仿宋 Std R" w:eastAsia="Adobe 仿宋 Std R" w:cs="Times New Roman"/>
          <w:sz w:val="32"/>
          <w:szCs w:val="32"/>
          <w:lang w:val="en-US" w:eastAsia="zh-CN"/>
        </w:rPr>
        <w:t>，促进党代表发挥更好作用，推动庐山改革发展。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2）立项依据：《关于在全省建立党代表联系村和社区制度》、《关于请求增加党员教育工作等工作经费并列入财政预算的报告》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3）实施主体：市委组织部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4）实施方案：用于党员开展各项活动支出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5）实施周期：2024年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 xml:space="preserve">  6）年度预算安排：39.83万元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2"/>
          <w:rFonts w:hint="eastAsia" w:ascii="楷体_GB2312" w:hAnsi="楷体_GB2312" w:eastAsia="楷体_GB2312" w:cs="楷体_GB2312"/>
          <w:b/>
          <w:bCs/>
          <w:sz w:val="32"/>
          <w:szCs w:val="32"/>
          <w:lang w:val="en-US" w:eastAsia="zh-CN"/>
        </w:rPr>
      </w:pPr>
      <w:r>
        <w:rPr>
          <w:rStyle w:val="12"/>
          <w:rFonts w:hint="eastAsia" w:ascii="楷体_GB2312" w:hAnsi="楷体_GB2312" w:eastAsia="楷体_GB2312" w:cs="楷体_GB2312"/>
          <w:b/>
          <w:bCs/>
          <w:sz w:val="32"/>
          <w:szCs w:val="32"/>
          <w:lang w:val="en-US" w:eastAsia="zh-CN"/>
        </w:rPr>
        <w:t>二、2024年“三公”经费预算情况说明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仿宋" w:hAnsi="仿宋" w:eastAsia="仿宋" w:cs="仿宋"/>
          <w:sz w:val="32"/>
          <w:szCs w:val="32"/>
          <w:lang w:val="en-US" w:eastAsia="zh-CN"/>
        </w:rPr>
      </w:pPr>
      <w:r>
        <w:rPr>
          <w:rStyle w:val="12"/>
          <w:rFonts w:hint="eastAsia" w:ascii="仿宋" w:hAnsi="仿宋" w:eastAsia="仿宋" w:cs="仿宋"/>
          <w:sz w:val="32"/>
          <w:szCs w:val="32"/>
          <w:lang w:val="en-US" w:eastAsia="zh-CN"/>
        </w:rPr>
        <w:t>2024年庐山市委组织部"三公"经费财政拨款安排3万元，其中：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仿宋" w:hAnsi="仿宋" w:eastAsia="仿宋" w:cs="仿宋"/>
          <w:sz w:val="32"/>
          <w:szCs w:val="32"/>
          <w:lang w:val="en-US" w:eastAsia="zh-CN"/>
        </w:rPr>
      </w:pPr>
      <w:r>
        <w:rPr>
          <w:rStyle w:val="12"/>
          <w:rFonts w:hint="eastAsia" w:ascii="仿宋" w:hAnsi="仿宋" w:eastAsia="仿宋" w:cs="仿宋"/>
          <w:sz w:val="32"/>
          <w:szCs w:val="32"/>
          <w:lang w:val="en-US" w:eastAsia="zh-CN"/>
        </w:rPr>
        <w:t>因公出国0万元,比上年增（减）0万元，主要原因是：与上年保持一致。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仿宋" w:hAnsi="仿宋" w:eastAsia="仿宋" w:cs="仿宋"/>
          <w:sz w:val="32"/>
          <w:szCs w:val="32"/>
          <w:lang w:val="en-US" w:eastAsia="zh-CN"/>
        </w:rPr>
      </w:pPr>
      <w:r>
        <w:rPr>
          <w:rStyle w:val="12"/>
          <w:rFonts w:hint="eastAsia" w:ascii="仿宋" w:hAnsi="仿宋" w:eastAsia="仿宋" w:cs="仿宋"/>
          <w:sz w:val="32"/>
          <w:szCs w:val="32"/>
          <w:lang w:val="en-US" w:eastAsia="zh-CN"/>
        </w:rPr>
        <w:t>公务接待3万元,比上年增（减）0万元，主要原因是：与上年保持一致。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仿宋" w:hAnsi="仿宋" w:eastAsia="仿宋" w:cs="仿宋"/>
          <w:sz w:val="32"/>
          <w:szCs w:val="32"/>
          <w:lang w:val="en-US" w:eastAsia="zh-CN"/>
        </w:rPr>
      </w:pPr>
      <w:r>
        <w:rPr>
          <w:rStyle w:val="12"/>
          <w:rFonts w:hint="eastAsia" w:ascii="仿宋" w:hAnsi="仿宋" w:eastAsia="仿宋" w:cs="仿宋"/>
          <w:sz w:val="32"/>
          <w:szCs w:val="32"/>
          <w:lang w:val="en-US" w:eastAsia="zh-CN"/>
        </w:rPr>
        <w:t>公务用车运行0万元,比上年增（减）0万元，主要原因是：与上年保持一致。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仿宋" w:hAnsi="仿宋" w:eastAsia="仿宋" w:cs="仿宋"/>
          <w:sz w:val="32"/>
          <w:szCs w:val="32"/>
          <w:lang w:val="en-US" w:eastAsia="zh-CN"/>
        </w:rPr>
      </w:pPr>
      <w:r>
        <w:rPr>
          <w:rStyle w:val="12"/>
          <w:rFonts w:hint="eastAsia" w:ascii="仿宋" w:hAnsi="仿宋" w:eastAsia="仿宋" w:cs="仿宋"/>
          <w:sz w:val="32"/>
          <w:szCs w:val="32"/>
          <w:lang w:val="en-US" w:eastAsia="zh-CN"/>
        </w:rPr>
        <w:t>公务用车购置0万元,比上年增（减）0万元，主要原因是：与上年保持一致。</w:t>
      </w:r>
      <w:r>
        <w:rPr>
          <w:rStyle w:val="12"/>
          <w:rFonts w:hint="eastAsia" w:ascii="仿宋" w:hAnsi="仿宋" w:eastAsia="仿宋" w:cs="仿宋"/>
          <w:sz w:val="32"/>
          <w:szCs w:val="32"/>
          <w:lang w:val="en-US" w:eastAsia="zh-CN"/>
        </w:rPr>
        <w:fldChar w:fldCharType="begin"/>
      </w:r>
      <w:r>
        <w:rPr>
          <w:rStyle w:val="12"/>
          <w:rFonts w:hint="eastAsia" w:ascii="仿宋" w:hAnsi="仿宋" w:eastAsia="仿宋" w:cs="仿宋"/>
          <w:sz w:val="32"/>
          <w:szCs w:val="32"/>
          <w:lang w:val="en-US" w:eastAsia="zh-CN"/>
        </w:rPr>
        <w:instrText xml:space="preserve">MERGEFIELD ${page400644146.ds215660413_REP_BGT_T_HC1100002019_DXQ02_ZCSGGZ}</w:instrText>
      </w:r>
      <w:r>
        <w:rPr>
          <w:rStyle w:val="12"/>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12"/>
          <w:rFonts w:hint="eastAsia" w:ascii="Adobe 仿宋 Std R" w:hAnsi="Adobe 仿宋 Std R" w:eastAsia="Adobe 仿宋 Std R" w:cs="Times New Roman"/>
          <w:b/>
          <w:bCs/>
          <w:sz w:val="32"/>
          <w:szCs w:val="32"/>
          <w:lang w:val="en-US" w:eastAsia="zh-CN"/>
        </w:rPr>
      </w:pPr>
      <w:r>
        <w:rPr>
          <w:rStyle w:val="12"/>
          <w:rFonts w:hint="eastAsia" w:ascii="Adobe 仿宋 Std R" w:hAnsi="Adobe 仿宋 Std R" w:eastAsia="Adobe 仿宋 Std R" w:cs="Times New Roman"/>
          <w:b/>
          <w:bCs/>
          <w:sz w:val="32"/>
          <w:szCs w:val="32"/>
          <w:lang w:val="en-US" w:eastAsia="zh-CN"/>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一、收入科目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财政拨款：指市级财政当年拨付的资金。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教育收费资金收入：反映实行专项管理的高中以上学费、住宿费，高校委托培养费，函大、电大、夜大及短训班培训费等教育收费取得的收入。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（三）事业收入：指事业单位开展专业业务活动及辅助活动取得的收入。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（四）事业单位经营收入：指事业单位在专业业务活动及辅助活动之外开展非独立核算经营活动取得的收入。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（五）附属单位上缴收入：反映事业单位附属的独立核算单位按规定标准或比例缴纳的各项收入。包括附属的事业单位上缴的收入和附属的企业上缴的利润等。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（六）上级补助收入：反映事业单位从主管部门和上级单位取得的非财政补助收入。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（七）其他收入：指除财政拨款、事业收入、事业单位经营收入等以外的各项收入。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（八）使用非财政拨款结余：填列历年滚存的非限定用途的非统计财政拨款结余弥补2024年收支差额的数额。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（九）上年结转和结余：填列2023年全部结转和结余的资金数，包括当年结转结余资金和历年滚存结转结余资金。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二、支出科目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（二）项目支出：指在基本支出之外为完成特定行政任务和事业发展目标所发生的支出。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（三）经营支出：指事业单位在专业业务活动及其辅助活动之外开展非独立核算经营活动发生的支出。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（四）工资福利支出（支出经济分类科目类级）：反映单位开支的在职职工和编制外长期聘用人员的各类劳动报酬，以及为上述人员缴纳的各项社会保险费等。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（五）商品和服务支出（支出经济分类科目类级）：反映单位购买商品和服务的支出（不包括用于购置固定资产的支出、战略性和应急储备支出）。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（六）对个人和家庭的补助（支出经济分类科目类级）：反映用于对个人和家庭的补助支出。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三、相关专业名词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2"/>
          <w:rFonts w:hint="eastAsia" w:ascii="Adobe 仿宋 Std R" w:hAnsi="Adobe 仿宋 Std R" w:eastAsia="Adobe 仿宋 Std R" w:cs="Times New Roman"/>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MGI0NGE4NGJjNTNmYmY1MjZmYmYzMDJjYTA5Ym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63C0A45"/>
    <w:rsid w:val="2828673B"/>
    <w:rsid w:val="2B6048A7"/>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58D564E5"/>
    <w:rsid w:val="61E0552E"/>
    <w:rsid w:val="62D6302D"/>
    <w:rsid w:val="63306EE5"/>
    <w:rsid w:val="633916A0"/>
    <w:rsid w:val="63E33020"/>
    <w:rsid w:val="6464197D"/>
    <w:rsid w:val="64EB571C"/>
    <w:rsid w:val="656A2922"/>
    <w:rsid w:val="65810156"/>
    <w:rsid w:val="672263BE"/>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after="12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autoRedefine/>
    <w:qFormat/>
    <w:uiPriority w:val="99"/>
    <w:pPr>
      <w:ind w:firstLine="420" w:firstLineChars="100"/>
    </w:p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7</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2024-02-18T05:15:32Z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814B02E38FFE4730979B058670818910_13</vt:lpwstr>
  </property>
</Properties>
</file>