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A1E1EC">
      <w:pPr>
        <w:widowControl/>
        <w:spacing w:line="520" w:lineRule="atLeast"/>
        <w:jc w:val="center"/>
        <w:rPr>
          <w:rFonts w:hint="eastAsia" w:ascii="黑体" w:hAnsi="黑体" w:eastAsia="黑体" w:cs="Times New Roman"/>
          <w:b/>
          <w:bCs/>
          <w:color w:val="000000"/>
          <w:kern w:val="0"/>
          <w:sz w:val="44"/>
          <w:szCs w:val="44"/>
          <w:lang w:eastAsia="zh-CN"/>
        </w:rPr>
      </w:pPr>
      <w:r>
        <w:rPr>
          <w:rFonts w:hint="eastAsia" w:ascii="黑体" w:hAnsi="黑体" w:eastAsia="黑体" w:cs="Times New Roman"/>
          <w:b/>
          <w:bCs/>
          <w:color w:val="000000"/>
          <w:kern w:val="0"/>
          <w:sz w:val="44"/>
          <w:szCs w:val="44"/>
          <w:lang w:eastAsia="zh-CN"/>
        </w:rPr>
        <w:t>庐山市委信访局202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lang w:eastAsia="zh-CN"/>
        </w:rPr>
        <w:t>年单位预算</w:t>
      </w:r>
    </w:p>
    <w:p w14:paraId="50543CF9">
      <w:pPr>
        <w:pStyle w:val="13"/>
        <w:spacing w:line="600" w:lineRule="atLeast"/>
        <w:jc w:val="center"/>
        <w:rPr>
          <w:rFonts w:ascii="黑体" w:hAnsi="黑体" w:eastAsia="黑体"/>
          <w:color w:val="000000"/>
          <w:sz w:val="32"/>
          <w:szCs w:val="32"/>
        </w:rPr>
      </w:pPr>
    </w:p>
    <w:p w14:paraId="292BDD16">
      <w:pPr>
        <w:pStyle w:val="13"/>
        <w:keepNext w:val="0"/>
        <w:keepLines w:val="0"/>
        <w:pageBreakBefore w:val="0"/>
        <w:widowControl/>
        <w:kinsoku/>
        <w:wordWrap/>
        <w:overflowPunct/>
        <w:topLinePunct w:val="0"/>
        <w:autoSpaceDE/>
        <w:autoSpaceDN/>
        <w:bidi w:val="0"/>
        <w:adjustRightInd/>
        <w:snapToGrid/>
        <w:spacing w:line="600" w:lineRule="atLeast"/>
        <w:jc w:val="center"/>
        <w:textAlignment w:val="auto"/>
        <w:rPr>
          <w:rFonts w:ascii="黑体" w:hAnsi="黑体" w:eastAsia="黑体"/>
          <w:color w:val="000000"/>
          <w:sz w:val="32"/>
          <w:szCs w:val="32"/>
        </w:rPr>
      </w:pPr>
      <w:r>
        <w:rPr>
          <w:rFonts w:hint="eastAsia" w:ascii="黑体" w:hAnsi="黑体" w:eastAsia="黑体"/>
          <w:color w:val="000000"/>
          <w:sz w:val="32"/>
          <w:szCs w:val="32"/>
        </w:rPr>
        <w:t>目    录</w:t>
      </w:r>
    </w:p>
    <w:p w14:paraId="0ED45FD3">
      <w:pPr>
        <w:pStyle w:val="13"/>
        <w:keepNext w:val="0"/>
        <w:keepLines w:val="0"/>
        <w:pageBreakBefore w:val="0"/>
        <w:widowControl/>
        <w:kinsoku/>
        <w:wordWrap/>
        <w:overflowPunct/>
        <w:topLinePunct w:val="0"/>
        <w:autoSpaceDE/>
        <w:autoSpaceDN/>
        <w:bidi w:val="0"/>
        <w:adjustRightInd/>
        <w:snapToGrid/>
        <w:spacing w:line="600" w:lineRule="atLeast"/>
        <w:textAlignment w:val="auto"/>
        <w:rPr>
          <w:rFonts w:ascii="宋体" w:hAnsi="宋体"/>
          <w:color w:val="000000"/>
        </w:rPr>
      </w:pPr>
    </w:p>
    <w:p w14:paraId="6D9D70E7">
      <w:pPr>
        <w:pStyle w:val="13"/>
        <w:keepNext w:val="0"/>
        <w:keepLines w:val="0"/>
        <w:pageBreakBefore w:val="0"/>
        <w:widowControl/>
        <w:tabs>
          <w:tab w:val="right" w:pos="8306"/>
        </w:tabs>
        <w:kinsoku/>
        <w:wordWrap/>
        <w:overflowPunct/>
        <w:topLinePunct w:val="0"/>
        <w:autoSpaceDE/>
        <w:autoSpaceDN/>
        <w:bidi w:val="0"/>
        <w:adjustRightInd/>
        <w:snapToGrid/>
        <w:spacing w:line="600" w:lineRule="atLeast"/>
        <w:ind w:firstLine="640"/>
        <w:jc w:val="left"/>
        <w:textAlignment w:val="auto"/>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eastAsia="zh-CN"/>
        </w:rPr>
        <w:t>庐山市委信访局</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3B808E7A">
      <w:pPr>
        <w:pStyle w:val="13"/>
        <w:keepNext w:val="0"/>
        <w:keepLines w:val="0"/>
        <w:pageBreakBefore w:val="0"/>
        <w:widowControl/>
        <w:kinsoku/>
        <w:wordWrap/>
        <w:overflowPunct/>
        <w:topLinePunct w:val="0"/>
        <w:autoSpaceDE/>
        <w:autoSpaceDN/>
        <w:bidi w:val="0"/>
        <w:adjustRightInd/>
        <w:snapToGrid/>
        <w:spacing w:line="600" w:lineRule="atLeast"/>
        <w:ind w:firstLine="1120" w:firstLineChars="350"/>
        <w:jc w:val="left"/>
        <w:textAlignment w:val="auto"/>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41CC97D8">
      <w:pPr>
        <w:pStyle w:val="13"/>
        <w:keepNext w:val="0"/>
        <w:keepLines w:val="0"/>
        <w:pageBreakBefore w:val="0"/>
        <w:widowControl/>
        <w:kinsoku/>
        <w:wordWrap/>
        <w:overflowPunct/>
        <w:topLinePunct w:val="0"/>
        <w:autoSpaceDE/>
        <w:autoSpaceDN/>
        <w:bidi w:val="0"/>
        <w:adjustRightInd/>
        <w:snapToGrid/>
        <w:spacing w:line="600" w:lineRule="atLeast"/>
        <w:ind w:firstLine="1280" w:firstLineChars="40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429C50BE">
      <w:pPr>
        <w:pStyle w:val="13"/>
        <w:keepNext w:val="0"/>
        <w:keepLines w:val="0"/>
        <w:pageBreakBefore w:val="0"/>
        <w:widowControl/>
        <w:kinsoku/>
        <w:wordWrap/>
        <w:overflowPunct/>
        <w:topLinePunct w:val="0"/>
        <w:autoSpaceDE/>
        <w:autoSpaceDN/>
        <w:bidi w:val="0"/>
        <w:adjustRightInd/>
        <w:snapToGrid/>
        <w:spacing w:line="600" w:lineRule="atLeast"/>
        <w:ind w:firstLine="640"/>
        <w:jc w:val="left"/>
        <w:textAlignment w:val="auto"/>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eastAsia="zh-CN"/>
        </w:rPr>
        <w:t>庐山市委信访局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6B03942B">
      <w:pPr>
        <w:pStyle w:val="13"/>
        <w:keepNext w:val="0"/>
        <w:keepLines w:val="0"/>
        <w:pageBreakBefore w:val="0"/>
        <w:widowControl/>
        <w:kinsoku/>
        <w:wordWrap/>
        <w:overflowPunct/>
        <w:topLinePunct w:val="0"/>
        <w:autoSpaceDE/>
        <w:autoSpaceDN/>
        <w:bidi w:val="0"/>
        <w:adjustRightInd/>
        <w:snapToGrid/>
        <w:spacing w:line="600" w:lineRule="atLeas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7FA4E7F8">
      <w:pPr>
        <w:pStyle w:val="13"/>
        <w:keepNext w:val="0"/>
        <w:keepLines w:val="0"/>
        <w:pageBreakBefore w:val="0"/>
        <w:widowControl/>
        <w:kinsoku/>
        <w:wordWrap/>
        <w:overflowPunct/>
        <w:topLinePunct w:val="0"/>
        <w:autoSpaceDE/>
        <w:autoSpaceDN/>
        <w:bidi w:val="0"/>
        <w:adjustRightInd/>
        <w:snapToGrid/>
        <w:spacing w:line="600" w:lineRule="atLeas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786B73CB">
      <w:pPr>
        <w:pStyle w:val="13"/>
        <w:keepNext w:val="0"/>
        <w:keepLines w:val="0"/>
        <w:pageBreakBefore w:val="0"/>
        <w:widowControl/>
        <w:kinsoku/>
        <w:wordWrap/>
        <w:overflowPunct/>
        <w:topLinePunct w:val="0"/>
        <w:autoSpaceDE/>
        <w:autoSpaceDN/>
        <w:bidi w:val="0"/>
        <w:adjustRightInd/>
        <w:snapToGrid/>
        <w:spacing w:line="600" w:lineRule="atLeas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16D8DFC7">
      <w:pPr>
        <w:pStyle w:val="13"/>
        <w:keepNext w:val="0"/>
        <w:keepLines w:val="0"/>
        <w:pageBreakBefore w:val="0"/>
        <w:widowControl/>
        <w:kinsoku/>
        <w:wordWrap/>
        <w:overflowPunct/>
        <w:topLinePunct w:val="0"/>
        <w:autoSpaceDE/>
        <w:autoSpaceDN/>
        <w:bidi w:val="0"/>
        <w:adjustRightInd/>
        <w:snapToGrid/>
        <w:spacing w:line="600" w:lineRule="atLeas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22A91FAC">
      <w:pPr>
        <w:pStyle w:val="13"/>
        <w:keepNext w:val="0"/>
        <w:keepLines w:val="0"/>
        <w:pageBreakBefore w:val="0"/>
        <w:widowControl/>
        <w:kinsoku/>
        <w:wordWrap/>
        <w:overflowPunct/>
        <w:topLinePunct w:val="0"/>
        <w:autoSpaceDE/>
        <w:autoSpaceDN/>
        <w:bidi w:val="0"/>
        <w:adjustRightInd/>
        <w:snapToGrid/>
        <w:spacing w:line="600" w:lineRule="atLeas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2D472490">
      <w:pPr>
        <w:pStyle w:val="13"/>
        <w:keepNext w:val="0"/>
        <w:keepLines w:val="0"/>
        <w:pageBreakBefore w:val="0"/>
        <w:widowControl/>
        <w:kinsoku/>
        <w:wordWrap/>
        <w:overflowPunct/>
        <w:topLinePunct w:val="0"/>
        <w:autoSpaceDE/>
        <w:autoSpaceDN/>
        <w:bidi w:val="0"/>
        <w:adjustRightInd/>
        <w:snapToGrid/>
        <w:spacing w:line="600" w:lineRule="atLeas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7FD14852">
      <w:pPr>
        <w:pStyle w:val="13"/>
        <w:keepNext w:val="0"/>
        <w:keepLines w:val="0"/>
        <w:pageBreakBefore w:val="0"/>
        <w:widowControl/>
        <w:kinsoku/>
        <w:wordWrap/>
        <w:overflowPunct/>
        <w:topLinePunct w:val="0"/>
        <w:autoSpaceDE/>
        <w:autoSpaceDN/>
        <w:bidi w:val="0"/>
        <w:adjustRightInd/>
        <w:snapToGrid/>
        <w:spacing w:line="600" w:lineRule="atLeas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181F99B8">
      <w:pPr>
        <w:pStyle w:val="13"/>
        <w:keepNext w:val="0"/>
        <w:keepLines w:val="0"/>
        <w:pageBreakBefore w:val="0"/>
        <w:widowControl/>
        <w:kinsoku/>
        <w:wordWrap/>
        <w:overflowPunct/>
        <w:topLinePunct w:val="0"/>
        <w:autoSpaceDE/>
        <w:autoSpaceDN/>
        <w:bidi w:val="0"/>
        <w:adjustRightInd/>
        <w:snapToGrid/>
        <w:spacing w:line="600" w:lineRule="atLeas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03938302">
      <w:pPr>
        <w:pStyle w:val="13"/>
        <w:keepNext w:val="0"/>
        <w:keepLines w:val="0"/>
        <w:pageBreakBefore w:val="0"/>
        <w:widowControl/>
        <w:tabs>
          <w:tab w:val="left" w:pos="6546"/>
        </w:tabs>
        <w:kinsoku/>
        <w:wordWrap/>
        <w:overflowPunct/>
        <w:topLinePunct w:val="0"/>
        <w:autoSpaceDE/>
        <w:autoSpaceDN/>
        <w:bidi w:val="0"/>
        <w:adjustRightInd/>
        <w:snapToGrid/>
        <w:spacing w:line="600" w:lineRule="atLeas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1C6B83C1">
      <w:pPr>
        <w:pStyle w:val="13"/>
        <w:keepNext w:val="0"/>
        <w:keepLines w:val="0"/>
        <w:pageBreakBefore w:val="0"/>
        <w:widowControl/>
        <w:tabs>
          <w:tab w:val="left" w:pos="6546"/>
        </w:tabs>
        <w:kinsoku/>
        <w:wordWrap/>
        <w:overflowPunct/>
        <w:topLinePunct w:val="0"/>
        <w:autoSpaceDE/>
        <w:autoSpaceDN/>
        <w:bidi w:val="0"/>
        <w:adjustRightInd/>
        <w:snapToGrid/>
        <w:spacing w:line="600" w:lineRule="atLeast"/>
        <w:ind w:firstLine="1280"/>
        <w:jc w:val="left"/>
        <w:textAlignment w:val="auto"/>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72E6755B">
      <w:pPr>
        <w:pStyle w:val="13"/>
        <w:keepNext w:val="0"/>
        <w:keepLines w:val="0"/>
        <w:pageBreakBefore w:val="0"/>
        <w:widowControl/>
        <w:kinsoku/>
        <w:wordWrap/>
        <w:overflowPunct/>
        <w:topLinePunct w:val="0"/>
        <w:autoSpaceDE/>
        <w:autoSpaceDN/>
        <w:bidi w:val="0"/>
        <w:adjustRightInd/>
        <w:snapToGrid/>
        <w:spacing w:line="600" w:lineRule="atLeast"/>
        <w:ind w:firstLine="640"/>
        <w:jc w:val="left"/>
        <w:textAlignment w:val="auto"/>
        <w:rPr>
          <w:rFonts w:ascii="仿宋_GB2312" w:eastAsia="仿宋_GB2312"/>
          <w:b/>
          <w:bCs/>
          <w:color w:val="000000"/>
          <w:sz w:val="32"/>
          <w:szCs w:val="32"/>
        </w:rPr>
      </w:pPr>
      <w:r>
        <w:rPr>
          <w:rFonts w:hint="eastAsia" w:ascii="仿宋_GB2312" w:eastAsia="仿宋_GB2312"/>
          <w:b/>
          <w:bCs/>
          <w:color w:val="000000"/>
          <w:sz w:val="32"/>
          <w:szCs w:val="32"/>
        </w:rPr>
        <w:t>第三部分</w:t>
      </w:r>
      <w:r>
        <w:rPr>
          <w:rFonts w:hint="eastAsia" w:ascii="仿宋_GB2312" w:eastAsia="仿宋_GB2312"/>
          <w:b/>
          <w:bCs/>
          <w:color w:val="000000"/>
          <w:sz w:val="32"/>
          <w:szCs w:val="32"/>
          <w:lang w:val="en-US" w:eastAsia="zh-CN"/>
        </w:rPr>
        <w:t xml:space="preserve"> </w:t>
      </w:r>
      <w:r>
        <w:rPr>
          <w:rFonts w:hint="eastAsia" w:ascii="仿宋_GB2312" w:eastAsia="仿宋_GB2312"/>
          <w:b/>
          <w:bCs/>
          <w:color w:val="000000"/>
          <w:sz w:val="32"/>
          <w:szCs w:val="32"/>
          <w:lang w:eastAsia="zh-CN"/>
        </w:rPr>
        <w:t>庐山市委信访局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39D34C6A">
      <w:pPr>
        <w:pStyle w:val="13"/>
        <w:keepNext w:val="0"/>
        <w:keepLines w:val="0"/>
        <w:pageBreakBefore w:val="0"/>
        <w:widowControl/>
        <w:kinsoku/>
        <w:wordWrap/>
        <w:overflowPunct/>
        <w:topLinePunct w:val="0"/>
        <w:autoSpaceDE/>
        <w:autoSpaceDN/>
        <w:bidi w:val="0"/>
        <w:adjustRightInd/>
        <w:snapToGrid/>
        <w:spacing w:line="600" w:lineRule="atLeas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6CE6C71D">
      <w:pPr>
        <w:pStyle w:val="13"/>
        <w:keepNext w:val="0"/>
        <w:keepLines w:val="0"/>
        <w:pageBreakBefore w:val="0"/>
        <w:widowControl/>
        <w:kinsoku/>
        <w:wordWrap/>
        <w:overflowPunct/>
        <w:topLinePunct w:val="0"/>
        <w:autoSpaceDE/>
        <w:autoSpaceDN/>
        <w:bidi w:val="0"/>
        <w:adjustRightInd/>
        <w:snapToGrid/>
        <w:spacing w:line="600" w:lineRule="atLeast"/>
        <w:ind w:firstLine="1120" w:firstLineChars="35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7E8B65DB">
      <w:pPr>
        <w:pStyle w:val="13"/>
        <w:keepNext w:val="0"/>
        <w:keepLines w:val="0"/>
        <w:pageBreakBefore w:val="0"/>
        <w:widowControl/>
        <w:kinsoku/>
        <w:wordWrap/>
        <w:overflowPunct/>
        <w:topLinePunct w:val="0"/>
        <w:autoSpaceDE/>
        <w:autoSpaceDN/>
        <w:bidi w:val="0"/>
        <w:adjustRightInd/>
        <w:snapToGrid/>
        <w:spacing w:line="600" w:lineRule="atLeast"/>
        <w:ind w:firstLine="640"/>
        <w:jc w:val="left"/>
        <w:textAlignment w:val="auto"/>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3E33975B">
      <w:pPr>
        <w:widowControl/>
        <w:spacing w:line="580" w:lineRule="exact"/>
        <w:jc w:val="center"/>
        <w:rPr>
          <w:rFonts w:hint="eastAsia" w:ascii="仿宋_GB2312" w:eastAsia="仿宋_GB2312"/>
          <w:b/>
          <w:sz w:val="32"/>
          <w:szCs w:val="30"/>
        </w:rPr>
      </w:pPr>
    </w:p>
    <w:p w14:paraId="5AEA59BB">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000000"/>
          <w:sz w:val="32"/>
          <w:szCs w:val="32"/>
          <w:lang w:eastAsia="zh-CN"/>
        </w:rPr>
        <w:t>庐山市委信访局</w:t>
      </w:r>
      <w:r>
        <w:rPr>
          <w:rFonts w:hint="eastAsia" w:ascii="仿宋_GB2312" w:eastAsia="仿宋_GB2312"/>
          <w:b/>
          <w:sz w:val="32"/>
          <w:szCs w:val="30"/>
        </w:rPr>
        <w:t>概况</w:t>
      </w:r>
    </w:p>
    <w:p w14:paraId="17CC2790">
      <w:pPr>
        <w:widowControl/>
        <w:spacing w:line="580" w:lineRule="exact"/>
        <w:jc w:val="left"/>
        <w:rPr>
          <w:rFonts w:asciiTheme="minorEastAsia" w:hAnsiTheme="minorEastAsia"/>
          <w:b/>
          <w:sz w:val="36"/>
          <w:szCs w:val="36"/>
        </w:rPr>
      </w:pPr>
    </w:p>
    <w:p w14:paraId="5E6BB6BC">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335352D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（一）承办上级转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办的信访事项；处理市领导交办的信访事项；督促检查上级部门和市领导批示交办的信访事项的落实情况，并及时反馈信息。</w:t>
      </w:r>
    </w:p>
    <w:p w14:paraId="0135CF9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（二）负责受理人民群众的来信、来电、来访和网上信访，及时向乡（镇、处）和有关部门转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办</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信访事项，协调处理重要信访事项，并对落实情况进行督促检查；综合分析信访信息，开展调查研究，提出建议。 </w:t>
      </w:r>
    </w:p>
    <w:p w14:paraId="4FE95ED6">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（三）协调处理跨地域、跨部门的重要信访问题；协调处理群众进京、赴省、到九江市和来</w:t>
      </w:r>
      <w:r>
        <w:rPr>
          <w:rFonts w:hint="eastAsia" w:ascii="仿宋_GB2312" w:hAnsi="仿宋_GB2312" w:eastAsia="仿宋_GB2312" w:cs="仿宋_GB2312"/>
          <w:sz w:val="32"/>
          <w:szCs w:val="32"/>
          <w:lang w:val="en-US" w:eastAsia="zh-CN"/>
        </w:rPr>
        <w:t>庐山</w:t>
      </w:r>
      <w:r>
        <w:rPr>
          <w:rFonts w:hint="eastAsia" w:ascii="仿宋_GB2312" w:hAnsi="仿宋_GB2312" w:eastAsia="仿宋_GB2312" w:cs="仿宋_GB2312"/>
          <w:sz w:val="32"/>
          <w:szCs w:val="32"/>
        </w:rPr>
        <w:t>市上访及异常、突发信访事件；检查、协调市直（驻市）各部门和各乡（镇、处）的信访工作；落实信访工作责任制。</w:t>
      </w:r>
    </w:p>
    <w:p w14:paraId="49F50A2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（四）研究、起草有关信访工作的文件、规章制度，总结推广各地各部门信访工作经验，指导全市信访业务工作；负责信访工作的宣传和信息发布；负责组织实施全市信访工作的目标管理与考核。</w:t>
      </w:r>
    </w:p>
    <w:p w14:paraId="5966F76F">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（五）承办市委市政府和上级信访部门交办的其他事项。</w:t>
      </w:r>
    </w:p>
    <w:p w14:paraId="6727373A">
      <w:pPr>
        <w:rPr>
          <w:b/>
          <w:sz w:val="36"/>
          <w:szCs w:val="36"/>
        </w:rPr>
      </w:pPr>
      <w:r>
        <w:rPr>
          <w:rFonts w:hint="eastAsia"/>
          <w:b/>
          <w:sz w:val="36"/>
          <w:szCs w:val="36"/>
        </w:rPr>
        <w:t>二、机构设置及人员情况</w:t>
      </w:r>
    </w:p>
    <w:p w14:paraId="1B10DE44">
      <w:pPr>
        <w:ind w:firstLine="640" w:firstLineChars="200"/>
        <w:rPr>
          <w:rFonts w:hint="eastAsia" w:ascii="仿宋" w:hAnsi="仿宋" w:eastAsia="仿宋"/>
          <w:color w:val="auto"/>
          <w:sz w:val="32"/>
          <w:szCs w:val="32"/>
          <w:u w:val="none"/>
          <w:lang w:val="en-US" w:eastAsia="zh-CN"/>
        </w:rPr>
      </w:pPr>
      <w:r>
        <w:rPr>
          <w:rFonts w:hint="eastAsia" w:ascii="仿宋" w:hAnsi="仿宋" w:eastAsia="仿宋"/>
          <w:color w:val="auto"/>
          <w:sz w:val="32"/>
          <w:szCs w:val="32"/>
          <w:u w:val="none"/>
          <w:lang w:eastAsia="zh-CN"/>
        </w:rPr>
        <w:t>2</w:t>
      </w:r>
      <w:r>
        <w:rPr>
          <w:rFonts w:hint="eastAsia" w:ascii="仿宋" w:hAnsi="仿宋" w:eastAsia="仿宋"/>
          <w:color w:val="auto"/>
          <w:sz w:val="32"/>
          <w:szCs w:val="32"/>
          <w:u w:val="none"/>
          <w:lang w:val="en-US" w:eastAsia="zh-CN"/>
        </w:rPr>
        <w:t>024年庐山市委信访局内设处室1个，包括：综合办公室。</w:t>
      </w:r>
    </w:p>
    <w:p w14:paraId="37921B87">
      <w:pPr>
        <w:ind w:firstLine="640" w:firstLineChars="200"/>
        <w:rPr>
          <w:rFonts w:hint="eastAsia" w:ascii="仿宋" w:hAnsi="仿宋" w:eastAsia="仿宋"/>
          <w:color w:val="auto"/>
          <w:sz w:val="32"/>
          <w:szCs w:val="32"/>
          <w:u w:val="none"/>
          <w:lang w:eastAsia="zh-CN"/>
        </w:rPr>
      </w:pPr>
      <w:r>
        <w:rPr>
          <w:rFonts w:hint="eastAsia" w:ascii="仿宋" w:hAnsi="仿宋" w:eastAsia="仿宋"/>
          <w:color w:val="auto"/>
          <w:sz w:val="32"/>
          <w:szCs w:val="32"/>
          <w:u w:val="none"/>
          <w:lang w:val="en-US" w:eastAsia="zh-CN"/>
        </w:rPr>
        <w:t>编制人数小计12人,其中：行政编制人数5人，全部补助事业编制人数7人，部分补助事业编制人数0人。实有人数小计10人,其中：在职人数小计10人,行政在职人数5人,全部补助事业在职人数5人,部分补助事业在职人数0人。离休人数小计0人,退休人数小计2人,遗属人数2人。</w:t>
      </w:r>
    </w:p>
    <w:p w14:paraId="130769AF">
      <w:pPr>
        <w:ind w:firstLine="640" w:firstLineChars="200"/>
        <w:rPr>
          <w:rFonts w:hint="default" w:ascii="仿宋" w:hAnsi="仿宋" w:eastAsia="仿宋"/>
          <w:color w:val="auto"/>
          <w:sz w:val="32"/>
          <w:szCs w:val="32"/>
          <w:u w:val="none"/>
          <w:lang w:val="en-US" w:eastAsia="zh-CN"/>
        </w:rPr>
      </w:pPr>
      <w:bookmarkStart w:id="0" w:name="_GoBack"/>
      <w:bookmarkEnd w:id="0"/>
    </w:p>
    <w:p w14:paraId="746F6BE4">
      <w:pPr>
        <w:widowControl/>
        <w:spacing w:line="580" w:lineRule="exact"/>
        <w:jc w:val="both"/>
        <w:rPr>
          <w:rFonts w:ascii="仿宋_GB2312" w:eastAsia="仿宋_GB2312"/>
          <w:b/>
          <w:szCs w:val="30"/>
        </w:rPr>
      </w:pPr>
    </w:p>
    <w:p w14:paraId="4DE4CDE4">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color w:val="auto"/>
          <w:sz w:val="32"/>
          <w:szCs w:val="30"/>
          <w:lang w:eastAsia="zh-CN"/>
        </w:rPr>
        <w:t>庐山市委信访局</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77D11E7D">
      <w:pPr>
        <w:ind w:firstLine="640" w:firstLineChars="200"/>
        <w:jc w:val="center"/>
        <w:rPr>
          <w:rFonts w:ascii="仿宋" w:hAnsi="仿宋" w:eastAsia="仿宋"/>
          <w:bCs/>
          <w:sz w:val="32"/>
          <w:szCs w:val="32"/>
        </w:rPr>
      </w:pPr>
      <w:r>
        <w:rPr>
          <w:rFonts w:hint="eastAsia" w:ascii="仿宋" w:hAnsi="仿宋" w:eastAsia="仿宋"/>
          <w:bCs/>
          <w:sz w:val="32"/>
          <w:szCs w:val="32"/>
        </w:rPr>
        <w:t>（详见附表）</w:t>
      </w:r>
    </w:p>
    <w:p w14:paraId="1035EFC0">
      <w:pPr>
        <w:ind w:firstLine="640" w:firstLineChars="200"/>
        <w:jc w:val="left"/>
        <w:rPr>
          <w:rStyle w:val="12"/>
          <w:rFonts w:ascii="仿宋" w:hAnsi="仿宋" w:eastAsia="仿宋"/>
          <w:bCs/>
          <w:sz w:val="32"/>
          <w:szCs w:val="32"/>
        </w:rPr>
      </w:pPr>
    </w:p>
    <w:p w14:paraId="01A5F215">
      <w:pPr>
        <w:jc w:val="left"/>
        <w:rPr>
          <w:rStyle w:val="12"/>
          <w:rFonts w:ascii="仿宋" w:hAnsi="仿宋" w:eastAsia="仿宋"/>
          <w:bCs/>
          <w:sz w:val="32"/>
          <w:szCs w:val="32"/>
        </w:rPr>
      </w:pPr>
    </w:p>
    <w:p w14:paraId="2611C967">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color w:val="auto"/>
          <w:sz w:val="32"/>
          <w:szCs w:val="30"/>
          <w:lang w:eastAsia="zh-CN"/>
        </w:rPr>
        <w:t>庐山市委信访局</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69D2AD39">
      <w:pPr>
        <w:widowControl/>
        <w:spacing w:line="580" w:lineRule="exact"/>
        <w:jc w:val="center"/>
        <w:rPr>
          <w:rFonts w:ascii="仿宋_GB2312" w:eastAsia="仿宋_GB2312"/>
          <w:b/>
          <w:sz w:val="32"/>
          <w:szCs w:val="30"/>
        </w:rPr>
      </w:pPr>
    </w:p>
    <w:p w14:paraId="2B6AF9DA">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536C56A5">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(一)收入预算情况</w:t>
      </w:r>
    </w:p>
    <w:p w14:paraId="24B851C6">
      <w:pPr>
        <w:widowControl/>
        <w:ind w:firstLine="640" w:firstLineChars="20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2024年庐山市委信访局</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${page540426799.ds254512694_V_BGT_DEP_INCOME_DXQDW01_ZJ}</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收入预算总额为141.86万元，较上年预算安排增加13.27万元，</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${page540426799.ds254512694_V_BGT_DEP_INCOME_DXQDW01_SRXMMX}</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财政拨款收入141.86万元，较上年预算安排增加13.27万元。</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t>增加变化原因单位人员增加。</w:t>
      </w:r>
    </w:p>
    <w:p w14:paraId="46C175C4">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(二)支出预算情况</w:t>
      </w:r>
    </w:p>
    <w:p w14:paraId="024FAF00">
      <w:pPr>
        <w:widowControl/>
        <w:ind w:firstLine="640" w:firstLineChars="200"/>
        <w:rPr>
          <w:rStyle w:val="12"/>
          <w:rFonts w:hint="default" w:ascii="仿宋" w:hAnsi="仿宋" w:eastAsia="仿宋" w:cs="Times New Roman"/>
          <w:sz w:val="32"/>
          <w:szCs w:val="32"/>
          <w:lang w:val="en-US" w:eastAsia="zh-CN"/>
        </w:rPr>
      </w:pPr>
      <w:r>
        <w:rPr>
          <w:rStyle w:val="12"/>
          <w:rFonts w:hint="eastAsia" w:ascii="仿宋" w:hAnsi="仿宋" w:eastAsia="仿宋" w:cs="Times New Roman"/>
          <w:sz w:val="32"/>
          <w:szCs w:val="32"/>
        </w:rPr>
        <w:t>2</w:t>
      </w:r>
      <w:r>
        <w:rPr>
          <w:rStyle w:val="12"/>
          <w:rFonts w:ascii="仿宋" w:hAnsi="仿宋" w:eastAsia="仿宋" w:cs="Times New Roman"/>
          <w:sz w:val="32"/>
          <w:szCs w:val="32"/>
        </w:rPr>
        <w:t>02</w:t>
      </w:r>
      <w:r>
        <w:rPr>
          <w:rStyle w:val="12"/>
          <w:rFonts w:hint="eastAsia" w:ascii="仿宋" w:hAnsi="仿宋" w:eastAsia="仿宋" w:cs="Times New Roman"/>
          <w:sz w:val="32"/>
          <w:szCs w:val="32"/>
          <w:lang w:val="en-US" w:eastAsia="zh-CN"/>
        </w:rPr>
        <w:t>4</w:t>
      </w:r>
      <w:r>
        <w:rPr>
          <w:rStyle w:val="12"/>
          <w:rFonts w:hint="eastAsia" w:ascii="仿宋" w:hAnsi="仿宋" w:eastAsia="仿宋" w:cs="Times New Roman"/>
          <w:sz w:val="32"/>
          <w:szCs w:val="32"/>
        </w:rPr>
        <w:t>年</w:t>
      </w:r>
      <w:r>
        <w:rPr>
          <w:rStyle w:val="12"/>
          <w:rFonts w:hint="eastAsia" w:ascii="仿宋" w:hAnsi="仿宋" w:eastAsia="仿宋" w:cs="Times New Roman"/>
          <w:sz w:val="32"/>
          <w:szCs w:val="32"/>
          <w:lang w:val="en-US" w:eastAsia="zh-CN"/>
        </w:rPr>
        <w:t>庐山市委信访局</w:t>
      </w:r>
      <w:r>
        <w:rPr>
          <w:rStyle w:val="12"/>
          <w:rFonts w:ascii="仿宋" w:hAnsi="仿宋" w:eastAsia="仿宋" w:cs="Times New Roman"/>
          <w:sz w:val="32"/>
          <w:szCs w:val="32"/>
        </w:rPr>
        <w:fldChar w:fldCharType="begin"/>
      </w:r>
      <w:r>
        <w:rPr>
          <w:rStyle w:val="12"/>
          <w:rFonts w:ascii="仿宋" w:hAnsi="仿宋" w:eastAsia="仿宋" w:cs="Times New Roman"/>
          <w:sz w:val="32"/>
          <w:szCs w:val="32"/>
        </w:rPr>
        <w:instrText xml:space="preserve">MERGEFIELD ${page540426799.ds357974894_REP_BGT_T_HC1100002019_DXQ02DW_S_ZJ}</w:instrText>
      </w:r>
      <w:r>
        <w:rPr>
          <w:rStyle w:val="12"/>
          <w:rFonts w:ascii="仿宋" w:hAnsi="仿宋" w:eastAsia="仿宋" w:cs="Times New Roman"/>
          <w:sz w:val="32"/>
          <w:szCs w:val="32"/>
        </w:rPr>
        <w:fldChar w:fldCharType="separate"/>
      </w:r>
      <w:r>
        <w:rPr>
          <w:rStyle w:val="12"/>
          <w:rFonts w:ascii="仿宋" w:hAnsi="仿宋" w:eastAsia="仿宋" w:cs="Times New Roman"/>
          <w:sz w:val="32"/>
          <w:szCs w:val="32"/>
        </w:rPr>
        <w:t>支出预算总额为</w:t>
      </w:r>
      <w:r>
        <w:rPr>
          <w:rStyle w:val="12"/>
          <w:rFonts w:hint="eastAsia" w:ascii="仿宋" w:hAnsi="仿宋" w:eastAsia="仿宋" w:cs="Times New Roman"/>
          <w:sz w:val="32"/>
          <w:szCs w:val="32"/>
          <w:lang w:val="en-US" w:eastAsia="zh-CN"/>
        </w:rPr>
        <w:t>141.86</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较上年预算安排增加</w:t>
      </w:r>
      <w:r>
        <w:rPr>
          <w:rStyle w:val="12"/>
          <w:rFonts w:hint="eastAsia" w:ascii="仿宋" w:hAnsi="仿宋" w:eastAsia="仿宋" w:cs="Times New Roman"/>
          <w:sz w:val="32"/>
          <w:szCs w:val="32"/>
          <w:lang w:val="en-US" w:eastAsia="zh-CN"/>
        </w:rPr>
        <w:t>13.28</w:t>
      </w:r>
      <w:r>
        <w:rPr>
          <w:rStyle w:val="12"/>
          <w:rFonts w:ascii="仿宋" w:hAnsi="仿宋" w:eastAsia="仿宋" w:cs="Times New Roman"/>
          <w:sz w:val="32"/>
          <w:szCs w:val="32"/>
        </w:rPr>
        <w:t>万元;</w:t>
      </w:r>
      <w:r>
        <w:rPr>
          <w:rStyle w:val="12"/>
          <w:rFonts w:ascii="仿宋" w:hAnsi="仿宋" w:eastAsia="仿宋" w:cs="Times New Roman"/>
          <w:sz w:val="32"/>
          <w:szCs w:val="32"/>
        </w:rPr>
        <w:fldChar w:fldCharType="end"/>
      </w:r>
      <w:r>
        <w:rPr>
          <w:rStyle w:val="12"/>
          <w:rFonts w:hint="eastAsia" w:ascii="仿宋" w:hAnsi="仿宋" w:eastAsia="仿宋" w:cs="Times New Roman"/>
          <w:sz w:val="32"/>
          <w:szCs w:val="32"/>
          <w:lang w:val="en-US" w:eastAsia="zh-CN"/>
        </w:rPr>
        <w:t>增加变化原因为单位人员增加。</w:t>
      </w:r>
    </w:p>
    <w:p w14:paraId="41AF55BA">
      <w:pPr>
        <w:widowControl/>
        <w:ind w:firstLine="640" w:firstLineChars="200"/>
        <w:rPr>
          <w:rStyle w:val="12"/>
          <w:rFonts w:ascii="仿宋" w:hAnsi="仿宋" w:eastAsia="仿宋" w:cs="Times New Roman"/>
          <w:sz w:val="32"/>
          <w:szCs w:val="32"/>
        </w:rPr>
      </w:pPr>
      <w:r>
        <w:rPr>
          <w:rStyle w:val="12"/>
          <w:rFonts w:hint="eastAsia" w:ascii="仿宋" w:hAnsi="仿宋" w:eastAsia="仿宋" w:cs="Times New Roman"/>
          <w:sz w:val="32"/>
          <w:szCs w:val="32"/>
        </w:rPr>
        <w:t>其中：按支出项目类别划分：</w:t>
      </w:r>
      <w:r>
        <w:rPr>
          <w:rStyle w:val="12"/>
          <w:rFonts w:ascii="仿宋" w:hAnsi="仿宋" w:eastAsia="仿宋" w:cs="Times New Roman"/>
          <w:sz w:val="32"/>
          <w:szCs w:val="32"/>
        </w:rPr>
        <w:fldChar w:fldCharType="begin"/>
      </w:r>
      <w:r>
        <w:rPr>
          <w:rStyle w:val="12"/>
          <w:rFonts w:ascii="仿宋" w:hAnsi="仿宋" w:eastAsia="仿宋" w:cs="Times New Roman"/>
          <w:sz w:val="32"/>
          <w:szCs w:val="32"/>
        </w:rPr>
        <w:instrText xml:space="preserve">MERGEFIELD ${page540426799.ds357974894_REP_BGT_T_HC1100002019_DXQ02DW_JBZCQK}</w:instrText>
      </w:r>
      <w:r>
        <w:rPr>
          <w:rStyle w:val="12"/>
          <w:rFonts w:ascii="仿宋" w:hAnsi="仿宋" w:eastAsia="仿宋" w:cs="Times New Roman"/>
          <w:sz w:val="32"/>
          <w:szCs w:val="32"/>
        </w:rPr>
        <w:fldChar w:fldCharType="separate"/>
      </w:r>
      <w:r>
        <w:rPr>
          <w:rStyle w:val="12"/>
          <w:rFonts w:ascii="仿宋" w:hAnsi="仿宋" w:eastAsia="仿宋" w:cs="Times New Roman"/>
          <w:sz w:val="32"/>
          <w:szCs w:val="32"/>
        </w:rPr>
        <w:t>基本支出</w:t>
      </w:r>
      <w:r>
        <w:rPr>
          <w:rStyle w:val="12"/>
          <w:rFonts w:hint="eastAsia" w:ascii="仿宋" w:hAnsi="仿宋" w:eastAsia="仿宋" w:cs="Times New Roman"/>
          <w:sz w:val="32"/>
          <w:szCs w:val="32"/>
          <w:lang w:val="en-US" w:eastAsia="zh-CN"/>
        </w:rPr>
        <w:t>132.6</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较上年预算安排增加</w:t>
      </w:r>
      <w:r>
        <w:rPr>
          <w:rStyle w:val="12"/>
          <w:rFonts w:hint="eastAsia" w:ascii="仿宋" w:hAnsi="仿宋" w:eastAsia="仿宋" w:cs="Times New Roman"/>
          <w:sz w:val="32"/>
          <w:szCs w:val="32"/>
          <w:lang w:val="en-US" w:eastAsia="zh-CN"/>
        </w:rPr>
        <w:t>18.97</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其中：工资福利支出</w:t>
      </w:r>
      <w:r>
        <w:rPr>
          <w:rStyle w:val="12"/>
          <w:rFonts w:hint="eastAsia" w:ascii="仿宋" w:hAnsi="仿宋" w:eastAsia="仿宋" w:cs="Times New Roman"/>
          <w:sz w:val="32"/>
          <w:szCs w:val="32"/>
          <w:lang w:val="en-US" w:eastAsia="zh-CN"/>
        </w:rPr>
        <w:t>120.27</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商品和服务支出</w:t>
      </w:r>
      <w:r>
        <w:rPr>
          <w:rStyle w:val="12"/>
          <w:rFonts w:hint="eastAsia" w:ascii="仿宋" w:hAnsi="仿宋" w:eastAsia="仿宋" w:cs="Times New Roman"/>
          <w:sz w:val="32"/>
          <w:szCs w:val="32"/>
          <w:lang w:val="en-US" w:eastAsia="zh-CN"/>
        </w:rPr>
        <w:t>10.15</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对个人和家庭的补助</w:t>
      </w:r>
      <w:r>
        <w:rPr>
          <w:rStyle w:val="12"/>
          <w:rFonts w:hint="eastAsia" w:ascii="仿宋" w:hAnsi="仿宋" w:eastAsia="仿宋" w:cs="Times New Roman"/>
          <w:sz w:val="32"/>
          <w:szCs w:val="32"/>
          <w:lang w:val="en-US" w:eastAsia="zh-CN"/>
        </w:rPr>
        <w:t>2.18</w:t>
      </w:r>
      <w:r>
        <w:rPr>
          <w:rStyle w:val="12"/>
          <w:rFonts w:ascii="仿宋" w:hAnsi="仿宋" w:eastAsia="仿宋" w:cs="Times New Roman"/>
          <w:sz w:val="32"/>
          <w:szCs w:val="32"/>
        </w:rPr>
        <w:t>万元。</w:t>
      </w:r>
      <w:r>
        <w:rPr>
          <w:rStyle w:val="12"/>
          <w:rFonts w:ascii="仿宋" w:hAnsi="仿宋" w:eastAsia="仿宋" w:cs="Times New Roman"/>
          <w:sz w:val="32"/>
          <w:szCs w:val="32"/>
        </w:rPr>
        <w:fldChar w:fldCharType="end"/>
      </w:r>
      <w:r>
        <w:rPr>
          <w:rStyle w:val="12"/>
          <w:rFonts w:ascii="仿宋" w:hAnsi="仿宋" w:eastAsia="仿宋" w:cs="Times New Roman"/>
          <w:sz w:val="32"/>
          <w:szCs w:val="32"/>
        </w:rPr>
        <w:fldChar w:fldCharType="begin"/>
      </w:r>
      <w:r>
        <w:rPr>
          <w:rStyle w:val="12"/>
          <w:rFonts w:ascii="仿宋" w:hAnsi="仿宋" w:eastAsia="仿宋" w:cs="Times New Roman"/>
          <w:sz w:val="32"/>
          <w:szCs w:val="32"/>
        </w:rPr>
        <w:instrText xml:space="preserve">MERGEFIELD ${page540426799.ds357974894_REP_BGT_T_HC1100002019_DXQ02DW_XMZCQK}</w:instrText>
      </w:r>
      <w:r>
        <w:rPr>
          <w:rStyle w:val="12"/>
          <w:rFonts w:ascii="仿宋" w:hAnsi="仿宋" w:eastAsia="仿宋" w:cs="Times New Roman"/>
          <w:sz w:val="32"/>
          <w:szCs w:val="32"/>
        </w:rPr>
        <w:fldChar w:fldCharType="separate"/>
      </w:r>
      <w:r>
        <w:rPr>
          <w:rStyle w:val="12"/>
          <w:rFonts w:ascii="仿宋" w:hAnsi="仿宋" w:eastAsia="仿宋" w:cs="Times New Roman"/>
          <w:sz w:val="32"/>
          <w:szCs w:val="32"/>
        </w:rPr>
        <w:t>项目支出</w:t>
      </w:r>
      <w:r>
        <w:rPr>
          <w:rStyle w:val="12"/>
          <w:rFonts w:hint="eastAsia" w:ascii="仿宋" w:hAnsi="仿宋" w:eastAsia="仿宋" w:cs="Times New Roman"/>
          <w:sz w:val="32"/>
          <w:szCs w:val="32"/>
          <w:lang w:val="en-US" w:eastAsia="zh-CN"/>
        </w:rPr>
        <w:t>9.26</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较上年预算安排</w:t>
      </w:r>
      <w:r>
        <w:rPr>
          <w:rStyle w:val="12"/>
          <w:rFonts w:hint="eastAsia" w:ascii="仿宋" w:hAnsi="仿宋" w:eastAsia="仿宋" w:cs="Times New Roman"/>
          <w:sz w:val="32"/>
          <w:szCs w:val="32"/>
          <w:lang w:eastAsia="zh-CN"/>
        </w:rPr>
        <w:t>减少</w:t>
      </w:r>
      <w:r>
        <w:rPr>
          <w:rStyle w:val="12"/>
          <w:rFonts w:hint="eastAsia" w:ascii="仿宋" w:hAnsi="仿宋" w:eastAsia="仿宋" w:cs="Times New Roman"/>
          <w:sz w:val="32"/>
          <w:szCs w:val="32"/>
          <w:lang w:val="en-US" w:eastAsia="zh-CN"/>
        </w:rPr>
        <w:t>5.7</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其中：商品和服务支出</w:t>
      </w:r>
      <w:r>
        <w:rPr>
          <w:rStyle w:val="12"/>
          <w:rFonts w:hint="eastAsia" w:ascii="仿宋" w:hAnsi="仿宋" w:eastAsia="仿宋" w:cs="Times New Roman"/>
          <w:sz w:val="32"/>
          <w:szCs w:val="32"/>
          <w:lang w:val="en-US" w:eastAsia="zh-CN"/>
        </w:rPr>
        <w:t>8.01</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资本性支出</w:t>
      </w:r>
      <w:r>
        <w:rPr>
          <w:rStyle w:val="12"/>
          <w:rFonts w:hint="eastAsia" w:ascii="仿宋" w:hAnsi="仿宋" w:eastAsia="仿宋" w:cs="Times New Roman"/>
          <w:sz w:val="32"/>
          <w:szCs w:val="32"/>
          <w:lang w:val="en-US" w:eastAsia="zh-CN"/>
        </w:rPr>
        <w:t>1.25</w:t>
      </w:r>
      <w:r>
        <w:rPr>
          <w:rStyle w:val="12"/>
          <w:rFonts w:ascii="仿宋" w:hAnsi="仿宋" w:eastAsia="仿宋" w:cs="Times New Roman"/>
          <w:sz w:val="32"/>
          <w:szCs w:val="32"/>
        </w:rPr>
        <w:t>万元。</w:t>
      </w:r>
      <w:r>
        <w:rPr>
          <w:rStyle w:val="12"/>
          <w:rFonts w:ascii="仿宋" w:hAnsi="仿宋" w:eastAsia="仿宋" w:cs="Times New Roman"/>
          <w:sz w:val="32"/>
          <w:szCs w:val="32"/>
        </w:rPr>
        <w:fldChar w:fldCharType="end"/>
      </w:r>
    </w:p>
    <w:p w14:paraId="7D4F6E96">
      <w:pPr>
        <w:widowControl/>
        <w:ind w:firstLine="640" w:firstLineChars="200"/>
        <w:rPr>
          <w:rStyle w:val="12"/>
          <w:rFonts w:ascii="仿宋" w:hAnsi="仿宋" w:eastAsia="仿宋" w:cs="Times New Roman"/>
          <w:sz w:val="32"/>
          <w:szCs w:val="32"/>
        </w:rPr>
      </w:pPr>
      <w:r>
        <w:rPr>
          <w:rStyle w:val="12"/>
          <w:rFonts w:hint="eastAsia" w:ascii="仿宋" w:hAnsi="仿宋" w:eastAsia="仿宋" w:cs="Times New Roman"/>
          <w:sz w:val="32"/>
          <w:szCs w:val="32"/>
        </w:rPr>
        <w:t>按支出功能科目划分：</w:t>
      </w:r>
      <w:r>
        <w:rPr>
          <w:rStyle w:val="12"/>
          <w:rFonts w:ascii="仿宋" w:hAnsi="仿宋" w:eastAsia="仿宋" w:cs="Times New Roman"/>
          <w:sz w:val="32"/>
          <w:szCs w:val="32"/>
        </w:rPr>
        <w:fldChar w:fldCharType="begin"/>
      </w:r>
      <w:r>
        <w:rPr>
          <w:rStyle w:val="12"/>
          <w:rFonts w:ascii="仿宋" w:hAnsi="仿宋" w:eastAsia="仿宋" w:cs="Times New Roman"/>
          <w:sz w:val="32"/>
          <w:szCs w:val="32"/>
        </w:rPr>
        <w:instrText xml:space="preserve">MERGEFIELD ${page540426799.ds197859873_REP_BGT_T_HC1100002019DXQ01DW_GNZJMX}</w:instrText>
      </w:r>
      <w:r>
        <w:rPr>
          <w:rStyle w:val="12"/>
          <w:rFonts w:ascii="仿宋" w:hAnsi="仿宋" w:eastAsia="仿宋" w:cs="Times New Roman"/>
          <w:sz w:val="32"/>
          <w:szCs w:val="32"/>
        </w:rPr>
        <w:fldChar w:fldCharType="separate"/>
      </w:r>
      <w:r>
        <w:rPr>
          <w:rStyle w:val="12"/>
          <w:rFonts w:ascii="仿宋" w:hAnsi="仿宋" w:eastAsia="仿宋" w:cs="Times New Roman"/>
          <w:sz w:val="32"/>
          <w:szCs w:val="32"/>
        </w:rPr>
        <w:t>一般公共服务支出</w:t>
      </w:r>
      <w:r>
        <w:rPr>
          <w:rStyle w:val="12"/>
          <w:rFonts w:hint="eastAsia" w:ascii="仿宋" w:hAnsi="仿宋" w:eastAsia="仿宋" w:cs="Times New Roman"/>
          <w:sz w:val="32"/>
          <w:szCs w:val="32"/>
          <w:lang w:val="en-US" w:eastAsia="zh-CN"/>
        </w:rPr>
        <w:t>109.54</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较上年预算安排减少</w:t>
      </w:r>
      <w:r>
        <w:rPr>
          <w:rStyle w:val="12"/>
          <w:rFonts w:hint="eastAsia" w:ascii="仿宋" w:hAnsi="仿宋" w:eastAsia="仿宋" w:cs="Times New Roman"/>
          <w:sz w:val="32"/>
          <w:szCs w:val="32"/>
          <w:lang w:val="en-US" w:eastAsia="zh-CN"/>
        </w:rPr>
        <w:t>6.89</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社会保障和就业支出</w:t>
      </w:r>
      <w:r>
        <w:rPr>
          <w:rStyle w:val="12"/>
          <w:rFonts w:hint="eastAsia" w:ascii="仿宋" w:hAnsi="仿宋" w:eastAsia="仿宋" w:cs="Times New Roman"/>
          <w:sz w:val="32"/>
          <w:szCs w:val="32"/>
          <w:lang w:val="en-US" w:eastAsia="zh-CN"/>
        </w:rPr>
        <w:t>16.81</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较上年预算安排增加</w:t>
      </w:r>
      <w:r>
        <w:rPr>
          <w:rStyle w:val="12"/>
          <w:rFonts w:hint="eastAsia" w:ascii="仿宋" w:hAnsi="仿宋" w:eastAsia="仿宋" w:cs="Times New Roman"/>
          <w:sz w:val="32"/>
          <w:szCs w:val="32"/>
          <w:lang w:val="en-US" w:eastAsia="zh-CN"/>
        </w:rPr>
        <w:t>3.36</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卫生健康支出</w:t>
      </w:r>
      <w:r>
        <w:rPr>
          <w:rStyle w:val="12"/>
          <w:rFonts w:hint="eastAsia" w:ascii="仿宋" w:hAnsi="仿宋" w:eastAsia="仿宋" w:cs="Times New Roman"/>
          <w:sz w:val="32"/>
          <w:szCs w:val="32"/>
          <w:lang w:val="en-US" w:eastAsia="zh-CN"/>
        </w:rPr>
        <w:t>6.14</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较上年预算安排增加</w:t>
      </w:r>
      <w:r>
        <w:rPr>
          <w:rStyle w:val="12"/>
          <w:rFonts w:hint="eastAsia" w:ascii="仿宋" w:hAnsi="仿宋" w:eastAsia="仿宋" w:cs="Times New Roman"/>
          <w:sz w:val="32"/>
          <w:szCs w:val="32"/>
          <w:lang w:val="en-US" w:eastAsia="zh-CN"/>
        </w:rPr>
        <w:t>2.35</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住房保障支出</w:t>
      </w:r>
      <w:r>
        <w:rPr>
          <w:rStyle w:val="12"/>
          <w:rFonts w:hint="eastAsia" w:ascii="仿宋" w:hAnsi="仿宋" w:eastAsia="仿宋" w:cs="Times New Roman"/>
          <w:sz w:val="32"/>
          <w:szCs w:val="32"/>
          <w:lang w:val="en-US" w:eastAsia="zh-CN"/>
        </w:rPr>
        <w:t>9.37</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较上年预算安排增加</w:t>
      </w:r>
      <w:r>
        <w:rPr>
          <w:rStyle w:val="12"/>
          <w:rFonts w:hint="eastAsia" w:ascii="仿宋" w:hAnsi="仿宋" w:eastAsia="仿宋" w:cs="Times New Roman"/>
          <w:sz w:val="32"/>
          <w:szCs w:val="32"/>
          <w:lang w:val="en-US" w:eastAsia="zh-CN"/>
        </w:rPr>
        <w:t>0.99</w:t>
      </w:r>
      <w:r>
        <w:rPr>
          <w:rStyle w:val="12"/>
          <w:rFonts w:ascii="仿宋" w:hAnsi="仿宋" w:eastAsia="仿宋" w:cs="Times New Roman"/>
          <w:sz w:val="32"/>
          <w:szCs w:val="32"/>
        </w:rPr>
        <w:t>万元。</w:t>
      </w:r>
      <w:r>
        <w:rPr>
          <w:rStyle w:val="12"/>
          <w:rFonts w:ascii="仿宋" w:hAnsi="仿宋" w:eastAsia="仿宋" w:cs="Times New Roman"/>
          <w:sz w:val="32"/>
          <w:szCs w:val="32"/>
        </w:rPr>
        <w:fldChar w:fldCharType="end"/>
      </w:r>
    </w:p>
    <w:p w14:paraId="76974673">
      <w:pPr>
        <w:widowControl/>
        <w:ind w:firstLine="640" w:firstLineChars="200"/>
        <w:rPr>
          <w:rStyle w:val="12"/>
          <w:rFonts w:ascii="仿宋" w:hAnsi="仿宋" w:eastAsia="仿宋" w:cs="Times New Roman"/>
          <w:sz w:val="32"/>
          <w:szCs w:val="32"/>
        </w:rPr>
      </w:pPr>
      <w:r>
        <w:rPr>
          <w:rStyle w:val="12"/>
          <w:rFonts w:hint="eastAsia" w:ascii="仿宋" w:hAnsi="仿宋" w:eastAsia="仿宋" w:cs="Times New Roman"/>
          <w:sz w:val="32"/>
          <w:szCs w:val="32"/>
        </w:rPr>
        <w:t>按支出经济分类划分：</w:t>
      </w:r>
      <w:r>
        <w:rPr>
          <w:rStyle w:val="12"/>
          <w:rFonts w:ascii="仿宋" w:hAnsi="仿宋" w:eastAsia="仿宋" w:cs="Times New Roman"/>
          <w:sz w:val="32"/>
          <w:szCs w:val="32"/>
        </w:rPr>
        <w:fldChar w:fldCharType="begin"/>
      </w:r>
      <w:r>
        <w:rPr>
          <w:rStyle w:val="12"/>
          <w:rFonts w:ascii="仿宋" w:hAnsi="仿宋" w:eastAsia="仿宋" w:cs="Times New Roman"/>
          <w:sz w:val="32"/>
          <w:szCs w:val="32"/>
        </w:rPr>
        <w:instrText xml:space="preserve">MERGEFIELD ${page540426799.ds197859873_REP_BGT_T_HC1100002019DXQ01DW_JJMX}</w:instrText>
      </w:r>
      <w:r>
        <w:rPr>
          <w:rStyle w:val="12"/>
          <w:rFonts w:ascii="仿宋" w:hAnsi="仿宋" w:eastAsia="仿宋" w:cs="Times New Roman"/>
          <w:sz w:val="32"/>
          <w:szCs w:val="32"/>
        </w:rPr>
        <w:fldChar w:fldCharType="separate"/>
      </w:r>
      <w:r>
        <w:rPr>
          <w:rStyle w:val="12"/>
          <w:rFonts w:ascii="仿宋" w:hAnsi="仿宋" w:eastAsia="仿宋" w:cs="Times New Roman"/>
          <w:sz w:val="32"/>
          <w:szCs w:val="32"/>
        </w:rPr>
        <w:t>工资福利支出</w:t>
      </w:r>
      <w:r>
        <w:rPr>
          <w:rStyle w:val="12"/>
          <w:rFonts w:hint="eastAsia" w:ascii="仿宋" w:hAnsi="仿宋" w:eastAsia="仿宋" w:cs="Times New Roman"/>
          <w:sz w:val="32"/>
          <w:szCs w:val="32"/>
          <w:lang w:val="en-US" w:eastAsia="zh-CN"/>
        </w:rPr>
        <w:t>120.27</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较上年预算安排增加</w:t>
      </w:r>
      <w:r>
        <w:rPr>
          <w:rStyle w:val="12"/>
          <w:rFonts w:hint="eastAsia" w:ascii="仿宋" w:hAnsi="仿宋" w:eastAsia="仿宋" w:cs="Times New Roman"/>
          <w:sz w:val="32"/>
          <w:szCs w:val="32"/>
          <w:lang w:val="en-US" w:eastAsia="zh-CN"/>
        </w:rPr>
        <w:t>19.46</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商品和服务支出</w:t>
      </w:r>
      <w:r>
        <w:rPr>
          <w:rStyle w:val="12"/>
          <w:rFonts w:hint="eastAsia" w:ascii="仿宋" w:hAnsi="仿宋" w:eastAsia="仿宋" w:cs="Times New Roman"/>
          <w:sz w:val="32"/>
          <w:szCs w:val="32"/>
          <w:lang w:val="en-US" w:eastAsia="zh-CN"/>
        </w:rPr>
        <w:t>18.16</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较上年预算安排减少</w:t>
      </w:r>
      <w:r>
        <w:rPr>
          <w:rStyle w:val="12"/>
          <w:rFonts w:hint="eastAsia" w:ascii="仿宋" w:hAnsi="仿宋" w:eastAsia="仿宋" w:cs="Times New Roman"/>
          <w:sz w:val="32"/>
          <w:szCs w:val="32"/>
          <w:lang w:val="en-US" w:eastAsia="zh-CN"/>
        </w:rPr>
        <w:t>5.69</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对个人和家庭的补助</w:t>
      </w:r>
      <w:r>
        <w:rPr>
          <w:rStyle w:val="12"/>
          <w:rFonts w:hint="eastAsia" w:ascii="仿宋" w:hAnsi="仿宋" w:eastAsia="仿宋" w:cs="Times New Roman"/>
          <w:sz w:val="32"/>
          <w:szCs w:val="32"/>
          <w:lang w:val="en-US" w:eastAsia="zh-CN"/>
        </w:rPr>
        <w:t>2.18</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较上年预算安排增加减少</w:t>
      </w:r>
      <w:r>
        <w:rPr>
          <w:rStyle w:val="12"/>
          <w:rFonts w:hint="eastAsia" w:ascii="仿宋" w:hAnsi="仿宋" w:eastAsia="仿宋" w:cs="Times New Roman"/>
          <w:sz w:val="32"/>
          <w:szCs w:val="32"/>
          <w:lang w:val="en-US" w:eastAsia="zh-CN"/>
        </w:rPr>
        <w:t>0.14</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资本性支出</w:t>
      </w:r>
      <w:r>
        <w:rPr>
          <w:rStyle w:val="12"/>
          <w:rFonts w:hint="eastAsia" w:ascii="仿宋" w:hAnsi="仿宋" w:eastAsia="仿宋" w:cs="Times New Roman"/>
          <w:sz w:val="32"/>
          <w:szCs w:val="32"/>
          <w:lang w:val="en-US" w:eastAsia="zh-CN"/>
        </w:rPr>
        <w:t>1.25</w:t>
      </w:r>
      <w:r>
        <w:rPr>
          <w:rStyle w:val="12"/>
          <w:rFonts w:ascii="仿宋" w:hAnsi="仿宋" w:eastAsia="仿宋" w:cs="Times New Roman"/>
          <w:sz w:val="32"/>
          <w:szCs w:val="32"/>
        </w:rPr>
        <w:t>万元</w:t>
      </w:r>
      <w:r>
        <w:rPr>
          <w:rStyle w:val="12"/>
          <w:rFonts w:hint="eastAsia" w:ascii="仿宋" w:hAnsi="仿宋" w:eastAsia="仿宋" w:cs="Times New Roman"/>
          <w:sz w:val="32"/>
          <w:szCs w:val="32"/>
          <w:lang w:eastAsia="zh-CN"/>
        </w:rPr>
        <w:t>，</w:t>
      </w:r>
      <w:r>
        <w:rPr>
          <w:rStyle w:val="12"/>
          <w:rFonts w:ascii="仿宋" w:hAnsi="仿宋" w:eastAsia="仿宋" w:cs="Times New Roman"/>
          <w:sz w:val="32"/>
          <w:szCs w:val="32"/>
        </w:rPr>
        <w:t>较上年预算安排减少</w:t>
      </w:r>
      <w:r>
        <w:rPr>
          <w:rStyle w:val="12"/>
          <w:rFonts w:hint="eastAsia" w:ascii="仿宋" w:hAnsi="仿宋" w:eastAsia="仿宋" w:cs="Times New Roman"/>
          <w:sz w:val="32"/>
          <w:szCs w:val="32"/>
          <w:lang w:val="en-US" w:eastAsia="zh-CN"/>
        </w:rPr>
        <w:t>0.25</w:t>
      </w:r>
      <w:r>
        <w:rPr>
          <w:rStyle w:val="12"/>
          <w:rFonts w:ascii="仿宋" w:hAnsi="仿宋" w:eastAsia="仿宋" w:cs="Times New Roman"/>
          <w:sz w:val="32"/>
          <w:szCs w:val="32"/>
        </w:rPr>
        <w:t>万元。</w:t>
      </w:r>
      <w:r>
        <w:rPr>
          <w:rStyle w:val="12"/>
          <w:rFonts w:ascii="仿宋" w:hAnsi="仿宋" w:eastAsia="仿宋" w:cs="Times New Roman"/>
          <w:sz w:val="32"/>
          <w:szCs w:val="32"/>
        </w:rPr>
        <w:fldChar w:fldCharType="end"/>
      </w:r>
    </w:p>
    <w:p w14:paraId="52B510D3">
      <w:pPr>
        <w:widowControl/>
        <w:ind w:firstLine="643" w:firstLineChars="200"/>
        <w:rPr>
          <w:rStyle w:val="12"/>
          <w:rFonts w:hint="eastAsia" w:ascii="Adobe 仿宋 Std R" w:hAnsi="Adobe 仿宋 Std R" w:eastAsia="Adobe 仿宋 Std R"/>
          <w:b/>
          <w:sz w:val="32"/>
          <w:szCs w:val="32"/>
          <w:lang w:eastAsia="zh-CN"/>
        </w:rPr>
      </w:pPr>
      <w:r>
        <w:rPr>
          <w:rStyle w:val="12"/>
          <w:rFonts w:hint="eastAsia" w:ascii="Adobe 仿宋 Std R" w:hAnsi="Adobe 仿宋 Std R" w:eastAsia="Adobe 仿宋 Std R"/>
          <w:b/>
          <w:sz w:val="32"/>
          <w:szCs w:val="32"/>
        </w:rPr>
        <w:t xml:space="preserve"> (三)财政拨款支出情况</w:t>
      </w:r>
    </w:p>
    <w:p w14:paraId="06DA1EEF">
      <w:pPr>
        <w:widowControl/>
        <w:ind w:firstLine="640" w:firstLineChars="200"/>
        <w:rPr>
          <w:rStyle w:val="12"/>
          <w:rFonts w:hint="default" w:ascii="仿宋" w:hAnsi="仿宋" w:eastAsia="仿宋" w:cs="Times New Roman"/>
          <w:sz w:val="32"/>
          <w:szCs w:val="32"/>
          <w:lang w:val="en-US" w:eastAsia="zh-CN"/>
        </w:rPr>
      </w:pPr>
      <w:r>
        <w:rPr>
          <w:rStyle w:val="12"/>
          <w:rFonts w:hint="eastAsia" w:ascii="仿宋" w:hAnsi="仿宋" w:eastAsia="仿宋" w:cs="Times New Roman"/>
          <w:sz w:val="32"/>
          <w:szCs w:val="32"/>
          <w:lang w:val="en-US" w:eastAsia="zh-CN"/>
        </w:rPr>
        <w:t>2024年庐山市委信访局</w:t>
      </w:r>
      <w:r>
        <w:rPr>
          <w:rStyle w:val="12"/>
          <w:rFonts w:hint="eastAsia" w:ascii="仿宋" w:hAnsi="仿宋" w:eastAsia="仿宋" w:cs="Times New Roman"/>
          <w:sz w:val="32"/>
          <w:szCs w:val="32"/>
          <w:lang w:val="en-US" w:eastAsia="zh-CN"/>
        </w:rPr>
        <w:fldChar w:fldCharType="begin"/>
      </w:r>
      <w:r>
        <w:rPr>
          <w:rStyle w:val="12"/>
          <w:rFonts w:hint="eastAsia" w:ascii="仿宋" w:hAnsi="仿宋" w:eastAsia="仿宋" w:cs="Times New Roman"/>
          <w:sz w:val="32"/>
          <w:szCs w:val="32"/>
          <w:lang w:val="en-US" w:eastAsia="zh-CN"/>
        </w:rPr>
        <w:instrText xml:space="preserve">MERGEFIELD ${page540426799.ds357974894_REP_BGT_T_HC1100002019_DXQ02DW_S_CBXJ}</w:instrText>
      </w:r>
      <w:r>
        <w:rPr>
          <w:rStyle w:val="12"/>
          <w:rFonts w:hint="eastAsia" w:ascii="仿宋" w:hAnsi="仿宋" w:eastAsia="仿宋" w:cs="Times New Roman"/>
          <w:sz w:val="32"/>
          <w:szCs w:val="32"/>
          <w:lang w:val="en-US" w:eastAsia="zh-CN"/>
        </w:rPr>
        <w:fldChar w:fldCharType="separate"/>
      </w:r>
      <w:r>
        <w:rPr>
          <w:rStyle w:val="12"/>
          <w:rFonts w:hint="eastAsia" w:ascii="仿宋" w:hAnsi="仿宋" w:eastAsia="仿宋" w:cs="Times New Roman"/>
          <w:sz w:val="32"/>
          <w:szCs w:val="32"/>
          <w:lang w:val="en-US" w:eastAsia="zh-CN"/>
        </w:rPr>
        <w:t>财政拨款支出预算总额141.86万元，较上年预算安排增加13.27万元；</w:t>
      </w:r>
      <w:r>
        <w:rPr>
          <w:rStyle w:val="12"/>
          <w:rFonts w:hint="eastAsia" w:ascii="仿宋" w:hAnsi="仿宋" w:eastAsia="仿宋" w:cs="Times New Roman"/>
          <w:sz w:val="32"/>
          <w:szCs w:val="32"/>
          <w:lang w:val="en-US" w:eastAsia="zh-CN"/>
        </w:rPr>
        <w:fldChar w:fldCharType="end"/>
      </w:r>
      <w:r>
        <w:rPr>
          <w:rStyle w:val="12"/>
          <w:rFonts w:hint="eastAsia" w:ascii="仿宋" w:hAnsi="仿宋" w:eastAsia="仿宋" w:cs="Times New Roman"/>
          <w:sz w:val="32"/>
          <w:szCs w:val="32"/>
          <w:lang w:val="en-US" w:eastAsia="zh-CN"/>
        </w:rPr>
        <w:t>增加变化原因为单位人员增加。</w:t>
      </w:r>
    </w:p>
    <w:p w14:paraId="2E8DF8B8">
      <w:pPr>
        <w:widowControl/>
        <w:ind w:firstLine="640" w:firstLineChars="200"/>
        <w:rPr>
          <w:rStyle w:val="12"/>
          <w:rFonts w:hint="eastAsia" w:ascii="仿宋" w:hAnsi="仿宋" w:eastAsia="仿宋" w:cs="Times New Roman"/>
          <w:sz w:val="32"/>
          <w:szCs w:val="32"/>
          <w:lang w:val="en-US" w:eastAsia="zh-CN"/>
        </w:rPr>
      </w:pPr>
      <w:r>
        <w:rPr>
          <w:rStyle w:val="12"/>
          <w:rFonts w:hint="eastAsia" w:ascii="仿宋" w:hAnsi="仿宋" w:eastAsia="仿宋" w:cs="Times New Roman"/>
          <w:sz w:val="32"/>
          <w:szCs w:val="32"/>
          <w:lang w:val="en-US" w:eastAsia="zh-CN"/>
        </w:rPr>
        <w:t>按支出功能科目划分：</w:t>
      </w:r>
      <w:r>
        <w:rPr>
          <w:rStyle w:val="12"/>
          <w:rFonts w:hint="eastAsia" w:ascii="仿宋" w:hAnsi="仿宋" w:eastAsia="仿宋" w:cs="Times New Roman"/>
          <w:sz w:val="32"/>
          <w:szCs w:val="32"/>
          <w:lang w:val="en-US" w:eastAsia="zh-CN"/>
        </w:rPr>
        <w:fldChar w:fldCharType="begin"/>
      </w:r>
      <w:r>
        <w:rPr>
          <w:rStyle w:val="12"/>
          <w:rFonts w:hint="eastAsia" w:ascii="仿宋" w:hAnsi="仿宋" w:eastAsia="仿宋" w:cs="Times New Roman"/>
          <w:sz w:val="32"/>
          <w:szCs w:val="32"/>
          <w:lang w:val="en-US" w:eastAsia="zh-CN"/>
        </w:rPr>
        <w:instrText xml:space="preserve">MERGEFIELD ${page400644146.ds247441498_REP_BGT_T_HC1100002019DXQ01_GNCBMX}</w:instrText>
      </w:r>
      <w:r>
        <w:rPr>
          <w:rStyle w:val="12"/>
          <w:rFonts w:hint="eastAsia" w:ascii="仿宋" w:hAnsi="仿宋" w:eastAsia="仿宋" w:cs="Times New Roman"/>
          <w:sz w:val="32"/>
          <w:szCs w:val="32"/>
          <w:lang w:val="en-US" w:eastAsia="zh-CN"/>
        </w:rPr>
        <w:fldChar w:fldCharType="separate"/>
      </w:r>
      <w:r>
        <w:rPr>
          <w:rStyle w:val="12"/>
          <w:rFonts w:hint="eastAsia" w:ascii="仿宋" w:hAnsi="仿宋" w:eastAsia="仿宋" w:cs="Times New Roman"/>
          <w:sz w:val="32"/>
          <w:szCs w:val="32"/>
          <w:lang w:val="en-US" w:eastAsia="zh-CN"/>
        </w:rPr>
        <w:t>一般公共服务支出109.54万元,较上年预算安排减少6.89万元；社会保障和就业支出16.81万元，较上年预算安排增加3.36万元；卫生健康支出6.14万元，较上年预算安排增加2.35万元；住房保障支出9.37万元，较上年预算安排增加0.99万元。</w:t>
      </w:r>
      <w:r>
        <w:rPr>
          <w:rStyle w:val="12"/>
          <w:rFonts w:hint="eastAsia" w:ascii="仿宋" w:hAnsi="仿宋" w:eastAsia="仿宋" w:cs="Times New Roman"/>
          <w:sz w:val="32"/>
          <w:szCs w:val="32"/>
          <w:lang w:val="en-US" w:eastAsia="zh-CN"/>
        </w:rPr>
        <w:fldChar w:fldCharType="end"/>
      </w:r>
    </w:p>
    <w:p w14:paraId="70476BD8">
      <w:pPr>
        <w:widowControl/>
        <w:ind w:firstLine="640" w:firstLineChars="200"/>
        <w:rPr>
          <w:rStyle w:val="12"/>
          <w:rFonts w:hint="eastAsia" w:ascii="仿宋" w:hAnsi="仿宋" w:eastAsia="仿宋" w:cs="Times New Roman"/>
          <w:sz w:val="32"/>
          <w:szCs w:val="32"/>
          <w:lang w:val="en-US" w:eastAsia="zh-CN"/>
        </w:rPr>
      </w:pPr>
      <w:r>
        <w:rPr>
          <w:rStyle w:val="12"/>
          <w:rFonts w:hint="eastAsia" w:ascii="仿宋" w:hAnsi="仿宋" w:eastAsia="仿宋" w:cs="Times New Roman"/>
          <w:sz w:val="32"/>
          <w:szCs w:val="32"/>
          <w:lang w:val="en-US" w:eastAsia="zh-CN"/>
        </w:rPr>
        <w:t xml:space="preserve">按支出项目类别划分： </w:t>
      </w:r>
      <w:r>
        <w:rPr>
          <w:rStyle w:val="12"/>
          <w:rFonts w:hint="eastAsia" w:ascii="仿宋" w:hAnsi="仿宋" w:eastAsia="仿宋" w:cs="Times New Roman"/>
          <w:sz w:val="32"/>
          <w:szCs w:val="32"/>
          <w:lang w:val="en-US" w:eastAsia="zh-CN"/>
        </w:rPr>
        <w:fldChar w:fldCharType="begin"/>
      </w:r>
      <w:r>
        <w:rPr>
          <w:rStyle w:val="12"/>
          <w:rFonts w:hint="eastAsia" w:ascii="仿宋" w:hAnsi="仿宋" w:eastAsia="仿宋" w:cs="Times New Roman"/>
          <w:sz w:val="32"/>
          <w:szCs w:val="32"/>
          <w:lang w:val="en-US" w:eastAsia="zh-CN"/>
        </w:rPr>
        <w:instrText xml:space="preserve">MERGEFIELD ${page540426799.ds357974894_REP_BGT_T_HC1100002019_DXQ02DW_JBZCQKCB}</w:instrText>
      </w:r>
      <w:r>
        <w:rPr>
          <w:rStyle w:val="12"/>
          <w:rFonts w:hint="eastAsia" w:ascii="仿宋" w:hAnsi="仿宋" w:eastAsia="仿宋" w:cs="Times New Roman"/>
          <w:sz w:val="32"/>
          <w:szCs w:val="32"/>
          <w:lang w:val="en-US" w:eastAsia="zh-CN"/>
        </w:rPr>
        <w:fldChar w:fldCharType="separate"/>
      </w:r>
      <w:r>
        <w:rPr>
          <w:rStyle w:val="12"/>
          <w:rFonts w:hint="eastAsia" w:ascii="仿宋" w:hAnsi="仿宋" w:eastAsia="仿宋" w:cs="Times New Roman"/>
          <w:sz w:val="32"/>
          <w:szCs w:val="32"/>
          <w:lang w:val="en-US" w:eastAsia="zh-CN"/>
        </w:rPr>
        <w:t>基本支出132.6万元，较上年预算安排增加18.97万元；其中：工资福利支出120.27万元，商品和服务支出万元，对个人和家庭的补助2.18万元。</w:t>
      </w:r>
      <w:r>
        <w:rPr>
          <w:rStyle w:val="12"/>
          <w:rFonts w:hint="eastAsia" w:ascii="仿宋" w:hAnsi="仿宋" w:eastAsia="仿宋" w:cs="Times New Roman"/>
          <w:sz w:val="32"/>
          <w:szCs w:val="32"/>
          <w:lang w:val="en-US" w:eastAsia="zh-CN"/>
        </w:rPr>
        <w:fldChar w:fldCharType="end"/>
      </w:r>
      <w:r>
        <w:rPr>
          <w:rStyle w:val="12"/>
          <w:rFonts w:hint="eastAsia" w:ascii="仿宋" w:hAnsi="仿宋" w:eastAsia="仿宋" w:cs="Times New Roman"/>
          <w:sz w:val="32"/>
          <w:szCs w:val="32"/>
          <w:lang w:val="en-US" w:eastAsia="zh-CN"/>
        </w:rPr>
        <w:fldChar w:fldCharType="begin"/>
      </w:r>
      <w:r>
        <w:rPr>
          <w:rStyle w:val="12"/>
          <w:rFonts w:hint="eastAsia" w:ascii="仿宋" w:hAnsi="仿宋" w:eastAsia="仿宋" w:cs="Times New Roman"/>
          <w:sz w:val="32"/>
          <w:szCs w:val="32"/>
          <w:lang w:val="en-US" w:eastAsia="zh-CN"/>
        </w:rPr>
        <w:instrText xml:space="preserve">MERGEFIELD ${page540426799.ds357974894_REP_BGT_T_HC1100002019_DXQ02DW_XMZCQKCB}</w:instrText>
      </w:r>
      <w:r>
        <w:rPr>
          <w:rStyle w:val="12"/>
          <w:rFonts w:hint="eastAsia" w:ascii="仿宋" w:hAnsi="仿宋" w:eastAsia="仿宋" w:cs="Times New Roman"/>
          <w:sz w:val="32"/>
          <w:szCs w:val="32"/>
          <w:lang w:val="en-US" w:eastAsia="zh-CN"/>
        </w:rPr>
        <w:fldChar w:fldCharType="separate"/>
      </w:r>
      <w:r>
        <w:rPr>
          <w:rStyle w:val="12"/>
          <w:rFonts w:hint="eastAsia" w:ascii="仿宋" w:hAnsi="仿宋" w:eastAsia="仿宋" w:cs="Times New Roman"/>
          <w:sz w:val="32"/>
          <w:szCs w:val="32"/>
          <w:lang w:val="en-US" w:eastAsia="zh-CN"/>
        </w:rPr>
        <w:t>项目支出9.26万元，较上年预算安排增加减少5.7万元，其中：商品和服务支出8.01万元，资本性支出1.25万元。</w:t>
      </w:r>
      <w:r>
        <w:rPr>
          <w:rStyle w:val="12"/>
          <w:rFonts w:hint="eastAsia" w:ascii="仿宋" w:hAnsi="仿宋" w:eastAsia="仿宋" w:cs="Times New Roman"/>
          <w:sz w:val="32"/>
          <w:szCs w:val="32"/>
          <w:lang w:val="en-US" w:eastAsia="zh-CN"/>
        </w:rPr>
        <w:fldChar w:fldCharType="end"/>
      </w:r>
    </w:p>
    <w:p w14:paraId="7B1AF5DA">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lang w:eastAsia="zh-CN"/>
        </w:rPr>
        <w:t>（</w:t>
      </w:r>
      <w:r>
        <w:rPr>
          <w:rStyle w:val="12"/>
          <w:rFonts w:hint="eastAsia" w:ascii="Adobe 仿宋 Std R" w:hAnsi="Adobe 仿宋 Std R" w:eastAsia="Adobe 仿宋 Std R"/>
          <w:b/>
          <w:sz w:val="32"/>
          <w:szCs w:val="32"/>
        </w:rPr>
        <w:t>四</w:t>
      </w:r>
      <w:r>
        <w:rPr>
          <w:rStyle w:val="12"/>
          <w:rFonts w:hint="eastAsia" w:ascii="Adobe 仿宋 Std R" w:hAnsi="Adobe 仿宋 Std R" w:eastAsia="Adobe 仿宋 Std R"/>
          <w:b/>
          <w:sz w:val="32"/>
          <w:szCs w:val="32"/>
          <w:lang w:eastAsia="zh-CN"/>
        </w:rPr>
        <w:t>）</w:t>
      </w:r>
      <w:r>
        <w:rPr>
          <w:rStyle w:val="12"/>
          <w:rFonts w:hint="eastAsia" w:ascii="Adobe 仿宋 Std R" w:hAnsi="Adobe 仿宋 Std R" w:eastAsia="Adobe 仿宋 Std R"/>
          <w:b/>
          <w:sz w:val="32"/>
          <w:szCs w:val="32"/>
        </w:rPr>
        <w:t>政府性基金情况</w:t>
      </w:r>
    </w:p>
    <w:p w14:paraId="60F71D85">
      <w:pPr>
        <w:ind w:firstLine="640" w:firstLineChars="200"/>
        <w:rPr>
          <w:rStyle w:val="12"/>
          <w:rFonts w:hint="eastAsia" w:ascii="仿宋" w:hAnsi="仿宋" w:eastAsia="仿宋" w:cs="Times New Roman"/>
          <w:color w:val="auto"/>
          <w:sz w:val="32"/>
          <w:szCs w:val="32"/>
          <w:lang w:val="en-US" w:eastAsia="zh-CN"/>
        </w:rPr>
      </w:pPr>
      <w:r>
        <w:rPr>
          <w:rStyle w:val="12"/>
          <w:rFonts w:hint="eastAsia" w:ascii="仿宋" w:hAnsi="仿宋" w:eastAsia="仿宋" w:cs="Times New Roman"/>
          <w:color w:val="auto"/>
          <w:sz w:val="32"/>
          <w:szCs w:val="32"/>
          <w:lang w:val="en-US" w:eastAsia="zh-CN"/>
        </w:rPr>
        <w:t>本单位没有使用政府性基金预算拨款安排的支出。</w:t>
      </w:r>
    </w:p>
    <w:p w14:paraId="4C62C21D">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（五）国有资本经营情况</w:t>
      </w:r>
    </w:p>
    <w:p w14:paraId="3F29C10D">
      <w:pPr>
        <w:widowControl/>
        <w:ind w:firstLine="640" w:firstLineChars="200"/>
        <w:rPr>
          <w:rStyle w:val="12"/>
          <w:rFonts w:hint="eastAsia" w:ascii="Adobe 仿宋 Std R" w:hAnsi="Adobe 仿宋 Std R" w:eastAsia="Adobe 仿宋 Std R"/>
          <w:sz w:val="32"/>
          <w:szCs w:val="32"/>
          <w:lang w:val="en-US" w:eastAsia="zh-CN"/>
        </w:rPr>
      </w:pPr>
      <w:r>
        <w:rPr>
          <w:rStyle w:val="12"/>
          <w:rFonts w:hint="eastAsia" w:ascii="Adobe 仿宋 Std R" w:hAnsi="Adobe 仿宋 Std R" w:eastAsia="Adobe 仿宋 Std R"/>
          <w:sz w:val="32"/>
          <w:szCs w:val="32"/>
        </w:rPr>
        <w:t>本单位没有使用国有资本经营预算拨款安排的支出</w:t>
      </w:r>
      <w:r>
        <w:rPr>
          <w:rStyle w:val="12"/>
          <w:rFonts w:hint="eastAsia" w:ascii="Adobe 仿宋 Std R" w:hAnsi="Adobe 仿宋 Std R" w:eastAsia="Adobe 仿宋 Std R"/>
          <w:sz w:val="32"/>
          <w:szCs w:val="32"/>
          <w:lang w:eastAsia="zh-CN"/>
        </w:rPr>
        <w:t>。</w:t>
      </w:r>
    </w:p>
    <w:p w14:paraId="6BD66E70">
      <w:pPr>
        <w:ind w:firstLine="321" w:firstLineChars="100"/>
        <w:rPr>
          <w:rStyle w:val="12"/>
          <w:rFonts w:ascii="Adobe 仿宋 Std R" w:hAnsi="Adobe 仿宋 Std R" w:eastAsia="Adobe 仿宋 Std R"/>
          <w:b/>
          <w:sz w:val="32"/>
          <w:szCs w:val="32"/>
        </w:rPr>
      </w:pPr>
      <w:r>
        <w:rPr>
          <w:rStyle w:val="12"/>
          <w:rFonts w:hint="eastAsia" w:asciiTheme="majorEastAsia" w:hAnsiTheme="majorEastAsia" w:eastAsiaTheme="majorEastAsia"/>
          <w:b/>
          <w:sz w:val="32"/>
          <w:szCs w:val="32"/>
          <w:lang w:eastAsia="zh-CN"/>
        </w:rPr>
        <w:t>（</w:t>
      </w:r>
      <w:r>
        <w:rPr>
          <w:rStyle w:val="12"/>
          <w:rFonts w:hint="eastAsia" w:ascii="Adobe 仿宋 Std R" w:hAnsi="Adobe 仿宋 Std R" w:eastAsia="Adobe 仿宋 Std R"/>
          <w:b/>
          <w:sz w:val="32"/>
          <w:szCs w:val="32"/>
        </w:rPr>
        <w:t>六</w:t>
      </w:r>
      <w:r>
        <w:rPr>
          <w:rStyle w:val="12"/>
          <w:rFonts w:hint="eastAsia" w:asciiTheme="majorEastAsia" w:hAnsiTheme="majorEastAsia" w:eastAsiaTheme="majorEastAsia"/>
          <w:b/>
          <w:sz w:val="32"/>
          <w:szCs w:val="32"/>
          <w:lang w:eastAsia="zh-CN"/>
        </w:rPr>
        <w:t>）</w:t>
      </w:r>
      <w:r>
        <w:rPr>
          <w:rStyle w:val="12"/>
          <w:rFonts w:hint="eastAsia" w:ascii="Adobe 仿宋 Std R" w:hAnsi="Adobe 仿宋 Std R" w:eastAsia="Adobe 仿宋 Std R"/>
          <w:b/>
          <w:sz w:val="32"/>
          <w:szCs w:val="32"/>
        </w:rPr>
        <w:t>机关运行经费等重要事项的说明</w:t>
      </w:r>
    </w:p>
    <w:p w14:paraId="0770FC4D">
      <w:pPr>
        <w:widowControl/>
        <w:spacing w:line="580" w:lineRule="exact"/>
        <w:ind w:firstLine="636"/>
        <w:jc w:val="both"/>
        <w:rPr>
          <w:rStyle w:val="12"/>
          <w:rFonts w:hint="eastAsia" w:ascii="Adobe 仿宋 Std R" w:hAnsi="Adobe 仿宋 Std R" w:eastAsia="Adobe 仿宋 Std R" w:cs="Times New Roman"/>
          <w:b w:val="0"/>
          <w:bCs/>
          <w:color w:val="auto"/>
          <w:sz w:val="32"/>
          <w:szCs w:val="32"/>
          <w:lang w:val="en-US" w:eastAsia="zh-CN"/>
        </w:rPr>
      </w:pPr>
      <w:r>
        <w:rPr>
          <w:rStyle w:val="12"/>
          <w:rFonts w:hint="eastAsia" w:ascii="Adobe 仿宋 Std R" w:hAnsi="Adobe 仿宋 Std R" w:eastAsia="Adobe 仿宋 Std R" w:cs="Times New Roman"/>
          <w:b w:val="0"/>
          <w:bCs/>
          <w:color w:val="auto"/>
          <w:sz w:val="32"/>
          <w:szCs w:val="32"/>
        </w:rPr>
        <w:t>202</w:t>
      </w:r>
      <w:r>
        <w:rPr>
          <w:rStyle w:val="12"/>
          <w:rFonts w:hint="eastAsia" w:ascii="Adobe 仿宋 Std R" w:hAnsi="Adobe 仿宋 Std R" w:eastAsia="Adobe 仿宋 Std R" w:cs="Times New Roman"/>
          <w:b w:val="0"/>
          <w:bCs/>
          <w:color w:val="auto"/>
          <w:sz w:val="32"/>
          <w:szCs w:val="32"/>
          <w:lang w:val="en-US" w:eastAsia="zh-CN"/>
        </w:rPr>
        <w:t>4</w:t>
      </w:r>
      <w:r>
        <w:rPr>
          <w:rStyle w:val="12"/>
          <w:rFonts w:hint="eastAsia" w:ascii="Adobe 仿宋 Std R" w:hAnsi="Adobe 仿宋 Std R" w:eastAsia="Adobe 仿宋 Std R" w:cs="Times New Roman"/>
          <w:b w:val="0"/>
          <w:bCs/>
          <w:color w:val="auto"/>
          <w:sz w:val="32"/>
          <w:szCs w:val="32"/>
        </w:rPr>
        <w:t>年单位机关运行费预算</w:t>
      </w:r>
      <w:r>
        <w:rPr>
          <w:rStyle w:val="12"/>
          <w:rFonts w:hint="eastAsia" w:ascii="Adobe 仿宋 Std R" w:hAnsi="Adobe 仿宋 Std R" w:eastAsia="Adobe 仿宋 Std R" w:cs="Times New Roman"/>
          <w:b w:val="0"/>
          <w:bCs/>
          <w:color w:val="auto"/>
          <w:sz w:val="32"/>
          <w:szCs w:val="32"/>
          <w:lang w:val="en-US" w:eastAsia="zh-CN"/>
        </w:rPr>
        <w:t>10.15</w:t>
      </w:r>
      <w:r>
        <w:rPr>
          <w:rStyle w:val="12"/>
          <w:rFonts w:hint="eastAsia" w:ascii="Adobe 仿宋 Std R" w:hAnsi="Adobe 仿宋 Std R" w:eastAsia="Adobe 仿宋 Std R" w:cs="Times New Roman"/>
          <w:b w:val="0"/>
          <w:bCs/>
          <w:color w:val="auto"/>
          <w:sz w:val="32"/>
          <w:szCs w:val="32"/>
        </w:rPr>
        <w:t>万元，比202</w:t>
      </w:r>
      <w:r>
        <w:rPr>
          <w:rStyle w:val="12"/>
          <w:rFonts w:hint="eastAsia" w:ascii="Adobe 仿宋 Std R" w:hAnsi="Adobe 仿宋 Std R" w:eastAsia="Adobe 仿宋 Std R" w:cs="Times New Roman"/>
          <w:b w:val="0"/>
          <w:bCs/>
          <w:color w:val="auto"/>
          <w:sz w:val="32"/>
          <w:szCs w:val="32"/>
          <w:lang w:val="en-US" w:eastAsia="zh-CN"/>
        </w:rPr>
        <w:t>3</w:t>
      </w:r>
      <w:r>
        <w:rPr>
          <w:rStyle w:val="12"/>
          <w:rFonts w:hint="eastAsia" w:ascii="Adobe 仿宋 Std R" w:hAnsi="Adobe 仿宋 Std R" w:eastAsia="Adobe 仿宋 Std R" w:cs="Times New Roman"/>
          <w:b w:val="0"/>
          <w:bCs/>
          <w:color w:val="auto"/>
          <w:sz w:val="32"/>
          <w:szCs w:val="32"/>
        </w:rPr>
        <w:t>年预算减少</w:t>
      </w:r>
      <w:r>
        <w:rPr>
          <w:rStyle w:val="12"/>
          <w:rFonts w:hint="eastAsia" w:ascii="Adobe 仿宋 Std R" w:hAnsi="Adobe 仿宋 Std R" w:eastAsia="Adobe 仿宋 Std R" w:cs="Times New Roman"/>
          <w:b w:val="0"/>
          <w:bCs/>
          <w:color w:val="auto"/>
          <w:sz w:val="32"/>
          <w:szCs w:val="32"/>
          <w:lang w:val="en-US" w:eastAsia="zh-CN"/>
        </w:rPr>
        <w:t>0.64</w:t>
      </w:r>
      <w:r>
        <w:rPr>
          <w:rStyle w:val="12"/>
          <w:rFonts w:hint="eastAsia" w:ascii="Adobe 仿宋 Std R" w:hAnsi="Adobe 仿宋 Std R" w:eastAsia="Adobe 仿宋 Std R" w:cs="Times New Roman"/>
          <w:b w:val="0"/>
          <w:bCs/>
          <w:color w:val="auto"/>
          <w:sz w:val="32"/>
          <w:szCs w:val="32"/>
        </w:rPr>
        <w:t>万元，下降</w:t>
      </w:r>
      <w:r>
        <w:rPr>
          <w:rStyle w:val="12"/>
          <w:rFonts w:hint="eastAsia" w:ascii="Adobe 仿宋 Std R" w:hAnsi="Adobe 仿宋 Std R" w:eastAsia="Adobe 仿宋 Std R" w:cs="Times New Roman"/>
          <w:b w:val="0"/>
          <w:bCs/>
          <w:color w:val="auto"/>
          <w:sz w:val="32"/>
          <w:szCs w:val="32"/>
          <w:lang w:val="en-US" w:eastAsia="zh-CN"/>
        </w:rPr>
        <w:t>5.9</w:t>
      </w:r>
      <w:r>
        <w:rPr>
          <w:rStyle w:val="12"/>
          <w:rFonts w:hint="eastAsia" w:ascii="Adobe 仿宋 Std R" w:hAnsi="Adobe 仿宋 Std R" w:eastAsia="Adobe 仿宋 Std R" w:cs="Times New Roman"/>
          <w:b w:val="0"/>
          <w:bCs/>
          <w:color w:val="auto"/>
          <w:sz w:val="32"/>
          <w:szCs w:val="32"/>
        </w:rPr>
        <w:t>%。</w:t>
      </w:r>
      <w:r>
        <w:rPr>
          <w:rStyle w:val="12"/>
          <w:rFonts w:hint="eastAsia" w:ascii="Adobe 仿宋 Std R" w:hAnsi="Adobe 仿宋 Std R" w:eastAsia="Adobe 仿宋 Std R" w:cs="Times New Roman"/>
          <w:b w:val="0"/>
          <w:bCs/>
          <w:color w:val="auto"/>
          <w:sz w:val="32"/>
          <w:szCs w:val="32"/>
          <w:lang w:val="en-US" w:eastAsia="zh-CN"/>
        </w:rPr>
        <w:t>下降变化原因为2023年新进人员增加预算，2024年新进人员预算未下拨，且进一步压缩了机关日常运行经费。</w:t>
      </w:r>
    </w:p>
    <w:p w14:paraId="656CE6BB">
      <w:pPr>
        <w:widowControl/>
        <w:spacing w:line="580" w:lineRule="exact"/>
        <w:ind w:firstLine="636"/>
        <w:jc w:val="both"/>
        <w:rPr>
          <w:rStyle w:val="12"/>
          <w:rFonts w:hint="eastAsia" w:ascii="Adobe 仿宋 Std R" w:hAnsi="Adobe 仿宋 Std R" w:eastAsia="Adobe 仿宋 Std R" w:cs="Times New Roman"/>
          <w:b w:val="0"/>
          <w:bCs/>
          <w:color w:val="auto"/>
          <w:sz w:val="32"/>
          <w:szCs w:val="32"/>
        </w:rPr>
      </w:pPr>
      <w:r>
        <w:rPr>
          <w:rStyle w:val="12"/>
          <w:rFonts w:hint="eastAsia" w:ascii="Adobe 仿宋 Std R" w:hAnsi="Adobe 仿宋 Std R" w:eastAsia="Adobe 仿宋 Std R" w:cs="Times New Roman"/>
          <w:b w:val="0"/>
          <w:bCs/>
          <w:color w:val="auto"/>
          <w:sz w:val="32"/>
          <w:szCs w:val="32"/>
        </w:rPr>
        <w:t>按照财政部《地方预决算公开操作规程》明确的口径，机关运行费指各部门的公用经费，包括办公及印刷费</w:t>
      </w:r>
      <w:r>
        <w:rPr>
          <w:rStyle w:val="12"/>
          <w:rFonts w:hint="eastAsia" w:ascii="Adobe 仿宋 Std R" w:hAnsi="Adobe 仿宋 Std R" w:eastAsia="Adobe 仿宋 Std R" w:cs="Times New Roman"/>
          <w:b w:val="0"/>
          <w:bCs/>
          <w:color w:val="auto"/>
          <w:sz w:val="32"/>
          <w:szCs w:val="32"/>
          <w:lang w:val="en-US" w:eastAsia="zh-CN"/>
        </w:rPr>
        <w:t>2.8万元</w:t>
      </w:r>
      <w:r>
        <w:rPr>
          <w:rStyle w:val="12"/>
          <w:rFonts w:hint="eastAsia" w:ascii="Adobe 仿宋 Std R" w:hAnsi="Adobe 仿宋 Std R" w:eastAsia="Adobe 仿宋 Std R" w:cs="Times New Roman"/>
          <w:b w:val="0"/>
          <w:bCs/>
          <w:color w:val="auto"/>
          <w:sz w:val="32"/>
          <w:szCs w:val="32"/>
        </w:rPr>
        <w:t>、邮电费</w:t>
      </w:r>
      <w:r>
        <w:rPr>
          <w:rStyle w:val="12"/>
          <w:rFonts w:hint="eastAsia" w:ascii="Adobe 仿宋 Std R" w:hAnsi="Adobe 仿宋 Std R" w:eastAsia="Adobe 仿宋 Std R" w:cs="Times New Roman"/>
          <w:b w:val="0"/>
          <w:bCs/>
          <w:color w:val="auto"/>
          <w:sz w:val="32"/>
          <w:szCs w:val="32"/>
          <w:lang w:val="en-US" w:eastAsia="zh-CN"/>
        </w:rPr>
        <w:t>0.9万元</w:t>
      </w:r>
      <w:r>
        <w:rPr>
          <w:rStyle w:val="12"/>
          <w:rFonts w:hint="eastAsia" w:ascii="Adobe 仿宋 Std R" w:hAnsi="Adobe 仿宋 Std R" w:eastAsia="Adobe 仿宋 Std R" w:cs="Times New Roman"/>
          <w:b w:val="0"/>
          <w:bCs/>
          <w:color w:val="auto"/>
          <w:sz w:val="32"/>
          <w:szCs w:val="32"/>
        </w:rPr>
        <w:t>、差旅费</w:t>
      </w:r>
      <w:r>
        <w:rPr>
          <w:rStyle w:val="12"/>
          <w:rFonts w:hint="eastAsia" w:ascii="Adobe 仿宋 Std R" w:hAnsi="Adobe 仿宋 Std R" w:eastAsia="Adobe 仿宋 Std R" w:cs="Times New Roman"/>
          <w:b w:val="0"/>
          <w:bCs/>
          <w:color w:val="auto"/>
          <w:sz w:val="32"/>
          <w:szCs w:val="32"/>
          <w:lang w:val="en-US" w:eastAsia="zh-CN"/>
        </w:rPr>
        <w:t>4.2万元</w:t>
      </w:r>
      <w:r>
        <w:rPr>
          <w:rStyle w:val="12"/>
          <w:rFonts w:hint="eastAsia" w:ascii="Adobe 仿宋 Std R" w:hAnsi="Adobe 仿宋 Std R" w:eastAsia="Adobe 仿宋 Std R" w:cs="Times New Roman"/>
          <w:b w:val="0"/>
          <w:bCs/>
          <w:color w:val="auto"/>
          <w:sz w:val="32"/>
          <w:szCs w:val="32"/>
        </w:rPr>
        <w:t>、会议费</w:t>
      </w:r>
      <w:r>
        <w:rPr>
          <w:rStyle w:val="12"/>
          <w:rFonts w:hint="eastAsia" w:ascii="Adobe 仿宋 Std R" w:hAnsi="Adobe 仿宋 Std R" w:eastAsia="Adobe 仿宋 Std R" w:cs="Times New Roman"/>
          <w:b w:val="0"/>
          <w:bCs/>
          <w:color w:val="auto"/>
          <w:sz w:val="32"/>
          <w:szCs w:val="32"/>
          <w:lang w:val="en-US" w:eastAsia="zh-CN"/>
        </w:rPr>
        <w:t>0万元</w:t>
      </w:r>
      <w:r>
        <w:rPr>
          <w:rStyle w:val="12"/>
          <w:rFonts w:hint="eastAsia" w:ascii="Adobe 仿宋 Std R" w:hAnsi="Adobe 仿宋 Std R" w:eastAsia="Adobe 仿宋 Std R" w:cs="Times New Roman"/>
          <w:b w:val="0"/>
          <w:bCs/>
          <w:color w:val="auto"/>
          <w:sz w:val="32"/>
          <w:szCs w:val="32"/>
        </w:rPr>
        <w:t>、福利费</w:t>
      </w:r>
      <w:r>
        <w:rPr>
          <w:rStyle w:val="12"/>
          <w:rFonts w:hint="eastAsia" w:ascii="Adobe 仿宋 Std R" w:hAnsi="Adobe 仿宋 Std R" w:eastAsia="Adobe 仿宋 Std R" w:cs="Times New Roman"/>
          <w:b w:val="0"/>
          <w:bCs/>
          <w:color w:val="auto"/>
          <w:sz w:val="32"/>
          <w:szCs w:val="32"/>
          <w:lang w:val="en-US" w:eastAsia="zh-CN"/>
        </w:rPr>
        <w:t>0万元</w:t>
      </w:r>
      <w:r>
        <w:rPr>
          <w:rStyle w:val="12"/>
          <w:rFonts w:hint="eastAsia" w:ascii="Adobe 仿宋 Std R" w:hAnsi="Adobe 仿宋 Std R" w:eastAsia="Adobe 仿宋 Std R" w:cs="Times New Roman"/>
          <w:b w:val="0"/>
          <w:bCs/>
          <w:color w:val="auto"/>
          <w:sz w:val="32"/>
          <w:szCs w:val="32"/>
        </w:rPr>
        <w:t>、日常维修费</w:t>
      </w:r>
      <w:r>
        <w:rPr>
          <w:rStyle w:val="12"/>
          <w:rFonts w:hint="eastAsia" w:ascii="Adobe 仿宋 Std R" w:hAnsi="Adobe 仿宋 Std R" w:eastAsia="Adobe 仿宋 Std R" w:cs="Times New Roman"/>
          <w:b w:val="0"/>
          <w:bCs/>
          <w:color w:val="auto"/>
          <w:sz w:val="32"/>
          <w:szCs w:val="32"/>
          <w:lang w:val="en-US" w:eastAsia="zh-CN"/>
        </w:rPr>
        <w:t>0万元</w:t>
      </w:r>
      <w:r>
        <w:rPr>
          <w:rStyle w:val="12"/>
          <w:rFonts w:hint="eastAsia" w:ascii="Adobe 仿宋 Std R" w:hAnsi="Adobe 仿宋 Std R" w:eastAsia="Adobe 仿宋 Std R" w:cs="Times New Roman"/>
          <w:b w:val="0"/>
          <w:bCs/>
          <w:color w:val="auto"/>
          <w:sz w:val="32"/>
          <w:szCs w:val="32"/>
        </w:rPr>
        <w:t>、专用材料及一般设备购置费</w:t>
      </w:r>
      <w:r>
        <w:rPr>
          <w:rStyle w:val="12"/>
          <w:rFonts w:hint="eastAsia" w:ascii="Adobe 仿宋 Std R" w:hAnsi="Adobe 仿宋 Std R" w:eastAsia="Adobe 仿宋 Std R" w:cs="Times New Roman"/>
          <w:b w:val="0"/>
          <w:bCs/>
          <w:color w:val="auto"/>
          <w:sz w:val="32"/>
          <w:szCs w:val="32"/>
          <w:lang w:val="en-US" w:eastAsia="zh-CN"/>
        </w:rPr>
        <w:t>0万元</w:t>
      </w:r>
      <w:r>
        <w:rPr>
          <w:rStyle w:val="12"/>
          <w:rFonts w:hint="eastAsia" w:ascii="Adobe 仿宋 Std R" w:hAnsi="Adobe 仿宋 Std R" w:eastAsia="Adobe 仿宋 Std R" w:cs="Times New Roman"/>
          <w:b w:val="0"/>
          <w:bCs/>
          <w:color w:val="auto"/>
          <w:sz w:val="32"/>
          <w:szCs w:val="32"/>
        </w:rPr>
        <w:t>、办公用房水电费</w:t>
      </w:r>
      <w:r>
        <w:rPr>
          <w:rStyle w:val="12"/>
          <w:rFonts w:hint="eastAsia" w:ascii="Adobe 仿宋 Std R" w:hAnsi="Adobe 仿宋 Std R" w:eastAsia="Adobe 仿宋 Std R" w:cs="Times New Roman"/>
          <w:b w:val="0"/>
          <w:bCs/>
          <w:color w:val="auto"/>
          <w:sz w:val="32"/>
          <w:szCs w:val="32"/>
          <w:lang w:val="en-US" w:eastAsia="zh-CN"/>
        </w:rPr>
        <w:t>0.55万元</w:t>
      </w:r>
      <w:r>
        <w:rPr>
          <w:rStyle w:val="12"/>
          <w:rFonts w:hint="eastAsia" w:ascii="Adobe 仿宋 Std R" w:hAnsi="Adobe 仿宋 Std R" w:eastAsia="Adobe 仿宋 Std R" w:cs="Times New Roman"/>
          <w:b w:val="0"/>
          <w:bCs/>
          <w:color w:val="auto"/>
          <w:sz w:val="32"/>
          <w:szCs w:val="32"/>
        </w:rPr>
        <w:t>、办公用房取暖费</w:t>
      </w:r>
      <w:r>
        <w:rPr>
          <w:rStyle w:val="12"/>
          <w:rFonts w:hint="eastAsia" w:ascii="Adobe 仿宋 Std R" w:hAnsi="Adobe 仿宋 Std R" w:eastAsia="Adobe 仿宋 Std R" w:cs="Times New Roman"/>
          <w:b w:val="0"/>
          <w:bCs/>
          <w:color w:val="auto"/>
          <w:sz w:val="32"/>
          <w:szCs w:val="32"/>
          <w:lang w:val="en-US" w:eastAsia="zh-CN"/>
        </w:rPr>
        <w:t>0万元</w:t>
      </w:r>
      <w:r>
        <w:rPr>
          <w:rStyle w:val="12"/>
          <w:rFonts w:hint="eastAsia" w:ascii="Adobe 仿宋 Std R" w:hAnsi="Adobe 仿宋 Std R" w:eastAsia="Adobe 仿宋 Std R" w:cs="Times New Roman"/>
          <w:b w:val="0"/>
          <w:bCs/>
          <w:color w:val="auto"/>
          <w:sz w:val="32"/>
          <w:szCs w:val="32"/>
        </w:rPr>
        <w:t>、办公用房物业管理费</w:t>
      </w:r>
      <w:r>
        <w:rPr>
          <w:rStyle w:val="12"/>
          <w:rFonts w:hint="eastAsia" w:ascii="Adobe 仿宋 Std R" w:hAnsi="Adobe 仿宋 Std R" w:eastAsia="Adobe 仿宋 Std R" w:cs="Times New Roman"/>
          <w:b w:val="0"/>
          <w:bCs/>
          <w:color w:val="auto"/>
          <w:sz w:val="32"/>
          <w:szCs w:val="32"/>
          <w:lang w:val="en-US" w:eastAsia="zh-CN"/>
        </w:rPr>
        <w:t>0万元</w:t>
      </w:r>
      <w:r>
        <w:rPr>
          <w:rStyle w:val="12"/>
          <w:rFonts w:hint="eastAsia" w:ascii="Adobe 仿宋 Std R" w:hAnsi="Adobe 仿宋 Std R" w:eastAsia="Adobe 仿宋 Std R" w:cs="Times New Roman"/>
          <w:b w:val="0"/>
          <w:bCs/>
          <w:color w:val="auto"/>
          <w:sz w:val="32"/>
          <w:szCs w:val="32"/>
        </w:rPr>
        <w:t>、公务用车运行维护费</w:t>
      </w:r>
      <w:r>
        <w:rPr>
          <w:rStyle w:val="12"/>
          <w:rFonts w:hint="eastAsia" w:ascii="Adobe 仿宋 Std R" w:hAnsi="Adobe 仿宋 Std R" w:eastAsia="Adobe 仿宋 Std R" w:cs="Times New Roman"/>
          <w:b w:val="0"/>
          <w:bCs/>
          <w:color w:val="auto"/>
          <w:sz w:val="32"/>
          <w:szCs w:val="32"/>
          <w:lang w:val="en-US" w:eastAsia="zh-CN"/>
        </w:rPr>
        <w:t>0万元、公务接待费0.5万元、其他商品和服务支出1.2万元。</w:t>
      </w:r>
    </w:p>
    <w:p w14:paraId="72FC6D99">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lang w:eastAsia="zh-CN"/>
        </w:rPr>
        <w:t>（</w:t>
      </w:r>
      <w:r>
        <w:rPr>
          <w:rStyle w:val="12"/>
          <w:rFonts w:hint="eastAsia" w:ascii="Adobe 仿宋 Std R" w:hAnsi="Adobe 仿宋 Std R" w:eastAsia="Adobe 仿宋 Std R"/>
          <w:b/>
          <w:sz w:val="32"/>
          <w:szCs w:val="32"/>
        </w:rPr>
        <w:t>七</w:t>
      </w:r>
      <w:r>
        <w:rPr>
          <w:rStyle w:val="12"/>
          <w:rFonts w:hint="eastAsia" w:ascii="Adobe 仿宋 Std R" w:hAnsi="Adobe 仿宋 Std R" w:eastAsia="Adobe 仿宋 Std R"/>
          <w:b/>
          <w:sz w:val="32"/>
          <w:szCs w:val="32"/>
          <w:lang w:eastAsia="zh-CN"/>
        </w:rPr>
        <w:t>）</w:t>
      </w:r>
      <w:r>
        <w:rPr>
          <w:rStyle w:val="12"/>
          <w:rFonts w:hint="eastAsia" w:ascii="Adobe 仿宋 Std R" w:hAnsi="Adobe 仿宋 Std R" w:eastAsia="Adobe 仿宋 Std R"/>
          <w:b/>
          <w:sz w:val="32"/>
          <w:szCs w:val="32"/>
        </w:rPr>
        <w:t>政府采购情况</w:t>
      </w:r>
    </w:p>
    <w:p w14:paraId="5D4E7C30">
      <w:pPr>
        <w:rPr>
          <w:rStyle w:val="12"/>
          <w:rFonts w:hint="eastAsia" w:ascii="Adobe 仿宋 Std R" w:hAnsi="Adobe 仿宋 Std R" w:eastAsia="Adobe 仿宋 Std R" w:cs="Times New Roman"/>
          <w:sz w:val="32"/>
          <w:szCs w:val="32"/>
        </w:rPr>
      </w:pPr>
      <w:r>
        <w:rPr>
          <w:rStyle w:val="12"/>
          <w:rFonts w:hint="eastAsia" w:asciiTheme="majorEastAsia" w:hAnsiTheme="majorEastAsia" w:eastAsiaTheme="majorEastAsia"/>
          <w:b/>
          <w:sz w:val="32"/>
          <w:szCs w:val="32"/>
        </w:rPr>
        <w:t xml:space="preserve"> </w:t>
      </w:r>
      <w:r>
        <w:rPr>
          <w:rStyle w:val="12"/>
          <w:rFonts w:hint="eastAsia" w:ascii="Adobe 仿宋 Std R" w:hAnsi="Adobe 仿宋 Std R" w:eastAsia="Adobe 仿宋 Std R" w:cs="Times New Roman"/>
          <w:sz w:val="32"/>
          <w:szCs w:val="32"/>
        </w:rPr>
        <w:t xml:space="preserve">  202</w:t>
      </w:r>
      <w:r>
        <w:rPr>
          <w:rStyle w:val="12"/>
          <w:rFonts w:hint="eastAsia" w:ascii="Adobe 仿宋 Std R" w:hAnsi="Adobe 仿宋 Std R" w:eastAsia="Adobe 仿宋 Std R" w:cs="Times New Roman"/>
          <w:sz w:val="32"/>
          <w:szCs w:val="32"/>
          <w:lang w:val="en-US" w:eastAsia="zh-CN"/>
        </w:rPr>
        <w:t>4</w:t>
      </w:r>
      <w:r>
        <w:rPr>
          <w:rStyle w:val="12"/>
          <w:rFonts w:hint="eastAsia" w:ascii="Adobe 仿宋 Std R" w:hAnsi="Adobe 仿宋 Std R" w:eastAsia="Adobe 仿宋 Std R" w:cs="Times New Roman"/>
          <w:sz w:val="32"/>
          <w:szCs w:val="32"/>
        </w:rPr>
        <w:t>年政府采购总额</w:t>
      </w:r>
      <w:r>
        <w:rPr>
          <w:rStyle w:val="12"/>
          <w:rFonts w:hint="eastAsia" w:ascii="Adobe 仿宋 Std R" w:hAnsi="Adobe 仿宋 Std R" w:eastAsia="Adobe 仿宋 Std R" w:cs="Times New Roman"/>
          <w:sz w:val="32"/>
          <w:szCs w:val="32"/>
          <w:lang w:val="en-US" w:eastAsia="zh-CN"/>
        </w:rPr>
        <w:t>1.25</w:t>
      </w:r>
      <w:r>
        <w:rPr>
          <w:rStyle w:val="12"/>
          <w:rFonts w:hint="eastAsia" w:ascii="Adobe 仿宋 Std R" w:hAnsi="Adobe 仿宋 Std R" w:eastAsia="Adobe 仿宋 Std R" w:cs="Times New Roman"/>
          <w:sz w:val="32"/>
          <w:szCs w:val="32"/>
        </w:rPr>
        <w:t>万元</w:t>
      </w:r>
      <w:r>
        <w:rPr>
          <w:rStyle w:val="12"/>
          <w:rFonts w:hint="eastAsia" w:ascii="Adobe 仿宋 Std R" w:hAnsi="Adobe 仿宋 Std R" w:eastAsia="Adobe 仿宋 Std R" w:cs="Times New Roman"/>
          <w:sz w:val="32"/>
          <w:szCs w:val="32"/>
          <w:lang w:eastAsia="zh-CN"/>
        </w:rPr>
        <w:t>，</w:t>
      </w:r>
      <w:r>
        <w:rPr>
          <w:rStyle w:val="12"/>
          <w:rFonts w:hint="eastAsia" w:ascii="Adobe 仿宋 Std R" w:hAnsi="Adobe 仿宋 Std R" w:eastAsia="Adobe 仿宋 Std R" w:cs="Times New Roman"/>
          <w:sz w:val="32"/>
          <w:szCs w:val="32"/>
        </w:rPr>
        <w:t>其中</w:t>
      </w:r>
      <w:r>
        <w:rPr>
          <w:rStyle w:val="12"/>
          <w:rFonts w:hint="eastAsia" w:ascii="Adobe 仿宋 Std R" w:hAnsi="Adobe 仿宋 Std R" w:eastAsia="Adobe 仿宋 Std R" w:cs="Times New Roman"/>
          <w:sz w:val="32"/>
          <w:szCs w:val="32"/>
          <w:lang w:eastAsia="zh-CN"/>
        </w:rPr>
        <w:t>：</w:t>
      </w:r>
      <w:r>
        <w:rPr>
          <w:rStyle w:val="12"/>
          <w:rFonts w:hint="eastAsia" w:ascii="Adobe 仿宋 Std R" w:hAnsi="Adobe 仿宋 Std R" w:eastAsia="Adobe 仿宋 Std R" w:cs="Times New Roman"/>
          <w:sz w:val="32"/>
          <w:szCs w:val="32"/>
        </w:rPr>
        <w:t>政府采购货物预算</w:t>
      </w:r>
      <w:r>
        <w:rPr>
          <w:rStyle w:val="12"/>
          <w:rFonts w:hint="eastAsia" w:ascii="Adobe 仿宋 Std R" w:hAnsi="Adobe 仿宋 Std R" w:eastAsia="Adobe 仿宋 Std R" w:cs="Times New Roman"/>
          <w:sz w:val="32"/>
          <w:szCs w:val="32"/>
          <w:lang w:val="en-US" w:eastAsia="zh-CN"/>
        </w:rPr>
        <w:t>1.25</w:t>
      </w:r>
      <w:r>
        <w:rPr>
          <w:rStyle w:val="12"/>
          <w:rFonts w:hint="eastAsia" w:ascii="Adobe 仿宋 Std R" w:hAnsi="Adobe 仿宋 Std R" w:eastAsia="Adobe 仿宋 Std R" w:cs="Times New Roman"/>
          <w:sz w:val="32"/>
          <w:szCs w:val="32"/>
        </w:rPr>
        <w:t>万元</w:t>
      </w:r>
      <w:r>
        <w:rPr>
          <w:rStyle w:val="12"/>
          <w:rFonts w:hint="eastAsia" w:ascii="Adobe 仿宋 Std R" w:hAnsi="Adobe 仿宋 Std R" w:eastAsia="Adobe 仿宋 Std R" w:cs="Times New Roman"/>
          <w:sz w:val="32"/>
          <w:szCs w:val="32"/>
          <w:lang w:eastAsia="zh-CN"/>
        </w:rPr>
        <w:t>，</w:t>
      </w:r>
      <w:r>
        <w:rPr>
          <w:rStyle w:val="12"/>
          <w:rFonts w:hint="eastAsia" w:ascii="Adobe 仿宋 Std R" w:hAnsi="Adobe 仿宋 Std R" w:eastAsia="Adobe 仿宋 Std R" w:cs="Times New Roman"/>
          <w:sz w:val="32"/>
          <w:szCs w:val="32"/>
        </w:rPr>
        <w:t>政府采购工程预算</w:t>
      </w:r>
      <w:r>
        <w:rPr>
          <w:rStyle w:val="12"/>
          <w:rFonts w:hint="eastAsia" w:ascii="Adobe 仿宋 Std R" w:hAnsi="Adobe 仿宋 Std R" w:eastAsia="Adobe 仿宋 Std R" w:cs="Times New Roman"/>
          <w:sz w:val="32"/>
          <w:szCs w:val="32"/>
          <w:lang w:val="en-US" w:eastAsia="zh-CN"/>
        </w:rPr>
        <w:t>0</w:t>
      </w:r>
      <w:r>
        <w:rPr>
          <w:rStyle w:val="12"/>
          <w:rFonts w:hint="eastAsia" w:ascii="Adobe 仿宋 Std R" w:hAnsi="Adobe 仿宋 Std R" w:eastAsia="Adobe 仿宋 Std R" w:cs="Times New Roman"/>
          <w:sz w:val="32"/>
          <w:szCs w:val="32"/>
        </w:rPr>
        <w:t>万元, 政府采购服务预算</w:t>
      </w:r>
      <w:r>
        <w:rPr>
          <w:rStyle w:val="12"/>
          <w:rFonts w:hint="eastAsia" w:ascii="Adobe 仿宋 Std R" w:hAnsi="Adobe 仿宋 Std R" w:eastAsia="Adobe 仿宋 Std R" w:cs="Times New Roman"/>
          <w:sz w:val="32"/>
          <w:szCs w:val="32"/>
          <w:lang w:val="en-US" w:eastAsia="zh-CN"/>
        </w:rPr>
        <w:t>0</w:t>
      </w:r>
      <w:r>
        <w:rPr>
          <w:rStyle w:val="12"/>
          <w:rFonts w:hint="eastAsia" w:ascii="Adobe 仿宋 Std R" w:hAnsi="Adobe 仿宋 Std R" w:eastAsia="Adobe 仿宋 Std R" w:cs="Times New Roman"/>
          <w:sz w:val="32"/>
          <w:szCs w:val="32"/>
        </w:rPr>
        <w:t>万元。</w:t>
      </w:r>
    </w:p>
    <w:p w14:paraId="586EA7B4">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(八)国有资产占有使用情况</w:t>
      </w:r>
    </w:p>
    <w:p w14:paraId="27576D7B">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hint="eastAsia" w:ascii="Adobe 仿宋 Std R" w:hAnsi="Adobe 仿宋 Std R" w:eastAsia="Adobe 仿宋 Std R"/>
          <w:sz w:val="32"/>
          <w:szCs w:val="32"/>
          <w:lang w:eastAsia="zh-CN"/>
        </w:rPr>
        <w:t>，</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rPr>
          <w:rFonts w:hint="eastAsia" w:ascii="Adobe 仿宋 Std R" w:hAnsi="Adobe 仿宋 Std R" w:eastAsia="Adobe 仿宋 Std R"/>
          <w:sz w:val="32"/>
          <w:szCs w:val="32"/>
          <w:lang w:eastAsia="zh-CN"/>
        </w:rPr>
        <w:t>，</w:t>
      </w:r>
      <w:r>
        <w:rPr>
          <w:rFonts w:ascii="Adobe 仿宋 Std R" w:hAnsi="Adobe 仿宋 Std R" w:eastAsia="Adobe 仿宋 Std R"/>
          <w:sz w:val="32"/>
          <w:szCs w:val="32"/>
        </w:rPr>
        <w:t>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rPr>
          <w:rFonts w:ascii="Adobe 仿宋 Std R" w:hAnsi="Adobe 仿宋 Std R" w:eastAsia="Adobe 仿宋 Std R"/>
          <w:sz w:val="32"/>
          <w:szCs w:val="32"/>
        </w:rPr>
        <w:fldChar w:fldCharType="end"/>
      </w:r>
    </w:p>
    <w:p w14:paraId="5D9D796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w:t>
      </w:r>
      <w:r>
        <w:rPr>
          <w:rFonts w:hint="eastAsia" w:ascii="Adobe 仿宋 Std R" w:hAnsi="Adobe 仿宋 Std R" w:eastAsia="Adobe 仿宋 Std R"/>
          <w:sz w:val="32"/>
          <w:szCs w:val="32"/>
          <w:lang w:eastAsia="zh-CN"/>
        </w:rPr>
        <w:t>未</w:t>
      </w:r>
      <w:r>
        <w:rPr>
          <w:rFonts w:hint="eastAsia" w:ascii="Adobe 仿宋 Std R" w:hAnsi="Adobe 仿宋 Std R" w:eastAsia="Adobe 仿宋 Std R"/>
          <w:sz w:val="32"/>
          <w:szCs w:val="32"/>
        </w:rPr>
        <w:t>安排购置单位价值200万元以上大型设备。</w:t>
      </w:r>
    </w:p>
    <w:p w14:paraId="562BA810">
      <w:pPr>
        <w:ind w:firstLine="321" w:firstLineChars="100"/>
        <w:rPr>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（九）</w:t>
      </w:r>
      <w:r>
        <w:rPr>
          <w:rStyle w:val="12"/>
          <w:rFonts w:hint="eastAsia" w:ascii="Adobe 仿宋 Std R" w:hAnsi="Adobe 仿宋 Std R" w:eastAsia="Adobe 仿宋 Std R"/>
          <w:b/>
          <w:sz w:val="32"/>
          <w:szCs w:val="32"/>
          <w:lang w:eastAsia="zh-CN"/>
        </w:rPr>
        <w:t>庐山市委信访局</w:t>
      </w:r>
      <w:r>
        <w:rPr>
          <w:rStyle w:val="12"/>
          <w:rFonts w:hint="eastAsia" w:ascii="Adobe 仿宋 Std R" w:hAnsi="Adobe 仿宋 Std R" w:eastAsia="Adobe 仿宋 Std R"/>
          <w:b/>
          <w:sz w:val="32"/>
          <w:szCs w:val="32"/>
        </w:rPr>
        <w:t>项目情况说明</w:t>
      </w:r>
    </w:p>
    <w:p w14:paraId="719D9152">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：市委</w:t>
      </w:r>
      <w:r>
        <w:rPr>
          <w:rFonts w:hint="eastAsia" w:ascii="Adobe 仿宋 Std R" w:hAnsi="Adobe 仿宋 Std R" w:eastAsia="Adobe 仿宋 Std R"/>
          <w:color w:val="auto"/>
          <w:sz w:val="32"/>
          <w:szCs w:val="32"/>
          <w:lang w:val="en-US" w:eastAsia="zh-CN"/>
        </w:rPr>
        <w:t>信访维稳工作经费，用于日常及重要敏感时间信访维稳工作的经费。</w:t>
      </w:r>
    </w:p>
    <w:p w14:paraId="6877EC30">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color w:val="auto"/>
          <w:sz w:val="32"/>
          <w:szCs w:val="32"/>
          <w:lang w:eastAsia="zh-CN"/>
        </w:rPr>
        <w:t>根据</w:t>
      </w:r>
      <w:r>
        <w:rPr>
          <w:rFonts w:hint="eastAsia" w:ascii="仿宋_GB2312" w:hAnsi="仿宋_GB2312" w:eastAsia="仿宋_GB2312" w:cs="仿宋_GB2312"/>
          <w:color w:val="auto"/>
          <w:sz w:val="32"/>
          <w:szCs w:val="32"/>
          <w:lang w:eastAsia="zh-CN"/>
        </w:rPr>
        <w:t>九江市委办公厅、市政府办公厅《关于进一步加强信访工作的意见》（九办发</w:t>
      </w:r>
      <w:r>
        <w:rPr>
          <w:rFonts w:hint="eastAsia" w:ascii="仿宋_GB2312" w:hAnsi="仿宋_GB2312" w:eastAsia="仿宋_GB2312" w:cs="仿宋_GB2312"/>
          <w:color w:val="auto"/>
          <w:sz w:val="32"/>
          <w:szCs w:val="32"/>
          <w:lang w:val="en-US" w:eastAsia="zh-CN"/>
        </w:rPr>
        <w:t>[2009] 8号和2007年3月12日原星子县委常委会议纪要第六号文件精神。</w:t>
      </w:r>
    </w:p>
    <w:p w14:paraId="5AE337FE">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：中共庐山市委信访局</w:t>
      </w:r>
    </w:p>
    <w:p w14:paraId="22F6B366">
      <w:pPr>
        <w:ind w:firstLine="640" w:firstLineChars="2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w:t>
      </w:r>
      <w:r>
        <w:rPr>
          <w:rFonts w:hint="eastAsia" w:ascii="仿宋_GB2312" w:hAnsi="仿宋_GB2312" w:eastAsia="仿宋_GB2312" w:cs="仿宋_GB2312"/>
          <w:color w:val="auto"/>
          <w:sz w:val="32"/>
          <w:szCs w:val="32"/>
          <w:lang w:val="en-US" w:eastAsia="zh-CN"/>
        </w:rPr>
        <w:t>1.信访外出值班工作2万元；2.信访宣传工作0.4万元；3. 信访干部培训工作0.5万元；4.信访督导经费1.64万元；5.办公经费4.72万元。市委信访局已制定《项目资金管理办法》，确保资金专款专用，合理使用，规范报支。</w:t>
      </w:r>
    </w:p>
    <w:p w14:paraId="1CE6482E">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6A23ED29">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color w:val="auto"/>
          <w:sz w:val="32"/>
          <w:szCs w:val="32"/>
          <w:lang w:val="en-US" w:eastAsia="zh-CN"/>
        </w:rPr>
        <w:t>市本级</w:t>
      </w:r>
      <w:r>
        <w:rPr>
          <w:rFonts w:hint="eastAsia" w:ascii="Adobe 仿宋 Std R" w:hAnsi="Adobe 仿宋 Std R" w:eastAsia="Adobe 仿宋 Std R"/>
          <w:color w:val="auto"/>
          <w:sz w:val="32"/>
          <w:szCs w:val="32"/>
          <w:lang w:eastAsia="zh-CN"/>
        </w:rPr>
        <w:t>财政拨款</w:t>
      </w:r>
      <w:r>
        <w:rPr>
          <w:rFonts w:hint="eastAsia" w:ascii="Adobe 仿宋 Std R" w:hAnsi="Adobe 仿宋 Std R" w:eastAsia="Adobe 仿宋 Std R"/>
          <w:color w:val="auto"/>
          <w:sz w:val="32"/>
          <w:szCs w:val="32"/>
          <w:lang w:val="en-US" w:eastAsia="zh-CN"/>
        </w:rPr>
        <w:t>9.26万元。</w:t>
      </w:r>
    </w:p>
    <w:p w14:paraId="04AB8AD7">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21A3DAA0">
      <w:pPr>
        <w:ind w:firstLine="640" w:firstLineChars="200"/>
        <w:jc w:val="left"/>
        <w:rPr>
          <w:rFonts w:hint="eastAsia" w:ascii="仿宋" w:hAnsi="仿宋" w:eastAsia="仿宋"/>
          <w:bCs/>
          <w:sz w:val="32"/>
          <w:szCs w:val="32"/>
          <w:lang w:val="en-US" w:eastAsia="zh-CN"/>
        </w:rPr>
      </w:pPr>
      <w:r>
        <w:rPr>
          <w:rFonts w:hint="eastAsia" w:ascii="仿宋" w:hAnsi="仿宋" w:eastAsia="仿宋"/>
          <w:bCs/>
          <w:sz w:val="32"/>
          <w:szCs w:val="32"/>
          <w:lang w:val="en-US" w:eastAsia="zh-CN"/>
        </w:rPr>
        <w:t>2024年庐山市委信访局“三公”经费财政拨款安排0.5万元，其中：</w:t>
      </w:r>
    </w:p>
    <w:p w14:paraId="6CF098B2">
      <w:pPr>
        <w:ind w:firstLine="640" w:firstLineChars="200"/>
        <w:jc w:val="left"/>
        <w:rPr>
          <w:rFonts w:hint="eastAsia" w:ascii="仿宋" w:hAnsi="仿宋" w:eastAsia="仿宋"/>
          <w:bCs/>
          <w:sz w:val="32"/>
          <w:szCs w:val="32"/>
          <w:lang w:val="en-US" w:eastAsia="zh-CN"/>
        </w:rPr>
      </w:pPr>
      <w:r>
        <w:rPr>
          <w:rFonts w:hint="eastAsia" w:ascii="仿宋" w:hAnsi="仿宋" w:eastAsia="仿宋"/>
          <w:bCs/>
          <w:sz w:val="32"/>
          <w:szCs w:val="32"/>
          <w:lang w:val="en-US" w:eastAsia="zh-CN"/>
        </w:rPr>
        <w:t>因公出国0万元，比上年增（减）0万元，与上年相比无变化。</w:t>
      </w:r>
    </w:p>
    <w:p w14:paraId="0D2CAA6A">
      <w:pPr>
        <w:ind w:firstLine="640" w:firstLineChars="200"/>
        <w:jc w:val="left"/>
        <w:rPr>
          <w:rFonts w:hint="eastAsia" w:ascii="仿宋" w:hAnsi="仿宋" w:eastAsia="仿宋"/>
          <w:bCs/>
          <w:sz w:val="32"/>
          <w:szCs w:val="32"/>
          <w:lang w:val="en-US" w:eastAsia="zh-CN"/>
        </w:rPr>
      </w:pPr>
      <w:r>
        <w:rPr>
          <w:rFonts w:hint="eastAsia" w:ascii="仿宋" w:hAnsi="仿宋" w:eastAsia="仿宋"/>
          <w:bCs/>
          <w:sz w:val="32"/>
          <w:szCs w:val="32"/>
          <w:lang w:val="en-US" w:eastAsia="zh-CN"/>
        </w:rPr>
        <w:t>公务接待0.5万元，比上年增（减）0万元，主要原因是：适当减少公务接待，控制经费支出。</w:t>
      </w:r>
    </w:p>
    <w:p w14:paraId="2F7AF919">
      <w:pPr>
        <w:ind w:firstLine="640" w:firstLineChars="200"/>
        <w:jc w:val="left"/>
        <w:rPr>
          <w:rFonts w:hint="eastAsia" w:ascii="仿宋" w:hAnsi="仿宋" w:eastAsia="仿宋"/>
          <w:bCs/>
          <w:sz w:val="32"/>
          <w:szCs w:val="32"/>
          <w:lang w:val="en-US" w:eastAsia="zh-CN"/>
        </w:rPr>
      </w:pPr>
      <w:r>
        <w:rPr>
          <w:rFonts w:hint="eastAsia" w:ascii="仿宋" w:hAnsi="仿宋" w:eastAsia="仿宋"/>
          <w:bCs/>
          <w:sz w:val="32"/>
          <w:szCs w:val="32"/>
          <w:lang w:val="en-US" w:eastAsia="zh-CN"/>
        </w:rPr>
        <w:t>公务用车运行0万元，比上年增（减）0万元，与上年相比无变化。</w:t>
      </w:r>
    </w:p>
    <w:p w14:paraId="40B6D1AF">
      <w:pPr>
        <w:ind w:firstLine="640" w:firstLineChars="200"/>
        <w:jc w:val="left"/>
        <w:rPr>
          <w:rFonts w:hint="eastAsia" w:ascii="仿宋" w:hAnsi="仿宋" w:eastAsia="仿宋"/>
          <w:bCs/>
          <w:sz w:val="32"/>
          <w:szCs w:val="32"/>
          <w:lang w:val="en-US" w:eastAsia="zh-CN"/>
        </w:rPr>
      </w:pPr>
      <w:r>
        <w:rPr>
          <w:rFonts w:hint="eastAsia" w:ascii="仿宋" w:hAnsi="仿宋" w:eastAsia="仿宋"/>
          <w:bCs/>
          <w:sz w:val="32"/>
          <w:szCs w:val="32"/>
          <w:lang w:val="en-US" w:eastAsia="zh-CN"/>
        </w:rPr>
        <w:t>公务用车购置0万元，比上年增（减）0万元，与上年相比无变化。</w:t>
      </w:r>
    </w:p>
    <w:p w14:paraId="27071EB3">
      <w:pPr>
        <w:widowControl/>
        <w:shd w:val="clear" w:color="auto" w:fill="FFFFFF"/>
        <w:spacing w:line="640" w:lineRule="atLeast"/>
        <w:ind w:firstLine="640"/>
        <w:jc w:val="center"/>
        <w:rPr>
          <w:rFonts w:ascii="仿宋_GB2312" w:eastAsia="仿宋_GB2312"/>
          <w:b/>
          <w:sz w:val="32"/>
          <w:szCs w:val="30"/>
        </w:rPr>
      </w:pPr>
    </w:p>
    <w:p w14:paraId="7E5CD25E">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0153DE73">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635194F4">
      <w:pPr>
        <w:widowControl/>
        <w:numPr>
          <w:ilvl w:val="0"/>
          <w:numId w:val="2"/>
        </w:numPr>
        <w:spacing w:line="600" w:lineRule="exact"/>
        <w:ind w:firstLine="640"/>
        <w:jc w:val="left"/>
        <w:rPr>
          <w:rFonts w:ascii="Adobe 仿宋 Std R" w:hAnsi="Adobe 仿宋 Std R" w:eastAsia="Adobe 仿宋 Std R"/>
          <w:sz w:val="32"/>
          <w:szCs w:val="32"/>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0C3D211C">
      <w:pPr>
        <w:ind w:firstLine="640" w:firstLineChars="200"/>
        <w:rPr>
          <w:rFonts w:ascii="Adobe 仿宋 Std R" w:hAnsi="Adobe 仿宋 Std R" w:eastAsia="Adobe 仿宋 Std R"/>
          <w:sz w:val="32"/>
          <w:szCs w:val="32"/>
        </w:rPr>
      </w:pPr>
    </w:p>
    <w:p w14:paraId="3885C5BE">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46C90B8A">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12E39FC">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713BDEC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334E04A7">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0E1EA11B">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65A18DC8">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24028647">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37EF4B81">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2106CCED">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4F595EE">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38BB9A11">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dobe 仿宋 Std R">
    <w:altName w:val="方正仿宋_GBK"/>
    <w:panose1 w:val="00000000000000000000"/>
    <w:charset w:val="86"/>
    <w:family w:val="roman"/>
    <w:pitch w:val="default"/>
    <w:sig w:usb0="00000000" w:usb1="00000000" w:usb2="00000016" w:usb3="00000000" w:csb0="00060007"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F42FF">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FEB1BC"/>
    <w:multiLevelType w:val="singleLevel"/>
    <w:tmpl w:val="A8FEB1BC"/>
    <w:lvl w:ilvl="0" w:tentative="0">
      <w:start w:val="1"/>
      <w:numFmt w:val="bullet"/>
      <w:pStyle w:val="2"/>
      <w:lvlText w:val=""/>
      <w:lvlJc w:val="left"/>
      <w:pPr>
        <w:tabs>
          <w:tab w:val="left" w:pos="780"/>
        </w:tabs>
        <w:ind w:left="780" w:hanging="360"/>
      </w:pPr>
      <w:rPr>
        <w:rFonts w:hint="default" w:ascii="Wingdings" w:hAnsi="Wingdings"/>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hlODY2MjFhMzM1M2U3NDYzNDUwN2QyM2EzZDgyNTk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A0925FF"/>
    <w:rsid w:val="0C97247A"/>
    <w:rsid w:val="0D034A18"/>
    <w:rsid w:val="0D1A7920"/>
    <w:rsid w:val="0D2269B3"/>
    <w:rsid w:val="0DB3098E"/>
    <w:rsid w:val="0F1F61E9"/>
    <w:rsid w:val="12220323"/>
    <w:rsid w:val="13FB007C"/>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C57797E"/>
    <w:rsid w:val="2F4116BC"/>
    <w:rsid w:val="304075B1"/>
    <w:rsid w:val="311C29BA"/>
    <w:rsid w:val="318814ED"/>
    <w:rsid w:val="31931AC3"/>
    <w:rsid w:val="3328400E"/>
    <w:rsid w:val="351512FA"/>
    <w:rsid w:val="374647FA"/>
    <w:rsid w:val="37D68C70"/>
    <w:rsid w:val="39A3581F"/>
    <w:rsid w:val="39CE49D8"/>
    <w:rsid w:val="3A841EE9"/>
    <w:rsid w:val="3A9F1A72"/>
    <w:rsid w:val="3ACF1B11"/>
    <w:rsid w:val="3B7D1841"/>
    <w:rsid w:val="3BA35A87"/>
    <w:rsid w:val="3BA6547C"/>
    <w:rsid w:val="3C7F508F"/>
    <w:rsid w:val="3DC49DE1"/>
    <w:rsid w:val="3DD2151D"/>
    <w:rsid w:val="3F383632"/>
    <w:rsid w:val="3FA910A9"/>
    <w:rsid w:val="3FF84E58"/>
    <w:rsid w:val="4052753A"/>
    <w:rsid w:val="41737C65"/>
    <w:rsid w:val="423D1BAA"/>
    <w:rsid w:val="42DC038C"/>
    <w:rsid w:val="439178F5"/>
    <w:rsid w:val="45D833CA"/>
    <w:rsid w:val="464E5AFF"/>
    <w:rsid w:val="4DB628F2"/>
    <w:rsid w:val="4E0D4F31"/>
    <w:rsid w:val="4EFF051F"/>
    <w:rsid w:val="528E6F80"/>
    <w:rsid w:val="53516268"/>
    <w:rsid w:val="55924F68"/>
    <w:rsid w:val="55EE43AE"/>
    <w:rsid w:val="55FF14AB"/>
    <w:rsid w:val="56C47F55"/>
    <w:rsid w:val="573A53AA"/>
    <w:rsid w:val="57DBF392"/>
    <w:rsid w:val="5AB93E8B"/>
    <w:rsid w:val="5EA31F07"/>
    <w:rsid w:val="5EDA0640"/>
    <w:rsid w:val="5F193B70"/>
    <w:rsid w:val="5FD75704"/>
    <w:rsid w:val="5FFDFF7E"/>
    <w:rsid w:val="61D17BB5"/>
    <w:rsid w:val="61E31A71"/>
    <w:rsid w:val="62283DE4"/>
    <w:rsid w:val="63E33020"/>
    <w:rsid w:val="656229B9"/>
    <w:rsid w:val="658856FB"/>
    <w:rsid w:val="67B10C38"/>
    <w:rsid w:val="67DC7D34"/>
    <w:rsid w:val="68E97589"/>
    <w:rsid w:val="6BE248E5"/>
    <w:rsid w:val="6C617282"/>
    <w:rsid w:val="6CCB135B"/>
    <w:rsid w:val="6EAF555B"/>
    <w:rsid w:val="6EDB6140"/>
    <w:rsid w:val="6EFB77CB"/>
    <w:rsid w:val="6F2C7111"/>
    <w:rsid w:val="714A36AC"/>
    <w:rsid w:val="71AF11DD"/>
    <w:rsid w:val="72746F20"/>
    <w:rsid w:val="73543105"/>
    <w:rsid w:val="73A85115"/>
    <w:rsid w:val="742B1232"/>
    <w:rsid w:val="759E1500"/>
    <w:rsid w:val="7ADBBBF9"/>
    <w:rsid w:val="7C1C38B8"/>
    <w:rsid w:val="7D1C2D3E"/>
    <w:rsid w:val="7DFEDF25"/>
    <w:rsid w:val="7EAD5634"/>
    <w:rsid w:val="7ECC59A9"/>
    <w:rsid w:val="7FB7473A"/>
    <w:rsid w:val="7FBE4139"/>
    <w:rsid w:val="AEF79EC3"/>
    <w:rsid w:val="BB5AE9D3"/>
    <w:rsid w:val="BFBF17FE"/>
    <w:rsid w:val="D7FD61D9"/>
    <w:rsid w:val="DBB534A1"/>
    <w:rsid w:val="DF3F6EE8"/>
    <w:rsid w:val="EEFF652A"/>
    <w:rsid w:val="EFFAA346"/>
    <w:rsid w:val="F27E59C5"/>
    <w:rsid w:val="F3DB782C"/>
    <w:rsid w:val="FEEDBD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5"/>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List Bullet 2"/>
    <w:basedOn w:val="1"/>
    <w:semiHidden/>
    <w:unhideWhenUsed/>
    <w:qFormat/>
    <w:uiPriority w:val="99"/>
    <w:pPr>
      <w:numPr>
        <w:ilvl w:val="0"/>
        <w:numId w:val="1"/>
      </w:numPr>
    </w:p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qFormat/>
    <w:uiPriority w:val="0"/>
    <w:rPr>
      <w:color w:val="0000FF"/>
      <w:u w:val="single"/>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row_tree_level_3"/>
    <w:basedOn w:val="7"/>
    <w:qFormat/>
    <w:uiPriority w:val="0"/>
  </w:style>
  <w:style w:type="character" w:customStyle="1" w:styleId="12">
    <w:name w:val="row_tree_level_4"/>
    <w:basedOn w:val="7"/>
    <w:qFormat/>
    <w:uiPriority w:val="0"/>
  </w:style>
  <w:style w:type="paragraph" w:customStyle="1" w:styleId="13">
    <w:name w:val="p0"/>
    <w:basedOn w:val="1"/>
    <w:qFormat/>
    <w:uiPriority w:val="0"/>
    <w:pPr>
      <w:widowControl/>
    </w:pPr>
    <w:rPr>
      <w:rFonts w:ascii="Times New Roman" w:hAnsi="Times New Roman" w:eastAsia="宋体" w:cs="Times New Roman"/>
      <w:kern w:val="0"/>
      <w:szCs w:val="21"/>
    </w:rPr>
  </w:style>
  <w:style w:type="character" w:customStyle="1" w:styleId="14">
    <w:name w:val="15"/>
    <w:basedOn w:val="7"/>
    <w:qFormat/>
    <w:uiPriority w:val="0"/>
    <w:rPr>
      <w:rFonts w:hint="default" w:ascii="Times New Roman" w:hAnsi="Times New Roman" w:cs="Times New Roman"/>
      <w:sz w:val="20"/>
      <w:szCs w:val="20"/>
    </w:rPr>
  </w:style>
  <w:style w:type="character" w:customStyle="1" w:styleId="15">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2782</Words>
  <Characters>3170</Characters>
  <Lines>53</Lines>
  <Paragraphs>15</Paragraphs>
  <TotalTime>1</TotalTime>
  <ScaleCrop>false</ScaleCrop>
  <LinksUpToDate>false</LinksUpToDate>
  <CharactersWithSpaces>3275</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2015-04-23T21:26:00Z</dcterms:created>
  <dc:creator>NTKO</dc:creator>
  <cp:lastModifiedBy>查思奇</cp:lastModifiedBy>
  <dcterms:modified xsi:type="dcterms:W3CDTF">2025-08-28T17:18:46Z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71ECD1639C7F45DE85E3DE8D80F2018C</vt:lpwstr>
  </property>
</Properties>
</file>