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庐山市人社局</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pPr>
        <w:pStyle w:val="11"/>
        <w:spacing w:line="600" w:lineRule="atLeast"/>
        <w:jc w:val="center"/>
        <w:rPr>
          <w:rFonts w:ascii="黑体" w:hAnsi="黑体" w:eastAsia="黑体"/>
          <w:color w:val="auto"/>
          <w:sz w:val="32"/>
          <w:szCs w:val="32"/>
        </w:rPr>
      </w:pPr>
    </w:p>
    <w:p>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pPr>
        <w:pStyle w:val="11"/>
        <w:rPr>
          <w:rFonts w:ascii="宋体" w:hAnsi="宋体"/>
          <w:color w:val="auto"/>
        </w:rPr>
      </w:pPr>
    </w:p>
    <w:p>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pPr>
        <w:widowControl/>
        <w:spacing w:line="580" w:lineRule="exact"/>
        <w:jc w:val="center"/>
        <w:rPr>
          <w:rFonts w:ascii="仿宋_GB2312" w:eastAsia="仿宋_GB2312"/>
          <w:b/>
          <w:color w:val="auto"/>
          <w:sz w:val="32"/>
          <w:szCs w:val="30"/>
        </w:rPr>
      </w:pPr>
    </w:p>
    <w:p>
      <w:pPr>
        <w:widowControl/>
        <w:spacing w:line="580" w:lineRule="exact"/>
        <w:jc w:val="center"/>
        <w:rPr>
          <w:rFonts w:ascii="仿宋_GB2312" w:eastAsia="仿宋_GB2312"/>
          <w:b/>
          <w:color w:val="auto"/>
          <w:sz w:val="32"/>
          <w:szCs w:val="30"/>
        </w:rPr>
      </w:pPr>
    </w:p>
    <w:p>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概况</w:t>
      </w:r>
    </w:p>
    <w:p>
      <w:pPr>
        <w:widowControl/>
        <w:spacing w:line="580" w:lineRule="exact"/>
        <w:jc w:val="left"/>
        <w:rPr>
          <w:rFonts w:asciiTheme="minorEastAsia" w:hAnsiTheme="minorEastAsia"/>
          <w:b/>
          <w:color w:val="auto"/>
          <w:sz w:val="36"/>
          <w:szCs w:val="36"/>
        </w:rPr>
      </w:pPr>
    </w:p>
    <w:p>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pPr>
        <w:spacing w:line="560" w:lineRule="exact"/>
        <w:ind w:left="0" w:right="0" w:firstLine="640"/>
        <w:rPr>
          <w:rFonts w:hint="eastAsia" w:ascii="仿宋_GB2312" w:hAnsi="仿宋_GB2312" w:eastAsia="仿宋_GB2312" w:cs="仿宋_GB2312"/>
        </w:rPr>
      </w:pPr>
      <w:r>
        <w:rPr>
          <w:rFonts w:hint="eastAsia" w:ascii="仿宋_GB2312" w:hAnsi="仿宋_GB2312" w:eastAsia="仿宋_GB2312" w:cs="仿宋_GB2312"/>
          <w:b w:val="0"/>
          <w:kern w:val="2"/>
          <w:sz w:val="32"/>
          <w:szCs w:val="32"/>
          <w:lang w:val="en-US" w:eastAsia="zh-CN" w:bidi="ar-SA"/>
        </w:rPr>
        <w:t>庐山市人社局是主管人力资源和社会保障局工作的市政府（市委）组成部门（直属机构），主要职责是承办市政府系统任免手续等事宜；以及政府系统一般工作人员的考核奖惩工作。综合管理全市行政事业单位人员的调配、专业军官及家属的接受安置、人事计划管理、工资基金管理和专家扶贫等工作；对市内政府系统各单位政务公开工作进行统一规划指导、监督检查，并负责全市事业单位人事制度改革的推行工作。管理全市专业技术人员职称管理工作；组织机关、事业单位工勤人员等级考核评定工作。综合管理全市的养老、失业等社会保险工作，负责政策宣传落实，组织推动社会保险服务体系建设。组织贯彻执行职业分类、职业技能国家标准，推行劳动预备役制度：指导实施各类就业培训。</w:t>
      </w:r>
    </w:p>
    <w:p>
      <w:pPr>
        <w:spacing w:line="560" w:lineRule="exact"/>
        <w:ind w:left="0" w:right="0" w:firstLine="643"/>
        <w:rPr>
          <w:rFonts w:hint="eastAsia" w:ascii="仿宋_GB2312" w:hAnsi="仿宋_GB2312" w:eastAsia="仿宋_GB2312" w:cs="仿宋_GB2312"/>
        </w:rPr>
      </w:pPr>
      <w:r>
        <w:rPr>
          <w:rFonts w:hint="eastAsia" w:ascii="仿宋_GB2312" w:hAnsi="仿宋_GB2312" w:eastAsia="仿宋_GB2312" w:cs="仿宋_GB2312"/>
          <w:b w:val="0"/>
          <w:kern w:val="2"/>
          <w:sz w:val="32"/>
          <w:szCs w:val="32"/>
          <w:lang w:val="en-US" w:eastAsia="zh-CN" w:bidi="ar-SA"/>
        </w:rPr>
        <w:t>其中庐山市就业创业服务中心主要职责:宣传贯彻执行党和政府劳动就业方针、政策，落实省市制定的各项促进就业与再就业政策。具体落实全市城镇就业岗位开发，新增就业、城镇登记失业等工作规划和年度计划，承担全市就业、失业方面的统计和综合分析工作。负责城镇下岗失业人员、城镇新成长劳动力、高校毕业生、失地农民和农村富余劳动力转移就业和培训工作。负责就业登记、失业登记、创业指导、职业培训、职业介绍和劳动保障事务代理等就业服务。落实就业援助政策，对就业困难群体实施就业援助，逐步建立就业援助长效机制。负责推进就业服务体系建设，推进乡镇（街道）、村（社区）人力资源就业援助长效机制。负责对外劳务管理有关工作，开展市内外劳务输出和外出农民工权益维护工作。</w:t>
      </w:r>
    </w:p>
    <w:p>
      <w:pPr>
        <w:widowControl/>
        <w:spacing w:line="580" w:lineRule="exact"/>
        <w:ind w:firstLine="640"/>
        <w:jc w:val="left"/>
        <w:rPr>
          <w:rFonts w:hint="eastAsia" w:ascii="Adobe 仿宋 Std R" w:hAnsi="Adobe 仿宋 Std R" w:eastAsia="Adobe 仿宋 Std R"/>
          <w:color w:val="auto"/>
          <w:sz w:val="32"/>
          <w:szCs w:val="30"/>
          <w:lang w:eastAsia="zh-CN"/>
        </w:rPr>
      </w:pPr>
      <w:r>
        <w:rPr>
          <w:rFonts w:hint="eastAsia" w:ascii="仿宋_GB2312" w:hAnsi="仿宋_GB2312" w:eastAsia="仿宋_GB2312" w:cs="仿宋_GB2312"/>
          <w:b w:val="0"/>
          <w:kern w:val="2"/>
          <w:sz w:val="32"/>
          <w:szCs w:val="32"/>
          <w:lang w:val="en-US" w:eastAsia="zh-CN" w:bidi="ar-SA"/>
        </w:rPr>
        <w:t>庐山市社会保险管理中心的主要职责:负责全市参保单位和个人养老、工伤、失业保险基金的征缴和养老保险基金的支付；承办全市参保单位社会保险登记、变更、注销，社会保险关系转移，灵活就业人员参保、续保工作。贯彻落实党和政府有关城乡居民基本养老保险工作的方针、政策，负责全市城乡居民基本养老保险、 全市农村社会养老保险的经办工作的经办工作。</w:t>
      </w:r>
    </w:p>
    <w:p>
      <w:pPr>
        <w:rPr>
          <w:b/>
          <w:color w:val="auto"/>
          <w:sz w:val="36"/>
          <w:szCs w:val="36"/>
        </w:rPr>
      </w:pPr>
      <w:r>
        <w:rPr>
          <w:rFonts w:hint="eastAsia"/>
          <w:b/>
          <w:color w:val="auto"/>
          <w:sz w:val="36"/>
          <w:szCs w:val="36"/>
        </w:rPr>
        <w:t>二、机构设置及人员情况</w:t>
      </w:r>
    </w:p>
    <w:p>
      <w:pPr>
        <w:ind w:firstLine="640" w:firstLineChars="200"/>
        <w:rPr>
          <w:rFonts w:hint="eastAsia" w:ascii="仿宋" w:hAnsi="仿宋" w:eastAsia="仿宋"/>
          <w:color w:val="auto"/>
          <w:sz w:val="32"/>
          <w:szCs w:val="32"/>
          <w:u w:val="none"/>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庐山市人社局</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1</w:t>
      </w:r>
      <w:r>
        <w:rPr>
          <w:rFonts w:ascii="仿宋" w:hAnsi="仿宋" w:eastAsia="仿宋"/>
          <w:color w:val="auto"/>
          <w:sz w:val="32"/>
          <w:szCs w:val="32"/>
        </w:rPr>
        <w:t>个，</w:t>
      </w:r>
      <w:r>
        <w:rPr>
          <w:rFonts w:hint="eastAsia" w:ascii="仿宋_GB2312" w:hAnsi="仿宋_GB2312" w:eastAsia="仿宋_GB2312" w:cs="仿宋_GB2312"/>
          <w:sz w:val="32"/>
          <w:szCs w:val="32"/>
          <w:lang w:val="en-US" w:eastAsia="zh-CN"/>
        </w:rPr>
        <w:t>内设2个中心、1个大队、5个股室，包括就业创业服务中心、社会保险管理中心、劳动保障监察大队、人事与工资福利股、财务与基金监管股、档案股、政务服务股和办公室</w:t>
      </w:r>
      <w:r>
        <w:rPr>
          <w:rFonts w:hint="eastAsia" w:ascii="仿宋" w:hAnsi="仿宋" w:eastAsia="仿宋"/>
          <w:color w:val="auto"/>
          <w:sz w:val="32"/>
          <w:szCs w:val="32"/>
          <w:u w:val="none"/>
          <w:lang w:val="en-US" w:eastAsia="zh-CN"/>
        </w:rPr>
        <w:t>。</w:t>
      </w:r>
    </w:p>
    <w:p>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64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13</w:t>
      </w:r>
      <w:r>
        <w:rPr>
          <w:rFonts w:ascii="仿宋" w:hAnsi="仿宋" w:eastAsia="仿宋"/>
          <w:color w:val="auto"/>
          <w:sz w:val="32"/>
          <w:szCs w:val="32"/>
        </w:rPr>
        <w:t>人,全部补助事业编制人数</w:t>
      </w:r>
      <w:r>
        <w:rPr>
          <w:rFonts w:hint="eastAsia" w:ascii="仿宋" w:hAnsi="仿宋" w:eastAsia="仿宋"/>
          <w:color w:val="auto"/>
          <w:sz w:val="32"/>
          <w:szCs w:val="32"/>
          <w:lang w:val="en-US" w:eastAsia="zh-CN"/>
        </w:rPr>
        <w:t>51</w:t>
      </w:r>
      <w:r>
        <w:rPr>
          <w:rFonts w:ascii="仿宋" w:hAnsi="仿宋" w:eastAsia="仿宋"/>
          <w:color w:val="auto"/>
          <w:sz w:val="32"/>
          <w:szCs w:val="32"/>
        </w:rPr>
        <w:t>人,部分补助事业编制人数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64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64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13</w:t>
      </w:r>
      <w:r>
        <w:rPr>
          <w:rFonts w:ascii="仿宋" w:hAnsi="仿宋" w:eastAsia="仿宋"/>
          <w:color w:val="auto"/>
          <w:sz w:val="32"/>
          <w:szCs w:val="32"/>
        </w:rPr>
        <w:t>人,全部补助事业在职人数</w:t>
      </w:r>
      <w:r>
        <w:rPr>
          <w:rFonts w:hint="eastAsia" w:ascii="仿宋" w:hAnsi="仿宋" w:eastAsia="仿宋"/>
          <w:color w:val="auto"/>
          <w:sz w:val="32"/>
          <w:szCs w:val="32"/>
          <w:lang w:val="en-US" w:eastAsia="zh-CN"/>
        </w:rPr>
        <w:t>51</w:t>
      </w:r>
      <w:r>
        <w:rPr>
          <w:rFonts w:ascii="仿宋" w:hAnsi="仿宋" w:eastAsia="仿宋"/>
          <w:color w:val="auto"/>
          <w:sz w:val="32"/>
          <w:szCs w:val="32"/>
        </w:rPr>
        <w:t>人,部分补助事业在职人数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31</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color w:val="auto"/>
        </w:rPr>
        <w:fldChar w:fldCharType="end"/>
      </w:r>
    </w:p>
    <w:p>
      <w:pPr>
        <w:ind w:firstLine="640" w:firstLineChars="200"/>
        <w:rPr>
          <w:rFonts w:hint="eastAsia" w:ascii="仿宋" w:hAnsi="仿宋" w:eastAsia="仿宋"/>
          <w:color w:val="auto"/>
          <w:sz w:val="32"/>
          <w:szCs w:val="32"/>
        </w:rPr>
      </w:pPr>
    </w:p>
    <w:p>
      <w:pPr>
        <w:widowControl/>
        <w:spacing w:line="580" w:lineRule="exact"/>
        <w:jc w:val="center"/>
        <w:rPr>
          <w:rFonts w:ascii="仿宋_GB2312" w:eastAsia="仿宋_GB2312"/>
          <w:b/>
          <w:color w:val="auto"/>
          <w:szCs w:val="30"/>
        </w:rPr>
      </w:pPr>
    </w:p>
    <w:p>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pPr>
        <w:ind w:firstLine="640" w:firstLineChars="200"/>
        <w:jc w:val="left"/>
        <w:rPr>
          <w:rFonts w:hint="eastAsia" w:ascii="仿宋" w:hAnsi="仿宋" w:eastAsia="仿宋"/>
          <w:bCs/>
          <w:color w:val="auto"/>
          <w:sz w:val="32"/>
          <w:szCs w:val="32"/>
        </w:rPr>
      </w:pPr>
    </w:p>
    <w:p>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pPr>
        <w:ind w:firstLine="640" w:firstLineChars="200"/>
        <w:jc w:val="left"/>
        <w:rPr>
          <w:rStyle w:val="10"/>
          <w:rFonts w:ascii="仿宋" w:hAnsi="仿宋" w:eastAsia="仿宋"/>
          <w:bCs/>
          <w:color w:val="auto"/>
          <w:sz w:val="32"/>
          <w:szCs w:val="32"/>
        </w:rPr>
      </w:pPr>
    </w:p>
    <w:p>
      <w:pPr>
        <w:ind w:firstLine="640" w:firstLineChars="200"/>
        <w:jc w:val="left"/>
        <w:rPr>
          <w:rStyle w:val="10"/>
          <w:rFonts w:ascii="仿宋" w:hAnsi="仿宋" w:eastAsia="仿宋"/>
          <w:bCs/>
          <w:color w:val="auto"/>
          <w:sz w:val="32"/>
          <w:szCs w:val="32"/>
        </w:rPr>
      </w:pPr>
    </w:p>
    <w:p>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pPr>
        <w:widowControl/>
        <w:spacing w:line="580" w:lineRule="exact"/>
        <w:jc w:val="center"/>
        <w:rPr>
          <w:rFonts w:ascii="仿宋_GB2312" w:eastAsia="仿宋_GB2312"/>
          <w:b/>
          <w:color w:val="auto"/>
          <w:sz w:val="32"/>
          <w:szCs w:val="30"/>
        </w:rPr>
      </w:pPr>
    </w:p>
    <w:p>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pPr>
        <w:widowControl/>
        <w:ind w:firstLine="640" w:firstLineChars="200"/>
        <w:rPr>
          <w:rFonts w:ascii="仿宋" w:hAnsi="仿宋" w:eastAsia="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庐山市人社局</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20466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18845.47</w:t>
      </w:r>
      <w:r>
        <w:rPr>
          <w:rFonts w:ascii="仿宋" w:hAnsi="仿宋" w:eastAsia="仿宋" w:cs="Times New Roman"/>
          <w:color w:val="auto"/>
          <w:kern w:val="0"/>
          <w:sz w:val="32"/>
          <w:szCs w:val="32"/>
        </w:rPr>
        <w:t>万元;</w:t>
      </w:r>
      <w:r>
        <w:rPr>
          <w:color w:val="auto"/>
        </w:rPr>
        <w:fldChar w:fldCharType="end"/>
      </w:r>
      <w:r>
        <w:rPr>
          <w:rFonts w:hint="eastAsia" w:ascii="仿宋_GB2312" w:hAnsi="仿宋_GB2312" w:eastAsia="仿宋_GB2312" w:cs="仿宋_GB2312"/>
          <w:color w:val="auto"/>
          <w:sz w:val="32"/>
          <w:szCs w:val="32"/>
          <w:u w:val="none"/>
          <w:lang w:val="en-US" w:eastAsia="zh-CN"/>
        </w:rPr>
        <w:t>增加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20016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18610.47</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增加原因为</w:t>
      </w:r>
      <w:r>
        <w:rPr>
          <w:rFonts w:hint="eastAsia" w:ascii="仿宋_GB2312" w:hAnsi="仿宋_GB2312" w:eastAsia="仿宋_GB2312" w:cs="仿宋_GB2312"/>
          <w:color w:val="auto"/>
          <w:sz w:val="32"/>
          <w:szCs w:val="32"/>
          <w:u w:val="none"/>
          <w:lang w:val="en-US" w:eastAsia="zh-CN"/>
        </w:rPr>
        <w:t>：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;事业单位经营收入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万元,较上年预算安排增加（减少）</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color w:val="auto"/>
        </w:rPr>
        <w:fldChar w:fldCharType="end"/>
      </w:r>
    </w:p>
    <w:p>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庐山市人社局</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Style w:val="10"/>
          <w:rFonts w:hint="eastAsia" w:ascii="仿宋" w:hAnsi="仿宋" w:eastAsia="仿宋"/>
          <w:color w:val="auto"/>
          <w:sz w:val="32"/>
          <w:szCs w:val="32"/>
          <w:lang w:val="en-US" w:eastAsia="zh-CN"/>
        </w:rPr>
        <w:t>20466</w:t>
      </w:r>
      <w:r>
        <w:rPr>
          <w:rStyle w:val="10"/>
          <w:rFonts w:ascii="仿宋" w:hAnsi="仿宋" w:eastAsia="仿宋"/>
          <w:color w:val="auto"/>
          <w:sz w:val="32"/>
          <w:szCs w:val="32"/>
        </w:rPr>
        <w:t>万元,较上年预算安排增加</w:t>
      </w:r>
      <w:r>
        <w:rPr>
          <w:rFonts w:hint="eastAsia" w:ascii="仿宋" w:hAnsi="仿宋" w:eastAsia="仿宋" w:cs="Times New Roman"/>
          <w:color w:val="auto"/>
          <w:kern w:val="0"/>
          <w:sz w:val="32"/>
          <w:szCs w:val="32"/>
          <w:lang w:val="en-US" w:eastAsia="zh-CN"/>
        </w:rPr>
        <w:t>18845.47</w:t>
      </w:r>
      <w:r>
        <w:rPr>
          <w:rStyle w:val="10"/>
          <w:rFonts w:ascii="仿宋" w:hAnsi="仿宋" w:eastAsia="仿宋"/>
          <w:color w:val="auto"/>
          <w:sz w:val="32"/>
          <w:szCs w:val="32"/>
        </w:rPr>
        <w:t>万元;</w:t>
      </w:r>
      <w:r>
        <w:rPr>
          <w:color w:val="auto"/>
        </w:rPr>
        <w:fldChar w:fldCharType="end"/>
      </w:r>
      <w:r>
        <w:rPr>
          <w:rFonts w:hint="eastAsia" w:ascii="仿宋_GB2312" w:hAnsi="仿宋_GB2312" w:eastAsia="仿宋_GB2312" w:cs="仿宋_GB2312"/>
          <w:color w:val="auto"/>
          <w:sz w:val="32"/>
          <w:szCs w:val="32"/>
          <w:u w:val="none"/>
          <w:lang w:val="en-US" w:eastAsia="zh-CN"/>
        </w:rPr>
        <w:t>增加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p>
    <w:p>
      <w:pPr>
        <w:widowControl/>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1248.49</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2.78</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1151.7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91.43</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5.37</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19217.51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18848.25</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t>;其中：商品和服务支出</w:t>
      </w:r>
      <w:r>
        <w:rPr>
          <w:rStyle w:val="10"/>
          <w:rFonts w:hint="eastAsia" w:ascii="仿宋" w:hAnsi="仿宋" w:eastAsia="仿宋"/>
          <w:color w:val="auto"/>
          <w:sz w:val="32"/>
          <w:szCs w:val="32"/>
          <w:lang w:val="en-US" w:eastAsia="zh-CN"/>
        </w:rPr>
        <w:t>619.86</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81.3</w:t>
      </w:r>
      <w:r>
        <w:rPr>
          <w:rStyle w:val="10"/>
          <w:rFonts w:ascii="仿宋" w:hAnsi="仿宋" w:eastAsia="仿宋"/>
          <w:color w:val="auto"/>
          <w:sz w:val="32"/>
          <w:szCs w:val="32"/>
        </w:rPr>
        <w:t>万元。</w:t>
      </w:r>
    </w:p>
    <w:p>
      <w:pPr>
        <w:ind w:firstLine="640" w:firstLineChars="200"/>
        <w:rPr>
          <w:rStyle w:val="10"/>
          <w:rFonts w:ascii="仿宋" w:hAnsi="仿宋" w:eastAsia="仿宋"/>
          <w:b/>
          <w:color w:val="auto"/>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18828.14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17484.3</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60.9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18.56</w:t>
      </w:r>
      <w:r>
        <w:rPr>
          <w:rStyle w:val="10"/>
          <w:rFonts w:ascii="仿宋" w:hAnsi="仿宋" w:eastAsia="仿宋"/>
          <w:color w:val="auto"/>
          <w:sz w:val="32"/>
          <w:szCs w:val="32"/>
        </w:rPr>
        <w:t>万元;</w:t>
      </w:r>
      <w:r>
        <w:rPr>
          <w:rStyle w:val="10"/>
          <w:rFonts w:hint="eastAsia" w:ascii="仿宋_GB2312" w:hAnsi="仿宋_GB2312" w:eastAsia="仿宋_GB2312" w:cs="仿宋_GB2312"/>
          <w:color w:val="auto"/>
          <w:sz w:val="32"/>
          <w:szCs w:val="32"/>
          <w:u w:val="none"/>
          <w:lang w:val="en-US" w:eastAsia="zh-CN"/>
        </w:rPr>
        <w:t>农林水</w:t>
      </w:r>
      <w:r>
        <w:rPr>
          <w:rStyle w:val="10"/>
          <w:rFonts w:hint="eastAsia" w:ascii="仿宋_GB2312" w:hAnsi="仿宋_GB2312" w:eastAsia="仿宋_GB2312" w:cs="仿宋_GB2312"/>
          <w:color w:val="auto"/>
          <w:sz w:val="32"/>
          <w:szCs w:val="32"/>
          <w:u w:val="none"/>
        </w:rPr>
        <w:t>支出</w:t>
      </w:r>
      <w:r>
        <w:rPr>
          <w:rStyle w:val="10"/>
          <w:rFonts w:hint="eastAsia" w:ascii="仿宋_GB2312" w:hAnsi="仿宋_GB2312" w:eastAsia="仿宋_GB2312" w:cs="仿宋_GB2312"/>
          <w:color w:val="auto"/>
          <w:sz w:val="32"/>
          <w:szCs w:val="32"/>
          <w:u w:val="none"/>
          <w:lang w:val="en-US" w:eastAsia="zh-CN"/>
        </w:rPr>
        <w:t>1488.16</w:t>
      </w:r>
      <w:r>
        <w:rPr>
          <w:rStyle w:val="10"/>
          <w:rFonts w:hint="eastAsia" w:ascii="仿宋_GB2312" w:hAnsi="仿宋_GB2312" w:eastAsia="仿宋_GB2312" w:cs="仿宋_GB2312"/>
          <w:color w:val="auto"/>
          <w:sz w:val="32"/>
          <w:szCs w:val="32"/>
          <w:u w:val="none"/>
        </w:rPr>
        <w:t>万元,较上年预算安排</w:t>
      </w:r>
      <w:r>
        <w:rPr>
          <w:rStyle w:val="10"/>
          <w:rFonts w:hint="eastAsia" w:ascii="仿宋_GB2312" w:hAnsi="仿宋_GB2312" w:eastAsia="仿宋_GB2312" w:cs="仿宋_GB2312"/>
          <w:color w:val="auto"/>
          <w:sz w:val="32"/>
          <w:szCs w:val="32"/>
          <w:u w:val="none"/>
          <w:lang w:val="en-US" w:eastAsia="zh-CN"/>
        </w:rPr>
        <w:t>增加1346.5</w:t>
      </w:r>
      <w:r>
        <w:rPr>
          <w:rStyle w:val="10"/>
          <w:rFonts w:hint="eastAsia" w:ascii="仿宋_GB2312" w:hAnsi="仿宋_GB2312" w:eastAsia="仿宋_GB2312" w:cs="仿宋_GB2312"/>
          <w:color w:val="auto"/>
          <w:sz w:val="32"/>
          <w:szCs w:val="32"/>
          <w:u w:val="none"/>
        </w:rPr>
        <w:t>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88.8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3.89</w:t>
      </w:r>
      <w:r>
        <w:rPr>
          <w:rStyle w:val="10"/>
          <w:rFonts w:ascii="仿宋" w:hAnsi="仿宋" w:eastAsia="仿宋"/>
          <w:color w:val="auto"/>
          <w:sz w:val="32"/>
          <w:szCs w:val="32"/>
        </w:rPr>
        <w:t>万元。</w:t>
      </w:r>
      <w:r>
        <w:rPr>
          <w:color w:val="auto"/>
        </w:rPr>
        <w:fldChar w:fldCharType="end"/>
      </w:r>
    </w:p>
    <w:p>
      <w:pPr>
        <w:ind w:firstLine="640" w:firstLineChars="200"/>
        <w:rPr>
          <w:color w:val="auto"/>
        </w:rPr>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lang w:val="en-US" w:eastAsia="zh-CN"/>
        </w:rPr>
        <w:t>1218.7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8.52</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711.29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382.99</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18454.71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18424.7</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81.3</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46.3</w:t>
      </w:r>
      <w:r>
        <w:rPr>
          <w:rStyle w:val="10"/>
          <w:rFonts w:ascii="仿宋" w:hAnsi="仿宋" w:eastAsia="仿宋"/>
          <w:color w:val="auto"/>
          <w:sz w:val="32"/>
          <w:szCs w:val="32"/>
        </w:rPr>
        <w:t>万元。</w:t>
      </w:r>
      <w:r>
        <w:rPr>
          <w:color w:val="auto"/>
        </w:rPr>
        <w:fldChar w:fldCharType="end"/>
      </w:r>
    </w:p>
    <w:p>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庐山市人社局</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Style w:val="10"/>
          <w:rFonts w:hint="eastAsia" w:ascii="仿宋" w:hAnsi="仿宋" w:eastAsia="仿宋"/>
          <w:color w:val="auto"/>
          <w:sz w:val="32"/>
          <w:szCs w:val="32"/>
          <w:lang w:val="en-US" w:eastAsia="zh-CN"/>
        </w:rPr>
        <w:t>20016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18610.47</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w:t>
      </w:r>
      <w:r>
        <w:rPr>
          <w:rFonts w:hint="eastAsia" w:ascii="仿宋_GB2312" w:hAnsi="仿宋_GB2312" w:eastAsia="仿宋_GB2312" w:cs="仿宋_GB2312"/>
          <w:color w:val="auto"/>
          <w:sz w:val="32"/>
          <w:szCs w:val="32"/>
          <w:u w:val="none"/>
          <w:lang w:val="en-US" w:eastAsia="zh-CN"/>
        </w:rPr>
        <w:t>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p>
    <w:p>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lang w:val="en-US" w:eastAsia="zh-CN"/>
        </w:rPr>
        <w:t>18812.14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17683.3</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lang w:val="en-US" w:eastAsia="zh-CN"/>
        </w:rPr>
        <w:t>60.9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18.56</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hint="eastAsia" w:ascii="仿宋_GB2312" w:hAnsi="仿宋_GB2312" w:eastAsia="仿宋_GB2312" w:cs="仿宋_GB2312"/>
          <w:color w:val="auto"/>
          <w:sz w:val="32"/>
          <w:szCs w:val="32"/>
          <w:u w:val="none"/>
          <w:lang w:val="en-US" w:eastAsia="zh-CN"/>
        </w:rPr>
        <w:t>农林水</w:t>
      </w:r>
      <w:r>
        <w:rPr>
          <w:rStyle w:val="10"/>
          <w:rFonts w:hint="eastAsia" w:ascii="仿宋_GB2312" w:hAnsi="仿宋_GB2312" w:eastAsia="仿宋_GB2312" w:cs="仿宋_GB2312"/>
          <w:color w:val="auto"/>
          <w:sz w:val="32"/>
          <w:szCs w:val="32"/>
          <w:u w:val="none"/>
        </w:rPr>
        <w:t>支出</w:t>
      </w:r>
      <w:r>
        <w:rPr>
          <w:rStyle w:val="10"/>
          <w:rFonts w:hint="eastAsia" w:ascii="仿宋_GB2312" w:hAnsi="仿宋_GB2312" w:eastAsia="仿宋_GB2312" w:cs="仿宋_GB2312"/>
          <w:color w:val="auto"/>
          <w:sz w:val="32"/>
          <w:szCs w:val="32"/>
          <w:u w:val="none"/>
          <w:lang w:val="en-US" w:eastAsia="zh-CN"/>
        </w:rPr>
        <w:t>1054.16</w:t>
      </w:r>
      <w:r>
        <w:rPr>
          <w:rStyle w:val="10"/>
          <w:rFonts w:hint="eastAsia" w:ascii="仿宋_GB2312" w:hAnsi="仿宋_GB2312" w:eastAsia="仿宋_GB2312" w:cs="仿宋_GB2312"/>
          <w:color w:val="auto"/>
          <w:sz w:val="32"/>
          <w:szCs w:val="32"/>
          <w:u w:val="none"/>
        </w:rPr>
        <w:t>万元,较上年预算安排</w:t>
      </w:r>
      <w:r>
        <w:rPr>
          <w:rStyle w:val="10"/>
          <w:rFonts w:hint="eastAsia" w:ascii="仿宋_GB2312" w:hAnsi="仿宋_GB2312" w:eastAsia="仿宋_GB2312" w:cs="仿宋_GB2312"/>
          <w:color w:val="auto"/>
          <w:sz w:val="32"/>
          <w:szCs w:val="32"/>
          <w:u w:val="none"/>
          <w:lang w:val="en-US" w:eastAsia="zh-CN"/>
        </w:rPr>
        <w:t>增加912.5</w:t>
      </w:r>
      <w:r>
        <w:rPr>
          <w:rStyle w:val="10"/>
          <w:rFonts w:hint="eastAsia" w:ascii="仿宋_GB2312" w:hAnsi="仿宋_GB2312" w:eastAsia="仿宋_GB2312" w:cs="仿宋_GB2312"/>
          <w:color w:val="auto"/>
          <w:sz w:val="32"/>
          <w:szCs w:val="32"/>
          <w:u w:val="none"/>
        </w:rPr>
        <w:t>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88.8</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lang w:val="en-US" w:eastAsia="zh-CN"/>
        </w:rPr>
        <w:t>3.89</w:t>
      </w:r>
      <w:r>
        <w:rPr>
          <w:rStyle w:val="10"/>
          <w:rFonts w:ascii="仿宋" w:hAnsi="仿宋" w:eastAsia="仿宋"/>
          <w:color w:val="auto"/>
          <w:sz w:val="32"/>
          <w:szCs w:val="32"/>
        </w:rPr>
        <w:t>万元。</w:t>
      </w:r>
      <w:r>
        <w:rPr>
          <w:color w:val="auto"/>
        </w:rPr>
        <w:fldChar w:fldCharType="end"/>
      </w:r>
    </w:p>
    <w:p>
      <w:pPr>
        <w:ind w:firstLine="640" w:firstLineChars="200"/>
        <w:rPr>
          <w:color w:val="auto"/>
        </w:rPr>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1248.49</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2.78</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1151.7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91.43</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5.37</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18767.51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18613.25</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lang w:val="en-US" w:eastAsia="zh-CN"/>
        </w:rPr>
        <w:t>603.86</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81.3</w:t>
      </w:r>
      <w:r>
        <w:rPr>
          <w:rStyle w:val="10"/>
          <w:rFonts w:ascii="仿宋" w:hAnsi="仿宋" w:eastAsia="仿宋"/>
          <w:color w:val="auto"/>
          <w:sz w:val="32"/>
          <w:szCs w:val="32"/>
        </w:rPr>
        <w:t>万元。</w:t>
      </w:r>
      <w:r>
        <w:rPr>
          <w:color w:val="auto"/>
        </w:rPr>
        <w:fldChar w:fldCharType="end"/>
      </w:r>
    </w:p>
    <w:p>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pPr>
        <w:ind w:firstLine="640" w:firstLineChars="200"/>
        <w:rPr>
          <w:rStyle w:val="10"/>
          <w:rFonts w:ascii="仿宋" w:hAnsi="仿宋" w:eastAsia="仿宋"/>
          <w:color w:val="auto"/>
          <w:sz w:val="32"/>
          <w:szCs w:val="32"/>
        </w:rPr>
      </w:pPr>
      <w:r>
        <w:rPr>
          <w:rStyle w:val="10"/>
          <w:rFonts w:hint="eastAsia" w:ascii="仿宋" w:hAnsi="仿宋" w:eastAsia="仿宋" w:cs="Times New Roman"/>
          <w:color w:val="auto"/>
          <w:sz w:val="32"/>
          <w:szCs w:val="32"/>
        </w:rPr>
        <w:t>本单位没有使用政府性基金预算拨款安排的支出</w:t>
      </w:r>
      <w:r>
        <w:rPr>
          <w:rStyle w:val="10"/>
          <w:rFonts w:hint="eastAsia" w:ascii="仿宋" w:hAnsi="仿宋" w:eastAsia="仿宋" w:cs="Times New Roman"/>
          <w:color w:val="auto"/>
          <w:sz w:val="32"/>
          <w:szCs w:val="32"/>
          <w:lang w:eastAsia="zh-CN"/>
        </w:rPr>
        <w:t>。</w:t>
      </w:r>
    </w:p>
    <w:p>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pPr>
        <w:widowControl/>
        <w:ind w:firstLine="640" w:firstLineChars="200"/>
        <w:rPr>
          <w:rStyle w:val="10"/>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本</w:t>
      </w:r>
      <w:r>
        <w:rPr>
          <w:rStyle w:val="10"/>
          <w:rFonts w:hint="eastAsia" w:ascii="Adobe 仿宋 Std R" w:hAnsi="Adobe 仿宋 Std R" w:eastAsia="Adobe 仿宋 Std R"/>
          <w:color w:val="auto"/>
          <w:sz w:val="32"/>
          <w:szCs w:val="32"/>
          <w:lang w:val="en-US" w:eastAsia="zh-CN"/>
        </w:rPr>
        <w:t>部门</w:t>
      </w:r>
      <w:r>
        <w:rPr>
          <w:rStyle w:val="10"/>
          <w:rFonts w:hint="eastAsia" w:ascii="Adobe 仿宋 Std R" w:hAnsi="Adobe 仿宋 Std R" w:eastAsia="Adobe 仿宋 Std R"/>
          <w:color w:val="auto"/>
          <w:sz w:val="32"/>
          <w:szCs w:val="32"/>
        </w:rPr>
        <w:t>没有使用国有资本经营预算拨款安排的支出</w:t>
      </w:r>
      <w:r>
        <w:rPr>
          <w:rStyle w:val="10"/>
          <w:rFonts w:hint="eastAsia" w:ascii="Adobe 仿宋 Std R" w:hAnsi="Adobe 仿宋 Std R" w:eastAsia="Adobe 仿宋 Std R"/>
          <w:color w:val="auto"/>
          <w:sz w:val="32"/>
          <w:szCs w:val="32"/>
          <w:lang w:eastAsia="zh-CN"/>
        </w:rPr>
        <w:t>。</w:t>
      </w:r>
    </w:p>
    <w:p>
      <w:pPr>
        <w:ind w:firstLine="321" w:firstLineChars="100"/>
        <w:rPr>
          <w:rStyle w:val="10"/>
          <w:rFonts w:ascii="Adobe 仿宋 Std R" w:hAnsi="Adobe 仿宋 Std R" w:eastAsia="Adobe 仿宋 Std R"/>
          <w:b/>
          <w:color w:val="auto"/>
          <w:sz w:val="32"/>
          <w:szCs w:val="32"/>
        </w:rPr>
      </w:pPr>
      <w:r>
        <w:rPr>
          <w:rStyle w:val="10"/>
          <w:rFonts w:hint="eastAsia" w:asciiTheme="majorEastAsia" w:hAnsiTheme="majorEastAsia" w:eastAsiaTheme="majorEastAsia"/>
          <w:b/>
          <w:color w:val="auto"/>
          <w:sz w:val="32"/>
          <w:szCs w:val="32"/>
        </w:rPr>
        <w:t xml:space="preserve"> </w:t>
      </w:r>
      <w:r>
        <w:rPr>
          <w:rStyle w:val="10"/>
          <w:rFonts w:hint="eastAsia" w:ascii="Adobe 仿宋 Std R" w:hAnsi="Adobe 仿宋 Std R" w:eastAsia="Adobe 仿宋 Std R"/>
          <w:b/>
          <w:color w:val="auto"/>
          <w:sz w:val="32"/>
          <w:szCs w:val="32"/>
        </w:rPr>
        <w:t>(六)机关运行经费等重要事项的说明</w:t>
      </w:r>
    </w:p>
    <w:p>
      <w:pPr>
        <w:widowControl/>
        <w:ind w:firstLine="640" w:firstLineChars="200"/>
        <w:rPr>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202</w:t>
      </w:r>
      <w:r>
        <w:rPr>
          <w:rStyle w:val="10"/>
          <w:rFonts w:hint="eastAsia" w:ascii="Adobe 仿宋 Std R" w:hAnsi="Adobe 仿宋 Std R" w:eastAsia="Adobe 仿宋 Std R"/>
          <w:color w:val="auto"/>
          <w:sz w:val="32"/>
          <w:szCs w:val="32"/>
          <w:lang w:val="en-US" w:eastAsia="zh-CN"/>
        </w:rPr>
        <w:t>4</w:t>
      </w:r>
      <w:r>
        <w:rPr>
          <w:rStyle w:val="10"/>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91.43</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2.18</w:t>
      </w:r>
      <w:r>
        <w:rPr>
          <w:rFonts w:hint="eastAsia" w:ascii="Adobe 仿宋 Std R" w:hAnsi="Adobe 仿宋 Std R" w:eastAsia="Adobe 仿宋 Std R"/>
          <w:color w:val="auto"/>
          <w:sz w:val="32"/>
          <w:szCs w:val="32"/>
        </w:rPr>
        <w:t>万元，增长下降</w:t>
      </w:r>
      <w:r>
        <w:rPr>
          <w:rFonts w:hint="eastAsia" w:ascii="Adobe 仿宋 Std R" w:hAnsi="Adobe 仿宋 Std R" w:eastAsia="Adobe 仿宋 Std R"/>
          <w:color w:val="auto"/>
          <w:sz w:val="32"/>
          <w:szCs w:val="32"/>
          <w:lang w:val="en-US" w:eastAsia="zh-CN"/>
        </w:rPr>
        <w:t>2.33</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下降原因为</w:t>
      </w:r>
      <w:r>
        <w:rPr>
          <w:rFonts w:hint="eastAsia" w:ascii="仿宋_GB2312" w:hAnsi="仿宋_GB2312" w:eastAsia="仿宋_GB2312" w:cs="仿宋_GB2312"/>
          <w:color w:val="auto"/>
          <w:sz w:val="32"/>
          <w:szCs w:val="32"/>
          <w:u w:val="none"/>
          <w:lang w:val="en-US" w:eastAsia="zh-CN"/>
        </w:rPr>
        <w:t>应政策要求，过紧日子，节省公用经费开支</w:t>
      </w:r>
      <w:r>
        <w:rPr>
          <w:rFonts w:hint="eastAsia" w:ascii="仿宋" w:hAnsi="仿宋" w:eastAsia="仿宋" w:cs="Times New Roman"/>
          <w:color w:val="auto"/>
          <w:kern w:val="0"/>
          <w:sz w:val="32"/>
          <w:szCs w:val="32"/>
          <w:lang w:val="en-US" w:eastAsia="zh-CN"/>
        </w:rPr>
        <w:t>。</w:t>
      </w:r>
    </w:p>
    <w:p>
      <w:pPr>
        <w:widowControl/>
        <w:spacing w:line="580" w:lineRule="exact"/>
        <w:ind w:firstLine="636"/>
        <w:jc w:val="left"/>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10万元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2万元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14万元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1万元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11万元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w:t>
      </w:r>
      <w:r>
        <w:rPr>
          <w:rFonts w:hint="eastAsia" w:ascii="Adobe 仿宋 Std R" w:hAnsi="Adobe 仿宋 Std R" w:eastAsia="Adobe 仿宋 Std R"/>
          <w:color w:val="auto"/>
          <w:sz w:val="32"/>
          <w:szCs w:val="32"/>
          <w:lang w:val="en-US" w:eastAsia="zh-CN"/>
        </w:rPr>
        <w:t>接待</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3.54万元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劳务</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22.13万元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工会经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9.76万元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其他商品和服务支出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13万元</w:t>
      </w:r>
      <w:r>
        <w:rPr>
          <w:rFonts w:hint="eastAsia" w:ascii="仿宋_GB2312" w:hAnsi="仿宋_GB2312" w:eastAsia="仿宋_GB2312" w:cs="仿宋_GB2312"/>
          <w:sz w:val="32"/>
          <w:szCs w:val="32"/>
        </w:rPr>
        <w:t>。</w:t>
      </w:r>
    </w:p>
    <w:p>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13.8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13.8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pPr>
        <w:widowControl/>
        <w:spacing w:line="580" w:lineRule="exact"/>
        <w:ind w:firstLine="320" w:firstLineChars="100"/>
        <w:jc w:val="left"/>
        <w:rPr>
          <w:rStyle w:val="10"/>
          <w:rFonts w:ascii="Adobe 仿宋 Std R" w:hAnsi="Adobe 仿宋 Std R" w:eastAsia="Adobe 仿宋 Std R"/>
          <w:b/>
          <w:color w:val="auto"/>
          <w:sz w:val="32"/>
          <w:szCs w:val="32"/>
        </w:rPr>
      </w:pPr>
      <w:r>
        <w:rPr>
          <w:rFonts w:hint="eastAsia"/>
          <w:color w:val="auto"/>
          <w:sz w:val="32"/>
        </w:rPr>
        <w:t xml:space="preserve"> </w:t>
      </w:r>
      <w:r>
        <w:rPr>
          <w:rStyle w:val="10"/>
          <w:rFonts w:hint="eastAsia" w:ascii="Adobe 仿宋 Std R" w:hAnsi="Adobe 仿宋 Std R" w:eastAsia="Adobe 仿宋 Std R"/>
          <w:b/>
          <w:color w:val="auto"/>
          <w:sz w:val="32"/>
          <w:szCs w:val="32"/>
        </w:rPr>
        <w:t>(八)国有资产占有使用情况</w:t>
      </w:r>
    </w:p>
    <w:p>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pPr>
        <w:ind w:firstLine="642"/>
        <w:rPr>
          <w:rFonts w:ascii="仿宋_GB2312" w:eastAsia="仿宋_GB2312"/>
          <w:color w:val="auto"/>
          <w:sz w:val="32"/>
          <w:szCs w:val="30"/>
          <w:u w:val="none"/>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仿宋_GB2312" w:eastAsia="仿宋_GB2312"/>
          <w:color w:val="auto"/>
          <w:sz w:val="32"/>
          <w:szCs w:val="30"/>
          <w:u w:val="none"/>
          <w:lang w:val="en-US" w:eastAsia="zh-CN"/>
        </w:rPr>
        <w:t>无</w:t>
      </w:r>
      <w:r>
        <w:rPr>
          <w:rFonts w:hint="eastAsia" w:ascii="仿宋_GB2312" w:eastAsia="仿宋_GB2312"/>
          <w:color w:val="auto"/>
          <w:sz w:val="32"/>
          <w:szCs w:val="30"/>
          <w:u w:val="none"/>
        </w:rPr>
        <w:t>。</w:t>
      </w:r>
    </w:p>
    <w:p>
      <w:pPr>
        <w:ind w:firstLine="321" w:firstLineChars="100"/>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w:t>
      </w:r>
      <w:r>
        <w:rPr>
          <w:rStyle w:val="10"/>
          <w:rFonts w:hint="eastAsia" w:ascii="Adobe 仿宋 Std R" w:hAnsi="Adobe 仿宋 Std R" w:eastAsia="Adobe 仿宋 Std R"/>
          <w:b/>
          <w:color w:val="auto"/>
          <w:sz w:val="32"/>
          <w:szCs w:val="32"/>
          <w:lang w:val="en-US" w:eastAsia="zh-CN"/>
        </w:rPr>
        <w:t>庐山市人社局</w:t>
      </w:r>
      <w:r>
        <w:rPr>
          <w:rStyle w:val="10"/>
          <w:rFonts w:hint="eastAsia" w:ascii="Adobe 仿宋 Std R" w:hAnsi="Adobe 仿宋 Std R" w:eastAsia="Adobe 仿宋 Std R"/>
          <w:b/>
          <w:color w:val="auto"/>
          <w:sz w:val="32"/>
          <w:szCs w:val="32"/>
        </w:rPr>
        <w:t>项目情况说明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Adobe 仿宋 Std R" w:hAnsi="Adobe 仿宋 Std R" w:eastAsia="Adobe 仿宋 Std R"/>
          <w:color w:val="auto"/>
          <w:sz w:val="32"/>
          <w:szCs w:val="32"/>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“财政对机关事业单位养老保险的补助”</w:t>
      </w:r>
      <w:r>
        <w:rPr>
          <w:rFonts w:hint="eastAsia" w:ascii="仿宋_GB2312" w:hAnsi="仿宋_GB2312" w:eastAsia="仿宋_GB2312" w:cs="仿宋_GB2312"/>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1）项目概述：我市</w:t>
      </w:r>
      <w:r>
        <w:rPr>
          <w:rFonts w:hint="eastAsia" w:ascii="仿宋_GB2312" w:hAnsi="仿宋_GB2312" w:eastAsia="仿宋_GB2312" w:cs="仿宋_GB2312"/>
          <w:color w:val="auto"/>
          <w:sz w:val="32"/>
          <w:szCs w:val="32"/>
          <w:lang w:val="en-US" w:eastAsia="zh-CN"/>
        </w:rPr>
        <w:t>机关养老保险退休人员的养老金发放</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）立项依据：赣人社</w:t>
      </w:r>
      <w:r>
        <w:rPr>
          <w:rFonts w:hint="eastAsia" w:ascii="仿宋_GB2312" w:hAnsi="仿宋_GB2312" w:eastAsia="仿宋_GB2312" w:cs="仿宋_GB2312"/>
          <w:color w:val="auto"/>
          <w:sz w:val="32"/>
          <w:szCs w:val="32"/>
          <w:lang w:val="en-US" w:eastAsia="zh-CN"/>
        </w:rPr>
        <w:t>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 xml:space="preserve"> 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lang w:eastAsia="zh-CN"/>
        </w:rPr>
        <w:t>上级财政资金保障和地方财政配套实施，每年由人社局负责发放。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10000万元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“失地农民养老保险缴费财政补贴”</w:t>
      </w:r>
      <w:r>
        <w:rPr>
          <w:rFonts w:hint="eastAsia" w:ascii="仿宋_GB2312" w:hAnsi="仿宋_GB2312" w:eastAsia="仿宋_GB2312" w:cs="仿宋_GB2312"/>
          <w:color w:val="auto"/>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确保失地农民退休人员能按时享受相关补助，领取退休待遇，保障失地农民的基本生活水平。</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庐府办发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97</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由县级财政负担，财政补助资金划入人社局失地农民养老金专户</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3621.29万元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“三支一扶</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eastAsia="zh-CN"/>
        </w:rPr>
        <w:t>经费补助”</w:t>
      </w:r>
      <w:r>
        <w:rPr>
          <w:rFonts w:hint="eastAsia" w:ascii="仿宋_GB2312" w:hAnsi="仿宋_GB2312" w:eastAsia="仿宋_GB2312" w:cs="仿宋_GB2312"/>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1）项目概述：我市20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lang w:val="en-US" w:eastAsia="zh-CN"/>
        </w:rPr>
        <w:t>和2023年</w:t>
      </w:r>
      <w:r>
        <w:rPr>
          <w:rFonts w:hint="eastAsia" w:ascii="仿宋_GB2312" w:hAnsi="仿宋_GB2312" w:eastAsia="仿宋_GB2312" w:cs="仿宋_GB2312"/>
          <w:color w:val="auto"/>
          <w:sz w:val="32"/>
          <w:szCs w:val="32"/>
          <w:lang w:eastAsia="zh-CN"/>
        </w:rPr>
        <w:t>招募“三支一扶”工作人员</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人，我局承担全市“三支一扶”的补贴、奖金、安家补助及五险的扣缴工作。</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）立项依据：赣</w:t>
      </w:r>
      <w:r>
        <w:rPr>
          <w:rFonts w:hint="eastAsia" w:ascii="仿宋_GB2312" w:hAnsi="仿宋_GB2312" w:eastAsia="仿宋_GB2312" w:cs="仿宋_GB2312"/>
          <w:color w:val="auto"/>
          <w:sz w:val="32"/>
          <w:szCs w:val="32"/>
          <w:lang w:val="en-US" w:eastAsia="zh-CN"/>
        </w:rPr>
        <w:t>三支一扶办字</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：该项目有上级财政资金保障和地方财政配套实施，每年由人社局负责发放。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202.16万元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“偿还改制企业政府挂账资金”</w:t>
      </w:r>
      <w:r>
        <w:rPr>
          <w:rFonts w:hint="eastAsia" w:ascii="仿宋_GB2312" w:hAnsi="仿宋_GB2312" w:eastAsia="仿宋_GB2312" w:cs="仿宋_GB2312"/>
          <w:color w:val="auto"/>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县级财政</w:t>
      </w:r>
      <w:r>
        <w:rPr>
          <w:rFonts w:hint="eastAsia" w:ascii="仿宋_GB2312" w:hAnsi="仿宋_GB2312" w:eastAsia="仿宋_GB2312" w:cs="仿宋_GB2312"/>
          <w:color w:val="auto"/>
          <w:sz w:val="32"/>
          <w:szCs w:val="32"/>
          <w:lang w:eastAsia="zh-CN"/>
        </w:rPr>
        <w:t>偿还改制企业政府挂账资金。</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庐人社文</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地方政府偿还改制企业养老保险清欠资金</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448万元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“城乡居民基本养老保险”</w:t>
      </w:r>
      <w:r>
        <w:rPr>
          <w:rFonts w:hint="eastAsia" w:ascii="仿宋_GB2312" w:hAnsi="仿宋_GB2312" w:eastAsia="仿宋_GB2312" w:cs="仿宋_GB2312"/>
          <w:color w:val="auto"/>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确保全市60周岁以上参保居民基本养老金及时足额发放。</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赣人社发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：该项目有上级财政资金保障和地方财政配套实施，每年由人社局负责发放。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2545.75万元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“加大创业担保贷款扶持力度”</w:t>
      </w:r>
      <w:r>
        <w:rPr>
          <w:rFonts w:hint="eastAsia" w:ascii="仿宋_GB2312" w:hAnsi="仿宋_GB2312" w:eastAsia="仿宋_GB2312" w:cs="仿宋_GB2312"/>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1）项目概述：全部资金按规定用于创贷贴息政策扶持。</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南银发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133</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lang w:eastAsia="zh-CN"/>
        </w:rPr>
        <w:t>地方财政配套实施，每年由人社局负责发放。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752万元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“就业补助地方配套资金”</w:t>
      </w:r>
      <w:r>
        <w:rPr>
          <w:rFonts w:hint="eastAsia" w:ascii="仿宋_GB2312" w:hAnsi="仿宋_GB2312" w:eastAsia="仿宋_GB2312" w:cs="仿宋_GB2312"/>
          <w:color w:val="auto"/>
          <w:sz w:val="32"/>
          <w:szCs w:val="32"/>
        </w:rPr>
        <w:t>项目</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县级财政负担就业补助</w:t>
      </w:r>
      <w:r>
        <w:rPr>
          <w:rFonts w:hint="eastAsia" w:ascii="仿宋_GB2312" w:hAnsi="仿宋_GB2312" w:eastAsia="仿宋_GB2312" w:cs="仿宋_GB2312"/>
          <w:color w:val="auto"/>
          <w:sz w:val="32"/>
          <w:szCs w:val="32"/>
          <w:lang w:eastAsia="zh-CN"/>
        </w:rPr>
        <w:t>资金。</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赣财社</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号文件</w:t>
      </w:r>
    </w:p>
    <w:p>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资金按规定用于职业培训补贴、职业技能鉴定补贴、社会保险补贴、公益性岗位补贴、就业见习补贴、求职创业补贴、就业创业服务补贴、高技能人才培养补助等支出以及经省级人民政府批准的其他支出项目</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pPr>
        <w:pStyle w:val="1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288万元</w:t>
      </w:r>
    </w:p>
    <w:p>
      <w:pPr>
        <w:widowControl/>
        <w:spacing w:line="580" w:lineRule="exact"/>
        <w:jc w:val="left"/>
        <w:rPr>
          <w:rFonts w:ascii="楷体_GB2312" w:eastAsia="楷体_GB2312"/>
          <w:b/>
          <w:color w:val="auto"/>
          <w:sz w:val="32"/>
          <w:szCs w:val="30"/>
        </w:rPr>
      </w:pPr>
      <w:bookmarkStart w:id="0" w:name="_GoBack"/>
      <w:bookmarkEnd w:id="0"/>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庐山市人社局</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3.54</w:t>
      </w:r>
      <w:r>
        <w:rPr>
          <w:rFonts w:hint="eastAsia" w:ascii="仿宋" w:hAnsi="仿宋" w:eastAsia="仿宋"/>
          <w:bCs/>
          <w:color w:val="auto"/>
          <w:sz w:val="32"/>
          <w:szCs w:val="32"/>
        </w:rPr>
        <w:t>万元，其中：</w:t>
      </w:r>
    </w:p>
    <w:p>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color w:val="auto"/>
          <w:sz w:val="32"/>
          <w:szCs w:val="32"/>
        </w:rPr>
        <w:t>。</w:t>
      </w:r>
    </w:p>
    <w:p>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3.54</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1.54</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2024年上级对社保基金以及就业基金的检查调研增多</w:t>
      </w:r>
      <w:r>
        <w:rPr>
          <w:rFonts w:ascii="仿宋" w:hAnsi="仿宋" w:eastAsia="仿宋"/>
          <w:bCs/>
          <w:color w:val="auto"/>
          <w:sz w:val="32"/>
          <w:szCs w:val="32"/>
        </w:rPr>
        <w:t>。</w:t>
      </w:r>
    </w:p>
    <w:p>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color w:val="auto"/>
          <w:sz w:val="32"/>
          <w:szCs w:val="32"/>
        </w:rPr>
        <w:t>。</w:t>
      </w:r>
    </w:p>
    <w:p>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pPr>
        <w:widowControl/>
        <w:shd w:val="clear" w:color="auto" w:fill="FFFFFF"/>
        <w:spacing w:line="640" w:lineRule="atLeast"/>
        <w:ind w:firstLine="640"/>
        <w:jc w:val="center"/>
        <w:rPr>
          <w:rFonts w:ascii="仿宋_GB2312" w:eastAsia="仿宋_GB2312"/>
          <w:b/>
          <w:color w:val="auto"/>
          <w:sz w:val="32"/>
          <w:szCs w:val="30"/>
        </w:rPr>
      </w:pPr>
    </w:p>
    <w:p>
      <w:pPr>
        <w:widowControl/>
        <w:shd w:val="clear" w:color="auto" w:fill="FFFFFF"/>
        <w:spacing w:line="640" w:lineRule="atLeast"/>
        <w:ind w:firstLine="640"/>
        <w:jc w:val="center"/>
        <w:rPr>
          <w:rFonts w:hint="eastAsia" w:ascii="仿宋_GB2312" w:eastAsia="仿宋_GB2312"/>
          <w:b/>
          <w:color w:val="auto"/>
          <w:sz w:val="32"/>
          <w:szCs w:val="30"/>
        </w:rPr>
      </w:pPr>
    </w:p>
    <w:p>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pPr>
        <w:ind w:firstLine="640" w:firstLineChars="200"/>
        <w:rPr>
          <w:rFonts w:ascii="Adobe 仿宋 Std R" w:hAnsi="Adobe 仿宋 Std R" w:eastAsia="Adobe 仿宋 Std R"/>
          <w:color w:val="auto"/>
          <w:sz w:val="32"/>
          <w:szCs w:val="32"/>
        </w:rPr>
      </w:pPr>
    </w:p>
    <w:p>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ascii="仿宋_GB2312" w:eastAsia="仿宋_GB2312"/>
          <w:color w:val="auto"/>
          <w:sz w:val="32"/>
          <w:szCs w:val="30"/>
        </w:rPr>
      </w:pPr>
    </w:p>
    <w:p>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mYThlYzJkYjMzZWVhMTJmYmU3YWIyODg3YWY5Mj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5FAD4EE9"/>
    <w:rsid w:val="61E0552E"/>
    <w:rsid w:val="62D6302D"/>
    <w:rsid w:val="63306EE5"/>
    <w:rsid w:val="633916A0"/>
    <w:rsid w:val="63E33020"/>
    <w:rsid w:val="6464197D"/>
    <w:rsid w:val="64EB571C"/>
    <w:rsid w:val="656A2922"/>
    <w:rsid w:val="65810156"/>
    <w:rsid w:val="689978CA"/>
    <w:rsid w:val="68D24F6C"/>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 w:type="paragraph" w:customStyle="1" w:styleId="13">
    <w:name w:val="正文文本缩进 31"/>
    <w:basedOn w:val="1"/>
    <w:qFormat/>
    <w:uiPriority w:val="0"/>
    <w:pPr>
      <w:ind w:left="420" w:leftChars="200"/>
    </w:pPr>
    <w:rPr>
      <w:rFonts w:ascii="Calibri" w:hAnsi="Calibri" w:eastAsia="仿宋"/>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0</TotalTime>
  <ScaleCrop>false</ScaleCrop>
  <LinksUpToDate>false</LinksUpToDate>
  <CharactersWithSpaces>7198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汪苏平</cp:lastModifiedBy>
  <dcterms:modified xsi:type="dcterms:W3CDTF">2024-02-07T04:57:59Z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A93DC2F9B7EA4C24AD99D217B69141EB_13</vt:lpwstr>
  </property>
</Properties>
</file>