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D8AEC">
      <w:pPr>
        <w:widowControl/>
        <w:spacing w:line="520" w:lineRule="atLeast"/>
        <w:jc w:val="center"/>
        <w:rPr>
          <w:rFonts w:ascii="黑体" w:hAnsi="黑体" w:eastAsia="黑体" w:cs="Times New Roman"/>
          <w:b/>
          <w:bCs/>
          <w:color w:val="auto"/>
          <w:kern w:val="0"/>
          <w:sz w:val="44"/>
          <w:szCs w:val="44"/>
        </w:rPr>
      </w:pPr>
      <w:r>
        <w:rPr>
          <w:rFonts w:hint="eastAsia" w:ascii="黑体" w:hAnsi="黑体" w:eastAsia="黑体" w:cs="Times New Roman"/>
          <w:b/>
          <w:bCs/>
          <w:color w:val="auto"/>
          <w:kern w:val="0"/>
          <w:sz w:val="44"/>
          <w:szCs w:val="44"/>
          <w:lang w:val="en-US" w:eastAsia="zh-CN"/>
        </w:rPr>
        <w:t>庐山市人社局</w:t>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年单位预算</w:t>
      </w:r>
    </w:p>
    <w:p w14:paraId="7967C5CE">
      <w:pPr>
        <w:pStyle w:val="12"/>
        <w:spacing w:line="600" w:lineRule="atLeast"/>
        <w:jc w:val="center"/>
        <w:rPr>
          <w:rFonts w:ascii="黑体" w:hAnsi="黑体" w:eastAsia="黑体"/>
          <w:color w:val="auto"/>
          <w:sz w:val="32"/>
          <w:szCs w:val="32"/>
        </w:rPr>
      </w:pPr>
    </w:p>
    <w:p w14:paraId="3941A95D">
      <w:pPr>
        <w:pStyle w:val="12"/>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p>
    <w:p w14:paraId="44530F1E">
      <w:pPr>
        <w:pStyle w:val="12"/>
        <w:rPr>
          <w:rFonts w:ascii="宋体" w:hAnsi="宋体"/>
          <w:color w:val="auto"/>
        </w:rPr>
      </w:pPr>
    </w:p>
    <w:p w14:paraId="68E9B04F">
      <w:pPr>
        <w:pStyle w:val="12"/>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庐山市人社局</w:t>
      </w:r>
      <w:r>
        <w:rPr>
          <w:color w:val="auto"/>
        </w:rPr>
        <w:fldChar w:fldCharType="end"/>
      </w:r>
      <w:r>
        <w:rPr>
          <w:rFonts w:hint="eastAsia" w:ascii="仿宋_GB2312" w:eastAsia="仿宋_GB2312"/>
          <w:b/>
          <w:bCs/>
          <w:color w:val="auto"/>
          <w:sz w:val="32"/>
          <w:szCs w:val="32"/>
        </w:rPr>
        <w:t>概况</w:t>
      </w:r>
      <w:r>
        <w:rPr>
          <w:rFonts w:ascii="仿宋_GB2312" w:eastAsia="仿宋_GB2312"/>
          <w:b/>
          <w:bCs/>
          <w:color w:val="auto"/>
          <w:sz w:val="32"/>
          <w:szCs w:val="32"/>
        </w:rPr>
        <w:tab/>
      </w:r>
    </w:p>
    <w:p w14:paraId="4342A915">
      <w:pPr>
        <w:pStyle w:val="12"/>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主要职责</w:t>
      </w:r>
    </w:p>
    <w:p w14:paraId="18E5DBCD">
      <w:pPr>
        <w:pStyle w:val="12"/>
        <w:spacing w:line="600" w:lineRule="atLeast"/>
        <w:ind w:firstLine="1280" w:firstLineChars="40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63B7259E">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庐山市人社局</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年单位预算表</w:t>
      </w:r>
    </w:p>
    <w:p w14:paraId="22B6DE00">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10EB1D10">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收入总表》</w:t>
      </w:r>
    </w:p>
    <w:p w14:paraId="0B6BD971">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支出总表》</w:t>
      </w:r>
    </w:p>
    <w:p w14:paraId="1350537D">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4F8F1894">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716C8A2F">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57B95F4D">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7FAD10DA">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14:paraId="0424A64B">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3DB0944E">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067DB8E3">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庐山市人社局</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年单位预算情况说明</w:t>
      </w:r>
    </w:p>
    <w:p w14:paraId="3BC3A03B">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预算收支情况说明</w:t>
      </w:r>
    </w:p>
    <w:p w14:paraId="16E13978">
      <w:pPr>
        <w:pStyle w:val="12"/>
        <w:spacing w:line="600" w:lineRule="atLeast"/>
        <w:ind w:firstLine="1120" w:firstLineChars="35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年“三公”经费预算情况说明</w:t>
      </w:r>
    </w:p>
    <w:p w14:paraId="628E65A7">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p>
    <w:p w14:paraId="2DD3E76A">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第四部分  名词解释</w:t>
      </w:r>
    </w:p>
    <w:p w14:paraId="143F386F">
      <w:pPr>
        <w:widowControl/>
        <w:spacing w:line="580" w:lineRule="exact"/>
        <w:jc w:val="center"/>
        <w:rPr>
          <w:rFonts w:ascii="仿宋_GB2312" w:eastAsia="仿宋_GB2312"/>
          <w:b/>
          <w:color w:val="auto"/>
          <w:sz w:val="32"/>
          <w:szCs w:val="30"/>
        </w:rPr>
      </w:pPr>
    </w:p>
    <w:p w14:paraId="7213C935">
      <w:pPr>
        <w:widowControl/>
        <w:spacing w:line="580" w:lineRule="exact"/>
        <w:jc w:val="center"/>
        <w:rPr>
          <w:rFonts w:ascii="仿宋_GB2312" w:eastAsia="仿宋_GB2312"/>
          <w:b/>
          <w:color w:val="auto"/>
          <w:sz w:val="32"/>
          <w:szCs w:val="30"/>
        </w:rPr>
      </w:pPr>
    </w:p>
    <w:p w14:paraId="239947E9">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庐山市人社局</w:t>
      </w:r>
      <w:r>
        <w:rPr>
          <w:color w:val="auto"/>
        </w:rPr>
        <w:fldChar w:fldCharType="end"/>
      </w:r>
      <w:r>
        <w:rPr>
          <w:rFonts w:hint="eastAsia" w:ascii="仿宋_GB2312" w:eastAsia="仿宋_GB2312"/>
          <w:b/>
          <w:color w:val="auto"/>
          <w:sz w:val="32"/>
          <w:szCs w:val="30"/>
        </w:rPr>
        <w:t>概况</w:t>
      </w:r>
    </w:p>
    <w:p w14:paraId="6346A931">
      <w:pPr>
        <w:widowControl/>
        <w:spacing w:line="580" w:lineRule="exact"/>
        <w:jc w:val="left"/>
        <w:rPr>
          <w:rFonts w:asciiTheme="minorEastAsia" w:hAnsiTheme="minorEastAsia"/>
          <w:b/>
          <w:color w:val="auto"/>
          <w:sz w:val="36"/>
          <w:szCs w:val="36"/>
        </w:rPr>
      </w:pPr>
    </w:p>
    <w:p w14:paraId="73810DCA">
      <w:pPr>
        <w:widowControl/>
        <w:spacing w:line="580" w:lineRule="exact"/>
        <w:jc w:val="left"/>
        <w:rPr>
          <w:rFonts w:asciiTheme="minorEastAsia" w:hAnsiTheme="minorEastAsia"/>
          <w:b/>
          <w:color w:val="auto"/>
          <w:sz w:val="36"/>
          <w:szCs w:val="36"/>
        </w:rPr>
      </w:pPr>
      <w:r>
        <w:rPr>
          <w:rFonts w:hint="eastAsia" w:asciiTheme="minorEastAsia" w:hAnsiTheme="minorEastAsia"/>
          <w:b/>
          <w:color w:val="auto"/>
          <w:sz w:val="36"/>
          <w:szCs w:val="36"/>
        </w:rPr>
        <w:t>一、单位主要职责</w:t>
      </w:r>
    </w:p>
    <w:p w14:paraId="62D53E81">
      <w:pPr>
        <w:spacing w:line="560" w:lineRule="exact"/>
        <w:ind w:left="0" w:right="0" w:firstLine="640"/>
        <w:rPr>
          <w:rFonts w:hint="eastAsia" w:ascii="仿宋_GB2312" w:hAnsi="仿宋_GB2312" w:eastAsia="仿宋_GB2312" w:cs="仿宋_GB2312"/>
        </w:rPr>
      </w:pPr>
      <w:r>
        <w:rPr>
          <w:rFonts w:hint="eastAsia" w:ascii="仿宋_GB2312" w:hAnsi="仿宋_GB2312" w:eastAsia="仿宋_GB2312" w:cs="仿宋_GB2312"/>
          <w:b w:val="0"/>
          <w:kern w:val="2"/>
          <w:sz w:val="32"/>
          <w:szCs w:val="32"/>
          <w:lang w:val="en-US" w:eastAsia="zh-CN" w:bidi="ar-SA"/>
        </w:rPr>
        <w:t>庐山市人社局是主管人力资源和社会保障局工作的市政府（市委）组成部门（直属机构），主要职责是承办市政府系统任免手续等事宜；以及政府系统一般工作人员的考核奖惩工作。综合管理全市行政事业单位人员的调配、专业军官及家属的接受安置、人事计划管理、工资基金管理和专家扶贫等工作；对市内政府系统各单位政务公开工作进行统一规划指导、监督检查，并负责全市事业单位人事制度改革的推行工作。管理全市专业技术人员职称管理工作；组织机关、事业单位工勤人员等级考核评定工作。综合管理全市的养老、失业等社会保险工作，负责政策宣传落实，组织推动社会保险服务体系建设。组织贯彻执行职业分类、职业技能国家标准，推行劳动预备役制度：指导实施各类就业培训。</w:t>
      </w:r>
    </w:p>
    <w:p w14:paraId="2D111682">
      <w:pPr>
        <w:spacing w:line="560" w:lineRule="exact"/>
        <w:ind w:left="0" w:right="0" w:firstLine="643"/>
        <w:rPr>
          <w:rFonts w:hint="eastAsia" w:ascii="仿宋_GB2312" w:hAnsi="仿宋_GB2312" w:eastAsia="仿宋_GB2312" w:cs="仿宋_GB2312"/>
        </w:rPr>
      </w:pPr>
      <w:r>
        <w:rPr>
          <w:rFonts w:hint="eastAsia" w:ascii="仿宋_GB2312" w:hAnsi="仿宋_GB2312" w:eastAsia="仿宋_GB2312" w:cs="仿宋_GB2312"/>
          <w:b w:val="0"/>
          <w:kern w:val="2"/>
          <w:sz w:val="32"/>
          <w:szCs w:val="32"/>
          <w:lang w:val="en-US" w:eastAsia="zh-CN" w:bidi="ar-SA"/>
        </w:rPr>
        <w:t>其中庐山市就业创业服务中心主要职责:宣传贯彻执行党和政府劳动就业方针、政策，落实省市制定的各项促进就业与再就业政策。具体落实全市城镇就业岗位开发，新增就业、城镇登记失业等工作规划和年度计划，承担全市就业、失业方面的统计和综合分析工作。负责城镇下岗失业人员、城镇新成长劳动力、高校毕业生、失地农民和农村富余劳动力转移就业和培训工作。负责就业登记、失业登记、创业指导、职业培训、职业介绍和劳动保障事务代理等就业服务。落实就业援助政策，对就业困难群体实施就业援助，逐步建立就业援助长效机制。负责推进就业服务体系建设，推进乡镇（街道）、村（社区）人力资源就业援助长效机制。负责对外劳务管理有关工作，开展市内外劳务输出和外出农民工权益维护工作。</w:t>
      </w:r>
    </w:p>
    <w:p w14:paraId="16E12B16">
      <w:pPr>
        <w:widowControl/>
        <w:spacing w:line="580" w:lineRule="exact"/>
        <w:ind w:firstLine="640"/>
        <w:jc w:val="left"/>
        <w:rPr>
          <w:rFonts w:ascii="Adobe 仿宋 Std R" w:hAnsi="Adobe 仿宋 Std R" w:eastAsia="Adobe 仿宋 Std R"/>
          <w:color w:val="auto"/>
          <w:sz w:val="32"/>
          <w:szCs w:val="30"/>
        </w:rPr>
      </w:pPr>
      <w:r>
        <w:rPr>
          <w:rFonts w:hint="eastAsia" w:ascii="仿宋_GB2312" w:hAnsi="仿宋_GB2312" w:eastAsia="仿宋_GB2312" w:cs="仿宋_GB2312"/>
          <w:b w:val="0"/>
          <w:kern w:val="2"/>
          <w:sz w:val="32"/>
          <w:szCs w:val="32"/>
          <w:lang w:val="en-US" w:eastAsia="zh-CN" w:bidi="ar-SA"/>
        </w:rPr>
        <w:t>庐山市社会保险管理中心的主要职责:负责全市参保单位和个人养老、工伤、失业保险基金的征缴和养老保险基金的支付；承办全市参保单位社会保险登记、变更、注销，社会保险关系转移，灵活就业人员参保、续保工作。贯彻落实党和政府有关城乡居民基本养老保险工作的方针、政策，负责全市城乡居民基本养老保险、 全市农村社会养老保险的经办工作的经办工作。</w:t>
      </w:r>
    </w:p>
    <w:p w14:paraId="3B99FF7C">
      <w:pPr>
        <w:rPr>
          <w:b/>
          <w:color w:val="auto"/>
          <w:sz w:val="36"/>
          <w:szCs w:val="36"/>
        </w:rPr>
      </w:pPr>
      <w:r>
        <w:rPr>
          <w:rFonts w:hint="eastAsia"/>
          <w:b/>
          <w:color w:val="auto"/>
          <w:sz w:val="36"/>
          <w:szCs w:val="36"/>
        </w:rPr>
        <w:t>二、机构设置及人员情况</w:t>
      </w:r>
    </w:p>
    <w:p w14:paraId="2E14F212">
      <w:pPr>
        <w:ind w:firstLine="640" w:firstLineChars="200"/>
        <w:rPr>
          <w:rStyle w:val="14"/>
          <w:color w:val="auto"/>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${page540426799.ds254512694_REP_JXJC_AGENCY_WZR_NAME}</w:instrText>
      </w:r>
      <w:r>
        <w:rPr>
          <w:rFonts w:ascii="仿宋" w:hAnsi="仿宋" w:eastAsia="仿宋"/>
          <w:color w:val="auto"/>
          <w:sz w:val="32"/>
          <w:szCs w:val="32"/>
        </w:rPr>
        <w:fldChar w:fldCharType="separate"/>
      </w:r>
      <w:r>
        <w:rPr>
          <w:rFonts w:hint="eastAsia" w:ascii="仿宋" w:hAnsi="仿宋" w:eastAsia="仿宋"/>
          <w:color w:val="auto"/>
          <w:sz w:val="32"/>
          <w:szCs w:val="32"/>
          <w:lang w:eastAsia="zh-CN"/>
        </w:rPr>
        <w:t>庐山市人社局</w:t>
      </w:r>
      <w:r>
        <w:rPr>
          <w:color w:val="auto"/>
        </w:rPr>
        <w:fldChar w:fldCharType="end"/>
      </w:r>
      <w:r>
        <w:rPr>
          <w:rFonts w:hint="eastAsia" w:ascii="仿宋_GB2312" w:hAnsi="仿宋_GB2312" w:eastAsia="仿宋_GB2312" w:cs="仿宋_GB2312"/>
          <w:sz w:val="32"/>
          <w:szCs w:val="32"/>
          <w:lang w:val="en-US" w:eastAsia="zh-CN"/>
        </w:rPr>
        <w:t>内设2个中心、1个大队、5个股室，包括就业创业服务中心、社会保险管理中心、劳动保障监察大队、人事与工资福利股、财务与基金监管股、档案股、政务服务股和办公室</w:t>
      </w:r>
      <w:r>
        <w:rPr>
          <w:rFonts w:hint="eastAsia" w:ascii="仿宋" w:hAnsi="仿宋" w:eastAsia="仿宋"/>
          <w:color w:val="auto"/>
          <w:sz w:val="32"/>
          <w:szCs w:val="32"/>
          <w:u w:val="none"/>
          <w:lang w:val="en-US" w:eastAsia="zh-CN"/>
        </w:rPr>
        <w:t>。</w:t>
      </w:r>
    </w:p>
    <w:p w14:paraId="50282EF6">
      <w:pPr>
        <w:ind w:firstLine="640" w:firstLineChars="200"/>
        <w:rPr>
          <w:rFonts w:ascii="仿宋" w:hAnsi="仿宋" w:eastAsia="仿宋"/>
          <w:color w:val="auto"/>
          <w:sz w:val="32"/>
          <w:szCs w:val="32"/>
          <w:highlight w:val="none"/>
        </w:rPr>
      </w:pPr>
      <w:r>
        <w:rPr>
          <w:rFonts w:ascii="仿宋" w:hAnsi="仿宋" w:eastAsia="仿宋"/>
          <w:color w:val="auto"/>
          <w:sz w:val="32"/>
          <w:szCs w:val="32"/>
          <w:highlight w:val="none"/>
        </w:rPr>
        <w:fldChar w:fldCharType="begin"/>
      </w:r>
      <w:r>
        <w:rPr>
          <w:rFonts w:ascii="仿宋" w:hAnsi="仿宋" w:eastAsia="仿宋"/>
          <w:color w:val="auto"/>
          <w:sz w:val="32"/>
          <w:szCs w:val="32"/>
          <w:highlight w:val="none"/>
        </w:rPr>
        <w:instrText xml:space="preserve">MERGEFIELD ${page400644146.ds532982397_REP_JX_BAS_AGENCY_INFO_ZYFRS_S_BZRSXJ}</w:instrText>
      </w:r>
      <w:r>
        <w:rPr>
          <w:rFonts w:ascii="仿宋" w:hAnsi="仿宋" w:eastAsia="仿宋"/>
          <w:color w:val="auto"/>
          <w:sz w:val="32"/>
          <w:szCs w:val="32"/>
          <w:highlight w:val="none"/>
        </w:rPr>
        <w:fldChar w:fldCharType="separate"/>
      </w:r>
      <w:r>
        <w:rPr>
          <w:rFonts w:ascii="仿宋" w:hAnsi="仿宋" w:eastAsia="仿宋"/>
          <w:color w:val="auto"/>
          <w:sz w:val="32"/>
          <w:szCs w:val="32"/>
          <w:highlight w:val="none"/>
        </w:rPr>
        <w:t>编制人数小计</w:t>
      </w:r>
      <w:r>
        <w:rPr>
          <w:rFonts w:hint="eastAsia" w:ascii="仿宋" w:hAnsi="仿宋" w:eastAsia="仿宋"/>
          <w:color w:val="auto"/>
          <w:sz w:val="32"/>
          <w:szCs w:val="32"/>
          <w:highlight w:val="none"/>
          <w:lang w:val="en-US" w:eastAsia="zh-CN"/>
        </w:rPr>
        <w:t>64</w:t>
      </w:r>
      <w:r>
        <w:rPr>
          <w:rFonts w:ascii="仿宋" w:hAnsi="仿宋" w:eastAsia="仿宋"/>
          <w:color w:val="auto"/>
          <w:sz w:val="32"/>
          <w:szCs w:val="32"/>
          <w:highlight w:val="none"/>
        </w:rPr>
        <w:t>人,</w:t>
      </w:r>
      <w:r>
        <w:rPr>
          <w:color w:val="auto"/>
          <w:highlight w:val="none"/>
        </w:rPr>
        <w:fldChar w:fldCharType="end"/>
      </w:r>
      <w:r>
        <w:rPr>
          <w:rFonts w:ascii="仿宋" w:hAnsi="仿宋" w:eastAsia="仿宋"/>
          <w:color w:val="auto"/>
          <w:sz w:val="32"/>
          <w:szCs w:val="32"/>
          <w:highlight w:val="none"/>
        </w:rPr>
        <w:t>其中：</w:t>
      </w:r>
      <w:r>
        <w:rPr>
          <w:rFonts w:ascii="仿宋" w:hAnsi="仿宋" w:eastAsia="仿宋"/>
          <w:color w:val="auto"/>
          <w:sz w:val="32"/>
          <w:szCs w:val="32"/>
          <w:highlight w:val="none"/>
        </w:rPr>
        <w:fldChar w:fldCharType="begin"/>
      </w:r>
      <w:r>
        <w:rPr>
          <w:rFonts w:ascii="仿宋" w:hAnsi="仿宋" w:eastAsia="仿宋"/>
          <w:color w:val="auto"/>
          <w:sz w:val="32"/>
          <w:szCs w:val="32"/>
          <w:highlight w:val="none"/>
        </w:rPr>
        <w:instrText xml:space="preserve">MERGEFIELD ${page400644146.ds532982397_REP_JX_BAS_AGENCY_INFO_ZYFRS_S_BZRSMX}</w:instrText>
      </w:r>
      <w:r>
        <w:rPr>
          <w:rFonts w:ascii="仿宋" w:hAnsi="仿宋" w:eastAsia="仿宋"/>
          <w:color w:val="auto"/>
          <w:sz w:val="32"/>
          <w:szCs w:val="32"/>
          <w:highlight w:val="none"/>
        </w:rPr>
        <w:fldChar w:fldCharType="separate"/>
      </w:r>
      <w:r>
        <w:rPr>
          <w:rFonts w:ascii="仿宋" w:hAnsi="仿宋" w:eastAsia="仿宋"/>
          <w:color w:val="auto"/>
          <w:sz w:val="32"/>
          <w:szCs w:val="32"/>
          <w:highlight w:val="none"/>
        </w:rPr>
        <w:t>行政编制人数</w:t>
      </w:r>
      <w:r>
        <w:rPr>
          <w:rFonts w:hint="eastAsia" w:ascii="仿宋" w:hAnsi="仿宋" w:eastAsia="仿宋"/>
          <w:color w:val="auto"/>
          <w:sz w:val="32"/>
          <w:szCs w:val="32"/>
          <w:highlight w:val="none"/>
          <w:lang w:val="en-US" w:eastAsia="zh-CN"/>
        </w:rPr>
        <w:t>13</w:t>
      </w:r>
      <w:r>
        <w:rPr>
          <w:rFonts w:ascii="仿宋" w:hAnsi="仿宋" w:eastAsia="仿宋"/>
          <w:color w:val="auto"/>
          <w:sz w:val="32"/>
          <w:szCs w:val="32"/>
          <w:highlight w:val="none"/>
        </w:rPr>
        <w:t>人,全部补助事业编制人数</w:t>
      </w:r>
      <w:r>
        <w:rPr>
          <w:rFonts w:hint="eastAsia" w:ascii="仿宋" w:hAnsi="仿宋" w:eastAsia="仿宋"/>
          <w:color w:val="auto"/>
          <w:sz w:val="32"/>
          <w:szCs w:val="32"/>
          <w:highlight w:val="none"/>
          <w:lang w:val="en-US" w:eastAsia="zh-CN"/>
        </w:rPr>
        <w:t>51</w:t>
      </w:r>
      <w:r>
        <w:rPr>
          <w:rFonts w:ascii="仿宋" w:hAnsi="仿宋" w:eastAsia="仿宋"/>
          <w:color w:val="auto"/>
          <w:sz w:val="32"/>
          <w:szCs w:val="32"/>
          <w:highlight w:val="none"/>
        </w:rPr>
        <w:t>人,部分补助事业编制人数</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人。</w:t>
      </w:r>
      <w:r>
        <w:rPr>
          <w:color w:val="auto"/>
          <w:highlight w:val="none"/>
        </w:rPr>
        <w:fldChar w:fldCharType="end"/>
      </w:r>
      <w:r>
        <w:rPr>
          <w:rFonts w:ascii="仿宋" w:hAnsi="仿宋" w:eastAsia="仿宋"/>
          <w:color w:val="auto"/>
          <w:sz w:val="32"/>
          <w:szCs w:val="32"/>
          <w:highlight w:val="none"/>
        </w:rPr>
        <w:fldChar w:fldCharType="begin"/>
      </w:r>
      <w:r>
        <w:rPr>
          <w:rFonts w:ascii="仿宋" w:hAnsi="仿宋" w:eastAsia="仿宋"/>
          <w:color w:val="auto"/>
          <w:sz w:val="32"/>
          <w:szCs w:val="32"/>
          <w:highlight w:val="none"/>
        </w:rPr>
        <w:instrText xml:space="preserve">MERGEFIELD ${page400644146.ds532982397_REP_JX_BAS_AGENCY_INFO_ZYFRS_S_SYRSXJ}</w:instrText>
      </w:r>
      <w:r>
        <w:rPr>
          <w:rFonts w:ascii="仿宋" w:hAnsi="仿宋" w:eastAsia="仿宋"/>
          <w:color w:val="auto"/>
          <w:sz w:val="32"/>
          <w:szCs w:val="32"/>
          <w:highlight w:val="none"/>
        </w:rPr>
        <w:fldChar w:fldCharType="separate"/>
      </w:r>
      <w:r>
        <w:rPr>
          <w:rFonts w:ascii="仿宋" w:hAnsi="仿宋" w:eastAsia="仿宋"/>
          <w:color w:val="auto"/>
          <w:sz w:val="32"/>
          <w:szCs w:val="32"/>
          <w:highlight w:val="none"/>
        </w:rPr>
        <w:t>实有人数小计</w:t>
      </w:r>
      <w:r>
        <w:rPr>
          <w:rFonts w:hint="eastAsia" w:ascii="仿宋" w:hAnsi="仿宋" w:eastAsia="仿宋"/>
          <w:color w:val="auto"/>
          <w:sz w:val="32"/>
          <w:szCs w:val="32"/>
          <w:highlight w:val="none"/>
          <w:lang w:val="en-US" w:eastAsia="zh-CN"/>
        </w:rPr>
        <w:t>64</w:t>
      </w:r>
      <w:r>
        <w:rPr>
          <w:rFonts w:ascii="仿宋" w:hAnsi="仿宋" w:eastAsia="仿宋"/>
          <w:color w:val="auto"/>
          <w:sz w:val="32"/>
          <w:szCs w:val="32"/>
          <w:highlight w:val="none"/>
        </w:rPr>
        <w:t>人,</w:t>
      </w:r>
      <w:r>
        <w:rPr>
          <w:color w:val="auto"/>
          <w:highlight w:val="none"/>
        </w:rPr>
        <w:fldChar w:fldCharType="end"/>
      </w:r>
      <w:r>
        <w:rPr>
          <w:rFonts w:ascii="仿宋" w:hAnsi="仿宋" w:eastAsia="仿宋"/>
          <w:color w:val="auto"/>
          <w:sz w:val="32"/>
          <w:szCs w:val="32"/>
          <w:highlight w:val="none"/>
        </w:rPr>
        <w:t>其中：</w:t>
      </w:r>
      <w:r>
        <w:rPr>
          <w:rFonts w:ascii="仿宋" w:hAnsi="仿宋" w:eastAsia="仿宋"/>
          <w:color w:val="auto"/>
          <w:sz w:val="32"/>
          <w:szCs w:val="32"/>
          <w:highlight w:val="none"/>
        </w:rPr>
        <w:fldChar w:fldCharType="begin"/>
      </w:r>
      <w:r>
        <w:rPr>
          <w:rFonts w:ascii="仿宋" w:hAnsi="仿宋" w:eastAsia="仿宋"/>
          <w:color w:val="auto"/>
          <w:sz w:val="32"/>
          <w:szCs w:val="32"/>
          <w:highlight w:val="none"/>
        </w:rPr>
        <w:instrText xml:space="preserve">MERGEFIELD ${page400644146.ds532982397_REP_JX_BAS_AGENCY_INFO_ZYFRS_S_ZZRSXJ}</w:instrText>
      </w:r>
      <w:r>
        <w:rPr>
          <w:rFonts w:ascii="仿宋" w:hAnsi="仿宋" w:eastAsia="仿宋"/>
          <w:color w:val="auto"/>
          <w:sz w:val="32"/>
          <w:szCs w:val="32"/>
          <w:highlight w:val="none"/>
        </w:rPr>
        <w:fldChar w:fldCharType="separate"/>
      </w:r>
      <w:r>
        <w:rPr>
          <w:rFonts w:ascii="仿宋" w:hAnsi="仿宋" w:eastAsia="仿宋"/>
          <w:color w:val="auto"/>
          <w:sz w:val="32"/>
          <w:szCs w:val="32"/>
          <w:highlight w:val="none"/>
        </w:rPr>
        <w:t>在职人数小计</w:t>
      </w:r>
      <w:r>
        <w:rPr>
          <w:rFonts w:hint="eastAsia" w:ascii="仿宋" w:hAnsi="仿宋" w:eastAsia="仿宋"/>
          <w:color w:val="auto"/>
          <w:sz w:val="32"/>
          <w:szCs w:val="32"/>
          <w:highlight w:val="none"/>
          <w:lang w:val="en-US" w:eastAsia="zh-CN"/>
        </w:rPr>
        <w:t>64</w:t>
      </w:r>
      <w:r>
        <w:rPr>
          <w:rFonts w:ascii="仿宋" w:hAnsi="仿宋" w:eastAsia="仿宋"/>
          <w:color w:val="auto"/>
          <w:sz w:val="32"/>
          <w:szCs w:val="32"/>
          <w:highlight w:val="none"/>
        </w:rPr>
        <w:t>人,</w:t>
      </w:r>
      <w:r>
        <w:rPr>
          <w:color w:val="auto"/>
          <w:highlight w:val="none"/>
        </w:rPr>
        <w:fldChar w:fldCharType="end"/>
      </w:r>
      <w:r>
        <w:rPr>
          <w:rFonts w:ascii="仿宋" w:hAnsi="仿宋" w:eastAsia="仿宋"/>
          <w:color w:val="auto"/>
          <w:sz w:val="32"/>
          <w:szCs w:val="32"/>
          <w:highlight w:val="none"/>
        </w:rPr>
        <w:fldChar w:fldCharType="begin"/>
      </w:r>
      <w:r>
        <w:rPr>
          <w:rFonts w:ascii="仿宋" w:hAnsi="仿宋" w:eastAsia="仿宋"/>
          <w:color w:val="auto"/>
          <w:sz w:val="32"/>
          <w:szCs w:val="32"/>
          <w:highlight w:val="none"/>
        </w:rPr>
        <w:instrText xml:space="preserve">MERGEFIELD ${page400644146.ds532982397_REP_JX_BAS_AGENCY_INFO_ZYFRS_S_ZZRSMX}</w:instrText>
      </w:r>
      <w:r>
        <w:rPr>
          <w:rFonts w:ascii="仿宋" w:hAnsi="仿宋" w:eastAsia="仿宋"/>
          <w:color w:val="auto"/>
          <w:sz w:val="32"/>
          <w:szCs w:val="32"/>
          <w:highlight w:val="none"/>
        </w:rPr>
        <w:fldChar w:fldCharType="separate"/>
      </w:r>
      <w:r>
        <w:rPr>
          <w:rFonts w:ascii="仿宋" w:hAnsi="仿宋" w:eastAsia="仿宋"/>
          <w:color w:val="auto"/>
          <w:sz w:val="32"/>
          <w:szCs w:val="32"/>
          <w:highlight w:val="none"/>
        </w:rPr>
        <w:t>行政在职人数</w:t>
      </w:r>
      <w:r>
        <w:rPr>
          <w:rFonts w:hint="eastAsia" w:ascii="仿宋" w:hAnsi="仿宋" w:eastAsia="仿宋"/>
          <w:color w:val="auto"/>
          <w:sz w:val="32"/>
          <w:szCs w:val="32"/>
          <w:highlight w:val="none"/>
          <w:lang w:val="en-US" w:eastAsia="zh-CN"/>
        </w:rPr>
        <w:t>13</w:t>
      </w:r>
      <w:r>
        <w:rPr>
          <w:rFonts w:ascii="仿宋" w:hAnsi="仿宋" w:eastAsia="仿宋"/>
          <w:color w:val="auto"/>
          <w:sz w:val="32"/>
          <w:szCs w:val="32"/>
          <w:highlight w:val="none"/>
        </w:rPr>
        <w:t>人,全部补助事业在职人数</w:t>
      </w:r>
      <w:r>
        <w:rPr>
          <w:rFonts w:hint="eastAsia" w:ascii="仿宋" w:hAnsi="仿宋" w:eastAsia="仿宋"/>
          <w:color w:val="auto"/>
          <w:sz w:val="32"/>
          <w:szCs w:val="32"/>
          <w:highlight w:val="none"/>
          <w:lang w:val="en-US" w:eastAsia="zh-CN"/>
        </w:rPr>
        <w:t>51</w:t>
      </w:r>
      <w:r>
        <w:rPr>
          <w:rFonts w:ascii="仿宋" w:hAnsi="仿宋" w:eastAsia="仿宋"/>
          <w:color w:val="auto"/>
          <w:sz w:val="32"/>
          <w:szCs w:val="32"/>
          <w:highlight w:val="none"/>
        </w:rPr>
        <w:t>人,部分补助事业在职人数</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人。</w:t>
      </w:r>
      <w:r>
        <w:rPr>
          <w:color w:val="auto"/>
          <w:highlight w:val="none"/>
        </w:rPr>
        <w:fldChar w:fldCharType="end"/>
      </w:r>
      <w:r>
        <w:rPr>
          <w:rFonts w:ascii="仿宋" w:hAnsi="仿宋" w:eastAsia="仿宋"/>
          <w:color w:val="auto"/>
          <w:sz w:val="32"/>
          <w:szCs w:val="32"/>
          <w:highlight w:val="none"/>
        </w:rPr>
        <w:fldChar w:fldCharType="begin"/>
      </w:r>
      <w:r>
        <w:rPr>
          <w:rFonts w:ascii="仿宋" w:hAnsi="仿宋" w:eastAsia="仿宋"/>
          <w:color w:val="auto"/>
          <w:sz w:val="32"/>
          <w:szCs w:val="32"/>
          <w:highlight w:val="none"/>
        </w:rPr>
        <w:instrText xml:space="preserve">MERGEFIELD ${page400644146.ds532982397_REP_JX_BAS_AGENCY_INFO_ZYFRS_S_QTRSMX}</w:instrText>
      </w:r>
      <w:r>
        <w:rPr>
          <w:rFonts w:ascii="仿宋" w:hAnsi="仿宋" w:eastAsia="仿宋"/>
          <w:color w:val="auto"/>
          <w:sz w:val="32"/>
          <w:szCs w:val="32"/>
          <w:highlight w:val="none"/>
        </w:rPr>
        <w:fldChar w:fldCharType="separate"/>
      </w:r>
      <w:r>
        <w:rPr>
          <w:rFonts w:ascii="仿宋" w:hAnsi="仿宋" w:eastAsia="仿宋"/>
          <w:color w:val="auto"/>
          <w:sz w:val="32"/>
          <w:szCs w:val="32"/>
          <w:highlight w:val="none"/>
        </w:rPr>
        <w:t>离休人数小计</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人,退休人数小计</w:t>
      </w:r>
      <w:r>
        <w:rPr>
          <w:rFonts w:hint="eastAsia" w:ascii="仿宋" w:hAnsi="仿宋" w:eastAsia="仿宋"/>
          <w:color w:val="auto"/>
          <w:sz w:val="32"/>
          <w:szCs w:val="32"/>
          <w:highlight w:val="none"/>
          <w:lang w:val="en-US" w:eastAsia="zh-CN"/>
        </w:rPr>
        <w:t>31</w:t>
      </w:r>
      <w:r>
        <w:rPr>
          <w:rFonts w:ascii="仿宋" w:hAnsi="仿宋" w:eastAsia="仿宋"/>
          <w:color w:val="auto"/>
          <w:sz w:val="32"/>
          <w:szCs w:val="32"/>
          <w:highlight w:val="none"/>
        </w:rPr>
        <w:t>人,遗属人数</w:t>
      </w:r>
      <w:r>
        <w:rPr>
          <w:rFonts w:hint="eastAsia" w:ascii="仿宋" w:hAnsi="仿宋" w:eastAsia="仿宋"/>
          <w:color w:val="auto"/>
          <w:sz w:val="32"/>
          <w:szCs w:val="32"/>
          <w:highlight w:val="none"/>
          <w:lang w:val="en-US" w:eastAsia="zh-CN"/>
        </w:rPr>
        <w:t>1</w:t>
      </w:r>
      <w:r>
        <w:rPr>
          <w:rFonts w:ascii="仿宋" w:hAnsi="仿宋" w:eastAsia="仿宋"/>
          <w:color w:val="auto"/>
          <w:sz w:val="32"/>
          <w:szCs w:val="32"/>
          <w:highlight w:val="none"/>
        </w:rPr>
        <w:t>人。</w:t>
      </w:r>
      <w:r>
        <w:rPr>
          <w:color w:val="auto"/>
          <w:highlight w:val="none"/>
        </w:rPr>
        <w:fldChar w:fldCharType="end"/>
      </w:r>
    </w:p>
    <w:p w14:paraId="41E8B7F9">
      <w:pPr>
        <w:widowControl/>
        <w:spacing w:line="580" w:lineRule="exact"/>
        <w:jc w:val="center"/>
        <w:rPr>
          <w:rFonts w:ascii="仿宋_GB2312" w:eastAsia="仿宋_GB2312"/>
          <w:b/>
          <w:color w:val="auto"/>
          <w:szCs w:val="30"/>
        </w:rPr>
      </w:pPr>
    </w:p>
    <w:p w14:paraId="76A28267">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庐山市人社局</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年单位预算表</w:t>
      </w:r>
    </w:p>
    <w:p w14:paraId="2D897BEE">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（详见附表）</w:t>
      </w:r>
    </w:p>
    <w:p w14:paraId="421212CA">
      <w:pPr>
        <w:ind w:firstLine="640" w:firstLineChars="200"/>
        <w:jc w:val="left"/>
        <w:rPr>
          <w:rStyle w:val="11"/>
          <w:rFonts w:ascii="仿宋" w:hAnsi="仿宋" w:eastAsia="仿宋"/>
          <w:bCs/>
          <w:color w:val="auto"/>
          <w:sz w:val="32"/>
          <w:szCs w:val="32"/>
        </w:rPr>
      </w:pPr>
    </w:p>
    <w:p w14:paraId="4CABD327">
      <w:pPr>
        <w:ind w:firstLine="640" w:firstLineChars="200"/>
        <w:jc w:val="left"/>
        <w:rPr>
          <w:rStyle w:val="11"/>
          <w:rFonts w:ascii="仿宋" w:hAnsi="仿宋" w:eastAsia="仿宋"/>
          <w:bCs/>
          <w:color w:val="auto"/>
          <w:sz w:val="32"/>
          <w:szCs w:val="32"/>
        </w:rPr>
      </w:pPr>
    </w:p>
    <w:p w14:paraId="742431BE">
      <w:pPr>
        <w:ind w:firstLine="640" w:firstLineChars="200"/>
        <w:jc w:val="left"/>
        <w:rPr>
          <w:rStyle w:val="11"/>
          <w:rFonts w:ascii="仿宋" w:hAnsi="仿宋" w:eastAsia="仿宋"/>
          <w:bCs/>
          <w:color w:val="auto"/>
          <w:sz w:val="32"/>
          <w:szCs w:val="32"/>
        </w:rPr>
      </w:pPr>
    </w:p>
    <w:p w14:paraId="6FE87D8B">
      <w:pPr>
        <w:ind w:firstLine="640" w:firstLineChars="200"/>
        <w:jc w:val="left"/>
        <w:rPr>
          <w:rStyle w:val="11"/>
          <w:rFonts w:ascii="仿宋" w:hAnsi="仿宋" w:eastAsia="仿宋"/>
          <w:bCs/>
          <w:color w:val="auto"/>
          <w:sz w:val="32"/>
          <w:szCs w:val="32"/>
        </w:rPr>
      </w:pPr>
    </w:p>
    <w:p w14:paraId="5833539C">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庐山市人社局</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年单位预算情况说明</w:t>
      </w:r>
    </w:p>
    <w:p w14:paraId="0F9801E1">
      <w:pPr>
        <w:widowControl/>
        <w:spacing w:line="580" w:lineRule="exact"/>
        <w:jc w:val="center"/>
        <w:rPr>
          <w:rFonts w:ascii="仿宋_GB2312" w:eastAsia="仿宋_GB2312"/>
          <w:b/>
          <w:color w:val="auto"/>
          <w:sz w:val="32"/>
          <w:szCs w:val="30"/>
        </w:rPr>
      </w:pPr>
    </w:p>
    <w:p w14:paraId="2967C98E">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年单位预算收支情况说明</w:t>
      </w:r>
    </w:p>
    <w:p w14:paraId="66614840">
      <w:pPr>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(一)收入预算情况</w:t>
      </w:r>
    </w:p>
    <w:p w14:paraId="67CCE22B">
      <w:pPr>
        <w:widowControl/>
        <w:ind w:firstLine="640" w:firstLineChars="200"/>
        <w:rPr>
          <w:rFonts w:hint="default" w:ascii="仿宋" w:hAnsi="仿宋" w:cs="Times New Roman" w:eastAsiaTheme="minorEastAsia"/>
          <w:color w:val="auto"/>
          <w:kern w:val="0"/>
          <w:sz w:val="32"/>
          <w:szCs w:val="32"/>
          <w:lang w:val="en-US" w:eastAsia="zh-CN"/>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庐山市人社局</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20466</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18845.47</w:t>
      </w:r>
      <w:r>
        <w:rPr>
          <w:rFonts w:ascii="仿宋" w:hAnsi="仿宋" w:eastAsia="仿宋" w:cs="Times New Roman"/>
          <w:color w:val="auto"/>
          <w:kern w:val="0"/>
          <w:sz w:val="32"/>
          <w:szCs w:val="32"/>
        </w:rPr>
        <w:t>万元;</w:t>
      </w:r>
      <w:r>
        <w:rPr>
          <w:color w:val="auto"/>
        </w:rPr>
        <w:fldChar w:fldCharType="end"/>
      </w:r>
      <w:r>
        <w:rPr>
          <w:rFonts w:hint="eastAsia" w:ascii="仿宋_GB2312" w:hAnsi="仿宋_GB2312" w:eastAsia="仿宋_GB2312" w:cs="仿宋_GB2312"/>
          <w:color w:val="auto"/>
          <w:sz w:val="32"/>
          <w:szCs w:val="32"/>
          <w:u w:val="none"/>
          <w:lang w:val="en-US" w:eastAsia="zh-CN"/>
        </w:rPr>
        <w:t>增加原因：机关事业单位基本养老保险基金的补助10000万元，财政对城乡居民基本养老保险基金的补助2545.75万元，加大创业担保贷款扶持力度财政补贴752万元，就业补助地方配套资金288万元，创业担保贷款担保基金100万元，失地农民养老保险缴费财政补贴3621.29万元，偿还改制企业政府挂账资金448万元，三支一扶工作经费补助202.16万元等项目支出纳入了部门预算。</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20016</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18610.47</w:t>
      </w:r>
      <w:r>
        <w:rPr>
          <w:rFonts w:ascii="仿宋" w:hAnsi="仿宋" w:eastAsia="仿宋" w:cs="Times New Roman"/>
          <w:color w:val="auto"/>
          <w:kern w:val="0"/>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增加原因为</w:t>
      </w:r>
      <w:r>
        <w:rPr>
          <w:rFonts w:hint="eastAsia" w:ascii="仿宋_GB2312" w:hAnsi="仿宋_GB2312" w:eastAsia="仿宋_GB2312" w:cs="仿宋_GB2312"/>
          <w:color w:val="auto"/>
          <w:sz w:val="32"/>
          <w:szCs w:val="32"/>
          <w:u w:val="none"/>
          <w:lang w:val="en-US" w:eastAsia="zh-CN"/>
        </w:rPr>
        <w:t>：机关事业单位基本养老保险基金的补助10000万元，财政对城乡居民基本养老保险基金的补助2545.75万元，加大创业担保贷款扶持力度财政补贴752万元，就业补助地方配套资金288万元，创业担保贷款担保基金100万元，失地农民养老保险缴费财政补贴3621.29万元，偿还改制企业政府挂账资金448万元，三支一</w:t>
      </w:r>
      <w:r>
        <w:rPr>
          <w:rFonts w:hint="eastAsia" w:ascii="仿宋_GB2312" w:hAnsi="仿宋_GB2312" w:eastAsia="仿宋_GB2312" w:cs="仿宋_GB2312"/>
          <w:color w:val="auto"/>
          <w:sz w:val="32"/>
          <w:szCs w:val="32"/>
          <w:highlight w:val="none"/>
          <w:u w:val="none"/>
          <w:lang w:val="en-US" w:eastAsia="zh-CN"/>
        </w:rPr>
        <w:t>扶工作经费补助202.16万元等项目支出纳入了部门预算</w:t>
      </w:r>
      <w:r>
        <w:rPr>
          <w:rFonts w:hint="eastAsia" w:ascii="仿宋" w:hAnsi="仿宋" w:eastAsia="仿宋" w:cs="Times New Roman"/>
          <w:color w:val="auto"/>
          <w:kern w:val="0"/>
          <w:sz w:val="32"/>
          <w:szCs w:val="32"/>
          <w:highlight w:val="none"/>
          <w:lang w:val="en-US" w:eastAsia="zh-CN"/>
        </w:rPr>
        <w:t>。其他收入16万元，具体为</w:t>
      </w:r>
      <w:r>
        <w:rPr>
          <w:rFonts w:hint="eastAsia" w:ascii="仿宋_GB2312" w:hAnsi="仿宋_GB2312" w:eastAsia="仿宋_GB2312" w:cs="仿宋_GB2312"/>
          <w:color w:val="auto"/>
          <w:sz w:val="32"/>
          <w:szCs w:val="32"/>
          <w:highlight w:val="none"/>
          <w:u w:val="none"/>
          <w:lang w:val="en-US" w:eastAsia="zh-CN"/>
        </w:rPr>
        <w:t>：单位自有资金收入16万元。</w:t>
      </w:r>
      <w:r>
        <w:rPr>
          <w:rFonts w:hint="eastAsia" w:ascii="仿宋" w:hAnsi="仿宋" w:eastAsia="仿宋" w:cs="Times New Roman"/>
          <w:color w:val="auto"/>
          <w:kern w:val="0"/>
          <w:sz w:val="32"/>
          <w:szCs w:val="32"/>
          <w:highlight w:val="none"/>
          <w:lang w:val="en-US" w:eastAsia="zh-CN"/>
        </w:rPr>
        <w:t>上年结转434万元，具体为</w:t>
      </w:r>
      <w:r>
        <w:rPr>
          <w:rFonts w:hint="eastAsia" w:ascii="仿宋_GB2312" w:hAnsi="仿宋_GB2312" w:eastAsia="仿宋_GB2312" w:cs="仿宋_GB2312"/>
          <w:color w:val="auto"/>
          <w:sz w:val="32"/>
          <w:szCs w:val="32"/>
          <w:highlight w:val="none"/>
          <w:u w:val="none"/>
          <w:lang w:val="en-US" w:eastAsia="zh-CN"/>
        </w:rPr>
        <w:t>：创业担保贷款贴息及奖补资金434万元。</w:t>
      </w:r>
    </w:p>
    <w:p w14:paraId="12F7F5C5">
      <w:pPr>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(二)支出预算情况</w:t>
      </w:r>
    </w:p>
    <w:p w14:paraId="241A9122">
      <w:pPr>
        <w:widowControl/>
        <w:ind w:firstLine="640" w:firstLineChars="200"/>
        <w:rPr>
          <w:rFonts w:hint="default" w:ascii="仿宋" w:hAnsi="仿宋" w:cs="Times New Roman" w:eastAsiaTheme="minorEastAsia"/>
          <w:color w:val="auto"/>
          <w:kern w:val="0"/>
          <w:sz w:val="32"/>
          <w:szCs w:val="32"/>
          <w:lang w:val="en-US"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${page540426799.ds254512694_REP_JXJC_AGENCY_WZR_NAME}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庐山市人社局</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${page540426799.ds357974894_REP_BGT_T_HC1100002019_DXQ02DW_S_ZJ}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支出预算总额为</w:t>
      </w:r>
      <w:r>
        <w:rPr>
          <w:rStyle w:val="11"/>
          <w:rFonts w:hint="eastAsia" w:ascii="仿宋" w:hAnsi="仿宋" w:eastAsia="仿宋"/>
          <w:color w:val="auto"/>
          <w:sz w:val="32"/>
          <w:szCs w:val="32"/>
          <w:lang w:val="en-US" w:eastAsia="zh-CN"/>
        </w:rPr>
        <w:t>20466</w:t>
      </w:r>
      <w:r>
        <w:rPr>
          <w:rStyle w:val="11"/>
          <w:rFonts w:ascii="仿宋" w:hAnsi="仿宋" w:eastAsia="仿宋"/>
          <w:color w:val="auto"/>
          <w:sz w:val="32"/>
          <w:szCs w:val="32"/>
        </w:rPr>
        <w:t>万元,较上年预算安排增加</w:t>
      </w:r>
      <w:r>
        <w:rPr>
          <w:rFonts w:hint="eastAsia" w:ascii="仿宋" w:hAnsi="仿宋" w:eastAsia="仿宋" w:cs="Times New Roman"/>
          <w:color w:val="auto"/>
          <w:kern w:val="0"/>
          <w:sz w:val="32"/>
          <w:szCs w:val="32"/>
          <w:lang w:val="en-US" w:eastAsia="zh-CN"/>
        </w:rPr>
        <w:t>18845.47</w:t>
      </w:r>
      <w:r>
        <w:rPr>
          <w:rStyle w:val="11"/>
          <w:rFonts w:ascii="仿宋" w:hAnsi="仿宋" w:eastAsia="仿宋"/>
          <w:color w:val="auto"/>
          <w:sz w:val="32"/>
          <w:szCs w:val="32"/>
        </w:rPr>
        <w:t>万元;</w:t>
      </w:r>
      <w:r>
        <w:rPr>
          <w:color w:val="auto"/>
        </w:rPr>
        <w:fldChar w:fldCharType="end"/>
      </w:r>
      <w:r>
        <w:rPr>
          <w:rFonts w:hint="eastAsia" w:ascii="仿宋_GB2312" w:hAnsi="仿宋_GB2312" w:eastAsia="仿宋_GB2312" w:cs="仿宋_GB2312"/>
          <w:color w:val="auto"/>
          <w:sz w:val="32"/>
          <w:szCs w:val="32"/>
          <w:u w:val="none"/>
          <w:lang w:val="en-US" w:eastAsia="zh-CN"/>
        </w:rPr>
        <w:t>增加原因：机关事业单位基本养老保险基金的补助10000万元，财政对城乡居民基本养老保险基金的补助2545.75万元，加大创业担保贷款扶持力度财政补贴752万元，就业补助地方配套资金288万元，创业担保贷款担保基金100万元，失地农民养老保险缴费财政补贴3621.29万元，偿还改制企业政府挂账资金448万元，三支一扶工作经费补助202.16万元等项目支出纳入了部门预算。</w:t>
      </w:r>
    </w:p>
    <w:p w14:paraId="5B4D4A6D">
      <w:pPr>
        <w:widowControl/>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其中：按支出项目类别划分：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1248.49</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2.78</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1151.7</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91.43</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5.37</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19217.51</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18848.25</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t>;</w:t>
      </w:r>
      <w:r>
        <w:rPr>
          <w:rStyle w:val="11"/>
          <w:rFonts w:ascii="仿宋" w:hAnsi="仿宋" w:eastAsia="仿宋"/>
          <w:color w:val="auto"/>
          <w:sz w:val="32"/>
          <w:szCs w:val="32"/>
          <w:highlight w:val="none"/>
        </w:rPr>
        <w:t>其中：</w:t>
      </w:r>
      <w:r>
        <w:rPr>
          <w:rStyle w:val="11"/>
          <w:rFonts w:hint="eastAsia" w:ascii="仿宋" w:hAnsi="仿宋" w:eastAsia="仿宋"/>
          <w:color w:val="auto"/>
          <w:sz w:val="32"/>
          <w:szCs w:val="32"/>
          <w:highlight w:val="none"/>
          <w:lang w:val="en-US" w:eastAsia="zh-CN"/>
        </w:rPr>
        <w:t>工资福利支出67.01万元，</w:t>
      </w:r>
      <w:r>
        <w:rPr>
          <w:rStyle w:val="11"/>
          <w:rFonts w:ascii="仿宋" w:hAnsi="仿宋" w:eastAsia="仿宋"/>
          <w:color w:val="auto"/>
          <w:sz w:val="32"/>
          <w:szCs w:val="32"/>
          <w:highlight w:val="none"/>
        </w:rPr>
        <w:t>商品和服务支出</w:t>
      </w:r>
      <w:r>
        <w:rPr>
          <w:rStyle w:val="11"/>
          <w:rFonts w:hint="eastAsia" w:ascii="仿宋" w:hAnsi="仿宋" w:eastAsia="仿宋"/>
          <w:color w:val="auto"/>
          <w:sz w:val="32"/>
          <w:szCs w:val="32"/>
          <w:highlight w:val="none"/>
          <w:lang w:val="en-US" w:eastAsia="zh-CN"/>
        </w:rPr>
        <w:t>619.86</w:t>
      </w:r>
      <w:r>
        <w:rPr>
          <w:rStyle w:val="11"/>
          <w:rFonts w:ascii="仿宋" w:hAnsi="仿宋" w:eastAsia="仿宋"/>
          <w:color w:val="auto"/>
          <w:sz w:val="32"/>
          <w:szCs w:val="32"/>
          <w:highlight w:val="none"/>
        </w:rPr>
        <w:t>万元,</w:t>
      </w:r>
      <w:r>
        <w:rPr>
          <w:rStyle w:val="11"/>
          <w:rFonts w:hint="eastAsia" w:ascii="仿宋" w:hAnsi="仿宋" w:eastAsia="仿宋"/>
          <w:color w:val="auto"/>
          <w:sz w:val="32"/>
          <w:szCs w:val="32"/>
          <w:highlight w:val="none"/>
          <w:lang w:val="en-US" w:eastAsia="zh-CN"/>
        </w:rPr>
        <w:t>对个人和家庭的补助18449.34万元，</w:t>
      </w:r>
      <w:r>
        <w:rPr>
          <w:rStyle w:val="11"/>
          <w:rFonts w:ascii="仿宋" w:hAnsi="仿宋" w:eastAsia="仿宋"/>
          <w:color w:val="auto"/>
          <w:sz w:val="32"/>
          <w:szCs w:val="32"/>
          <w:highlight w:val="none"/>
        </w:rPr>
        <w:t>资本性支出</w:t>
      </w:r>
      <w:r>
        <w:rPr>
          <w:rStyle w:val="11"/>
          <w:rFonts w:hint="eastAsia" w:ascii="仿宋" w:hAnsi="仿宋" w:eastAsia="仿宋"/>
          <w:color w:val="auto"/>
          <w:sz w:val="32"/>
          <w:szCs w:val="32"/>
          <w:highlight w:val="none"/>
          <w:lang w:val="en-US" w:eastAsia="zh-CN"/>
        </w:rPr>
        <w:t>81.3</w:t>
      </w:r>
      <w:r>
        <w:rPr>
          <w:rStyle w:val="11"/>
          <w:rFonts w:ascii="仿宋" w:hAnsi="仿宋" w:eastAsia="仿宋"/>
          <w:color w:val="auto"/>
          <w:sz w:val="32"/>
          <w:szCs w:val="32"/>
          <w:highlight w:val="none"/>
        </w:rPr>
        <w:t>万元。</w:t>
      </w:r>
    </w:p>
    <w:p w14:paraId="4C871757">
      <w:pPr>
        <w:ind w:firstLine="640" w:firstLineChars="200"/>
        <w:rPr>
          <w:rStyle w:val="11"/>
          <w:rFonts w:ascii="仿宋" w:hAnsi="仿宋" w:eastAsia="仿宋"/>
          <w:b/>
          <w:color w:val="auto"/>
          <w:sz w:val="20"/>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${page540426799.ds197859873_REP_BGT_T_HC1100002019DXQ01DW_GNZJMX}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一般公共服务支出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万元;社会保障和就业支出</w:t>
      </w:r>
      <w:r>
        <w:rPr>
          <w:rStyle w:val="11"/>
          <w:rFonts w:hint="eastAsia" w:ascii="仿宋" w:hAnsi="仿宋" w:eastAsia="仿宋"/>
          <w:color w:val="auto"/>
          <w:sz w:val="32"/>
          <w:szCs w:val="32"/>
          <w:lang w:val="en-US" w:eastAsia="zh-CN"/>
        </w:rPr>
        <w:t>18828.14</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17484.3</w:t>
      </w:r>
      <w:r>
        <w:rPr>
          <w:rStyle w:val="11"/>
          <w:rFonts w:ascii="仿宋" w:hAnsi="仿宋" w:eastAsia="仿宋"/>
          <w:color w:val="auto"/>
          <w:sz w:val="32"/>
          <w:szCs w:val="32"/>
        </w:rPr>
        <w:t>万元;卫生健康支出</w:t>
      </w:r>
      <w:r>
        <w:rPr>
          <w:rStyle w:val="11"/>
          <w:rFonts w:hint="eastAsia" w:ascii="仿宋" w:hAnsi="仿宋" w:eastAsia="仿宋"/>
          <w:color w:val="auto"/>
          <w:sz w:val="32"/>
          <w:szCs w:val="32"/>
          <w:lang w:val="en-US" w:eastAsia="zh-CN"/>
        </w:rPr>
        <w:t>60.9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18.56</w:t>
      </w:r>
      <w:r>
        <w:rPr>
          <w:rStyle w:val="11"/>
          <w:rFonts w:ascii="仿宋" w:hAnsi="仿宋" w:eastAsia="仿宋"/>
          <w:color w:val="auto"/>
          <w:sz w:val="32"/>
          <w:szCs w:val="32"/>
        </w:rPr>
        <w:t>万元;</w:t>
      </w:r>
      <w:r>
        <w:rPr>
          <w:rStyle w:val="11"/>
          <w:rFonts w:hint="eastAsia" w:ascii="仿宋_GB2312" w:hAnsi="仿宋_GB2312" w:eastAsia="仿宋_GB2312" w:cs="仿宋_GB2312"/>
          <w:color w:val="auto"/>
          <w:sz w:val="32"/>
          <w:szCs w:val="32"/>
          <w:u w:val="none"/>
          <w:lang w:val="en-US" w:eastAsia="zh-CN"/>
        </w:rPr>
        <w:t>农林水</w:t>
      </w:r>
      <w:r>
        <w:rPr>
          <w:rStyle w:val="11"/>
          <w:rFonts w:hint="eastAsia" w:ascii="仿宋_GB2312" w:hAnsi="仿宋_GB2312" w:eastAsia="仿宋_GB2312" w:cs="仿宋_GB2312"/>
          <w:color w:val="auto"/>
          <w:sz w:val="32"/>
          <w:szCs w:val="32"/>
          <w:u w:val="none"/>
        </w:rPr>
        <w:t>支出</w:t>
      </w:r>
      <w:r>
        <w:rPr>
          <w:rStyle w:val="11"/>
          <w:rFonts w:hint="eastAsia" w:ascii="仿宋_GB2312" w:hAnsi="仿宋_GB2312" w:eastAsia="仿宋_GB2312" w:cs="仿宋_GB2312"/>
          <w:color w:val="auto"/>
          <w:sz w:val="32"/>
          <w:szCs w:val="32"/>
          <w:u w:val="none"/>
          <w:lang w:val="en-US" w:eastAsia="zh-CN"/>
        </w:rPr>
        <w:t>1488.16</w:t>
      </w:r>
      <w:r>
        <w:rPr>
          <w:rStyle w:val="11"/>
          <w:rFonts w:hint="eastAsia" w:ascii="仿宋_GB2312" w:hAnsi="仿宋_GB2312" w:eastAsia="仿宋_GB2312" w:cs="仿宋_GB2312"/>
          <w:color w:val="auto"/>
          <w:sz w:val="32"/>
          <w:szCs w:val="32"/>
          <w:u w:val="none"/>
        </w:rPr>
        <w:t>万元,较上年预算安排</w:t>
      </w:r>
      <w:r>
        <w:rPr>
          <w:rStyle w:val="11"/>
          <w:rFonts w:hint="eastAsia" w:ascii="仿宋_GB2312" w:hAnsi="仿宋_GB2312" w:eastAsia="仿宋_GB2312" w:cs="仿宋_GB2312"/>
          <w:color w:val="auto"/>
          <w:sz w:val="32"/>
          <w:szCs w:val="32"/>
          <w:u w:val="none"/>
          <w:lang w:val="en-US" w:eastAsia="zh-CN"/>
        </w:rPr>
        <w:t>增加1346.5</w:t>
      </w:r>
      <w:r>
        <w:rPr>
          <w:rStyle w:val="11"/>
          <w:rFonts w:hint="eastAsia" w:ascii="仿宋_GB2312" w:hAnsi="仿宋_GB2312" w:eastAsia="仿宋_GB2312" w:cs="仿宋_GB2312"/>
          <w:color w:val="auto"/>
          <w:sz w:val="32"/>
          <w:szCs w:val="32"/>
          <w:u w:val="none"/>
        </w:rPr>
        <w:t>万元;</w:t>
      </w:r>
      <w:r>
        <w:rPr>
          <w:rStyle w:val="11"/>
          <w:rFonts w:ascii="仿宋" w:hAnsi="仿宋" w:eastAsia="仿宋"/>
          <w:color w:val="auto"/>
          <w:sz w:val="32"/>
          <w:szCs w:val="32"/>
        </w:rPr>
        <w:t>住房保障支出</w:t>
      </w:r>
      <w:r>
        <w:rPr>
          <w:rStyle w:val="11"/>
          <w:rFonts w:hint="eastAsia" w:ascii="仿宋" w:hAnsi="仿宋" w:eastAsia="仿宋"/>
          <w:color w:val="auto"/>
          <w:sz w:val="32"/>
          <w:szCs w:val="32"/>
          <w:lang w:val="en-US" w:eastAsia="zh-CN"/>
        </w:rPr>
        <w:t>88.8</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3.89</w:t>
      </w:r>
      <w:r>
        <w:rPr>
          <w:rStyle w:val="11"/>
          <w:rFonts w:ascii="仿宋" w:hAnsi="仿宋" w:eastAsia="仿宋"/>
          <w:color w:val="auto"/>
          <w:sz w:val="32"/>
          <w:szCs w:val="32"/>
        </w:rPr>
        <w:t>万元。</w:t>
      </w:r>
      <w:r>
        <w:rPr>
          <w:color w:val="auto"/>
        </w:rPr>
        <w:fldChar w:fldCharType="end"/>
      </w:r>
    </w:p>
    <w:p w14:paraId="5A4A60F8">
      <w:pPr>
        <w:ind w:firstLine="640" w:firstLineChars="200"/>
        <w:rPr>
          <w:color w:val="auto"/>
        </w:rPr>
      </w:pPr>
      <w:r>
        <w:rPr>
          <w:rStyle w:val="11"/>
          <w:rFonts w:hint="eastAsia" w:ascii="仿宋" w:hAnsi="仿宋" w:eastAsia="仿宋"/>
          <w:color w:val="auto"/>
          <w:sz w:val="32"/>
          <w:szCs w:val="32"/>
        </w:rPr>
        <w:t>按支出经济分类划分：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${page540426799.ds197859873_REP_BGT_T_HC1100002019DXQ01DW_JJMX}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工资福利支出</w:t>
      </w:r>
      <w:r>
        <w:rPr>
          <w:rStyle w:val="11"/>
          <w:rFonts w:hint="eastAsia" w:ascii="仿宋" w:hAnsi="仿宋" w:eastAsia="仿宋"/>
          <w:color w:val="auto"/>
          <w:sz w:val="32"/>
          <w:szCs w:val="32"/>
          <w:lang w:val="en-US" w:eastAsia="zh-CN"/>
        </w:rPr>
        <w:t>1218.7</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8.52</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711.29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382.99</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18454.71</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18424.7</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81.3</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46.3</w:t>
      </w:r>
      <w:r>
        <w:rPr>
          <w:rStyle w:val="11"/>
          <w:rFonts w:ascii="仿宋" w:hAnsi="仿宋" w:eastAsia="仿宋"/>
          <w:color w:val="auto"/>
          <w:sz w:val="32"/>
          <w:szCs w:val="32"/>
        </w:rPr>
        <w:t>万元。</w:t>
      </w:r>
      <w:r>
        <w:rPr>
          <w:color w:val="auto"/>
        </w:rPr>
        <w:fldChar w:fldCharType="end"/>
      </w:r>
    </w:p>
    <w:p w14:paraId="62B2F582">
      <w:pPr>
        <w:ind w:firstLine="321" w:firstLineChars="100"/>
        <w:rPr>
          <w:rStyle w:val="11"/>
          <w:rFonts w:hint="eastAsia" w:ascii="Adobe 仿宋 Std R" w:hAnsi="Adobe 仿宋 Std R" w:eastAsia="Adobe 仿宋 Std R"/>
          <w:b/>
          <w:color w:val="auto"/>
          <w:sz w:val="32"/>
          <w:szCs w:val="32"/>
          <w:lang w:eastAsia="zh-CN"/>
        </w:rPr>
      </w:pPr>
      <w:r>
        <w:rPr>
          <w:rStyle w:val="11"/>
          <w:rFonts w:hint="eastAsia" w:ascii="Adobe 仿宋 Std R" w:hAnsi="Adobe 仿宋 Std R" w:eastAsia="Adobe 仿宋 Std R"/>
          <w:b/>
          <w:color w:val="auto"/>
          <w:sz w:val="32"/>
          <w:szCs w:val="32"/>
        </w:rPr>
        <w:t xml:space="preserve"> (三)财政拨款支出情况</w:t>
      </w:r>
    </w:p>
    <w:p w14:paraId="05E6CC32">
      <w:pPr>
        <w:widowControl/>
        <w:ind w:firstLine="640" w:firstLineChars="200"/>
        <w:rPr>
          <w:rFonts w:hint="default" w:ascii="仿宋" w:hAnsi="仿宋" w:cs="Times New Roman" w:eastAsiaTheme="minorEastAsia"/>
          <w:color w:val="auto"/>
          <w:kern w:val="0"/>
          <w:sz w:val="32"/>
          <w:szCs w:val="32"/>
          <w:lang w:val="en-US"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${page540426799.ds254512694_REP_JXJC_AGENCY_WZR_NAME}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庐山市人社局</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${page540426799.ds357974894_REP_BGT_T_HC1100002019_DXQ02DW_S_CBXJ}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财政拨款支出预算总额</w:t>
      </w:r>
      <w:r>
        <w:rPr>
          <w:rStyle w:val="11"/>
          <w:rFonts w:hint="eastAsia" w:ascii="仿宋" w:hAnsi="仿宋" w:eastAsia="仿宋"/>
          <w:color w:val="auto"/>
          <w:sz w:val="32"/>
          <w:szCs w:val="32"/>
          <w:lang w:val="en-US" w:eastAsia="zh-CN"/>
        </w:rPr>
        <w:t>20016</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18610.47</w:t>
      </w:r>
      <w:r>
        <w:rPr>
          <w:rStyle w:val="11"/>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w:t>
      </w:r>
      <w:r>
        <w:rPr>
          <w:rFonts w:hint="eastAsia" w:ascii="仿宋_GB2312" w:hAnsi="仿宋_GB2312" w:eastAsia="仿宋_GB2312" w:cs="仿宋_GB2312"/>
          <w:color w:val="auto"/>
          <w:sz w:val="32"/>
          <w:szCs w:val="32"/>
          <w:u w:val="none"/>
          <w:lang w:val="en-US" w:eastAsia="zh-CN"/>
        </w:rPr>
        <w:t>原因：机关事业单位基本养老保险基金的补助10000万元，财政对城乡居民基本养老保险基金的补助2545.75万元，加大创业担保贷款扶持力度财政补贴752万元，就业补助地方配套资金288万元，创业担保贷款担保基金100万元，失地农民养老保险缴费财政补贴3621.29万元，偿还改制企业政府挂账资金448万元，三支一扶工作经费补助202.16万元等项目支出纳入了部门预算。</w:t>
      </w:r>
    </w:p>
    <w:p w14:paraId="43D40CC8">
      <w:pPr>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${page400644146.ds247441498_REP_BGT_T_HC1100002019DXQ01_GNCBMX}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一般公共服务支出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社会保障和就业支出</w:t>
      </w:r>
      <w:r>
        <w:rPr>
          <w:rStyle w:val="11"/>
          <w:rFonts w:hint="eastAsia" w:ascii="仿宋" w:hAnsi="仿宋" w:eastAsia="仿宋"/>
          <w:color w:val="auto"/>
          <w:sz w:val="32"/>
          <w:szCs w:val="32"/>
          <w:lang w:val="en-US" w:eastAsia="zh-CN"/>
        </w:rPr>
        <w:t>18812.14</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17683.3</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卫生健康支出</w:t>
      </w:r>
      <w:r>
        <w:rPr>
          <w:rStyle w:val="11"/>
          <w:rFonts w:hint="eastAsia" w:ascii="仿宋" w:hAnsi="仿宋" w:eastAsia="仿宋"/>
          <w:color w:val="auto"/>
          <w:sz w:val="32"/>
          <w:szCs w:val="32"/>
          <w:lang w:val="en-US" w:eastAsia="zh-CN"/>
        </w:rPr>
        <w:t>60.9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18.56</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hint="eastAsia" w:ascii="仿宋_GB2312" w:hAnsi="仿宋_GB2312" w:eastAsia="仿宋_GB2312" w:cs="仿宋_GB2312"/>
          <w:color w:val="auto"/>
          <w:sz w:val="32"/>
          <w:szCs w:val="32"/>
          <w:u w:val="none"/>
          <w:lang w:val="en-US" w:eastAsia="zh-CN"/>
        </w:rPr>
        <w:t>农林水</w:t>
      </w:r>
      <w:r>
        <w:rPr>
          <w:rStyle w:val="11"/>
          <w:rFonts w:hint="eastAsia" w:ascii="仿宋_GB2312" w:hAnsi="仿宋_GB2312" w:eastAsia="仿宋_GB2312" w:cs="仿宋_GB2312"/>
          <w:color w:val="auto"/>
          <w:sz w:val="32"/>
          <w:szCs w:val="32"/>
          <w:u w:val="none"/>
        </w:rPr>
        <w:t>支出</w:t>
      </w:r>
      <w:r>
        <w:rPr>
          <w:rStyle w:val="11"/>
          <w:rFonts w:hint="eastAsia" w:ascii="仿宋_GB2312" w:hAnsi="仿宋_GB2312" w:eastAsia="仿宋_GB2312" w:cs="仿宋_GB2312"/>
          <w:color w:val="auto"/>
          <w:sz w:val="32"/>
          <w:szCs w:val="32"/>
          <w:u w:val="none"/>
          <w:lang w:val="en-US" w:eastAsia="zh-CN"/>
        </w:rPr>
        <w:t>1054.16</w:t>
      </w:r>
      <w:r>
        <w:rPr>
          <w:rStyle w:val="11"/>
          <w:rFonts w:hint="eastAsia" w:ascii="仿宋_GB2312" w:hAnsi="仿宋_GB2312" w:eastAsia="仿宋_GB2312" w:cs="仿宋_GB2312"/>
          <w:color w:val="auto"/>
          <w:sz w:val="32"/>
          <w:szCs w:val="32"/>
          <w:u w:val="none"/>
        </w:rPr>
        <w:t>万元,较上年预算安排</w:t>
      </w:r>
      <w:r>
        <w:rPr>
          <w:rStyle w:val="11"/>
          <w:rFonts w:hint="eastAsia" w:ascii="仿宋_GB2312" w:hAnsi="仿宋_GB2312" w:eastAsia="仿宋_GB2312" w:cs="仿宋_GB2312"/>
          <w:color w:val="auto"/>
          <w:sz w:val="32"/>
          <w:szCs w:val="32"/>
          <w:u w:val="none"/>
          <w:lang w:val="en-US" w:eastAsia="zh-CN"/>
        </w:rPr>
        <w:t>增加912.5</w:t>
      </w:r>
      <w:r>
        <w:rPr>
          <w:rStyle w:val="11"/>
          <w:rFonts w:hint="eastAsia" w:ascii="仿宋_GB2312" w:hAnsi="仿宋_GB2312" w:eastAsia="仿宋_GB2312" w:cs="仿宋_GB2312"/>
          <w:color w:val="auto"/>
          <w:sz w:val="32"/>
          <w:szCs w:val="32"/>
          <w:u w:val="none"/>
        </w:rPr>
        <w:t>万元;</w:t>
      </w:r>
      <w:r>
        <w:rPr>
          <w:rStyle w:val="11"/>
          <w:rFonts w:ascii="仿宋" w:hAnsi="仿宋" w:eastAsia="仿宋"/>
          <w:color w:val="auto"/>
          <w:sz w:val="32"/>
          <w:szCs w:val="32"/>
        </w:rPr>
        <w:t>住房保障支出</w:t>
      </w:r>
      <w:r>
        <w:rPr>
          <w:rStyle w:val="11"/>
          <w:rFonts w:hint="eastAsia" w:ascii="仿宋" w:hAnsi="仿宋" w:eastAsia="仿宋"/>
          <w:color w:val="auto"/>
          <w:sz w:val="32"/>
          <w:szCs w:val="32"/>
          <w:lang w:val="en-US" w:eastAsia="zh-CN"/>
        </w:rPr>
        <w:t>88.8</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较上年预算安排减少</w:t>
      </w:r>
      <w:r>
        <w:rPr>
          <w:rStyle w:val="11"/>
          <w:rFonts w:hint="eastAsia" w:ascii="仿宋" w:hAnsi="仿宋" w:eastAsia="仿宋"/>
          <w:color w:val="auto"/>
          <w:sz w:val="32"/>
          <w:szCs w:val="32"/>
          <w:lang w:val="en-US" w:eastAsia="zh-CN"/>
        </w:rPr>
        <w:t>3.89</w:t>
      </w:r>
      <w:r>
        <w:rPr>
          <w:rStyle w:val="11"/>
          <w:rFonts w:ascii="仿宋" w:hAnsi="仿宋" w:eastAsia="仿宋"/>
          <w:color w:val="auto"/>
          <w:sz w:val="32"/>
          <w:szCs w:val="32"/>
        </w:rPr>
        <w:t>万元。</w:t>
      </w:r>
      <w:r>
        <w:rPr>
          <w:color w:val="auto"/>
        </w:rPr>
        <w:fldChar w:fldCharType="end"/>
      </w:r>
    </w:p>
    <w:p w14:paraId="178AAE01">
      <w:pPr>
        <w:ind w:firstLine="640" w:firstLineChars="200"/>
        <w:rPr>
          <w:color w:val="auto"/>
        </w:rPr>
      </w:pPr>
      <w:r>
        <w:rPr>
          <w:rStyle w:val="11"/>
          <w:rFonts w:hint="eastAsia" w:ascii="仿宋" w:hAnsi="仿宋" w:eastAsia="仿宋"/>
          <w:color w:val="auto"/>
          <w:sz w:val="32"/>
          <w:szCs w:val="32"/>
        </w:rPr>
        <w:t>按支出项目类别划分：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${page540426799.ds357974894_REP_BGT_T_HC1100002019_DXQ02DW_JBZCQKCB}</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1248.49</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2.78</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1151.7</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91.43</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5.37</w:t>
      </w:r>
      <w:r>
        <w:rPr>
          <w:rStyle w:val="11"/>
          <w:rFonts w:ascii="仿宋" w:hAnsi="仿宋" w:eastAsia="仿宋"/>
          <w:color w:val="auto"/>
          <w:sz w:val="32"/>
          <w:szCs w:val="32"/>
        </w:rPr>
        <w:t>万元。</w:t>
      </w:r>
      <w:r>
        <w:rPr>
          <w:color w:val="auto"/>
        </w:rPr>
        <w:fldChar w:fldCharType="end"/>
      </w:r>
      <w:bookmarkStart w:id="0" w:name="_GoBack"/>
      <w:bookmarkEnd w:id="0"/>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${page540426799.ds357974894_REP_BGT_T_HC1100002019_DXQ02DW_XMZCQKCB}</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highlight w:val="none"/>
          <w:lang w:val="en-US" w:eastAsia="zh-CN"/>
        </w:rPr>
        <w:t>18767.51</w:t>
      </w:r>
      <w:r>
        <w:rPr>
          <w:rStyle w:val="11"/>
          <w:rFonts w:ascii="仿宋" w:hAnsi="仿宋" w:eastAsia="仿宋"/>
          <w:color w:val="auto"/>
          <w:sz w:val="32"/>
          <w:szCs w:val="32"/>
          <w:highlight w:val="none"/>
        </w:rPr>
        <w:t>万元,较上年预算安排增加</w:t>
      </w:r>
      <w:r>
        <w:rPr>
          <w:rStyle w:val="11"/>
          <w:rFonts w:hint="eastAsia" w:ascii="仿宋" w:hAnsi="仿宋" w:eastAsia="仿宋"/>
          <w:color w:val="auto"/>
          <w:sz w:val="32"/>
          <w:szCs w:val="32"/>
          <w:highlight w:val="none"/>
          <w:lang w:val="en-US" w:eastAsia="zh-CN"/>
        </w:rPr>
        <w:t>18613.25</w:t>
      </w:r>
      <w:r>
        <w:rPr>
          <w:rStyle w:val="11"/>
          <w:rFonts w:ascii="仿宋" w:hAnsi="仿宋" w:eastAsia="仿宋"/>
          <w:color w:val="auto"/>
          <w:sz w:val="32"/>
          <w:szCs w:val="32"/>
          <w:highlight w:val="none"/>
        </w:rPr>
        <w:t>万元;其中：</w:t>
      </w:r>
      <w:r>
        <w:rPr>
          <w:rStyle w:val="11"/>
          <w:rFonts w:hint="eastAsia" w:ascii="仿宋" w:hAnsi="仿宋" w:eastAsia="仿宋"/>
          <w:color w:val="auto"/>
          <w:sz w:val="32"/>
          <w:szCs w:val="32"/>
          <w:highlight w:val="none"/>
          <w:lang w:val="en-US" w:eastAsia="zh-CN"/>
        </w:rPr>
        <w:t>工资</w:t>
      </w:r>
      <w:r>
        <w:rPr>
          <w:rStyle w:val="11"/>
          <w:rFonts w:hint="eastAsia" w:ascii="仿宋" w:hAnsi="仿宋" w:eastAsia="仿宋"/>
          <w:color w:val="auto"/>
          <w:sz w:val="32"/>
          <w:szCs w:val="32"/>
          <w:highlight w:val="none"/>
          <w:lang w:val="en-US" w:eastAsia="zh-CN"/>
        </w:rPr>
        <w:t>福利支出67.01万元，</w:t>
      </w:r>
      <w:r>
        <w:rPr>
          <w:rStyle w:val="11"/>
          <w:rFonts w:ascii="仿宋" w:hAnsi="仿宋" w:eastAsia="仿宋"/>
          <w:color w:val="auto"/>
          <w:sz w:val="32"/>
          <w:szCs w:val="32"/>
          <w:highlight w:val="none"/>
        </w:rPr>
        <w:t>商品和服务支出</w:t>
      </w:r>
      <w:r>
        <w:rPr>
          <w:rStyle w:val="11"/>
          <w:rFonts w:hint="eastAsia" w:ascii="仿宋" w:hAnsi="仿宋" w:eastAsia="仿宋"/>
          <w:color w:val="auto"/>
          <w:sz w:val="32"/>
          <w:szCs w:val="32"/>
          <w:highlight w:val="none"/>
          <w:lang w:val="en-US" w:eastAsia="zh-CN"/>
        </w:rPr>
        <w:t>603.86</w:t>
      </w:r>
      <w:r>
        <w:rPr>
          <w:rStyle w:val="11"/>
          <w:rFonts w:ascii="仿宋" w:hAnsi="仿宋" w:eastAsia="仿宋"/>
          <w:color w:val="auto"/>
          <w:sz w:val="32"/>
          <w:szCs w:val="32"/>
          <w:highlight w:val="none"/>
        </w:rPr>
        <w:t>万元,</w:t>
      </w:r>
      <w:r>
        <w:rPr>
          <w:rStyle w:val="11"/>
          <w:rFonts w:hint="eastAsia" w:ascii="仿宋" w:hAnsi="仿宋" w:eastAsia="仿宋"/>
          <w:color w:val="auto"/>
          <w:sz w:val="32"/>
          <w:szCs w:val="32"/>
          <w:highlight w:val="none"/>
          <w:lang w:val="en-US" w:eastAsia="zh-CN"/>
        </w:rPr>
        <w:t>对个人和家庭的补助18015.34万元，</w:t>
      </w:r>
      <w:r>
        <w:rPr>
          <w:rStyle w:val="11"/>
          <w:rFonts w:ascii="仿宋" w:hAnsi="仿宋" w:eastAsia="仿宋"/>
          <w:color w:val="auto"/>
          <w:sz w:val="32"/>
          <w:szCs w:val="32"/>
          <w:highlight w:val="none"/>
        </w:rPr>
        <w:t>资本性支出</w:t>
      </w:r>
      <w:r>
        <w:rPr>
          <w:rStyle w:val="11"/>
          <w:rFonts w:hint="eastAsia" w:ascii="仿宋" w:hAnsi="仿宋" w:eastAsia="仿宋"/>
          <w:color w:val="auto"/>
          <w:sz w:val="32"/>
          <w:szCs w:val="32"/>
          <w:highlight w:val="none"/>
          <w:lang w:val="en-US" w:eastAsia="zh-CN"/>
        </w:rPr>
        <w:t>81.3</w:t>
      </w:r>
      <w:r>
        <w:rPr>
          <w:rStyle w:val="11"/>
          <w:rFonts w:ascii="仿宋" w:hAnsi="仿宋" w:eastAsia="仿宋"/>
          <w:color w:val="auto"/>
          <w:sz w:val="32"/>
          <w:szCs w:val="32"/>
          <w:highlight w:val="none"/>
        </w:rPr>
        <w:t>万元。</w:t>
      </w:r>
      <w:r>
        <w:rPr>
          <w:color w:val="auto"/>
        </w:rPr>
        <w:fldChar w:fldCharType="end"/>
      </w:r>
    </w:p>
    <w:p w14:paraId="7EE75D19">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(四)政府性基金情况</w:t>
      </w:r>
    </w:p>
    <w:p w14:paraId="72572371">
      <w:pPr>
        <w:ind w:firstLine="640" w:firstLineChars="200"/>
        <w:rPr>
          <w:rStyle w:val="11"/>
          <w:rFonts w:hint="eastAsia" w:ascii="仿宋" w:hAnsi="仿宋" w:eastAsia="仿宋" w:cs="Times New Roman"/>
          <w:color w:val="auto"/>
          <w:sz w:val="32"/>
          <w:szCs w:val="32"/>
          <w:lang w:val="en-US" w:eastAsia="zh-CN"/>
        </w:rPr>
      </w:pPr>
      <w:r>
        <w:rPr>
          <w:rStyle w:val="11"/>
          <w:rFonts w:hint="eastAsia" w:ascii="仿宋" w:hAnsi="仿宋" w:eastAsia="仿宋" w:cs="Times New Roman"/>
          <w:color w:val="auto"/>
          <w:sz w:val="32"/>
          <w:szCs w:val="32"/>
        </w:rPr>
        <w:t>本单位没有使用政府性基金预算拨款安排的支出</w:t>
      </w:r>
      <w:r>
        <w:rPr>
          <w:rStyle w:val="11"/>
          <w:rFonts w:hint="eastAsia" w:ascii="仿宋" w:hAnsi="仿宋" w:eastAsia="仿宋" w:cs="Times New Roman"/>
          <w:color w:val="auto"/>
          <w:sz w:val="32"/>
          <w:szCs w:val="32"/>
          <w:lang w:eastAsia="zh-CN"/>
        </w:rPr>
        <w:t>。</w:t>
      </w:r>
    </w:p>
    <w:p w14:paraId="61A50F15">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（五）国有资本经营情况</w:t>
      </w:r>
    </w:p>
    <w:p w14:paraId="3724B406">
      <w:pPr>
        <w:widowControl/>
        <w:ind w:firstLine="640" w:firstLineChars="200"/>
        <w:rPr>
          <w:rStyle w:val="11"/>
          <w:rFonts w:hint="eastAsia" w:ascii="Adobe 仿宋 Std R" w:hAnsi="Adobe 仿宋 Std R" w:eastAsia="Adobe 仿宋 Std R"/>
          <w:color w:val="auto"/>
          <w:sz w:val="32"/>
          <w:szCs w:val="32"/>
          <w:lang w:val="en-US" w:eastAsia="zh-CN"/>
        </w:rPr>
      </w:pPr>
      <w:r>
        <w:rPr>
          <w:rStyle w:val="11"/>
          <w:rFonts w:hint="eastAsia" w:ascii="Adobe 仿宋 Std R" w:hAnsi="Adobe 仿宋 Std R" w:eastAsia="Adobe 仿宋 Std R"/>
          <w:color w:val="auto"/>
          <w:sz w:val="32"/>
          <w:szCs w:val="32"/>
        </w:rPr>
        <w:t>本单位没有使用国有资本经营预算拨款安排的支出</w:t>
      </w:r>
      <w:r>
        <w:rPr>
          <w:rStyle w:val="11"/>
          <w:rFonts w:hint="eastAsia" w:ascii="Adobe 仿宋 Std R" w:hAnsi="Adobe 仿宋 Std R" w:eastAsia="Adobe 仿宋 Std R"/>
          <w:color w:val="auto"/>
          <w:sz w:val="32"/>
          <w:szCs w:val="32"/>
          <w:lang w:eastAsia="zh-CN"/>
        </w:rPr>
        <w:t>。</w:t>
      </w:r>
    </w:p>
    <w:p w14:paraId="4B605A5E">
      <w:pPr>
        <w:ind w:firstLine="321" w:firstLineChars="100"/>
        <w:rPr>
          <w:rStyle w:val="11"/>
          <w:rFonts w:ascii="Adobe 仿宋 Std R" w:hAnsi="Adobe 仿宋 Std R" w:eastAsia="Adobe 仿宋 Std R"/>
          <w:b/>
          <w:color w:val="auto"/>
          <w:sz w:val="32"/>
          <w:szCs w:val="32"/>
        </w:rPr>
      </w:pPr>
      <w:r>
        <w:rPr>
          <w:rStyle w:val="11"/>
          <w:rFonts w:hint="eastAsia" w:asciiTheme="majorEastAsia" w:hAnsiTheme="majorEastAsia" w:eastAsiaTheme="majorEastAsia"/>
          <w:b/>
          <w:color w:val="auto"/>
          <w:sz w:val="32"/>
          <w:szCs w:val="32"/>
        </w:rPr>
        <w:t xml:space="preserve"> </w:t>
      </w:r>
      <w:r>
        <w:rPr>
          <w:rStyle w:val="11"/>
          <w:rFonts w:hint="eastAsia" w:ascii="Adobe 仿宋 Std R" w:hAnsi="Adobe 仿宋 Std R" w:eastAsia="Adobe 仿宋 Std R"/>
          <w:b/>
          <w:color w:val="auto"/>
          <w:sz w:val="32"/>
          <w:szCs w:val="32"/>
        </w:rPr>
        <w:t>(六)机关运行经费等重要事项的说明</w:t>
      </w:r>
    </w:p>
    <w:p w14:paraId="494ABE69">
      <w:pPr>
        <w:widowControl/>
        <w:ind w:firstLine="640" w:firstLineChars="200"/>
        <w:rPr>
          <w:rFonts w:hint="eastAsia" w:ascii="Adobe 仿宋 Std R" w:hAnsi="Adobe 仿宋 Std R" w:eastAsia="Adobe 仿宋 Std R"/>
          <w:color w:val="auto"/>
          <w:sz w:val="32"/>
          <w:szCs w:val="32"/>
          <w:lang w:val="en-US" w:eastAsia="zh-CN"/>
        </w:rPr>
      </w:pPr>
      <w:r>
        <w:rPr>
          <w:rStyle w:val="11"/>
          <w:rFonts w:hint="eastAsia" w:ascii="Adobe 仿宋 Std R" w:hAnsi="Adobe 仿宋 Std R" w:eastAsia="Adobe 仿宋 Std R"/>
          <w:color w:val="auto"/>
          <w:sz w:val="32"/>
          <w:szCs w:val="32"/>
        </w:rPr>
        <w:t>202</w:t>
      </w:r>
      <w:r>
        <w:rPr>
          <w:rStyle w:val="11"/>
          <w:rFonts w:hint="eastAsia" w:ascii="Adobe 仿宋 Std R" w:hAnsi="Adobe 仿宋 Std R" w:eastAsia="Adobe 仿宋 Std R"/>
          <w:color w:val="auto"/>
          <w:sz w:val="32"/>
          <w:szCs w:val="32"/>
          <w:lang w:val="en-US" w:eastAsia="zh-CN"/>
        </w:rPr>
        <w:t>4</w:t>
      </w:r>
      <w:r>
        <w:rPr>
          <w:rStyle w:val="11"/>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rPr>
        <w:t>单位机关运行费预算</w:t>
      </w:r>
      <w:r>
        <w:rPr>
          <w:rFonts w:hint="eastAsia" w:ascii="仿宋_GB2312" w:eastAsia="仿宋_GB2312"/>
          <w:color w:val="auto"/>
          <w:sz w:val="32"/>
          <w:szCs w:val="30"/>
          <w:u w:val="none"/>
          <w:lang w:val="en-US" w:eastAsia="zh-CN"/>
        </w:rPr>
        <w:t>91.43</w:t>
      </w:r>
      <w:r>
        <w:rPr>
          <w:rFonts w:hint="eastAsia" w:ascii="Adobe 仿宋 Std R" w:hAnsi="Adobe 仿宋 Std R" w:eastAsia="Adobe 仿宋 Std R"/>
          <w:color w:val="auto"/>
          <w:sz w:val="32"/>
          <w:szCs w:val="32"/>
        </w:rPr>
        <w:t>万元，比202</w:t>
      </w: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年预算减少</w:t>
      </w:r>
      <w:r>
        <w:rPr>
          <w:rFonts w:hint="eastAsia" w:ascii="Adobe 仿宋 Std R" w:hAnsi="Adobe 仿宋 Std R" w:eastAsia="Adobe 仿宋 Std R"/>
          <w:color w:val="auto"/>
          <w:sz w:val="32"/>
          <w:szCs w:val="32"/>
          <w:lang w:val="en-US" w:eastAsia="zh-CN"/>
        </w:rPr>
        <w:t>2.18</w:t>
      </w:r>
      <w:r>
        <w:rPr>
          <w:rFonts w:hint="eastAsia" w:ascii="Adobe 仿宋 Std R" w:hAnsi="Adobe 仿宋 Std R" w:eastAsia="Adobe 仿宋 Std R"/>
          <w:color w:val="auto"/>
          <w:sz w:val="32"/>
          <w:szCs w:val="32"/>
        </w:rPr>
        <w:t>万元，增长下降</w:t>
      </w:r>
      <w:r>
        <w:rPr>
          <w:rFonts w:hint="eastAsia" w:ascii="Adobe 仿宋 Std R" w:hAnsi="Adobe 仿宋 Std R" w:eastAsia="Adobe 仿宋 Std R"/>
          <w:color w:val="auto"/>
          <w:sz w:val="32"/>
          <w:szCs w:val="32"/>
          <w:lang w:val="en-US" w:eastAsia="zh-CN"/>
        </w:rPr>
        <w:t>2.33</w:t>
      </w:r>
      <w:r>
        <w:rPr>
          <w:rFonts w:hint="eastAsia" w:ascii="Adobe 仿宋 Std R" w:hAnsi="Adobe 仿宋 Std R" w:eastAsia="Adobe 仿宋 Std R"/>
          <w:color w:val="auto"/>
          <w:sz w:val="32"/>
          <w:szCs w:val="32"/>
        </w:rPr>
        <w:t>%。</w:t>
      </w:r>
      <w:r>
        <w:rPr>
          <w:rFonts w:hint="eastAsia" w:ascii="仿宋" w:hAnsi="仿宋" w:eastAsia="仿宋" w:cs="Times New Roman"/>
          <w:color w:val="auto"/>
          <w:kern w:val="0"/>
          <w:sz w:val="32"/>
          <w:szCs w:val="32"/>
          <w:lang w:val="en-US" w:eastAsia="zh-CN"/>
        </w:rPr>
        <w:t>下降原因为</w:t>
      </w:r>
      <w:r>
        <w:rPr>
          <w:rFonts w:hint="eastAsia" w:ascii="仿宋_GB2312" w:hAnsi="仿宋_GB2312" w:eastAsia="仿宋_GB2312" w:cs="仿宋_GB2312"/>
          <w:color w:val="auto"/>
          <w:sz w:val="32"/>
          <w:szCs w:val="32"/>
          <w:u w:val="none"/>
          <w:lang w:val="en-US" w:eastAsia="zh-CN"/>
        </w:rPr>
        <w:t>应政策要求，过紧日子，节省公用经费开支</w:t>
      </w:r>
      <w:r>
        <w:rPr>
          <w:rFonts w:hint="eastAsia" w:ascii="仿宋" w:hAnsi="仿宋" w:eastAsia="仿宋" w:cs="Times New Roman"/>
          <w:color w:val="auto"/>
          <w:kern w:val="0"/>
          <w:sz w:val="32"/>
          <w:szCs w:val="32"/>
          <w:lang w:val="en-US" w:eastAsia="zh-CN"/>
        </w:rPr>
        <w:t>。</w:t>
      </w:r>
    </w:p>
    <w:p w14:paraId="76D6CDC3">
      <w:pPr>
        <w:widowControl/>
        <w:spacing w:line="580" w:lineRule="exact"/>
        <w:ind w:firstLine="636"/>
        <w:jc w:val="left"/>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按照财政部《地方预决算公开操作规程》明确的口径，机关运行费指各部门的公用经费，包括办公及印刷费</w:t>
      </w:r>
      <w:r>
        <w:rPr>
          <w:rFonts w:hint="eastAsia" w:ascii="Adobe 仿宋 Std R" w:hAnsi="Adobe 仿宋 Std R" w:eastAsia="Adobe 仿宋 Std R"/>
          <w:color w:val="auto"/>
          <w:sz w:val="32"/>
          <w:szCs w:val="32"/>
          <w:lang w:val="en-US" w:eastAsia="zh-CN"/>
        </w:rPr>
        <w:t>10万元</w:t>
      </w:r>
      <w:r>
        <w:rPr>
          <w:rFonts w:hint="eastAsia" w:ascii="Adobe 仿宋 Std R" w:hAnsi="Adobe 仿宋 Std R" w:eastAsia="Adobe 仿宋 Std R"/>
          <w:color w:val="auto"/>
          <w:sz w:val="32"/>
          <w:szCs w:val="32"/>
        </w:rPr>
        <w:t>、邮电费</w:t>
      </w:r>
      <w:r>
        <w:rPr>
          <w:rFonts w:hint="eastAsia" w:ascii="Adobe 仿宋 Std R" w:hAnsi="Adobe 仿宋 Std R" w:eastAsia="Adobe 仿宋 Std R"/>
          <w:color w:val="auto"/>
          <w:sz w:val="32"/>
          <w:szCs w:val="32"/>
          <w:lang w:val="en-US" w:eastAsia="zh-CN"/>
        </w:rPr>
        <w:t>2万元</w:t>
      </w:r>
      <w:r>
        <w:rPr>
          <w:rFonts w:hint="eastAsia" w:ascii="Adobe 仿宋 Std R" w:hAnsi="Adobe 仿宋 Std R" w:eastAsia="Adobe 仿宋 Std R"/>
          <w:color w:val="auto"/>
          <w:sz w:val="32"/>
          <w:szCs w:val="32"/>
        </w:rPr>
        <w:t>、差旅费</w:t>
      </w:r>
      <w:r>
        <w:rPr>
          <w:rFonts w:hint="eastAsia" w:ascii="Adobe 仿宋 Std R" w:hAnsi="Adobe 仿宋 Std R" w:eastAsia="Adobe 仿宋 Std R"/>
          <w:color w:val="auto"/>
          <w:sz w:val="32"/>
          <w:szCs w:val="32"/>
          <w:lang w:val="en-US" w:eastAsia="zh-CN"/>
        </w:rPr>
        <w:t>5万元</w:t>
      </w:r>
      <w:r>
        <w:rPr>
          <w:rFonts w:hint="eastAsia" w:ascii="Adobe 仿宋 Std R" w:hAnsi="Adobe 仿宋 Std R" w:eastAsia="Adobe 仿宋 Std R"/>
          <w:color w:val="auto"/>
          <w:sz w:val="32"/>
          <w:szCs w:val="32"/>
        </w:rPr>
        <w:t>、会议费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、福利费</w:t>
      </w:r>
      <w:r>
        <w:rPr>
          <w:rFonts w:hint="eastAsia" w:ascii="Adobe 仿宋 Std R" w:hAnsi="Adobe 仿宋 Std R" w:eastAsia="Adobe 仿宋 Std R"/>
          <w:color w:val="auto"/>
          <w:sz w:val="32"/>
          <w:szCs w:val="32"/>
          <w:lang w:val="en-US" w:eastAsia="zh-CN"/>
        </w:rPr>
        <w:t>14万元</w:t>
      </w:r>
      <w:r>
        <w:rPr>
          <w:rFonts w:hint="eastAsia" w:ascii="Adobe 仿宋 Std R" w:hAnsi="Adobe 仿宋 Std R" w:eastAsia="Adobe 仿宋 Std R"/>
          <w:color w:val="auto"/>
          <w:sz w:val="32"/>
          <w:szCs w:val="32"/>
        </w:rPr>
        <w:t>、日常维修费</w:t>
      </w:r>
      <w:r>
        <w:rPr>
          <w:rFonts w:hint="eastAsia" w:ascii="Adobe 仿宋 Std R" w:hAnsi="Adobe 仿宋 Std R" w:eastAsia="Adobe 仿宋 Std R"/>
          <w:color w:val="auto"/>
          <w:sz w:val="32"/>
          <w:szCs w:val="32"/>
          <w:lang w:val="en-US" w:eastAsia="zh-CN"/>
        </w:rPr>
        <w:t>1万元</w:t>
      </w:r>
      <w:r>
        <w:rPr>
          <w:rFonts w:hint="eastAsia" w:ascii="Adobe 仿宋 Std R" w:hAnsi="Adobe 仿宋 Std R" w:eastAsia="Adobe 仿宋 Std R"/>
          <w:color w:val="auto"/>
          <w:sz w:val="32"/>
          <w:szCs w:val="32"/>
        </w:rPr>
        <w:t>、专用材料及一般设备购置费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、办公用房水电费</w:t>
      </w:r>
      <w:r>
        <w:rPr>
          <w:rFonts w:hint="eastAsia" w:ascii="Adobe 仿宋 Std R" w:hAnsi="Adobe 仿宋 Std R" w:eastAsia="Adobe 仿宋 Std R"/>
          <w:color w:val="auto"/>
          <w:sz w:val="32"/>
          <w:szCs w:val="32"/>
          <w:lang w:val="en-US" w:eastAsia="zh-CN"/>
        </w:rPr>
        <w:t>11万元</w:t>
      </w:r>
      <w:r>
        <w:rPr>
          <w:rFonts w:hint="eastAsia" w:ascii="Adobe 仿宋 Std R" w:hAnsi="Adobe 仿宋 Std R" w:eastAsia="Adobe 仿宋 Std R"/>
          <w:color w:val="auto"/>
          <w:sz w:val="32"/>
          <w:szCs w:val="32"/>
        </w:rPr>
        <w:t>、办公用房取暖费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、办公用房物业管理费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、公务用车运行维护费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、公务</w:t>
      </w:r>
      <w:r>
        <w:rPr>
          <w:rFonts w:hint="eastAsia" w:ascii="Adobe 仿宋 Std R" w:hAnsi="Adobe 仿宋 Std R" w:eastAsia="Adobe 仿宋 Std R"/>
          <w:color w:val="auto"/>
          <w:sz w:val="32"/>
          <w:szCs w:val="32"/>
          <w:lang w:val="en-US" w:eastAsia="zh-CN"/>
        </w:rPr>
        <w:t>接待</w:t>
      </w:r>
      <w:r>
        <w:rPr>
          <w:rFonts w:hint="eastAsia" w:ascii="Adobe 仿宋 Std R" w:hAnsi="Adobe 仿宋 Std R" w:eastAsia="Adobe 仿宋 Std R"/>
          <w:color w:val="auto"/>
          <w:sz w:val="32"/>
          <w:szCs w:val="32"/>
        </w:rPr>
        <w:t>费</w:t>
      </w:r>
      <w:r>
        <w:rPr>
          <w:rFonts w:hint="eastAsia" w:ascii="Adobe 仿宋 Std R" w:hAnsi="Adobe 仿宋 Std R" w:eastAsia="Adobe 仿宋 Std R"/>
          <w:color w:val="auto"/>
          <w:sz w:val="32"/>
          <w:szCs w:val="32"/>
          <w:lang w:val="en-US" w:eastAsia="zh-CN"/>
        </w:rPr>
        <w:t>3.54万元</w:t>
      </w:r>
      <w:r>
        <w:rPr>
          <w:rFonts w:hint="eastAsia"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lang w:val="en-US" w:eastAsia="zh-CN"/>
        </w:rPr>
        <w:t>劳务</w:t>
      </w:r>
      <w:r>
        <w:rPr>
          <w:rFonts w:hint="eastAsia" w:ascii="Adobe 仿宋 Std R" w:hAnsi="Adobe 仿宋 Std R" w:eastAsia="Adobe 仿宋 Std R"/>
          <w:color w:val="auto"/>
          <w:sz w:val="32"/>
          <w:szCs w:val="32"/>
        </w:rPr>
        <w:t>费</w:t>
      </w:r>
      <w:r>
        <w:rPr>
          <w:rFonts w:hint="eastAsia" w:ascii="Adobe 仿宋 Std R" w:hAnsi="Adobe 仿宋 Std R" w:eastAsia="Adobe 仿宋 Std R"/>
          <w:color w:val="auto"/>
          <w:sz w:val="32"/>
          <w:szCs w:val="32"/>
          <w:lang w:val="en-US" w:eastAsia="zh-CN"/>
        </w:rPr>
        <w:t>22.13万元</w:t>
      </w:r>
      <w:r>
        <w:rPr>
          <w:rFonts w:hint="eastAsia"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lang w:val="en-US" w:eastAsia="zh-CN"/>
        </w:rPr>
        <w:t>工会经</w:t>
      </w:r>
      <w:r>
        <w:rPr>
          <w:rFonts w:hint="eastAsia" w:ascii="Adobe 仿宋 Std R" w:hAnsi="Adobe 仿宋 Std R" w:eastAsia="Adobe 仿宋 Std R"/>
          <w:color w:val="auto"/>
          <w:sz w:val="32"/>
          <w:szCs w:val="32"/>
        </w:rPr>
        <w:t>费</w:t>
      </w:r>
      <w:r>
        <w:rPr>
          <w:rFonts w:hint="eastAsia" w:ascii="Adobe 仿宋 Std R" w:hAnsi="Adobe 仿宋 Std R" w:eastAsia="Adobe 仿宋 Std R"/>
          <w:color w:val="auto"/>
          <w:sz w:val="32"/>
          <w:szCs w:val="32"/>
          <w:lang w:val="en-US" w:eastAsia="zh-CN"/>
        </w:rPr>
        <w:t>9.76万元</w:t>
      </w:r>
      <w:r>
        <w:rPr>
          <w:rFonts w:hint="eastAsia" w:ascii="仿宋_GB2312" w:hAnsi="仿宋_GB2312" w:eastAsia="仿宋_GB2312" w:cs="仿宋_GB2312"/>
          <w:color w:val="000000" w:themeColor="text1"/>
          <w:sz w:val="32"/>
          <w:szCs w:val="32"/>
          <w:lang w:val="en-US" w:eastAsia="zh-CN"/>
        </w:rPr>
        <w:t>、</w:t>
      </w:r>
      <w:r>
        <w:rPr>
          <w:rFonts w:hint="eastAsia" w:ascii="仿宋_GB2312" w:hAnsi="仿宋_GB2312" w:eastAsia="仿宋_GB2312" w:cs="仿宋_GB2312"/>
          <w:color w:val="000000" w:themeColor="text1"/>
          <w:sz w:val="32"/>
          <w:szCs w:val="32"/>
        </w:rPr>
        <w:t>其他商品和服务支出</w:t>
      </w:r>
      <w:r>
        <w:rPr>
          <w:rFonts w:hint="eastAsia" w:ascii="仿宋_GB2312" w:hAnsi="仿宋_GB2312" w:eastAsia="仿宋_GB2312" w:cs="仿宋_GB2312"/>
          <w:color w:val="000000" w:themeColor="text1"/>
          <w:sz w:val="32"/>
          <w:szCs w:val="32"/>
          <w:lang w:val="en-US" w:eastAsia="zh-CN"/>
        </w:rPr>
        <w:t>13万元</w:t>
      </w:r>
      <w:r>
        <w:rPr>
          <w:rFonts w:hint="eastAsia" w:ascii="仿宋_GB2312" w:hAnsi="仿宋_GB2312" w:eastAsia="仿宋_GB2312" w:cs="仿宋_GB2312"/>
          <w:sz w:val="32"/>
          <w:szCs w:val="32"/>
        </w:rPr>
        <w:t>。</w:t>
      </w:r>
    </w:p>
    <w:p w14:paraId="5EF26DB4">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(七)政府采购情况</w:t>
      </w:r>
    </w:p>
    <w:p w14:paraId="3A5CC035">
      <w:pPr>
        <w:rPr>
          <w:rFonts w:ascii="Adobe 仿宋 Std R" w:hAnsi="Adobe 仿宋 Std R" w:eastAsia="Adobe 仿宋 Std R"/>
          <w:color w:val="auto"/>
          <w:sz w:val="32"/>
          <w:szCs w:val="32"/>
        </w:rPr>
      </w:pPr>
      <w:r>
        <w:rPr>
          <w:rStyle w:val="11"/>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年政府采购总额</w:t>
      </w:r>
      <w:r>
        <w:rPr>
          <w:rFonts w:hint="eastAsia" w:ascii="Adobe 仿宋 Std R" w:hAnsi="Adobe 仿宋 Std R" w:eastAsia="Adobe 仿宋 Std R"/>
          <w:color w:val="auto"/>
          <w:sz w:val="32"/>
          <w:szCs w:val="32"/>
          <w:lang w:val="en-US" w:eastAsia="zh-CN"/>
        </w:rPr>
        <w:t>13.8</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13.8</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p>
    <w:p w14:paraId="795B57CC">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(八)国有资产占有使用情况</w:t>
      </w:r>
    </w:p>
    <w:p w14:paraId="20DB536E">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截至</w:t>
      </w:r>
      <w:r>
        <w:rPr>
          <w:rFonts w:hint="eastAsia" w:ascii="Adobe 仿宋 Std R" w:hAnsi="Adobe 仿宋 Std R" w:eastAsia="Adobe 仿宋 Std R"/>
          <w:color w:val="auto"/>
          <w:sz w:val="32"/>
          <w:szCs w:val="32"/>
          <w:lang w:val="en-US" w:eastAsia="zh-CN"/>
        </w:rPr>
        <w:t>2023</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12</w:t>
      </w:r>
      <w:r>
        <w:rPr>
          <w:rFonts w:hint="eastAsia" w:ascii="Adobe 仿宋 Std R" w:hAnsi="Adobe 仿宋 Std R" w:eastAsia="Adobe 仿宋 Std R"/>
          <w:color w:val="auto"/>
          <w:sz w:val="32"/>
          <w:szCs w:val="32"/>
        </w:rPr>
        <w:t>月</w:t>
      </w:r>
      <w:r>
        <w:rPr>
          <w:rFonts w:hint="eastAsia" w:ascii="Adobe 仿宋 Std R" w:hAnsi="Adobe 仿宋 Std R" w:eastAsia="Adobe 仿宋 Std R"/>
          <w:color w:val="auto"/>
          <w:sz w:val="32"/>
          <w:szCs w:val="32"/>
          <w:lang w:val="en-US" w:eastAsia="zh-CN"/>
        </w:rPr>
        <w:t>31</w:t>
      </w:r>
      <w:r>
        <w:rPr>
          <w:rFonts w:hint="eastAsia" w:ascii="Adobe 仿宋 Std R" w:hAnsi="Adobe 仿宋 Std R" w:eastAsia="Adobe 仿宋 Std R"/>
          <w:color w:val="auto"/>
          <w:sz w:val="32"/>
          <w:szCs w:val="32"/>
        </w:rPr>
        <w:t>日,</w:t>
      </w:r>
      <w:r>
        <w:rPr>
          <w:rFonts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${page540426799.ds376136392_REP_JX_BAS_AGENCY_INFO_DXQRSDW_S_CLSYS}</w:instrText>
      </w:r>
      <w:r>
        <w:rPr>
          <w:rFonts w:ascii="Adobe 仿宋 Std R" w:hAnsi="Adobe 仿宋 Std R" w:eastAsia="Adobe 仿宋 Std R"/>
          <w:color w:val="auto"/>
          <w:sz w:val="32"/>
          <w:szCs w:val="32"/>
        </w:rPr>
        <w:fldChar w:fldCharType="separate"/>
      </w:r>
      <w:r>
        <w:rPr>
          <w:rFonts w:ascii="Adobe 仿宋 Std R" w:hAnsi="Adobe 仿宋 Std R" w:eastAsia="Adobe 仿宋 Std R"/>
          <w:color w:val="auto"/>
          <w:sz w:val="32"/>
          <w:szCs w:val="32"/>
        </w:rPr>
        <w:t>单位共有车辆</w:t>
      </w:r>
      <w:r>
        <w:rPr>
          <w:rFonts w:hint="eastAsia" w:ascii="Adobe 仿宋 Std R" w:hAnsi="Adobe 仿宋 Std R" w:eastAsia="Adobe 仿宋 Std R"/>
          <w:color w:val="auto"/>
          <w:sz w:val="32"/>
          <w:szCs w:val="32"/>
          <w:lang w:val="en-US" w:eastAsia="zh-CN"/>
        </w:rPr>
        <w:t>0</w:t>
      </w:r>
      <w:r>
        <w:rPr>
          <w:rFonts w:ascii="Adobe 仿宋 Std R" w:hAnsi="Adobe 仿宋 Std R" w:eastAsia="Adobe 仿宋 Std R"/>
          <w:color w:val="auto"/>
          <w:sz w:val="32"/>
          <w:szCs w:val="32"/>
        </w:rPr>
        <w:t>辆,其中：一般公务用车实有数</w:t>
      </w:r>
      <w:r>
        <w:rPr>
          <w:rFonts w:hint="eastAsia" w:ascii="Adobe 仿宋 Std R" w:hAnsi="Adobe 仿宋 Std R" w:eastAsia="Adobe 仿宋 Std R"/>
          <w:color w:val="auto"/>
          <w:sz w:val="32"/>
          <w:szCs w:val="32"/>
          <w:lang w:val="en-US" w:eastAsia="zh-CN"/>
        </w:rPr>
        <w:t>0</w:t>
      </w:r>
      <w:r>
        <w:rPr>
          <w:rFonts w:ascii="Adobe 仿宋 Std R" w:hAnsi="Adobe 仿宋 Std R" w:eastAsia="Adobe 仿宋 Std R"/>
          <w:color w:val="auto"/>
          <w:sz w:val="32"/>
          <w:szCs w:val="32"/>
        </w:rPr>
        <w:t>辆。</w:t>
      </w:r>
      <w:r>
        <w:rPr>
          <w:color w:val="auto"/>
        </w:rPr>
        <w:fldChar w:fldCharType="end"/>
      </w:r>
    </w:p>
    <w:p w14:paraId="79581FC7">
      <w:pPr>
        <w:ind w:firstLine="642"/>
        <w:rPr>
          <w:rFonts w:ascii="仿宋_GB2312" w:eastAsia="仿宋_GB2312"/>
          <w:color w:val="auto"/>
          <w:sz w:val="32"/>
          <w:szCs w:val="30"/>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年单位预算安排购置车辆</w:t>
      </w:r>
      <w:r>
        <w:rPr>
          <w:rFonts w:hint="eastAsia" w:ascii="仿宋_GB2312" w:eastAsia="仿宋_GB2312"/>
          <w:color w:val="auto"/>
          <w:sz w:val="32"/>
          <w:szCs w:val="30"/>
          <w:u w:val="none"/>
          <w:lang w:val="en-US" w:eastAsia="zh-CN"/>
        </w:rPr>
        <w:t>0</w:t>
      </w:r>
      <w:r>
        <w:rPr>
          <w:rFonts w:hint="eastAsia" w:ascii="Adobe 仿宋 Std R" w:hAnsi="Adobe 仿宋 Std R" w:eastAsia="Adobe 仿宋 Std R"/>
          <w:color w:val="auto"/>
          <w:sz w:val="32"/>
          <w:szCs w:val="32"/>
          <w:u w:val="none"/>
        </w:rPr>
        <w:t>辆，安排购置单位价值200万元以上大型设备具体为：</w:t>
      </w:r>
      <w:r>
        <w:rPr>
          <w:rFonts w:hint="eastAsia" w:ascii="仿宋_GB2312" w:eastAsia="仿宋_GB2312"/>
          <w:color w:val="auto"/>
          <w:sz w:val="32"/>
          <w:szCs w:val="30"/>
          <w:u w:val="none"/>
          <w:lang w:val="en-US" w:eastAsia="zh-CN"/>
        </w:rPr>
        <w:t>无</w:t>
      </w:r>
      <w:r>
        <w:rPr>
          <w:rFonts w:hint="eastAsia" w:ascii="仿宋_GB2312" w:eastAsia="仿宋_GB2312"/>
          <w:color w:val="auto"/>
          <w:sz w:val="32"/>
          <w:szCs w:val="30"/>
          <w:u w:val="none"/>
        </w:rPr>
        <w:t xml:space="preserve"> 。</w:t>
      </w:r>
    </w:p>
    <w:p w14:paraId="5077C5BD">
      <w:pPr>
        <w:ind w:firstLine="321" w:firstLineChars="100"/>
        <w:rPr>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（九）</w:t>
      </w:r>
      <w:r>
        <w:rPr>
          <w:rStyle w:val="11"/>
          <w:rFonts w:hint="eastAsia" w:ascii="Adobe 仿宋 Std R" w:hAnsi="Adobe 仿宋 Std R" w:eastAsia="Adobe 仿宋 Std R"/>
          <w:b/>
          <w:color w:val="auto"/>
          <w:sz w:val="32"/>
          <w:szCs w:val="32"/>
          <w:lang w:val="en-US" w:eastAsia="zh-CN"/>
        </w:rPr>
        <w:t>庐山市人社局</w:t>
      </w:r>
      <w:r>
        <w:rPr>
          <w:rStyle w:val="11"/>
          <w:rFonts w:hint="eastAsia" w:ascii="Adobe 仿宋 Std R" w:hAnsi="Adobe 仿宋 Std R" w:eastAsia="Adobe 仿宋 Std R"/>
          <w:b/>
          <w:color w:val="auto"/>
          <w:sz w:val="32"/>
          <w:szCs w:val="32"/>
        </w:rPr>
        <w:t>项目情况说明</w:t>
      </w:r>
    </w:p>
    <w:p w14:paraId="46B6751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Adobe 仿宋 Std R" w:hAnsi="Adobe 仿宋 Std R" w:eastAsia="Adobe 仿宋 Std R"/>
          <w:color w:val="auto"/>
          <w:sz w:val="32"/>
          <w:szCs w:val="32"/>
        </w:rPr>
        <w:t xml:space="preserve">  </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“财政对机关事业单位养老保险的补助”</w:t>
      </w:r>
      <w:r>
        <w:rPr>
          <w:rFonts w:hint="eastAsia" w:ascii="仿宋_GB2312" w:hAnsi="仿宋_GB2312" w:eastAsia="仿宋_GB2312" w:cs="仿宋_GB2312"/>
          <w:sz w:val="32"/>
          <w:szCs w:val="32"/>
        </w:rPr>
        <w:t>项目</w:t>
      </w:r>
    </w:p>
    <w:p w14:paraId="39E9A86D">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1）项目概述：我市</w:t>
      </w:r>
      <w:r>
        <w:rPr>
          <w:rFonts w:hint="eastAsia" w:ascii="仿宋_GB2312" w:hAnsi="仿宋_GB2312" w:eastAsia="仿宋_GB2312" w:cs="仿宋_GB2312"/>
          <w:color w:val="auto"/>
          <w:sz w:val="32"/>
          <w:szCs w:val="32"/>
          <w:lang w:val="en-US" w:eastAsia="zh-CN"/>
        </w:rPr>
        <w:t>机关养老保险退休人员的养老金发放</w:t>
      </w:r>
      <w:r>
        <w:rPr>
          <w:rFonts w:hint="eastAsia" w:ascii="仿宋_GB2312" w:hAnsi="仿宋_GB2312" w:eastAsia="仿宋_GB2312" w:cs="仿宋_GB2312"/>
          <w:color w:val="auto"/>
          <w:sz w:val="32"/>
          <w:szCs w:val="32"/>
          <w:lang w:eastAsia="zh-CN"/>
        </w:rPr>
        <w:t>。</w:t>
      </w:r>
    </w:p>
    <w:p w14:paraId="1FCB7A5D">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）立项依据：赣人社</w:t>
      </w:r>
      <w:r>
        <w:rPr>
          <w:rFonts w:hint="eastAsia" w:ascii="仿宋_GB2312" w:hAnsi="仿宋_GB2312" w:eastAsia="仿宋_GB2312" w:cs="仿宋_GB2312"/>
          <w:color w:val="auto"/>
          <w:sz w:val="32"/>
          <w:szCs w:val="32"/>
          <w:lang w:val="en-US" w:eastAsia="zh-CN"/>
        </w:rPr>
        <w:t>发</w:t>
      </w:r>
      <w:r>
        <w:rPr>
          <w:rFonts w:hint="eastAsia" w:ascii="仿宋_GB2312" w:hAnsi="仿宋_GB2312" w:eastAsia="仿宋_GB2312" w:cs="仿宋_GB2312"/>
          <w:color w:val="auto"/>
          <w:sz w:val="32"/>
          <w:szCs w:val="32"/>
          <w:lang w:eastAsia="zh-CN"/>
        </w:rPr>
        <w:t>【20</w:t>
      </w:r>
      <w:r>
        <w:rPr>
          <w:rFonts w:hint="eastAsia" w:ascii="仿宋_GB2312" w:hAnsi="仿宋_GB2312" w:eastAsia="仿宋_GB2312" w:cs="仿宋_GB2312"/>
          <w:color w:val="auto"/>
          <w:sz w:val="32"/>
          <w:szCs w:val="32"/>
          <w:lang w:val="en-US" w:eastAsia="zh-CN"/>
        </w:rPr>
        <w:t>16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 xml:space="preserve"> 号文件</w:t>
      </w:r>
    </w:p>
    <w:p w14:paraId="78A94EF2">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）实施主体：庐山市人力资源和社会保障局</w:t>
      </w:r>
    </w:p>
    <w:p w14:paraId="39CC067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eastAsia="zh-CN"/>
        </w:rPr>
        <w:t>：该项目</w:t>
      </w:r>
      <w:r>
        <w:rPr>
          <w:rFonts w:hint="eastAsia" w:ascii="仿宋_GB2312" w:hAnsi="仿宋_GB2312" w:eastAsia="仿宋_GB2312" w:cs="仿宋_GB2312"/>
          <w:color w:val="auto"/>
          <w:sz w:val="32"/>
          <w:szCs w:val="32"/>
          <w:lang w:val="en-US" w:eastAsia="zh-CN"/>
        </w:rPr>
        <w:t>有</w:t>
      </w:r>
      <w:r>
        <w:rPr>
          <w:rFonts w:hint="eastAsia" w:ascii="仿宋_GB2312" w:hAnsi="仿宋_GB2312" w:eastAsia="仿宋_GB2312" w:cs="仿宋_GB2312"/>
          <w:color w:val="auto"/>
          <w:sz w:val="32"/>
          <w:szCs w:val="32"/>
          <w:lang w:eastAsia="zh-CN"/>
        </w:rPr>
        <w:t>上级财政资金保障和地方财政配套实施，每年由人社局负责发放。</w:t>
      </w:r>
    </w:p>
    <w:p w14:paraId="3C557B2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2024年1月-2024年12月</w:t>
      </w:r>
    </w:p>
    <w:p w14:paraId="53D3FD9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10000万元</w:t>
      </w:r>
    </w:p>
    <w:p w14:paraId="1D368A0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“失地农民养老保险缴费财政补贴”</w:t>
      </w:r>
      <w:r>
        <w:rPr>
          <w:rFonts w:hint="eastAsia" w:ascii="仿宋_GB2312" w:hAnsi="仿宋_GB2312" w:eastAsia="仿宋_GB2312" w:cs="仿宋_GB2312"/>
          <w:color w:val="auto"/>
          <w:sz w:val="32"/>
          <w:szCs w:val="32"/>
        </w:rPr>
        <w:t>项目</w:t>
      </w:r>
    </w:p>
    <w:p w14:paraId="0B6685DC">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1）项目概述：</w:t>
      </w:r>
      <w:r>
        <w:rPr>
          <w:rFonts w:hint="eastAsia" w:ascii="仿宋_GB2312" w:hAnsi="仿宋_GB2312" w:eastAsia="仿宋_GB2312" w:cs="仿宋_GB2312"/>
          <w:color w:val="auto"/>
          <w:sz w:val="32"/>
          <w:szCs w:val="32"/>
          <w:lang w:val="en-US" w:eastAsia="zh-CN"/>
        </w:rPr>
        <w:t>确保失地农民退休人员能按时享受相关补助，领取退休待遇，保障失地农民的基本生活水平。</w:t>
      </w:r>
    </w:p>
    <w:p w14:paraId="03D5051D">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）立项依据：</w:t>
      </w:r>
      <w:r>
        <w:rPr>
          <w:rFonts w:hint="eastAsia" w:ascii="仿宋_GB2312" w:hAnsi="仿宋_GB2312" w:eastAsia="仿宋_GB2312" w:cs="仿宋_GB2312"/>
          <w:color w:val="auto"/>
          <w:sz w:val="32"/>
          <w:szCs w:val="32"/>
          <w:lang w:val="en-US" w:eastAsia="zh-CN"/>
        </w:rPr>
        <w:t>庐府办发</w:t>
      </w:r>
      <w:r>
        <w:rPr>
          <w:rFonts w:hint="eastAsia" w:ascii="仿宋_GB2312" w:hAnsi="仿宋_GB2312" w:eastAsia="仿宋_GB2312" w:cs="仿宋_GB2312"/>
          <w:color w:val="auto"/>
          <w:sz w:val="32"/>
          <w:szCs w:val="32"/>
          <w:lang w:eastAsia="zh-CN"/>
        </w:rPr>
        <w:t>【20</w:t>
      </w:r>
      <w:r>
        <w:rPr>
          <w:rFonts w:hint="eastAsia" w:ascii="仿宋_GB2312" w:hAnsi="仿宋_GB2312" w:eastAsia="仿宋_GB2312" w:cs="仿宋_GB2312"/>
          <w:color w:val="auto"/>
          <w:sz w:val="32"/>
          <w:szCs w:val="32"/>
          <w:lang w:val="en-US" w:eastAsia="zh-CN"/>
        </w:rPr>
        <w:t>17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97</w:t>
      </w:r>
      <w:r>
        <w:rPr>
          <w:rFonts w:hint="eastAsia" w:ascii="仿宋_GB2312" w:hAnsi="仿宋_GB2312" w:eastAsia="仿宋_GB2312" w:cs="仿宋_GB2312"/>
          <w:color w:val="auto"/>
          <w:sz w:val="32"/>
          <w:szCs w:val="32"/>
          <w:lang w:eastAsia="zh-CN"/>
        </w:rPr>
        <w:t>号文件</w:t>
      </w:r>
    </w:p>
    <w:p w14:paraId="6A77E5BB">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）实施主体：庐山市人力资源和社会保障局</w:t>
      </w:r>
    </w:p>
    <w:p w14:paraId="03C6BB4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eastAsia="zh-CN"/>
        </w:rPr>
        <w:t>：该项目</w:t>
      </w:r>
      <w:r>
        <w:rPr>
          <w:rFonts w:hint="eastAsia" w:ascii="仿宋_GB2312" w:hAnsi="仿宋_GB2312" w:eastAsia="仿宋_GB2312" w:cs="仿宋_GB2312"/>
          <w:color w:val="auto"/>
          <w:sz w:val="32"/>
          <w:szCs w:val="32"/>
          <w:lang w:val="en-US" w:eastAsia="zh-CN"/>
        </w:rPr>
        <w:t>由县级财政负担，财政补助资金划入人社局失地农民养老金专户</w:t>
      </w:r>
      <w:r>
        <w:rPr>
          <w:rFonts w:hint="eastAsia" w:ascii="仿宋_GB2312" w:hAnsi="仿宋_GB2312" w:eastAsia="仿宋_GB2312" w:cs="仿宋_GB2312"/>
          <w:color w:val="auto"/>
          <w:sz w:val="32"/>
          <w:szCs w:val="32"/>
          <w:lang w:eastAsia="zh-CN"/>
        </w:rPr>
        <w:t>。</w:t>
      </w:r>
    </w:p>
    <w:p w14:paraId="7279C89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2024年1月-2024年12月</w:t>
      </w:r>
    </w:p>
    <w:p w14:paraId="47CC75E1">
      <w:pPr>
        <w:pStyle w:val="15"/>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3621.29万元</w:t>
      </w:r>
    </w:p>
    <w:p w14:paraId="2E84941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“三支一扶</w:t>
      </w:r>
      <w:r>
        <w:rPr>
          <w:rFonts w:hint="eastAsia" w:ascii="仿宋_GB2312" w:hAnsi="仿宋_GB2312" w:eastAsia="仿宋_GB2312" w:cs="仿宋_GB2312"/>
          <w:sz w:val="32"/>
          <w:szCs w:val="32"/>
          <w:lang w:val="en-US" w:eastAsia="zh-CN"/>
        </w:rPr>
        <w:t>工作</w:t>
      </w:r>
      <w:r>
        <w:rPr>
          <w:rFonts w:hint="eastAsia" w:ascii="仿宋_GB2312" w:hAnsi="仿宋_GB2312" w:eastAsia="仿宋_GB2312" w:cs="仿宋_GB2312"/>
          <w:sz w:val="32"/>
          <w:szCs w:val="32"/>
          <w:lang w:eastAsia="zh-CN"/>
        </w:rPr>
        <w:t>经费补助”</w:t>
      </w:r>
      <w:r>
        <w:rPr>
          <w:rFonts w:hint="eastAsia" w:ascii="仿宋_GB2312" w:hAnsi="仿宋_GB2312" w:eastAsia="仿宋_GB2312" w:cs="仿宋_GB2312"/>
          <w:sz w:val="32"/>
          <w:szCs w:val="32"/>
        </w:rPr>
        <w:t>项目</w:t>
      </w:r>
    </w:p>
    <w:p w14:paraId="64F14ACA">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1）项目概述：我市20</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lang w:eastAsia="zh-CN"/>
        </w:rPr>
        <w:t>年</w:t>
      </w:r>
      <w:r>
        <w:rPr>
          <w:rFonts w:hint="eastAsia" w:ascii="仿宋_GB2312" w:hAnsi="仿宋_GB2312" w:eastAsia="仿宋_GB2312" w:cs="仿宋_GB2312"/>
          <w:color w:val="auto"/>
          <w:sz w:val="32"/>
          <w:szCs w:val="32"/>
          <w:lang w:val="en-US" w:eastAsia="zh-CN"/>
        </w:rPr>
        <w:t>和2023年</w:t>
      </w:r>
      <w:r>
        <w:rPr>
          <w:rFonts w:hint="eastAsia" w:ascii="仿宋_GB2312" w:hAnsi="仿宋_GB2312" w:eastAsia="仿宋_GB2312" w:cs="仿宋_GB2312"/>
          <w:color w:val="auto"/>
          <w:sz w:val="32"/>
          <w:szCs w:val="32"/>
          <w:lang w:eastAsia="zh-CN"/>
        </w:rPr>
        <w:t>招募“三支一扶”工作人员</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lang w:eastAsia="zh-CN"/>
        </w:rPr>
        <w:t>人，我局承担全市“三支一扶”的补贴、奖金、安家补助及五险的扣缴工作。</w:t>
      </w:r>
    </w:p>
    <w:p w14:paraId="2B677739">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）立项依据：赣</w:t>
      </w:r>
      <w:r>
        <w:rPr>
          <w:rFonts w:hint="eastAsia" w:ascii="仿宋_GB2312" w:hAnsi="仿宋_GB2312" w:eastAsia="仿宋_GB2312" w:cs="仿宋_GB2312"/>
          <w:color w:val="auto"/>
          <w:sz w:val="32"/>
          <w:szCs w:val="32"/>
          <w:lang w:val="en-US" w:eastAsia="zh-CN"/>
        </w:rPr>
        <w:t>三支一扶办字</w:t>
      </w:r>
      <w:r>
        <w:rPr>
          <w:rFonts w:hint="eastAsia" w:ascii="仿宋_GB2312" w:hAnsi="仿宋_GB2312" w:eastAsia="仿宋_GB2312" w:cs="仿宋_GB2312"/>
          <w:color w:val="auto"/>
          <w:sz w:val="32"/>
          <w:szCs w:val="32"/>
          <w:lang w:eastAsia="zh-CN"/>
        </w:rPr>
        <w:t>【202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号文件</w:t>
      </w:r>
    </w:p>
    <w:p w14:paraId="6D8A42A3">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）实施主体：庐山市人力资源和社会保障局</w:t>
      </w:r>
    </w:p>
    <w:p w14:paraId="5FB898B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eastAsia="zh-CN"/>
        </w:rPr>
        <w:t>：该项目有上级财政资金保障和地方财政配套实施，每年由人社局负责发放。</w:t>
      </w:r>
    </w:p>
    <w:p w14:paraId="0CC52E8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2024年1月-2024年12月</w:t>
      </w:r>
    </w:p>
    <w:p w14:paraId="56B1E86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202.16万元</w:t>
      </w:r>
    </w:p>
    <w:p w14:paraId="4257529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“偿还改制企业政府挂账资金”</w:t>
      </w:r>
      <w:r>
        <w:rPr>
          <w:rFonts w:hint="eastAsia" w:ascii="仿宋_GB2312" w:hAnsi="仿宋_GB2312" w:eastAsia="仿宋_GB2312" w:cs="仿宋_GB2312"/>
          <w:color w:val="auto"/>
          <w:sz w:val="32"/>
          <w:szCs w:val="32"/>
        </w:rPr>
        <w:t>项目</w:t>
      </w:r>
    </w:p>
    <w:p w14:paraId="78708E2D">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1）项目概述：</w:t>
      </w:r>
      <w:r>
        <w:rPr>
          <w:rFonts w:hint="eastAsia" w:ascii="仿宋_GB2312" w:hAnsi="仿宋_GB2312" w:eastAsia="仿宋_GB2312" w:cs="仿宋_GB2312"/>
          <w:color w:val="auto"/>
          <w:sz w:val="32"/>
          <w:szCs w:val="32"/>
          <w:lang w:val="en-US" w:eastAsia="zh-CN"/>
        </w:rPr>
        <w:t>县级财政</w:t>
      </w:r>
      <w:r>
        <w:rPr>
          <w:rFonts w:hint="eastAsia" w:ascii="仿宋_GB2312" w:hAnsi="仿宋_GB2312" w:eastAsia="仿宋_GB2312" w:cs="仿宋_GB2312"/>
          <w:color w:val="auto"/>
          <w:sz w:val="32"/>
          <w:szCs w:val="32"/>
          <w:lang w:eastAsia="zh-CN"/>
        </w:rPr>
        <w:t>偿还改制企业政府挂账资金。</w:t>
      </w:r>
    </w:p>
    <w:p w14:paraId="221C565C">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）立项依据：</w:t>
      </w:r>
      <w:r>
        <w:rPr>
          <w:rFonts w:hint="eastAsia" w:ascii="仿宋_GB2312" w:hAnsi="仿宋_GB2312" w:eastAsia="仿宋_GB2312" w:cs="仿宋_GB2312"/>
          <w:color w:val="auto"/>
          <w:sz w:val="32"/>
          <w:szCs w:val="32"/>
          <w:lang w:val="en-US" w:eastAsia="zh-CN"/>
        </w:rPr>
        <w:t>庐人社文</w:t>
      </w:r>
      <w:r>
        <w:rPr>
          <w:rFonts w:hint="eastAsia" w:ascii="仿宋_GB2312" w:hAnsi="仿宋_GB2312" w:eastAsia="仿宋_GB2312" w:cs="仿宋_GB2312"/>
          <w:color w:val="auto"/>
          <w:sz w:val="32"/>
          <w:szCs w:val="32"/>
          <w:lang w:eastAsia="zh-CN"/>
        </w:rPr>
        <w:t>【202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号文件</w:t>
      </w:r>
    </w:p>
    <w:p w14:paraId="48AFD8D3">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）实施主体：庐山市人力资源和社会保障局</w:t>
      </w:r>
    </w:p>
    <w:p w14:paraId="099968A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地方政府偿还改制企业养老保险清欠资金</w:t>
      </w:r>
      <w:r>
        <w:rPr>
          <w:rFonts w:hint="eastAsia" w:ascii="仿宋_GB2312" w:hAnsi="仿宋_GB2312" w:eastAsia="仿宋_GB2312" w:cs="仿宋_GB2312"/>
          <w:color w:val="auto"/>
          <w:sz w:val="32"/>
          <w:szCs w:val="32"/>
          <w:lang w:eastAsia="zh-CN"/>
        </w:rPr>
        <w:t>。</w:t>
      </w:r>
    </w:p>
    <w:p w14:paraId="6176DAE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2024年1月-2024年12月</w:t>
      </w:r>
    </w:p>
    <w:p w14:paraId="677D54D1">
      <w:pPr>
        <w:pStyle w:val="15"/>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448万元</w:t>
      </w:r>
    </w:p>
    <w:p w14:paraId="08979D1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“城乡居民基本养老保险”</w:t>
      </w:r>
      <w:r>
        <w:rPr>
          <w:rFonts w:hint="eastAsia" w:ascii="仿宋_GB2312" w:hAnsi="仿宋_GB2312" w:eastAsia="仿宋_GB2312" w:cs="仿宋_GB2312"/>
          <w:color w:val="auto"/>
          <w:sz w:val="32"/>
          <w:szCs w:val="32"/>
        </w:rPr>
        <w:t>项目</w:t>
      </w:r>
    </w:p>
    <w:p w14:paraId="05658002">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1）项目概述：</w:t>
      </w:r>
      <w:r>
        <w:rPr>
          <w:rFonts w:hint="eastAsia" w:ascii="仿宋_GB2312" w:hAnsi="仿宋_GB2312" w:eastAsia="仿宋_GB2312" w:cs="仿宋_GB2312"/>
          <w:color w:val="auto"/>
          <w:sz w:val="32"/>
          <w:szCs w:val="32"/>
          <w:lang w:val="en-US" w:eastAsia="zh-CN"/>
        </w:rPr>
        <w:t>确保全市60周岁以上参保居民基本养老金及时足额发放。</w:t>
      </w:r>
    </w:p>
    <w:p w14:paraId="38CFAABA">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）立项依据：</w:t>
      </w:r>
      <w:r>
        <w:rPr>
          <w:rFonts w:hint="eastAsia" w:ascii="仿宋_GB2312" w:hAnsi="仿宋_GB2312" w:eastAsia="仿宋_GB2312" w:cs="仿宋_GB2312"/>
          <w:color w:val="auto"/>
          <w:sz w:val="32"/>
          <w:szCs w:val="32"/>
          <w:lang w:val="en-US" w:eastAsia="zh-CN"/>
        </w:rPr>
        <w:t>赣人社发</w:t>
      </w:r>
      <w:r>
        <w:rPr>
          <w:rFonts w:hint="eastAsia" w:ascii="仿宋_GB2312" w:hAnsi="仿宋_GB2312" w:eastAsia="仿宋_GB2312" w:cs="仿宋_GB2312"/>
          <w:color w:val="auto"/>
          <w:sz w:val="32"/>
          <w:szCs w:val="32"/>
          <w:lang w:eastAsia="zh-CN"/>
        </w:rPr>
        <w:t>【20</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号文件</w:t>
      </w:r>
    </w:p>
    <w:p w14:paraId="68775A5A">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）实施主体：庐山市人力资源和社会保障局</w:t>
      </w:r>
    </w:p>
    <w:p w14:paraId="4A12448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eastAsia="zh-CN"/>
        </w:rPr>
        <w:t>：该项目有上级财政资金保障和地方财政配套实施，每年由人社局负责发放。</w:t>
      </w:r>
    </w:p>
    <w:p w14:paraId="6FD3657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2024年1月-2024年12月</w:t>
      </w:r>
    </w:p>
    <w:p w14:paraId="510455D4">
      <w:pPr>
        <w:pStyle w:val="15"/>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2545.75万元</w:t>
      </w:r>
    </w:p>
    <w:p w14:paraId="3652725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“加大创业担保贷款扶持力度”</w:t>
      </w:r>
      <w:r>
        <w:rPr>
          <w:rFonts w:hint="eastAsia" w:ascii="仿宋_GB2312" w:hAnsi="仿宋_GB2312" w:eastAsia="仿宋_GB2312" w:cs="仿宋_GB2312"/>
          <w:sz w:val="32"/>
          <w:szCs w:val="32"/>
        </w:rPr>
        <w:t>项目</w:t>
      </w:r>
    </w:p>
    <w:p w14:paraId="63C4F037">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1）项目概述：全部资金按规定用于创贷贴息政策扶持。</w:t>
      </w:r>
    </w:p>
    <w:p w14:paraId="2B1048C6">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）立项依据：</w:t>
      </w:r>
      <w:r>
        <w:rPr>
          <w:rFonts w:hint="eastAsia" w:ascii="仿宋_GB2312" w:hAnsi="仿宋_GB2312" w:eastAsia="仿宋_GB2312" w:cs="仿宋_GB2312"/>
          <w:color w:val="auto"/>
          <w:sz w:val="32"/>
          <w:szCs w:val="32"/>
          <w:lang w:val="en-US" w:eastAsia="zh-CN"/>
        </w:rPr>
        <w:t>南银发</w:t>
      </w:r>
      <w:r>
        <w:rPr>
          <w:rFonts w:hint="eastAsia" w:ascii="仿宋_GB2312" w:hAnsi="仿宋_GB2312" w:eastAsia="仿宋_GB2312" w:cs="仿宋_GB2312"/>
          <w:color w:val="auto"/>
          <w:sz w:val="32"/>
          <w:szCs w:val="32"/>
          <w:lang w:eastAsia="zh-CN"/>
        </w:rPr>
        <w:t>【20</w:t>
      </w:r>
      <w:r>
        <w:rPr>
          <w:rFonts w:hint="eastAsia" w:ascii="仿宋_GB2312" w:hAnsi="仿宋_GB2312" w:eastAsia="仿宋_GB2312" w:cs="仿宋_GB2312"/>
          <w:color w:val="auto"/>
          <w:sz w:val="32"/>
          <w:szCs w:val="32"/>
          <w:lang w:val="en-US" w:eastAsia="zh-CN"/>
        </w:rPr>
        <w:t>17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133</w:t>
      </w:r>
      <w:r>
        <w:rPr>
          <w:rFonts w:hint="eastAsia" w:ascii="仿宋_GB2312" w:hAnsi="仿宋_GB2312" w:eastAsia="仿宋_GB2312" w:cs="仿宋_GB2312"/>
          <w:color w:val="auto"/>
          <w:sz w:val="32"/>
          <w:szCs w:val="32"/>
          <w:lang w:eastAsia="zh-CN"/>
        </w:rPr>
        <w:t>号文件</w:t>
      </w:r>
    </w:p>
    <w:p w14:paraId="66FF3D7D">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）实施主体：庐山市人力资源和社会保障局</w:t>
      </w:r>
    </w:p>
    <w:p w14:paraId="0F515D0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eastAsia="zh-CN"/>
        </w:rPr>
        <w:t>：该项目</w:t>
      </w:r>
      <w:r>
        <w:rPr>
          <w:rFonts w:hint="eastAsia" w:ascii="仿宋_GB2312" w:hAnsi="仿宋_GB2312" w:eastAsia="仿宋_GB2312" w:cs="仿宋_GB2312"/>
          <w:color w:val="auto"/>
          <w:sz w:val="32"/>
          <w:szCs w:val="32"/>
          <w:lang w:val="en-US" w:eastAsia="zh-CN"/>
        </w:rPr>
        <w:t>由</w:t>
      </w:r>
      <w:r>
        <w:rPr>
          <w:rFonts w:hint="eastAsia" w:ascii="仿宋_GB2312" w:hAnsi="仿宋_GB2312" w:eastAsia="仿宋_GB2312" w:cs="仿宋_GB2312"/>
          <w:color w:val="auto"/>
          <w:sz w:val="32"/>
          <w:szCs w:val="32"/>
          <w:lang w:eastAsia="zh-CN"/>
        </w:rPr>
        <w:t>地方财政配套实施，每年由人社局负责发放。</w:t>
      </w:r>
    </w:p>
    <w:p w14:paraId="535F1C7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2024年1月-2024年12月</w:t>
      </w:r>
    </w:p>
    <w:p w14:paraId="26B8637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752万元</w:t>
      </w:r>
    </w:p>
    <w:p w14:paraId="00AEE43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“就业补助地方配套资金”</w:t>
      </w:r>
      <w:r>
        <w:rPr>
          <w:rFonts w:hint="eastAsia" w:ascii="仿宋_GB2312" w:hAnsi="仿宋_GB2312" w:eastAsia="仿宋_GB2312" w:cs="仿宋_GB2312"/>
          <w:color w:val="auto"/>
          <w:sz w:val="32"/>
          <w:szCs w:val="32"/>
        </w:rPr>
        <w:t>项目</w:t>
      </w:r>
    </w:p>
    <w:p w14:paraId="7F243499">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1）项目概述：</w:t>
      </w:r>
      <w:r>
        <w:rPr>
          <w:rFonts w:hint="eastAsia" w:ascii="仿宋_GB2312" w:hAnsi="仿宋_GB2312" w:eastAsia="仿宋_GB2312" w:cs="仿宋_GB2312"/>
          <w:color w:val="auto"/>
          <w:sz w:val="32"/>
          <w:szCs w:val="32"/>
          <w:lang w:val="en-US" w:eastAsia="zh-CN"/>
        </w:rPr>
        <w:t>县级财政负担就业补助</w:t>
      </w:r>
      <w:r>
        <w:rPr>
          <w:rFonts w:hint="eastAsia" w:ascii="仿宋_GB2312" w:hAnsi="仿宋_GB2312" w:eastAsia="仿宋_GB2312" w:cs="仿宋_GB2312"/>
          <w:color w:val="auto"/>
          <w:sz w:val="32"/>
          <w:szCs w:val="32"/>
          <w:lang w:eastAsia="zh-CN"/>
        </w:rPr>
        <w:t>资金。</w:t>
      </w:r>
    </w:p>
    <w:p w14:paraId="2E54E9FC">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）立项依据：</w:t>
      </w:r>
      <w:r>
        <w:rPr>
          <w:rFonts w:hint="eastAsia" w:ascii="仿宋_GB2312" w:hAnsi="仿宋_GB2312" w:eastAsia="仿宋_GB2312" w:cs="仿宋_GB2312"/>
          <w:color w:val="auto"/>
          <w:sz w:val="32"/>
          <w:szCs w:val="32"/>
          <w:lang w:val="en-US" w:eastAsia="zh-CN"/>
        </w:rPr>
        <w:t>赣财社</w:t>
      </w:r>
      <w:r>
        <w:rPr>
          <w:rFonts w:hint="eastAsia" w:ascii="仿宋_GB2312" w:hAnsi="仿宋_GB2312" w:eastAsia="仿宋_GB2312" w:cs="仿宋_GB2312"/>
          <w:color w:val="auto"/>
          <w:sz w:val="32"/>
          <w:szCs w:val="32"/>
          <w:lang w:eastAsia="zh-CN"/>
        </w:rPr>
        <w:t>【20</w:t>
      </w:r>
      <w:r>
        <w:rPr>
          <w:rFonts w:hint="eastAsia" w:ascii="仿宋_GB2312" w:hAnsi="仿宋_GB2312" w:eastAsia="仿宋_GB2312" w:cs="仿宋_GB2312"/>
          <w:color w:val="auto"/>
          <w:sz w:val="32"/>
          <w:szCs w:val="32"/>
          <w:lang w:val="en-US" w:eastAsia="zh-CN"/>
        </w:rPr>
        <w:t>19</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号文件</w:t>
      </w:r>
    </w:p>
    <w:p w14:paraId="6C2DFDAD">
      <w:pPr>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）实施主体：庐山市人力资源和社会保障局</w:t>
      </w:r>
    </w:p>
    <w:p w14:paraId="46D49AA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资金按规定用于职业培训补贴、职业技能鉴定补贴、社会保险补贴、公益性岗位补贴、就业见习补贴、求职创业补贴、就业创业服务补贴、高技能人才培养补助等支出以及经省级人民政府批准的其他支出项目</w:t>
      </w:r>
      <w:r>
        <w:rPr>
          <w:rFonts w:hint="eastAsia" w:ascii="仿宋_GB2312" w:hAnsi="仿宋_GB2312" w:eastAsia="仿宋_GB2312" w:cs="仿宋_GB2312"/>
          <w:color w:val="auto"/>
          <w:sz w:val="32"/>
          <w:szCs w:val="32"/>
          <w:lang w:eastAsia="zh-CN"/>
        </w:rPr>
        <w:t>。</w:t>
      </w:r>
    </w:p>
    <w:p w14:paraId="5BAD22D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2024年1月-2024年12月</w:t>
      </w:r>
    </w:p>
    <w:p w14:paraId="07EFD946">
      <w:pPr>
        <w:pStyle w:val="15"/>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288万元</w:t>
      </w:r>
    </w:p>
    <w:p w14:paraId="7C83E654">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7DEE93B5">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庐山市人社局</w:t>
      </w:r>
      <w:r>
        <w:rPr>
          <w:color w:val="auto"/>
        </w:rPr>
        <w:fldChar w:fldCharType="end"/>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w:t>
      </w:r>
      <w:r>
        <w:rPr>
          <w:rFonts w:hint="eastAsia" w:ascii="仿宋" w:hAnsi="仿宋" w:eastAsia="仿宋"/>
          <w:bCs/>
          <w:color w:val="auto"/>
          <w:sz w:val="32"/>
          <w:szCs w:val="32"/>
          <w:lang w:val="en-US" w:eastAsia="zh-CN"/>
        </w:rPr>
        <w:t>3.54</w:t>
      </w:r>
      <w:r>
        <w:rPr>
          <w:rFonts w:hint="eastAsia" w:ascii="仿宋" w:hAnsi="仿宋" w:eastAsia="仿宋"/>
          <w:bCs/>
          <w:color w:val="auto"/>
          <w:sz w:val="32"/>
          <w:szCs w:val="32"/>
        </w:rPr>
        <w:t>万元，其中：</w:t>
      </w:r>
    </w:p>
    <w:p w14:paraId="37A45917">
      <w:pPr>
        <w:ind w:firstLine="640" w:firstLineChars="200"/>
        <w:jc w:val="left"/>
        <w:rPr>
          <w:rFonts w:ascii="仿宋" w:hAnsi="仿宋" w:eastAsia="仿宋"/>
          <w:bCs/>
          <w:color w:val="auto"/>
          <w:sz w:val="32"/>
          <w:szCs w:val="32"/>
        </w:rPr>
      </w:pPr>
      <w:r>
        <w:rPr>
          <w:rFonts w:ascii="仿宋" w:hAnsi="仿宋" w:eastAsia="仿宋"/>
          <w:bCs/>
          <w:color w:val="auto"/>
          <w:sz w:val="32"/>
          <w:szCs w:val="32"/>
        </w:rPr>
        <w:t>因公出国</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_GB2312" w:hAnsi="仿宋_GB2312" w:eastAsia="仿宋_GB2312" w:cs="仿宋_GB2312"/>
          <w:bCs/>
          <w:sz w:val="32"/>
          <w:szCs w:val="32"/>
        </w:rPr>
        <w:t>与上年安排保持一致</w:t>
      </w:r>
      <w:r>
        <w:rPr>
          <w:rFonts w:ascii="仿宋" w:hAnsi="仿宋" w:eastAsia="仿宋"/>
          <w:bCs/>
          <w:color w:val="auto"/>
          <w:sz w:val="32"/>
          <w:szCs w:val="32"/>
        </w:rPr>
        <w:t>。</w:t>
      </w:r>
    </w:p>
    <w:p w14:paraId="116358B4">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公务接待</w:t>
      </w:r>
      <w:r>
        <w:rPr>
          <w:rFonts w:hint="eastAsia" w:ascii="仿宋" w:hAnsi="仿宋" w:eastAsia="仿宋"/>
          <w:bCs/>
          <w:color w:val="auto"/>
          <w:sz w:val="32"/>
          <w:szCs w:val="32"/>
          <w:lang w:val="en-US" w:eastAsia="zh-CN"/>
        </w:rPr>
        <w:t>3.54</w:t>
      </w:r>
      <w:r>
        <w:rPr>
          <w:rFonts w:ascii="仿宋" w:hAnsi="仿宋" w:eastAsia="仿宋"/>
          <w:bCs/>
          <w:color w:val="auto"/>
          <w:sz w:val="32"/>
          <w:szCs w:val="32"/>
        </w:rPr>
        <w:t>万元,比上年增</w:t>
      </w:r>
      <w:r>
        <w:rPr>
          <w:rFonts w:hint="eastAsia" w:ascii="仿宋" w:hAnsi="仿宋" w:eastAsia="仿宋"/>
          <w:bCs/>
          <w:color w:val="auto"/>
          <w:sz w:val="32"/>
          <w:szCs w:val="32"/>
          <w:lang w:val="en-US" w:eastAsia="zh-CN"/>
        </w:rPr>
        <w:t>1.54</w:t>
      </w:r>
      <w:r>
        <w:rPr>
          <w:rFonts w:ascii="仿宋" w:hAnsi="仿宋" w:eastAsia="仿宋"/>
          <w:bCs/>
          <w:color w:val="auto"/>
          <w:sz w:val="32"/>
          <w:szCs w:val="32"/>
        </w:rPr>
        <w:t>万元，主要原因是：</w:t>
      </w:r>
      <w:r>
        <w:rPr>
          <w:rFonts w:hint="eastAsia" w:ascii="仿宋" w:hAnsi="仿宋" w:eastAsia="仿宋"/>
          <w:bCs/>
          <w:color w:val="auto"/>
          <w:sz w:val="32"/>
          <w:szCs w:val="32"/>
          <w:lang w:val="en-US" w:eastAsia="zh-CN"/>
        </w:rPr>
        <w:t>2024年上级对社保基金以及就业基金的检查调研增多</w:t>
      </w:r>
      <w:r>
        <w:rPr>
          <w:rFonts w:ascii="仿宋" w:hAnsi="仿宋" w:eastAsia="仿宋"/>
          <w:bCs/>
          <w:color w:val="auto"/>
          <w:sz w:val="32"/>
          <w:szCs w:val="32"/>
        </w:rPr>
        <w:t>。</w:t>
      </w:r>
    </w:p>
    <w:p w14:paraId="424D9640">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公务用车运行</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_GB2312" w:hAnsi="仿宋_GB2312" w:eastAsia="仿宋_GB2312" w:cs="仿宋_GB2312"/>
          <w:bCs/>
          <w:sz w:val="32"/>
          <w:szCs w:val="32"/>
        </w:rPr>
        <w:t>与上年安排保持一致</w:t>
      </w:r>
      <w:r>
        <w:rPr>
          <w:rFonts w:ascii="仿宋" w:hAnsi="仿宋" w:eastAsia="仿宋"/>
          <w:bCs/>
          <w:color w:val="auto"/>
          <w:sz w:val="32"/>
          <w:szCs w:val="32"/>
        </w:rPr>
        <w:t>。</w:t>
      </w:r>
    </w:p>
    <w:p w14:paraId="1DB78B88">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公务用车购置</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_GB2312" w:hAnsi="仿宋_GB2312" w:eastAsia="仿宋_GB2312" w:cs="仿宋_GB2312"/>
          <w:bCs/>
          <w:sz w:val="32"/>
          <w:szCs w:val="32"/>
        </w:rPr>
        <w:t>与上年安排保持一致</w:t>
      </w:r>
      <w:r>
        <w:rPr>
          <w:rFonts w:ascii="仿宋" w:hAnsi="仿宋" w:eastAsia="仿宋"/>
          <w:bCs/>
          <w:color w:val="auto"/>
          <w:sz w:val="32"/>
          <w:szCs w:val="32"/>
        </w:rPr>
        <w:t>。</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${page400644146.ds215660413_REP_BGT_T_HC1100002019_DXQ02_ZCSGGZ}</w:instrText>
      </w:r>
      <w:r>
        <w:rPr>
          <w:rFonts w:ascii="仿宋" w:hAnsi="仿宋" w:eastAsia="仿宋"/>
          <w:bCs/>
          <w:color w:val="auto"/>
          <w:sz w:val="32"/>
          <w:szCs w:val="32"/>
        </w:rPr>
        <w:fldChar w:fldCharType="end"/>
      </w:r>
    </w:p>
    <w:p w14:paraId="0E61DF49">
      <w:pPr>
        <w:widowControl/>
        <w:shd w:val="clear" w:color="auto" w:fill="FFFFFF"/>
        <w:spacing w:line="640" w:lineRule="atLeast"/>
        <w:ind w:firstLine="640"/>
        <w:jc w:val="center"/>
        <w:rPr>
          <w:rFonts w:ascii="Arial" w:hAnsi="Arial" w:cs="Arial"/>
          <w:color w:val="auto"/>
          <w:sz w:val="14"/>
          <w:szCs w:val="14"/>
        </w:rPr>
      </w:pPr>
      <w:r>
        <w:rPr>
          <w:rFonts w:hint="eastAsia" w:ascii="仿宋_GB2312" w:eastAsia="仿宋_GB2312"/>
          <w:b/>
          <w:color w:val="auto"/>
          <w:sz w:val="32"/>
          <w:szCs w:val="30"/>
        </w:rPr>
        <w:t>第四部分   名词解释</w:t>
      </w:r>
    </w:p>
    <w:p w14:paraId="49DB8A88">
      <w:pPr>
        <w:widowControl/>
        <w:shd w:val="clear" w:color="auto" w:fill="FFFFFF"/>
        <w:spacing w:line="640" w:lineRule="atLeast"/>
        <w:ind w:firstLine="800" w:firstLineChars="250"/>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一、收入科目</w:t>
      </w:r>
    </w:p>
    <w:p w14:paraId="7D270D43">
      <w:pPr>
        <w:widowControl/>
        <w:numPr>
          <w:ilvl w:val="0"/>
          <w:numId w:val="1"/>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财政拨款：指</w:t>
      </w:r>
      <w:r>
        <w:rPr>
          <w:rFonts w:hint="eastAsia" w:ascii="仿宋_GB2312" w:hAnsi="Times New Roman" w:eastAsia="仿宋_GB2312" w:cs="Times New Roman"/>
          <w:color w:val="auto"/>
          <w:sz w:val="32"/>
          <w:szCs w:val="30"/>
          <w:lang w:val="en-US" w:eastAsia="zh-CN"/>
        </w:rPr>
        <w:t>市</w:t>
      </w:r>
      <w:r>
        <w:rPr>
          <w:rFonts w:hint="eastAsia" w:ascii="仿宋_GB2312" w:hAnsi="Times New Roman" w:eastAsia="仿宋_GB2312" w:cs="Times New Roman"/>
          <w:color w:val="auto"/>
          <w:sz w:val="32"/>
          <w:szCs w:val="30"/>
        </w:rPr>
        <w:t>级财政当年拨付的资金。</w:t>
      </w:r>
    </w:p>
    <w:p w14:paraId="763D2C72">
      <w:pPr>
        <w:widowControl/>
        <w:numPr>
          <w:ilvl w:val="0"/>
          <w:numId w:val="1"/>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教育收费资金收入：反映实行专项管理的高中以上学费、住宿费，高校委托培养费，函大、电大、夜大及短训班培训费等教育收费取得的收入。</w:t>
      </w:r>
    </w:p>
    <w:p w14:paraId="47DDB11C">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（三）</w:t>
      </w:r>
      <w:r>
        <w:rPr>
          <w:rFonts w:hint="eastAsia" w:ascii="仿宋_GB2312" w:eastAsia="仿宋_GB2312"/>
          <w:color w:val="auto"/>
          <w:sz w:val="32"/>
          <w:szCs w:val="30"/>
        </w:rPr>
        <w:t>事业收入：指事业单位开展专业业务活动及辅助活动取得的收入。</w:t>
      </w:r>
    </w:p>
    <w:p w14:paraId="190A0C86">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（四）</w:t>
      </w:r>
      <w:r>
        <w:rPr>
          <w:rFonts w:hint="eastAsia" w:ascii="仿宋_GB2312" w:eastAsia="仿宋_GB2312"/>
          <w:color w:val="auto"/>
          <w:sz w:val="32"/>
          <w:szCs w:val="30"/>
        </w:rPr>
        <w:t>事业单位经营收入：指事业单位在专业业务活动及辅助活动之外开展非独立核算经营活动取得的收入。</w:t>
      </w:r>
    </w:p>
    <w:p w14:paraId="7EA85793">
      <w:pPr>
        <w:widowControl/>
        <w:spacing w:line="580" w:lineRule="exact"/>
        <w:ind w:firstLine="636"/>
        <w:jc w:val="left"/>
        <w:rPr>
          <w:rFonts w:ascii="Adobe 仿宋 Std R" w:hAnsi="Adobe 仿宋 Std R" w:eastAsia="Adobe 仿宋 Std R"/>
          <w:color w:val="auto"/>
          <w:sz w:val="32"/>
          <w:szCs w:val="32"/>
        </w:rPr>
      </w:pPr>
      <w:r>
        <w:rPr>
          <w:rFonts w:hint="eastAsia" w:ascii="仿宋_GB2312" w:eastAsia="仿宋_GB2312"/>
          <w:color w:val="auto"/>
          <w:sz w:val="32"/>
          <w:szCs w:val="30"/>
        </w:rPr>
        <w:t>（</w:t>
      </w:r>
      <w:r>
        <w:rPr>
          <w:rFonts w:hint="eastAsia" w:ascii="Adobe 仿宋 Std R" w:hAnsi="Adobe 仿宋 Std R" w:eastAsia="Adobe 仿宋 Std R"/>
          <w:color w:val="auto"/>
          <w:sz w:val="32"/>
          <w:szCs w:val="32"/>
        </w:rPr>
        <w:t>五）</w:t>
      </w:r>
      <w:r>
        <w:rPr>
          <w:rFonts w:hint="eastAsia" w:ascii="仿宋_GB2312" w:eastAsia="仿宋_GB2312"/>
          <w:color w:val="auto"/>
          <w:sz w:val="32"/>
          <w:szCs w:val="30"/>
        </w:rPr>
        <w:t>附属单位上缴收入：反映事业单位附属的独立核算单位按规定标准或比例缴纳的各项收入。包括附属的事业单位上缴的收入和附属的企业上缴的利润等。</w:t>
      </w:r>
    </w:p>
    <w:p w14:paraId="6286E6F1">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（六）</w:t>
      </w:r>
      <w:r>
        <w:rPr>
          <w:rFonts w:hint="eastAsia" w:ascii="仿宋_GB2312" w:eastAsia="仿宋_GB2312"/>
          <w:color w:val="auto"/>
          <w:sz w:val="32"/>
          <w:szCs w:val="30"/>
        </w:rPr>
        <w:t>上级补助收入：反映事业单位从主管部门和上级单位取得的非财政补助收入。</w:t>
      </w:r>
    </w:p>
    <w:p w14:paraId="49A14416">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（七）</w:t>
      </w:r>
      <w:r>
        <w:rPr>
          <w:rFonts w:hint="eastAsia" w:ascii="仿宋_GB2312" w:eastAsia="仿宋_GB2312"/>
          <w:color w:val="auto"/>
          <w:sz w:val="32"/>
          <w:szCs w:val="30"/>
        </w:rPr>
        <w:t>其他收入：指除财政拨款、事业收入、事业单位经营收入等以外的各项收入。</w:t>
      </w:r>
    </w:p>
    <w:p w14:paraId="6787AF54">
      <w:pPr>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（八）</w:t>
      </w:r>
      <w:r>
        <w:rPr>
          <w:rFonts w:hint="eastAsia" w:ascii="仿宋_GB2312" w:eastAsia="仿宋_GB2312"/>
          <w:color w:val="auto"/>
          <w:sz w:val="32"/>
          <w:szCs w:val="30"/>
        </w:rPr>
        <w:t>使用非财政拨款结余：填列历年滚存的非限定用途的非统计财政拨款结余弥补202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年收支差额的数额。</w:t>
      </w:r>
    </w:p>
    <w:p w14:paraId="00FCD630">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（九）</w:t>
      </w:r>
      <w:r>
        <w:rPr>
          <w:rFonts w:hint="eastAsia" w:ascii="仿宋_GB2312" w:eastAsia="仿宋_GB2312"/>
          <w:color w:val="auto"/>
          <w:sz w:val="32"/>
          <w:szCs w:val="30"/>
        </w:rPr>
        <w:t>上年结转和结余：填列202</w:t>
      </w:r>
      <w:r>
        <w:rPr>
          <w:rFonts w:hint="eastAsia" w:ascii="仿宋_GB2312" w:eastAsia="仿宋_GB2312"/>
          <w:color w:val="auto"/>
          <w:sz w:val="32"/>
          <w:szCs w:val="30"/>
          <w:lang w:val="en-US" w:eastAsia="zh-CN"/>
        </w:rPr>
        <w:t>3</w:t>
      </w:r>
      <w:r>
        <w:rPr>
          <w:rFonts w:hint="eastAsia" w:ascii="仿宋_GB2312" w:eastAsia="仿宋_GB2312"/>
          <w:color w:val="auto"/>
          <w:sz w:val="32"/>
          <w:szCs w:val="30"/>
        </w:rPr>
        <w:t>年全部结转和结余的资金数，包括当年结转结余资金和历年滚存结转结余资金。</w:t>
      </w:r>
    </w:p>
    <w:p w14:paraId="278B6E75">
      <w:pPr>
        <w:ind w:firstLine="640" w:firstLineChars="200"/>
        <w:rPr>
          <w:rFonts w:ascii="Adobe 仿宋 Std R" w:hAnsi="Adobe 仿宋 Std R" w:eastAsia="Adobe 仿宋 Std R"/>
          <w:color w:val="auto"/>
          <w:sz w:val="32"/>
          <w:szCs w:val="32"/>
        </w:rPr>
      </w:pPr>
    </w:p>
    <w:p w14:paraId="371E0D67">
      <w:pPr>
        <w:ind w:firstLine="640" w:firstLineChars="200"/>
        <w:rPr>
          <w:rFonts w:ascii="Adobe 仿宋 Std R" w:hAnsi="Adobe 仿宋 Std R" w:eastAsia="Adobe 仿宋 Std R"/>
          <w:color w:val="auto"/>
          <w:sz w:val="32"/>
          <w:szCs w:val="32"/>
        </w:rPr>
      </w:pPr>
    </w:p>
    <w:p w14:paraId="5B3C046E">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二、支出科目</w:t>
      </w:r>
    </w:p>
    <w:p w14:paraId="08380E42">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09505324">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项目支出：指在基本支出之外为完成特定行政任务和事业发展目标所发生的支出。</w:t>
      </w:r>
    </w:p>
    <w:p w14:paraId="4D21EAE7">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经营支出：指事业单位在专业业务活动及其辅助活动之外开展非独立核算经营活动发生的支出。</w:t>
      </w:r>
    </w:p>
    <w:p w14:paraId="3150777F">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eastAsia="zh-CN"/>
        </w:rPr>
        <w:t>）工资福利支出（支出经济分类科目类级）：反映单位开支的在职职工和编制外长期聘用人员的各类劳动报酬，以及为上述人员缴纳的各项社会保险费等。</w:t>
      </w:r>
    </w:p>
    <w:p w14:paraId="606550C2">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）商品和服务支出（支出经济分类科目类级）：反映单位购买商品和服务的支出（不包括用于购置固定资产的支出、战略性和应急储备支出）。</w:t>
      </w:r>
    </w:p>
    <w:p w14:paraId="7ED3A272">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）对个人和家庭的补助（支出经济分类科目类级）：反映用于对个人和家庭的补助支出。</w:t>
      </w:r>
    </w:p>
    <w:p w14:paraId="3EDC896E">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7CE98DD9">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三、相关专业名词</w:t>
      </w:r>
    </w:p>
    <w:p w14:paraId="25B51DF7">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20268C0">
      <w:pPr>
        <w:widowControl/>
        <w:spacing w:line="600" w:lineRule="exact"/>
        <w:ind w:firstLine="640" w:firstLineChars="200"/>
        <w:jc w:val="left"/>
        <w:rPr>
          <w:rFonts w:hint="default" w:ascii="仿宋_GB2312" w:eastAsia="仿宋_GB2312"/>
          <w:color w:val="auto"/>
          <w:sz w:val="32"/>
          <w:szCs w:val="30"/>
          <w:lang w:val="en-US" w:eastAsia="zh-CN"/>
        </w:rPr>
      </w:pPr>
      <w:r>
        <w:rPr>
          <w:rFonts w:hint="eastAsia" w:ascii="仿宋_GB2312" w:eastAsia="仿宋_GB2312"/>
          <w:color w:val="auto"/>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00CE09">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lmYThlYzJkYjMzZWVhMTJmYmU3YWIyODg3YWY5MjA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6C83478"/>
    <w:rsid w:val="08EC3843"/>
    <w:rsid w:val="0A0925FF"/>
    <w:rsid w:val="0A28716E"/>
    <w:rsid w:val="0C97247A"/>
    <w:rsid w:val="0D1A7920"/>
    <w:rsid w:val="0D2269B3"/>
    <w:rsid w:val="0DB3098E"/>
    <w:rsid w:val="12220323"/>
    <w:rsid w:val="12EC1F42"/>
    <w:rsid w:val="13FB007C"/>
    <w:rsid w:val="16B036C0"/>
    <w:rsid w:val="1A705E7F"/>
    <w:rsid w:val="1ABF2D84"/>
    <w:rsid w:val="1C901CA6"/>
    <w:rsid w:val="1DE81558"/>
    <w:rsid w:val="1E172FD7"/>
    <w:rsid w:val="1E491A3B"/>
    <w:rsid w:val="1F1F7406"/>
    <w:rsid w:val="206D0602"/>
    <w:rsid w:val="22430342"/>
    <w:rsid w:val="23977FB1"/>
    <w:rsid w:val="245C3447"/>
    <w:rsid w:val="247B4ED4"/>
    <w:rsid w:val="25B931E9"/>
    <w:rsid w:val="28263441"/>
    <w:rsid w:val="2828673B"/>
    <w:rsid w:val="290B705B"/>
    <w:rsid w:val="29981D60"/>
    <w:rsid w:val="29C0782D"/>
    <w:rsid w:val="2AFA44E2"/>
    <w:rsid w:val="2B2339AC"/>
    <w:rsid w:val="2C57797E"/>
    <w:rsid w:val="304075B1"/>
    <w:rsid w:val="311C29BA"/>
    <w:rsid w:val="31295CB7"/>
    <w:rsid w:val="315947EF"/>
    <w:rsid w:val="318814ED"/>
    <w:rsid w:val="31931AC3"/>
    <w:rsid w:val="3328400E"/>
    <w:rsid w:val="33FB393B"/>
    <w:rsid w:val="351512FA"/>
    <w:rsid w:val="374647FA"/>
    <w:rsid w:val="39A3581F"/>
    <w:rsid w:val="39CE49D8"/>
    <w:rsid w:val="3A841EE9"/>
    <w:rsid w:val="3A9F1A72"/>
    <w:rsid w:val="3ACF1B11"/>
    <w:rsid w:val="3B7D1841"/>
    <w:rsid w:val="3BA35A87"/>
    <w:rsid w:val="3BA6547C"/>
    <w:rsid w:val="3DD2151D"/>
    <w:rsid w:val="3F383632"/>
    <w:rsid w:val="3FA910A9"/>
    <w:rsid w:val="3FF84E58"/>
    <w:rsid w:val="4052753A"/>
    <w:rsid w:val="41272213"/>
    <w:rsid w:val="41737C65"/>
    <w:rsid w:val="42DC038C"/>
    <w:rsid w:val="43853438"/>
    <w:rsid w:val="44BA339E"/>
    <w:rsid w:val="45D833CA"/>
    <w:rsid w:val="464E5AFF"/>
    <w:rsid w:val="4AEA6060"/>
    <w:rsid w:val="4DB5138F"/>
    <w:rsid w:val="4DB628F2"/>
    <w:rsid w:val="4E0D4F31"/>
    <w:rsid w:val="4EFF051F"/>
    <w:rsid w:val="4F8E7901"/>
    <w:rsid w:val="50502E09"/>
    <w:rsid w:val="518C1C1F"/>
    <w:rsid w:val="51FE0D6E"/>
    <w:rsid w:val="527E3C5D"/>
    <w:rsid w:val="528E6F80"/>
    <w:rsid w:val="53516268"/>
    <w:rsid w:val="55924F68"/>
    <w:rsid w:val="55EE43AE"/>
    <w:rsid w:val="56C47F55"/>
    <w:rsid w:val="56F72230"/>
    <w:rsid w:val="573A53AA"/>
    <w:rsid w:val="5AB93E8B"/>
    <w:rsid w:val="5AE1294D"/>
    <w:rsid w:val="5B995664"/>
    <w:rsid w:val="5D3D64C3"/>
    <w:rsid w:val="5EA31F07"/>
    <w:rsid w:val="5EDA0640"/>
    <w:rsid w:val="5F193B70"/>
    <w:rsid w:val="5F845E56"/>
    <w:rsid w:val="61092719"/>
    <w:rsid w:val="61D17BB5"/>
    <w:rsid w:val="61E31A71"/>
    <w:rsid w:val="62283DE4"/>
    <w:rsid w:val="63E33020"/>
    <w:rsid w:val="656229B9"/>
    <w:rsid w:val="658856FB"/>
    <w:rsid w:val="66C37A39"/>
    <w:rsid w:val="67B10C38"/>
    <w:rsid w:val="67DC7D34"/>
    <w:rsid w:val="68E97589"/>
    <w:rsid w:val="699657A8"/>
    <w:rsid w:val="6BE248E5"/>
    <w:rsid w:val="6C617282"/>
    <w:rsid w:val="6CCB135B"/>
    <w:rsid w:val="6CE626D3"/>
    <w:rsid w:val="6EAF555B"/>
    <w:rsid w:val="6EDB6140"/>
    <w:rsid w:val="6F2C7111"/>
    <w:rsid w:val="71011E6C"/>
    <w:rsid w:val="714A36AC"/>
    <w:rsid w:val="71AF11DD"/>
    <w:rsid w:val="72746F20"/>
    <w:rsid w:val="73543105"/>
    <w:rsid w:val="73A85115"/>
    <w:rsid w:val="73CD1EF7"/>
    <w:rsid w:val="74590758"/>
    <w:rsid w:val="75706201"/>
    <w:rsid w:val="759E1500"/>
    <w:rsid w:val="75F23C56"/>
    <w:rsid w:val="794669D3"/>
    <w:rsid w:val="7B4E7DC1"/>
    <w:rsid w:val="7C1C38B8"/>
    <w:rsid w:val="7D0F17D2"/>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row_tree_level_3"/>
    <w:basedOn w:val="6"/>
    <w:qFormat/>
    <w:uiPriority w:val="0"/>
  </w:style>
  <w:style w:type="character" w:customStyle="1" w:styleId="11">
    <w:name w:val="row_tree_level_4"/>
    <w:basedOn w:val="6"/>
    <w:qFormat/>
    <w:uiPriority w:val="0"/>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15"/>
    <w:basedOn w:val="6"/>
    <w:qFormat/>
    <w:uiPriority w:val="0"/>
    <w:rPr>
      <w:rFonts w:hint="default" w:ascii="Times New Roman" w:hAnsi="Times New Roman" w:cs="Times New Roman"/>
      <w:sz w:val="20"/>
      <w:szCs w:val="20"/>
    </w:rPr>
  </w:style>
  <w:style w:type="character" w:customStyle="1" w:styleId="14">
    <w:name w:val="标题 1 Char"/>
    <w:link w:val="2"/>
    <w:qFormat/>
    <w:uiPriority w:val="0"/>
    <w:rPr>
      <w:b/>
      <w:kern w:val="44"/>
      <w:sz w:val="44"/>
    </w:rPr>
  </w:style>
  <w:style w:type="paragraph" w:customStyle="1" w:styleId="15">
    <w:name w:val="正文文本缩进 31"/>
    <w:basedOn w:val="1"/>
    <w:qFormat/>
    <w:uiPriority w:val="0"/>
    <w:pPr>
      <w:ind w:left="420" w:leftChars="200"/>
    </w:pPr>
    <w:rPr>
      <w:rFonts w:ascii="Calibri" w:hAnsi="Calibri" w:eastAsia="仿宋"/>
      <w:sz w:val="16"/>
      <w:szCs w:val="16"/>
    </w:rPr>
  </w:style>
  <w:style w:type="character" w:customStyle="1" w:styleId="16">
    <w:name w:val="默认段落字体1"/>
    <w:qFormat/>
    <w:uiPriority w:val="1723"/>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5888</Words>
  <Characters>6512</Characters>
  <Lines>53</Lines>
  <Paragraphs>15</Paragraphs>
  <TotalTime>5</TotalTime>
  <ScaleCrop>false</ScaleCrop>
  <LinksUpToDate>false</LinksUpToDate>
  <CharactersWithSpaces>6557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 ♂</cp:lastModifiedBy>
  <dcterms:modified xsi:type="dcterms:W3CDTF">2025-08-28T03:43:28Z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71ECD1639C7F45DE85E3DE8D80F2018C</vt:lpwstr>
  </property>
  <property fmtid="{D5CDD505-2E9C-101B-9397-08002B2CF9AE}" pid="4" name="KSOTemplateDocerSaveRecord">
    <vt:lpwstr>eyJoZGlkIjoiOTlmYThlYzJkYjMzZWVhMTJmYmU3YWIyODg3YWY5MjAiLCJ1c2VySWQiOiIzNzk4NDc4MjEifQ==</vt:lpwstr>
  </property>
</Properties>
</file>