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B71F8">
      <w:pPr>
        <w:widowControl/>
        <w:spacing w:line="520" w:lineRule="atLeast"/>
        <w:jc w:val="center"/>
        <w:rPr>
          <w:rFonts w:hint="eastAsia" w:ascii="黑体" w:hAnsi="黑体" w:eastAsia="黑体" w:cs="Times New Roman"/>
          <w:b/>
          <w:bCs/>
          <w:color w:val="000000" w:themeColor="text1"/>
          <w:kern w:val="0"/>
          <w:sz w:val="44"/>
          <w:szCs w:val="44"/>
        </w:rPr>
      </w:pPr>
      <w:r>
        <w:rPr>
          <w:rFonts w:hint="eastAsia" w:ascii="黑体" w:hAnsi="黑体" w:eastAsia="黑体" w:cs="Times New Roman"/>
          <w:b/>
          <w:bCs/>
          <w:color w:val="000000" w:themeColor="text1"/>
          <w:kern w:val="0"/>
          <w:sz w:val="44"/>
          <w:szCs w:val="44"/>
          <w:lang w:eastAsia="zh-CN"/>
        </w:rPr>
        <w:t>庐山市第</w:t>
      </w:r>
      <w:r>
        <w:rPr>
          <w:rFonts w:hint="eastAsia" w:ascii="黑体" w:hAnsi="黑体" w:eastAsia="黑体" w:cs="Times New Roman"/>
          <w:b/>
          <w:bCs/>
          <w:color w:val="000000" w:themeColor="text1"/>
          <w:kern w:val="0"/>
          <w:sz w:val="44"/>
          <w:szCs w:val="44"/>
        </w:rPr>
        <w:fldChar w:fldCharType="begin"/>
      </w:r>
      <w:r>
        <w:rPr>
          <w:rFonts w:hint="eastAsia" w:ascii="黑体" w:hAnsi="黑体" w:eastAsia="黑体" w:cs="Times New Roman"/>
          <w:b/>
          <w:bCs/>
          <w:color w:val="000000" w:themeColor="text1"/>
          <w:kern w:val="0"/>
          <w:sz w:val="44"/>
          <w:szCs w:val="44"/>
        </w:rPr>
        <w:instrText xml:space="preserve">MERGEFIELD ${page540426799.ds254512694_REP_JXJC_AGENCY_WZR_NAME}</w:instrText>
      </w:r>
      <w:r>
        <w:rPr>
          <w:rFonts w:hint="eastAsia" w:ascii="黑体" w:hAnsi="黑体" w:eastAsia="黑体" w:cs="Times New Roman"/>
          <w:b/>
          <w:bCs/>
          <w:color w:val="000000" w:themeColor="text1"/>
          <w:kern w:val="0"/>
          <w:sz w:val="44"/>
          <w:szCs w:val="44"/>
        </w:rPr>
        <w:fldChar w:fldCharType="separate"/>
      </w:r>
      <w:r>
        <w:rPr>
          <w:rFonts w:hint="eastAsia" w:ascii="黑体" w:hAnsi="黑体" w:eastAsia="黑体" w:cs="Times New Roman"/>
          <w:b/>
          <w:bCs/>
          <w:color w:val="000000" w:themeColor="text1"/>
          <w:kern w:val="0"/>
          <w:sz w:val="44"/>
          <w:szCs w:val="44"/>
          <w:lang w:eastAsia="zh-CN"/>
        </w:rPr>
        <w:t>二小学</w:t>
      </w:r>
      <w:r>
        <w:rPr>
          <w:rFonts w:hint="eastAsia" w:ascii="黑体" w:hAnsi="黑体" w:eastAsia="黑体" w:cs="Times New Roman"/>
          <w:b/>
          <w:bCs/>
          <w:color w:val="000000" w:themeColor="text1"/>
          <w:kern w:val="0"/>
          <w:sz w:val="44"/>
          <w:szCs w:val="44"/>
        </w:rPr>
        <w:fldChar w:fldCharType="end"/>
      </w:r>
      <w:r>
        <w:rPr>
          <w:rFonts w:hint="eastAsia" w:ascii="黑体" w:hAnsi="黑体" w:eastAsia="黑体" w:cs="Times New Roman"/>
          <w:b/>
          <w:bCs/>
          <w:color w:val="000000" w:themeColor="text1"/>
          <w:kern w:val="0"/>
          <w:sz w:val="44"/>
          <w:szCs w:val="44"/>
        </w:rPr>
        <w:t>202</w:t>
      </w:r>
      <w:r>
        <w:rPr>
          <w:rFonts w:hint="eastAsia" w:ascii="黑体" w:hAnsi="黑体" w:eastAsia="黑体" w:cs="Times New Roman"/>
          <w:b/>
          <w:bCs/>
          <w:color w:val="000000" w:themeColor="text1"/>
          <w:kern w:val="0"/>
          <w:sz w:val="44"/>
          <w:szCs w:val="44"/>
          <w:lang w:val="en-US" w:eastAsia="zh-CN"/>
        </w:rPr>
        <w:t>4</w:t>
      </w:r>
      <w:r>
        <w:rPr>
          <w:rFonts w:hint="eastAsia" w:ascii="黑体" w:hAnsi="黑体" w:eastAsia="黑体" w:cs="Times New Roman"/>
          <w:b/>
          <w:bCs/>
          <w:color w:val="000000" w:themeColor="text1"/>
          <w:kern w:val="0"/>
          <w:sz w:val="44"/>
          <w:szCs w:val="44"/>
        </w:rPr>
        <w:t>年单位预算</w:t>
      </w:r>
    </w:p>
    <w:p w14:paraId="035FA157">
      <w:pPr>
        <w:pStyle w:val="12"/>
        <w:spacing w:line="600" w:lineRule="atLeast"/>
        <w:jc w:val="center"/>
        <w:rPr>
          <w:rFonts w:ascii="黑体" w:hAnsi="黑体" w:eastAsia="黑体"/>
          <w:color w:val="000000" w:themeColor="text1"/>
          <w:sz w:val="32"/>
          <w:szCs w:val="32"/>
        </w:rPr>
      </w:pPr>
    </w:p>
    <w:p w14:paraId="60135A33">
      <w:pPr>
        <w:pStyle w:val="12"/>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14:paraId="7931B0F0">
      <w:pPr>
        <w:pStyle w:val="12"/>
        <w:rPr>
          <w:rFonts w:ascii="宋体" w:hAnsi="宋体"/>
          <w:color w:val="000000" w:themeColor="text1"/>
        </w:rPr>
      </w:pPr>
    </w:p>
    <w:p w14:paraId="5C4C3528">
      <w:pPr>
        <w:pStyle w:val="12"/>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庐山市第二小学</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14:paraId="45610058">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主要职责</w:t>
      </w:r>
    </w:p>
    <w:p w14:paraId="2493732E">
      <w:pPr>
        <w:pStyle w:val="12"/>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14:paraId="3928F5EF">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庐山市第二小学</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年单位预算表</w:t>
      </w:r>
    </w:p>
    <w:p w14:paraId="508C9A9C">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14:paraId="071D7036">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收入总表》</w:t>
      </w:r>
    </w:p>
    <w:p w14:paraId="5127A50C">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三、《</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支出总表》</w:t>
      </w:r>
    </w:p>
    <w:p w14:paraId="4D26E853">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四、《财政拨款收支总表》</w:t>
      </w:r>
    </w:p>
    <w:p w14:paraId="1933A85D">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五、《一般公共预算支出表》</w:t>
      </w:r>
    </w:p>
    <w:p w14:paraId="3A4930D4">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六、《一般公共预算基本支出表》</w:t>
      </w:r>
    </w:p>
    <w:p w14:paraId="0364258D">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七、《财政拨款“三公”经费支出表》</w:t>
      </w:r>
    </w:p>
    <w:p w14:paraId="41785BDA">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八、《政府性基金预算支出表》</w:t>
      </w:r>
    </w:p>
    <w:p w14:paraId="3A0390BC">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九、《</w:t>
      </w:r>
      <w:r>
        <w:rPr>
          <w:rFonts w:hint="eastAsia" w:ascii="Adobe 仿宋 Std R" w:hAnsi="Adobe 仿宋 Std R" w:eastAsia="Adobe 仿宋 Std R" w:cstheme="minorBidi"/>
          <w:color w:val="000000" w:themeColor="text1"/>
          <w:kern w:val="2"/>
          <w:sz w:val="32"/>
          <w:szCs w:val="30"/>
        </w:rPr>
        <w:t>国有资本经营</w:t>
      </w:r>
      <w:r>
        <w:rPr>
          <w:rFonts w:ascii="Adobe 仿宋 Std R" w:hAnsi="Adobe 仿宋 Std R" w:eastAsia="Adobe 仿宋 Std R" w:cstheme="minorBidi"/>
          <w:color w:val="000000" w:themeColor="text1"/>
          <w:kern w:val="2"/>
          <w:sz w:val="32"/>
          <w:szCs w:val="30"/>
        </w:rPr>
        <w:t>预算支出表》</w:t>
      </w:r>
      <w:r>
        <w:rPr>
          <w:rFonts w:hint="eastAsia" w:ascii="Adobe 仿宋 Std R" w:hAnsi="Adobe 仿宋 Std R" w:eastAsia="Adobe 仿宋 Std R" w:cstheme="minorBidi"/>
          <w:color w:val="000000" w:themeColor="text1"/>
          <w:kern w:val="2"/>
          <w:sz w:val="32"/>
          <w:szCs w:val="30"/>
        </w:rPr>
        <w:tab/>
      </w:r>
    </w:p>
    <w:p w14:paraId="55E50947">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14:paraId="0068F828">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庐山市第二小学</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年单位预算情况说明</w:t>
      </w:r>
    </w:p>
    <w:p w14:paraId="30010EAC">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预算收支情况说明</w:t>
      </w:r>
    </w:p>
    <w:p w14:paraId="5703C949">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年“三公”经费预算情况说明</w:t>
      </w:r>
    </w:p>
    <w:p w14:paraId="0D2332AF">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p>
    <w:p w14:paraId="36057F25">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14:paraId="74D5D653">
      <w:pPr>
        <w:widowControl/>
        <w:spacing w:line="580" w:lineRule="exact"/>
        <w:jc w:val="center"/>
        <w:rPr>
          <w:rFonts w:ascii="仿宋_GB2312" w:eastAsia="仿宋_GB2312"/>
          <w:b/>
          <w:color w:val="000000" w:themeColor="text1"/>
          <w:sz w:val="32"/>
          <w:szCs w:val="30"/>
        </w:rPr>
      </w:pPr>
    </w:p>
    <w:p w14:paraId="5A93D5BC">
      <w:pPr>
        <w:widowControl/>
        <w:spacing w:line="580" w:lineRule="exact"/>
        <w:jc w:val="center"/>
        <w:rPr>
          <w:rFonts w:ascii="仿宋_GB2312" w:eastAsia="仿宋_GB2312"/>
          <w:b/>
          <w:color w:val="000000" w:themeColor="text1"/>
          <w:sz w:val="32"/>
          <w:szCs w:val="30"/>
        </w:rPr>
      </w:pPr>
    </w:p>
    <w:p w14:paraId="5B6399C0">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庐山市第二小学</w:t>
      </w:r>
      <w:r>
        <w:rPr>
          <w:color w:val="000000" w:themeColor="text1"/>
        </w:rPr>
        <w:fldChar w:fldCharType="end"/>
      </w:r>
      <w:r>
        <w:rPr>
          <w:rFonts w:hint="eastAsia" w:ascii="仿宋_GB2312" w:eastAsia="仿宋_GB2312"/>
          <w:b/>
          <w:color w:val="000000" w:themeColor="text1"/>
          <w:sz w:val="32"/>
          <w:szCs w:val="30"/>
        </w:rPr>
        <w:t>概况</w:t>
      </w:r>
    </w:p>
    <w:p w14:paraId="6E6B20C5">
      <w:pPr>
        <w:widowControl/>
        <w:spacing w:line="580" w:lineRule="exact"/>
        <w:jc w:val="left"/>
        <w:rPr>
          <w:rFonts w:asciiTheme="minorEastAsia" w:hAnsiTheme="minorEastAsia"/>
          <w:b/>
          <w:color w:val="000000" w:themeColor="text1"/>
          <w:sz w:val="36"/>
          <w:szCs w:val="36"/>
        </w:rPr>
      </w:pPr>
    </w:p>
    <w:p w14:paraId="5B835A68">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一、单位主要职责</w:t>
      </w:r>
    </w:p>
    <w:p w14:paraId="465A5137">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庐山市第二小学是一所公办小学，主要职责是：</w:t>
      </w:r>
    </w:p>
    <w:p w14:paraId="4CC14F4C">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（一）贯彻落实党的教育和体育工作的方针、政策、法律和法规，研究全市教育改革发展重大问题，综合指导、协调和管理全市的教育体育工作。</w:t>
      </w:r>
    </w:p>
    <w:p w14:paraId="48E622F6">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（二）编制庐山市第二小学教育事业发展规划、计划的实施，指导全镇办学体制改革，理顺教育内部和外部的关系，建立适应全镇经济社会发展的教育体制及运营机制。</w:t>
      </w:r>
    </w:p>
    <w:p w14:paraId="73BE40F1">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（三）综合管理全镇学前教育、小学教育及社会力量办学工作，指导和管理小学的教育教学工作，负责教育督导与评估。</w:t>
      </w:r>
    </w:p>
    <w:p w14:paraId="54B47906">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（四）负责推进教育均衡发展和促进教育公平，全面实施素质教育。统筹管理全镇教育系统对外交流工作。</w:t>
      </w:r>
    </w:p>
    <w:p w14:paraId="4FA66525">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五）负责教师队伍建设和教师继续教育工作；负责教师管理工作，组织实施教师资格制度；负责管理语言文字工作；指导和组织推广普通话和规范汉字书写工作；承担教师资格认定申报工作；负责对发展教育事业做出突出贡献者进行奖励；在庐山市教体局的指导下接受大中专院校毕业生就业工作。</w:t>
      </w:r>
    </w:p>
    <w:p w14:paraId="3A04150B">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（六）统筹管理本单位教育经费，会同有关部门拟定筹措教育经费、教育基建投资的规划，按有关规定管理中央、省、市对全市的教育拨、贷款及捐赠资金，监督测评全市教育经费的筹措和使用管理情况。</w:t>
      </w:r>
    </w:p>
    <w:p w14:paraId="49C27BCA">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（七）归口庐山市教育体育局工作。</w:t>
      </w:r>
    </w:p>
    <w:p w14:paraId="00E038C0">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（八）协助有关部门指导学校的思想政治工作、德育工作、体育卫生艺术教育及国防教育工作，统筹协调学校的安全稳定工作。</w:t>
      </w:r>
    </w:p>
    <w:p w14:paraId="0EA87623">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（九）指导庐山市第二小学教育宣传、教育系统信息化建设和现代远程教育及校园网络建设工作。承担学校教育基本信息的统计、分析和发布。</w:t>
      </w:r>
    </w:p>
    <w:p w14:paraId="178C66EF">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（十）统筹规划竞技体育发展，竟技运动项目设置与重点布局。组织安排各类赛事。</w:t>
      </w:r>
    </w:p>
    <w:p w14:paraId="0A8CC863">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（十一）实施全民健身计划，指导群众性体育活动的发展，实施国家体育锻炼标准，开展国民体质监测；加强社区体育工作，正确引导群众的健身活动；</w:t>
      </w:r>
    </w:p>
    <w:p w14:paraId="3B7EBF79">
      <w:pPr>
        <w:ind w:firstLine="640" w:firstLineChars="200"/>
        <w:jc w:val="left"/>
        <w:rPr>
          <w:rFonts w:hint="eastAsia" w:ascii="宋体" w:hAnsi="宋体" w:eastAsia="仿宋_GB2312" w:cs="仿宋_GB2312"/>
          <w:color w:val="000000" w:themeColor="text1"/>
          <w:sz w:val="32"/>
          <w:szCs w:val="32"/>
          <w:lang w:eastAsia="zh-CN"/>
        </w:rPr>
      </w:pPr>
      <w:r>
        <w:rPr>
          <w:rFonts w:hint="eastAsia" w:ascii="宋体" w:hAnsi="宋体" w:eastAsia="仿宋_GB2312" w:cs="仿宋_GB2312"/>
          <w:color w:val="000000" w:themeColor="text1"/>
          <w:sz w:val="32"/>
          <w:szCs w:val="32"/>
          <w:lang w:eastAsia="zh-CN"/>
        </w:rPr>
        <w:t>（十二）承办市政府交办的其他工作。</w:t>
      </w:r>
    </w:p>
    <w:p w14:paraId="3BB85737">
      <w:pPr>
        <w:rPr>
          <w:b/>
          <w:color w:val="000000" w:themeColor="text1"/>
          <w:sz w:val="36"/>
          <w:szCs w:val="36"/>
        </w:rPr>
      </w:pPr>
      <w:r>
        <w:rPr>
          <w:rFonts w:hint="eastAsia"/>
          <w:b/>
          <w:color w:val="000000" w:themeColor="text1"/>
          <w:sz w:val="36"/>
          <w:szCs w:val="36"/>
        </w:rPr>
        <w:t>二、机构设置及人员情况</w:t>
      </w:r>
    </w:p>
    <w:p w14:paraId="07896E3D">
      <w:pPr>
        <w:widowControl/>
        <w:spacing w:line="580" w:lineRule="exact"/>
        <w:ind w:firstLine="640" w:firstLineChars="200"/>
        <w:jc w:val="left"/>
        <w:rPr>
          <w:color w:val="000000" w:themeColor="text1"/>
        </w:rPr>
      </w:pPr>
      <w:r>
        <w:rPr>
          <w:rFonts w:ascii="仿宋" w:hAnsi="仿宋" w:eastAsia="仿宋"/>
          <w:color w:val="000000" w:themeColor="text1"/>
          <w:sz w:val="32"/>
          <w:szCs w:val="32"/>
        </w:rPr>
        <w:t>202</w:t>
      </w:r>
      <w:r>
        <w:rPr>
          <w:rFonts w:hint="eastAsia" w:ascii="仿宋" w:hAnsi="仿宋" w:eastAsia="仿宋"/>
          <w:color w:val="000000" w:themeColor="text1"/>
          <w:sz w:val="32"/>
          <w:szCs w:val="32"/>
          <w:lang w:val="en-US" w:eastAsia="zh-CN"/>
        </w:rPr>
        <w:t>4</w:t>
      </w:r>
      <w:r>
        <w:rPr>
          <w:rFonts w:hint="eastAsia" w:ascii="仿宋" w:hAnsi="仿宋" w:eastAsia="仿宋"/>
          <w:color w:val="000000" w:themeColor="text1"/>
          <w:sz w:val="32"/>
          <w:szCs w:val="32"/>
        </w:rPr>
        <w:t>年</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${page540426799.ds254512694_REP_JXJC_AGENCY_WZR_NAME}</w:instrText>
      </w:r>
      <w:r>
        <w:rPr>
          <w:rFonts w:ascii="仿宋" w:hAnsi="仿宋" w:eastAsia="仿宋"/>
          <w:color w:val="000000" w:themeColor="text1"/>
          <w:sz w:val="32"/>
          <w:szCs w:val="32"/>
        </w:rPr>
        <w:fldChar w:fldCharType="separate"/>
      </w:r>
      <w:r>
        <w:rPr>
          <w:rFonts w:hint="eastAsia" w:ascii="仿宋" w:hAnsi="仿宋" w:eastAsia="仿宋"/>
          <w:color w:val="000000" w:themeColor="text1"/>
          <w:sz w:val="32"/>
          <w:szCs w:val="32"/>
          <w:lang w:eastAsia="zh-CN"/>
        </w:rPr>
        <w:t>庐山市第二小学</w:t>
      </w:r>
      <w:r>
        <w:rPr>
          <w:color w:val="000000" w:themeColor="text1"/>
        </w:rPr>
        <w:fldChar w:fldCharType="end"/>
      </w:r>
      <w:r>
        <w:rPr>
          <w:rFonts w:hint="eastAsia" w:ascii="仿宋" w:hAnsi="仿宋" w:eastAsia="仿宋"/>
          <w:color w:val="000000" w:themeColor="text1"/>
          <w:sz w:val="32"/>
          <w:szCs w:val="32"/>
        </w:rPr>
        <w:t>内设处室</w:t>
      </w:r>
      <w:r>
        <w:rPr>
          <w:rFonts w:hint="eastAsia" w:ascii="仿宋_GB2312" w:eastAsia="仿宋_GB2312"/>
          <w:color w:val="000000" w:themeColor="text1"/>
          <w:sz w:val="32"/>
          <w:szCs w:val="30"/>
          <w:u w:val="none"/>
          <w:lang w:val="en-US" w:eastAsia="zh-CN"/>
        </w:rPr>
        <w:t>6</w:t>
      </w:r>
      <w:r>
        <w:rPr>
          <w:rFonts w:hint="eastAsia" w:ascii="仿宋" w:hAnsi="仿宋" w:eastAsia="仿宋"/>
          <w:color w:val="000000" w:themeColor="text1"/>
          <w:sz w:val="32"/>
          <w:szCs w:val="32"/>
        </w:rPr>
        <w:t>个，</w:t>
      </w:r>
      <w:r>
        <w:rPr>
          <w:rFonts w:ascii="仿宋" w:hAnsi="仿宋" w:eastAsia="仿宋"/>
          <w:color w:val="000000" w:themeColor="text1"/>
          <w:sz w:val="32"/>
          <w:szCs w:val="32"/>
        </w:rPr>
        <w:t>包括</w:t>
      </w:r>
      <w:r>
        <w:rPr>
          <w:rFonts w:hint="eastAsia" w:ascii="仿宋" w:hAnsi="仿宋" w:eastAsia="仿宋"/>
          <w:color w:val="000000" w:themeColor="text1"/>
          <w:sz w:val="32"/>
          <w:szCs w:val="32"/>
        </w:rPr>
        <w:t>：</w:t>
      </w:r>
      <w:r>
        <w:rPr>
          <w:rFonts w:hint="eastAsia" w:ascii="仿宋" w:hAnsi="仿宋" w:eastAsia="仿宋"/>
          <w:color w:val="000000" w:themeColor="text1"/>
          <w:sz w:val="32"/>
          <w:szCs w:val="32"/>
          <w:u w:val="none"/>
          <w:lang w:eastAsia="zh-CN"/>
        </w:rPr>
        <w:t>办公室、教导处、德育处、总务处、保卫科、</w:t>
      </w:r>
      <w:r>
        <w:rPr>
          <w:rFonts w:hint="eastAsia" w:ascii="仿宋" w:hAnsi="仿宋" w:eastAsia="仿宋"/>
          <w:color w:val="000000" w:themeColor="text1"/>
          <w:sz w:val="32"/>
          <w:szCs w:val="32"/>
          <w:u w:val="none"/>
          <w:lang w:val="en-US" w:eastAsia="zh-CN"/>
        </w:rPr>
        <w:t>党建办</w:t>
      </w:r>
      <w:r>
        <w:rPr>
          <w:rFonts w:hint="eastAsia" w:ascii="仿宋" w:hAnsi="仿宋" w:eastAsia="仿宋"/>
          <w:color w:val="000000" w:themeColor="text1"/>
          <w:sz w:val="32"/>
          <w:szCs w:val="32"/>
          <w:u w:val="none"/>
          <w:lang w:eastAsia="zh-CN"/>
        </w:rPr>
        <w:t>。</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编制人数小计</w:t>
      </w:r>
      <w:r>
        <w:rPr>
          <w:rFonts w:hint="eastAsia" w:ascii="仿宋" w:hAnsi="仿宋" w:eastAsia="仿宋"/>
          <w:color w:val="000000" w:themeColor="text1"/>
          <w:sz w:val="32"/>
          <w:szCs w:val="32"/>
          <w:lang w:val="en-US" w:eastAsia="zh-CN"/>
        </w:rPr>
        <w:t>86</w:t>
      </w:r>
      <w:r>
        <w:rPr>
          <w:rFonts w:ascii="仿宋" w:hAnsi="仿宋" w:eastAsia="仿宋"/>
          <w:color w:val="000000" w:themeColor="text1"/>
          <w:sz w:val="32"/>
          <w:szCs w:val="32"/>
        </w:rPr>
        <w:t>人,</w:t>
      </w:r>
      <w:r>
        <w:rPr>
          <w:color w:val="000000" w:themeColor="text1"/>
        </w:rPr>
        <w:fldChar w:fldCharType="end"/>
      </w:r>
      <w:r>
        <w:rPr>
          <w:rFonts w:hint="eastAsia"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行政编制人数</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人</w:t>
      </w:r>
      <w:r>
        <w:rPr>
          <w:rFonts w:hint="eastAsia" w:ascii="仿宋" w:hAnsi="仿宋" w:eastAsia="仿宋"/>
          <w:color w:val="000000" w:themeColor="text1"/>
          <w:sz w:val="32"/>
          <w:szCs w:val="32"/>
          <w:lang w:eastAsia="zh-CN"/>
        </w:rPr>
        <w:t>，</w:t>
      </w:r>
      <w:r>
        <w:rPr>
          <w:rFonts w:hint="eastAsia" w:ascii="仿宋_GB2312" w:hAnsi="仿宋_GB2312" w:eastAsia="仿宋_GB2312"/>
          <w:color w:val="auto"/>
          <w:sz w:val="32"/>
          <w:szCs w:val="32"/>
          <w:lang w:val="en-US" w:eastAsia="zh-CN"/>
        </w:rPr>
        <w:t>全额补助事业编制人数86人</w:t>
      </w:r>
      <w:r>
        <w:rPr>
          <w:rFonts w:ascii="仿宋" w:hAnsi="仿宋" w:eastAsia="仿宋"/>
          <w:color w:val="000000" w:themeColor="text1"/>
          <w:sz w:val="32"/>
          <w:szCs w:val="32"/>
        </w:rPr>
        <w:t>。</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${page540426799.ds376136392_REP_JX_BAS_AGENCY_INFO_DXQRSDW_S_SYRSXJ}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实有人数小计</w:t>
      </w:r>
      <w:r>
        <w:rPr>
          <w:rFonts w:hint="eastAsia" w:ascii="仿宋" w:hAnsi="仿宋" w:eastAsia="仿宋"/>
          <w:color w:val="000000" w:themeColor="text1"/>
          <w:sz w:val="32"/>
          <w:szCs w:val="32"/>
          <w:lang w:val="en-US" w:eastAsia="zh-CN"/>
        </w:rPr>
        <w:t>65</w:t>
      </w:r>
      <w:r>
        <w:rPr>
          <w:rFonts w:ascii="仿宋" w:hAnsi="仿宋" w:eastAsia="仿宋"/>
          <w:color w:val="000000" w:themeColor="text1"/>
          <w:sz w:val="32"/>
          <w:szCs w:val="32"/>
        </w:rPr>
        <w:t>人,</w:t>
      </w:r>
      <w:r>
        <w:rPr>
          <w:color w:val="000000" w:themeColor="text1"/>
        </w:rPr>
        <w:fldChar w:fldCharType="end"/>
      </w:r>
      <w:r>
        <w:rPr>
          <w:rFonts w:hint="eastAsia"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${page540426799.ds376136392_REP_JX_BAS_AGENCY_INFO_DXQRSDW_S_ZZRSXJ}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在职人数小计</w:t>
      </w:r>
      <w:r>
        <w:rPr>
          <w:rFonts w:hint="eastAsia" w:ascii="仿宋" w:hAnsi="仿宋" w:eastAsia="仿宋"/>
          <w:color w:val="000000" w:themeColor="text1"/>
          <w:sz w:val="32"/>
          <w:szCs w:val="32"/>
          <w:lang w:val="en-US" w:eastAsia="zh-CN"/>
        </w:rPr>
        <w:t>65</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${page540426799.ds376136392_REP_JX_BAS_AGENCY_INFO_DXQRSDW_S_ZZRSMX}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行政在职人数</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${page540426799.ds376136392_REP_JX_BAS_AGENCY_INFO_DXQRSDW_S_QTRSMX}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离休人数小计</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人,退休人数小计</w:t>
      </w:r>
      <w:r>
        <w:rPr>
          <w:rFonts w:hint="eastAsia" w:ascii="仿宋" w:hAnsi="仿宋" w:eastAsia="仿宋"/>
          <w:color w:val="000000" w:themeColor="text1"/>
          <w:sz w:val="32"/>
          <w:szCs w:val="32"/>
          <w:lang w:val="en-US" w:eastAsia="zh-CN"/>
        </w:rPr>
        <w:t>50</w:t>
      </w:r>
      <w:r>
        <w:rPr>
          <w:rFonts w:ascii="仿宋" w:hAnsi="仿宋" w:eastAsia="仿宋"/>
          <w:color w:val="000000" w:themeColor="text1"/>
          <w:sz w:val="32"/>
          <w:szCs w:val="32"/>
        </w:rPr>
        <w:t>人,遗属人数</w:t>
      </w:r>
      <w:r>
        <w:rPr>
          <w:rFonts w:hint="eastAsia" w:ascii="仿宋" w:hAnsi="仿宋" w:eastAsia="仿宋"/>
          <w:color w:val="000000" w:themeColor="text1"/>
          <w:sz w:val="32"/>
          <w:szCs w:val="32"/>
          <w:lang w:val="en-US" w:eastAsia="zh-CN"/>
        </w:rPr>
        <w:t>0</w:t>
      </w:r>
      <w:r>
        <w:rPr>
          <w:rFonts w:ascii="仿宋" w:hAnsi="仿宋" w:eastAsia="仿宋"/>
          <w:color w:val="000000" w:themeColor="text1"/>
          <w:sz w:val="32"/>
          <w:szCs w:val="32"/>
        </w:rPr>
        <w:t>人。</w:t>
      </w:r>
      <w:r>
        <w:rPr>
          <w:color w:val="000000" w:themeColor="text1"/>
        </w:rPr>
        <w:fldChar w:fldCharType="end"/>
      </w:r>
    </w:p>
    <w:p w14:paraId="322280F1">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庐山市第二小学</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年单位预算表</w:t>
      </w:r>
    </w:p>
    <w:p w14:paraId="2F96E4BB">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bookmarkStart w:id="0" w:name="_GoBack"/>
      <w:bookmarkEnd w:id="0"/>
    </w:p>
    <w:p w14:paraId="4A5C08D1">
      <w:pPr>
        <w:ind w:firstLine="640" w:firstLineChars="200"/>
        <w:jc w:val="left"/>
        <w:rPr>
          <w:rStyle w:val="11"/>
          <w:rFonts w:ascii="仿宋" w:hAnsi="仿宋" w:eastAsia="仿宋"/>
          <w:bCs/>
          <w:color w:val="000000" w:themeColor="text1"/>
          <w:sz w:val="32"/>
          <w:szCs w:val="32"/>
        </w:rPr>
      </w:pPr>
    </w:p>
    <w:p w14:paraId="1E1ACA03">
      <w:pPr>
        <w:ind w:firstLine="640" w:firstLineChars="200"/>
        <w:jc w:val="left"/>
        <w:rPr>
          <w:rStyle w:val="11"/>
          <w:rFonts w:ascii="仿宋" w:hAnsi="仿宋" w:eastAsia="仿宋"/>
          <w:bCs/>
          <w:color w:val="000000" w:themeColor="text1"/>
          <w:sz w:val="32"/>
          <w:szCs w:val="32"/>
        </w:rPr>
      </w:pPr>
    </w:p>
    <w:p w14:paraId="4C39066F">
      <w:pPr>
        <w:ind w:firstLine="640" w:firstLineChars="200"/>
        <w:jc w:val="left"/>
        <w:rPr>
          <w:rStyle w:val="11"/>
          <w:rFonts w:ascii="仿宋" w:hAnsi="仿宋" w:eastAsia="仿宋"/>
          <w:bCs/>
          <w:color w:val="000000" w:themeColor="text1"/>
          <w:sz w:val="32"/>
          <w:szCs w:val="32"/>
        </w:rPr>
      </w:pPr>
    </w:p>
    <w:p w14:paraId="51BA3884">
      <w:pPr>
        <w:ind w:firstLine="640" w:firstLineChars="200"/>
        <w:jc w:val="left"/>
        <w:rPr>
          <w:rStyle w:val="11"/>
          <w:rFonts w:ascii="仿宋" w:hAnsi="仿宋" w:eastAsia="仿宋"/>
          <w:bCs/>
          <w:color w:val="000000" w:themeColor="text1"/>
          <w:sz w:val="32"/>
          <w:szCs w:val="32"/>
        </w:rPr>
      </w:pPr>
    </w:p>
    <w:p w14:paraId="5EC4DCB4">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庐山市第二小学</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年单位预算情况说明</w:t>
      </w:r>
    </w:p>
    <w:p w14:paraId="3B0C8938">
      <w:pPr>
        <w:widowControl/>
        <w:spacing w:line="580" w:lineRule="exact"/>
        <w:jc w:val="center"/>
        <w:rPr>
          <w:rFonts w:ascii="仿宋_GB2312" w:eastAsia="仿宋_GB2312"/>
          <w:b/>
          <w:color w:val="000000" w:themeColor="text1"/>
          <w:sz w:val="32"/>
          <w:szCs w:val="30"/>
        </w:rPr>
      </w:pPr>
    </w:p>
    <w:p w14:paraId="5BFB90DA">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年单位预算收支情况说明</w:t>
      </w:r>
    </w:p>
    <w:p w14:paraId="2F998ED8">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(一)收入预算情况</w:t>
      </w:r>
    </w:p>
    <w:p w14:paraId="0BA52D0B">
      <w:pPr>
        <w:widowControl/>
        <w:ind w:firstLine="640" w:firstLineChars="200"/>
        <w:rPr>
          <w:rFonts w:hint="default" w:ascii="仿宋" w:hAnsi="仿宋" w:cs="Times New Roman" w:eastAsiaTheme="minorEastAsia"/>
          <w:color w:val="000000" w:themeColor="text1"/>
          <w:kern w:val="0"/>
          <w:sz w:val="32"/>
          <w:szCs w:val="32"/>
          <w:lang w:val="en-US" w:eastAsia="zh-CN"/>
        </w:rPr>
      </w:pPr>
      <w:r>
        <w:rPr>
          <w:rFonts w:ascii="仿宋" w:hAnsi="仿宋" w:eastAsia="仿宋" w:cs="Times New Roman"/>
          <w:color w:val="000000" w:themeColor="text1"/>
          <w:kern w:val="0"/>
          <w:sz w:val="32"/>
          <w:szCs w:val="32"/>
        </w:rPr>
        <w:t>202</w:t>
      </w:r>
      <w:r>
        <w:rPr>
          <w:rFonts w:hint="eastAsia" w:ascii="仿宋" w:hAnsi="仿宋" w:eastAsia="仿宋" w:cs="Times New Roman"/>
          <w:color w:val="000000" w:themeColor="text1"/>
          <w:kern w:val="0"/>
          <w:sz w:val="32"/>
          <w:szCs w:val="32"/>
          <w:lang w:val="en-US" w:eastAsia="zh-CN"/>
        </w:rPr>
        <w:t>4</w:t>
      </w:r>
      <w:r>
        <w:rPr>
          <w:rFonts w:hint="eastAsia" w:ascii="仿宋" w:hAnsi="仿宋" w:eastAsia="仿宋" w:cs="Times New Roman"/>
          <w:color w:val="000000" w:themeColor="text1"/>
          <w:kern w:val="0"/>
          <w:sz w:val="32"/>
          <w:szCs w:val="32"/>
        </w:rPr>
        <w:t>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${page540426799.ds254512694_REP_JXJC_AGENCY_WZR_NAME}</w:instrText>
      </w:r>
      <w:r>
        <w:rPr>
          <w:rFonts w:ascii="仿宋" w:hAnsi="仿宋" w:eastAsia="仿宋" w:cs="Times New Roman"/>
          <w:color w:val="000000" w:themeColor="text1"/>
          <w:kern w:val="0"/>
          <w:sz w:val="32"/>
          <w:szCs w:val="32"/>
        </w:rPr>
        <w:fldChar w:fldCharType="separate"/>
      </w:r>
      <w:r>
        <w:rPr>
          <w:rFonts w:hint="eastAsia" w:ascii="仿宋" w:hAnsi="仿宋" w:eastAsia="仿宋" w:cs="Times New Roman"/>
          <w:color w:val="000000" w:themeColor="text1"/>
          <w:kern w:val="0"/>
          <w:sz w:val="32"/>
          <w:szCs w:val="32"/>
          <w:lang w:eastAsia="zh-CN"/>
        </w:rPr>
        <w:t>庐山市第二小学</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${page540426799.ds254512694_V_BGT_DEP_INCOME_DXQDW01_ZJ}</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收入预算总额为</w:t>
      </w:r>
      <w:r>
        <w:rPr>
          <w:rFonts w:hint="eastAsia" w:ascii="仿宋" w:hAnsi="仿宋" w:eastAsia="仿宋" w:cs="Times New Roman"/>
          <w:color w:val="000000" w:themeColor="text1"/>
          <w:kern w:val="0"/>
          <w:sz w:val="32"/>
          <w:szCs w:val="32"/>
          <w:u w:val="single"/>
          <w:lang w:val="en-US" w:eastAsia="zh-CN"/>
        </w:rPr>
        <w:t>1345.4_</w:t>
      </w:r>
      <w:r>
        <w:rPr>
          <w:rFonts w:ascii="仿宋" w:hAnsi="仿宋" w:eastAsia="仿宋" w:cs="Times New Roman"/>
          <w:color w:val="000000" w:themeColor="text1"/>
          <w:kern w:val="0"/>
          <w:sz w:val="32"/>
          <w:szCs w:val="32"/>
        </w:rPr>
        <w:t>万元,较上年预算安排减）</w:t>
      </w:r>
      <w:r>
        <w:rPr>
          <w:rFonts w:ascii="仿宋" w:hAnsi="仿宋" w:eastAsia="仿宋" w:cs="Times New Roman"/>
          <w:color w:val="000000" w:themeColor="text1"/>
          <w:kern w:val="0"/>
          <w:sz w:val="32"/>
          <w:szCs w:val="32"/>
          <w:u w:val="single"/>
        </w:rPr>
        <w:t>_</w:t>
      </w:r>
      <w:r>
        <w:rPr>
          <w:rFonts w:hint="eastAsia" w:ascii="仿宋" w:hAnsi="仿宋" w:eastAsia="仿宋" w:cs="Times New Roman"/>
          <w:color w:val="000000" w:themeColor="text1"/>
          <w:kern w:val="0"/>
          <w:sz w:val="32"/>
          <w:szCs w:val="32"/>
          <w:u w:val="single"/>
          <w:lang w:val="en-US" w:eastAsia="zh-CN"/>
        </w:rPr>
        <w:t>4632.19</w:t>
      </w:r>
      <w:r>
        <w:rPr>
          <w:rFonts w:ascii="仿宋" w:hAnsi="仿宋" w:eastAsia="仿宋" w:cs="Times New Roman"/>
          <w:color w:val="000000" w:themeColor="text1"/>
          <w:kern w:val="0"/>
          <w:sz w:val="32"/>
          <w:szCs w:val="32"/>
        </w:rPr>
        <w:t>万元</w:t>
      </w:r>
      <w:r>
        <w:rPr>
          <w:rFonts w:hint="eastAsia" w:ascii="仿宋" w:hAnsi="仿宋" w:eastAsia="仿宋" w:cs="Times New Roman"/>
          <w:color w:val="000000" w:themeColor="text1"/>
          <w:kern w:val="0"/>
          <w:sz w:val="32"/>
          <w:szCs w:val="32"/>
          <w:lang w:eastAsia="zh-CN"/>
        </w:rPr>
        <w:t>，</w:t>
      </w:r>
      <w:r>
        <w:rPr>
          <w:rFonts w:hint="eastAsia" w:ascii="仿宋" w:hAnsi="仿宋" w:eastAsia="仿宋" w:cs="Times New Roman"/>
          <w:color w:val="000000" w:themeColor="text1"/>
          <w:kern w:val="0"/>
          <w:sz w:val="32"/>
          <w:szCs w:val="32"/>
          <w:lang w:val="en-US" w:eastAsia="zh-CN"/>
        </w:rPr>
        <w:t>减少主要原因为整体迁建项目完工，迁建项目费用减少，教辅、校服等代收费未列入预算</w:t>
      </w:r>
      <w:r>
        <w:rPr>
          <w:rFonts w:ascii="仿宋" w:hAnsi="仿宋" w:eastAsia="仿宋" w:cs="Times New Roman"/>
          <w:color w:val="000000" w:themeColor="text1"/>
          <w:kern w:val="0"/>
          <w:sz w:val="32"/>
          <w:szCs w:val="32"/>
        </w:rPr>
        <w:t>;</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${page540426799.ds254512694_V_BGT_DEP_INCOME_DXQDW01_SRXMMX}</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财政拨款收入</w:t>
      </w:r>
      <w:r>
        <w:rPr>
          <w:rFonts w:hint="eastAsia" w:ascii="仿宋" w:hAnsi="仿宋" w:eastAsia="仿宋" w:cs="Times New Roman"/>
          <w:color w:val="000000" w:themeColor="text1"/>
          <w:kern w:val="0"/>
          <w:sz w:val="32"/>
          <w:szCs w:val="32"/>
          <w:u w:val="single"/>
          <w:lang w:val="en-US" w:eastAsia="zh-CN"/>
        </w:rPr>
        <w:t>1075.4_</w:t>
      </w:r>
      <w:r>
        <w:rPr>
          <w:rFonts w:ascii="仿宋" w:hAnsi="仿宋" w:eastAsia="仿宋" w:cs="Times New Roman"/>
          <w:color w:val="000000" w:themeColor="text1"/>
          <w:kern w:val="0"/>
          <w:sz w:val="32"/>
          <w:szCs w:val="32"/>
        </w:rPr>
        <w:t>万元,较上年预算安排增加_</w:t>
      </w:r>
      <w:r>
        <w:rPr>
          <w:rFonts w:hint="eastAsia" w:ascii="仿宋" w:hAnsi="仿宋" w:eastAsia="仿宋" w:cs="Times New Roman"/>
          <w:color w:val="000000" w:themeColor="text1"/>
          <w:kern w:val="0"/>
          <w:sz w:val="32"/>
          <w:szCs w:val="32"/>
          <w:u w:val="single"/>
          <w:lang w:val="en-US" w:eastAsia="zh-CN"/>
        </w:rPr>
        <w:t>37.71</w:t>
      </w:r>
      <w:r>
        <w:rPr>
          <w:rFonts w:ascii="仿宋" w:hAnsi="仿宋" w:eastAsia="仿宋" w:cs="Times New Roman"/>
          <w:color w:val="000000" w:themeColor="text1"/>
          <w:kern w:val="0"/>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增加变化原因为</w:t>
      </w:r>
      <w:r>
        <w:rPr>
          <w:rFonts w:hint="eastAsia" w:ascii="仿宋_GB2312" w:hAnsi="仿宋_GB2312" w:eastAsia="仿宋_GB2312" w:cs="仿宋_GB2312"/>
          <w:color w:val="000000" w:themeColor="text1"/>
          <w:sz w:val="32"/>
          <w:szCs w:val="32"/>
          <w:lang w:val="en-US" w:eastAsia="zh-CN"/>
        </w:rPr>
        <w:t>人员经费变化收入</w:t>
      </w:r>
      <w:r>
        <w:rPr>
          <w:rFonts w:hint="eastAsia" w:ascii="仿宋" w:hAnsi="仿宋" w:eastAsia="仿宋" w:cs="Times New Roman"/>
          <w:color w:val="000000" w:themeColor="text1"/>
          <w:kern w:val="0"/>
          <w:sz w:val="32"/>
          <w:szCs w:val="32"/>
          <w:lang w:val="en-US" w:eastAsia="zh-CN"/>
        </w:rPr>
        <w:t>。</w:t>
      </w:r>
    </w:p>
    <w:p w14:paraId="66CCF325">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(二)支出预算情况</w:t>
      </w:r>
    </w:p>
    <w:p w14:paraId="67AB8FBD">
      <w:pPr>
        <w:widowControl/>
        <w:ind w:firstLine="640" w:firstLineChars="200"/>
        <w:rPr>
          <w:rFonts w:hint="default" w:ascii="仿宋" w:hAnsi="仿宋" w:cs="Times New Roman" w:eastAsiaTheme="minorEastAsia"/>
          <w:color w:val="000000" w:themeColor="text1"/>
          <w:kern w:val="0"/>
          <w:sz w:val="32"/>
          <w:szCs w:val="32"/>
          <w:lang w:val="en-US" w:eastAsia="zh-CN"/>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庐山市第二小学</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${page540426799.ds357974894_REP_BGT_T_HC1100002019_DXQ02DW_S_ZJ}</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支出预算总额为</w:t>
      </w:r>
      <w:r>
        <w:rPr>
          <w:rStyle w:val="11"/>
          <w:rFonts w:hint="eastAsia" w:ascii="仿宋" w:hAnsi="仿宋" w:eastAsia="仿宋"/>
          <w:color w:val="000000" w:themeColor="text1"/>
          <w:sz w:val="32"/>
          <w:szCs w:val="32"/>
          <w:lang w:val="en-US" w:eastAsia="zh-CN"/>
        </w:rPr>
        <w:t>_</w:t>
      </w:r>
      <w:r>
        <w:rPr>
          <w:rStyle w:val="11"/>
          <w:rFonts w:hint="eastAsia" w:ascii="仿宋" w:hAnsi="仿宋" w:eastAsia="仿宋"/>
          <w:color w:val="000000" w:themeColor="text1"/>
          <w:sz w:val="32"/>
          <w:szCs w:val="32"/>
          <w:u w:val="single"/>
          <w:lang w:val="en-US" w:eastAsia="zh-CN"/>
        </w:rPr>
        <w:t>1091.05</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4886.54</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减少变化原因为整体迁建项目完工，教辅、校服等代收费未列入预算，费用减少。</w:t>
      </w:r>
    </w:p>
    <w:p w14:paraId="15388B23">
      <w:pPr>
        <w:widowControl/>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其中：按支出项目类别划分：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u w:val="single"/>
          <w:lang w:val="en-US" w:eastAsia="zh-CN"/>
        </w:rPr>
        <w:t>987.05</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50.64</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u w:val="single"/>
          <w:lang w:val="en-US" w:eastAsia="zh-CN"/>
        </w:rPr>
        <w:t>986.57</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lang w:val="en-US" w:eastAsia="zh-CN"/>
        </w:rPr>
        <w:t>0.48</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lang w:val="en-US" w:eastAsia="zh-CN"/>
        </w:rPr>
        <w:t>358.4</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4581.5</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hint="eastAsia" w:ascii="仿宋" w:hAnsi="仿宋" w:eastAsia="仿宋"/>
          <w:color w:val="000000" w:themeColor="text1"/>
          <w:sz w:val="32"/>
          <w:szCs w:val="32"/>
          <w:lang w:val="en-US" w:eastAsia="zh-CN"/>
        </w:rPr>
        <w:t>主要原因为迁建项目完工，项目支出减少</w:t>
      </w:r>
      <w:r>
        <w:rPr>
          <w:rStyle w:val="11"/>
          <w:rFonts w:ascii="仿宋" w:hAnsi="仿宋" w:eastAsia="仿宋"/>
          <w:color w:val="000000" w:themeColor="text1"/>
          <w:sz w:val="32"/>
          <w:szCs w:val="32"/>
        </w:rPr>
        <w:t>;其中：商品和服务支出</w:t>
      </w:r>
      <w:r>
        <w:rPr>
          <w:rStyle w:val="11"/>
          <w:rFonts w:hint="eastAsia" w:ascii="仿宋" w:hAnsi="仿宋" w:eastAsia="仿宋"/>
          <w:color w:val="000000" w:themeColor="text1"/>
          <w:sz w:val="32"/>
          <w:szCs w:val="32"/>
          <w:lang w:val="en-US" w:eastAsia="zh-CN"/>
        </w:rPr>
        <w:t>358.4</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w:t>
      </w:r>
      <w:r>
        <w:rPr>
          <w:color w:val="000000" w:themeColor="text1"/>
        </w:rPr>
        <w:fldChar w:fldCharType="end"/>
      </w:r>
    </w:p>
    <w:p w14:paraId="296FF374">
      <w:pPr>
        <w:ind w:firstLine="640" w:firstLineChars="200"/>
        <w:rPr>
          <w:rStyle w:val="11"/>
          <w:rFonts w:ascii="仿宋" w:hAnsi="仿宋" w:eastAsia="仿宋"/>
          <w:b/>
          <w:color w:val="000000" w:themeColor="text1"/>
          <w:sz w:val="20"/>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${page540426799.ds197859873_REP_BGT_T_HC1100002019DXQ01DW_GNZJMX}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lang w:val="en-US" w:eastAsia="zh-CN"/>
        </w:rPr>
        <w:t>1091.05</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4696.21</w:t>
      </w:r>
      <w:r>
        <w:rPr>
          <w:rStyle w:val="11"/>
          <w:rFonts w:ascii="仿宋" w:hAnsi="仿宋" w:eastAsia="仿宋"/>
          <w:color w:val="000000" w:themeColor="text1"/>
          <w:sz w:val="32"/>
          <w:szCs w:val="32"/>
        </w:rPr>
        <w:t>万元;社会保障和就业支出</w:t>
      </w:r>
      <w:r>
        <w:rPr>
          <w:rStyle w:val="11"/>
          <w:rFonts w:hint="eastAsia" w:ascii="仿宋" w:hAnsi="仿宋" w:eastAsia="仿宋"/>
          <w:color w:val="000000" w:themeColor="text1"/>
          <w:sz w:val="32"/>
          <w:szCs w:val="32"/>
          <w:lang w:val="en-US" w:eastAsia="zh-CN"/>
        </w:rPr>
        <w:t>130.65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31.81</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lang w:val="en-US" w:eastAsia="zh-CN"/>
        </w:rPr>
        <w:t>53.31</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27.28</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lang w:val="en-US" w:eastAsia="zh-CN"/>
        </w:rPr>
        <w:t>70.45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4.99</w:t>
      </w:r>
      <w:r>
        <w:rPr>
          <w:rStyle w:val="11"/>
          <w:rFonts w:ascii="仿宋" w:hAnsi="仿宋" w:eastAsia="仿宋"/>
          <w:color w:val="000000" w:themeColor="text1"/>
          <w:sz w:val="32"/>
          <w:szCs w:val="32"/>
        </w:rPr>
        <w:t>万元。</w:t>
      </w:r>
      <w:r>
        <w:rPr>
          <w:color w:val="000000" w:themeColor="text1"/>
        </w:rPr>
        <w:fldChar w:fldCharType="end"/>
      </w:r>
    </w:p>
    <w:p w14:paraId="3F5D8DE7">
      <w:pPr>
        <w:ind w:firstLine="640" w:firstLineChars="200"/>
        <w:rPr>
          <w:color w:val="000000" w:themeColor="text1"/>
        </w:rPr>
      </w:pPr>
      <w:r>
        <w:rPr>
          <w:rStyle w:val="11"/>
          <w:rFonts w:hint="eastAsia" w:ascii="仿宋" w:hAnsi="仿宋" w:eastAsia="仿宋"/>
          <w:color w:val="000000" w:themeColor="text1"/>
          <w:sz w:val="32"/>
          <w:szCs w:val="32"/>
        </w:rPr>
        <w:t>按支出经济分类划分：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${page540426799.ds197859873_REP_BGT_T_HC1100002019DXQ01DW_JJMX}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工资福利支出</w:t>
      </w:r>
      <w:r>
        <w:rPr>
          <w:rStyle w:val="11"/>
          <w:rFonts w:hint="eastAsia" w:ascii="仿宋" w:hAnsi="仿宋" w:eastAsia="仿宋"/>
          <w:color w:val="000000" w:themeColor="text1"/>
          <w:sz w:val="32"/>
          <w:szCs w:val="32"/>
          <w:lang w:val="en-US" w:eastAsia="zh-CN"/>
        </w:rPr>
        <w:t>986.57</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51.12</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lang w:val="en-US" w:eastAsia="zh-CN"/>
        </w:rPr>
        <w:t>270</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65</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lang w:val="en-US" w:eastAsia="zh-CN"/>
        </w:rPr>
        <w:t>0.48</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0.48</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4600</w:t>
      </w:r>
      <w:r>
        <w:rPr>
          <w:rStyle w:val="11"/>
          <w:rFonts w:ascii="仿宋" w:hAnsi="仿宋" w:eastAsia="仿宋"/>
          <w:color w:val="000000" w:themeColor="text1"/>
          <w:sz w:val="32"/>
          <w:szCs w:val="32"/>
        </w:rPr>
        <w:t>万元。</w:t>
      </w:r>
      <w:r>
        <w:rPr>
          <w:color w:val="000000" w:themeColor="text1"/>
        </w:rPr>
        <w:fldChar w:fldCharType="end"/>
      </w:r>
    </w:p>
    <w:p w14:paraId="6893DC8E">
      <w:pPr>
        <w:ind w:firstLine="321" w:firstLineChars="100"/>
        <w:rPr>
          <w:rStyle w:val="11"/>
          <w:rFonts w:hint="eastAsia" w:ascii="Adobe 仿宋 Std R" w:hAnsi="Adobe 仿宋 Std R" w:eastAsia="Adobe 仿宋 Std R"/>
          <w:b/>
          <w:color w:val="000000" w:themeColor="text1"/>
          <w:sz w:val="32"/>
          <w:szCs w:val="32"/>
          <w:lang w:eastAsia="zh-CN"/>
        </w:rPr>
      </w:pPr>
      <w:r>
        <w:rPr>
          <w:rStyle w:val="11"/>
          <w:rFonts w:hint="eastAsia" w:ascii="Adobe 仿宋 Std R" w:hAnsi="Adobe 仿宋 Std R" w:eastAsia="Adobe 仿宋 Std R"/>
          <w:b/>
          <w:color w:val="000000" w:themeColor="text1"/>
          <w:sz w:val="32"/>
          <w:szCs w:val="32"/>
        </w:rPr>
        <w:t xml:space="preserve"> (三)财政拨款支出情况</w:t>
      </w:r>
    </w:p>
    <w:p w14:paraId="01B9744F">
      <w:pPr>
        <w:widowControl/>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庐山市第二小学</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${page540426799.ds357974894_REP_BGT_T_HC1100002019_DXQ02DW_S_CBXJ}</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财政拨款支出预算总额</w:t>
      </w:r>
      <w:r>
        <w:rPr>
          <w:rStyle w:val="11"/>
          <w:rFonts w:hint="eastAsia" w:ascii="仿宋" w:hAnsi="仿宋" w:eastAsia="仿宋"/>
          <w:color w:val="000000" w:themeColor="text1"/>
          <w:sz w:val="32"/>
          <w:szCs w:val="32"/>
          <w:lang w:val="en-US" w:eastAsia="zh-CN"/>
        </w:rPr>
        <w:t>1075.4</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37.71</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增加变化原因为</w:t>
      </w:r>
      <w:r>
        <w:rPr>
          <w:rFonts w:hint="eastAsia" w:ascii="仿宋_GB2312" w:hAnsi="仿宋_GB2312" w:eastAsia="仿宋_GB2312" w:cs="仿宋_GB2312"/>
          <w:color w:val="000000" w:themeColor="text1"/>
          <w:sz w:val="32"/>
          <w:szCs w:val="32"/>
          <w:lang w:val="en-US" w:eastAsia="zh-CN"/>
        </w:rPr>
        <w:t>人员经费变化</w:t>
      </w:r>
      <w:r>
        <w:rPr>
          <w:rFonts w:hint="eastAsia" w:ascii="仿宋_GB2312" w:hAnsi="仿宋_GB2312" w:eastAsia="仿宋_GB2312" w:cs="仿宋_GB2312"/>
          <w:color w:val="000000" w:themeColor="text1"/>
          <w:sz w:val="32"/>
          <w:szCs w:val="32"/>
        </w:rPr>
        <w:t>。</w:t>
      </w:r>
    </w:p>
    <w:p w14:paraId="30A042F6">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${page400644146.ds247441498_REP_BGT_T_HC1100002019DXQ01_GNCBMX}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lang w:val="en-US" w:eastAsia="zh-CN"/>
        </w:rPr>
        <w:t>820.99</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26.37</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ascii="仿宋" w:hAnsi="仿宋" w:eastAsia="仿宋"/>
          <w:color w:val="000000" w:themeColor="text1"/>
          <w:sz w:val="32"/>
          <w:szCs w:val="32"/>
        </w:rPr>
        <w:t>社会保障和就业支出</w:t>
      </w:r>
      <w:r>
        <w:rPr>
          <w:rStyle w:val="11"/>
          <w:rFonts w:hint="eastAsia" w:ascii="仿宋" w:hAnsi="仿宋" w:eastAsia="仿宋"/>
          <w:color w:val="000000" w:themeColor="text1"/>
          <w:sz w:val="32"/>
          <w:szCs w:val="32"/>
          <w:lang w:val="en-US" w:eastAsia="zh-CN"/>
        </w:rPr>
        <w:t>130.65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31.81</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lang w:val="en-US" w:eastAsia="zh-CN"/>
        </w:rPr>
        <w:t>53.31</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27.28</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lang w:val="en-US" w:eastAsia="zh-CN"/>
        </w:rPr>
        <w:t>70.45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4.99</w:t>
      </w:r>
      <w:r>
        <w:rPr>
          <w:rStyle w:val="11"/>
          <w:rFonts w:ascii="仿宋" w:hAnsi="仿宋" w:eastAsia="仿宋"/>
          <w:color w:val="000000" w:themeColor="text1"/>
          <w:sz w:val="32"/>
          <w:szCs w:val="32"/>
        </w:rPr>
        <w:t>万元。</w:t>
      </w:r>
      <w:r>
        <w:rPr>
          <w:color w:val="000000" w:themeColor="text1"/>
        </w:rPr>
        <w:fldChar w:fldCharType="end"/>
      </w:r>
    </w:p>
    <w:p w14:paraId="5742799A">
      <w:pPr>
        <w:ind w:firstLine="640" w:firstLineChars="200"/>
        <w:rPr>
          <w:color w:val="000000" w:themeColor="text1"/>
        </w:rPr>
      </w:pPr>
      <w:r>
        <w:rPr>
          <w:rStyle w:val="11"/>
          <w:rFonts w:hint="eastAsia" w:ascii="仿宋" w:hAnsi="仿宋" w:eastAsia="仿宋"/>
          <w:color w:val="000000" w:themeColor="text1"/>
          <w:sz w:val="32"/>
          <w:szCs w:val="32"/>
        </w:rPr>
        <w:t>按支出项目类别划分：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${page540426799.ds357974894_REP_BGT_T_HC1100002019_DXQ02DW_JBZCQKCB}</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lang w:val="en-US" w:eastAsia="zh-CN"/>
        </w:rPr>
        <w:t>987.05</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50.64</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lang w:val="en-US" w:eastAsia="zh-CN"/>
        </w:rPr>
        <w:t>986.57</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lang w:val="en-US" w:eastAsia="zh-CN"/>
        </w:rPr>
        <w:t>0.48</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${page540426799.ds357974894_REP_BGT_T_HC1100002019_DXQ02DW_XMZCQKCB}</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lang w:val="en-US" w:eastAsia="zh-CN"/>
        </w:rPr>
        <w:t>88.34</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88.34</w:t>
      </w:r>
      <w:r>
        <w:rPr>
          <w:rStyle w:val="11"/>
          <w:rFonts w:ascii="仿宋" w:hAnsi="仿宋" w:eastAsia="仿宋"/>
          <w:color w:val="000000" w:themeColor="text1"/>
          <w:sz w:val="32"/>
          <w:szCs w:val="32"/>
        </w:rPr>
        <w:t>万元;其中：商品和服务支出</w:t>
      </w:r>
      <w:r>
        <w:rPr>
          <w:rStyle w:val="11"/>
          <w:rFonts w:hint="eastAsia" w:ascii="仿宋" w:hAnsi="仿宋" w:eastAsia="仿宋"/>
          <w:color w:val="000000" w:themeColor="text1"/>
          <w:sz w:val="32"/>
          <w:szCs w:val="32"/>
          <w:lang w:val="en-US" w:eastAsia="zh-CN"/>
        </w:rPr>
        <w:t>88.34</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w:t>
      </w:r>
      <w:r>
        <w:rPr>
          <w:color w:val="000000" w:themeColor="text1"/>
        </w:rPr>
        <w:fldChar w:fldCharType="end"/>
      </w:r>
    </w:p>
    <w:p w14:paraId="4E28BF66">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(四)政府性基金情况</w:t>
      </w:r>
    </w:p>
    <w:p w14:paraId="084AB13C">
      <w:pPr>
        <w:ind w:firstLine="640" w:firstLineChars="200"/>
        <w:rPr>
          <w:rFonts w:hint="eastAsia" w:ascii="Adobe 仿宋 Std R" w:hAnsi="Adobe 仿宋 Std R" w:eastAsia="Adobe 仿宋 Std R"/>
          <w:color w:val="000000" w:themeColor="text1"/>
          <w:sz w:val="32"/>
          <w:szCs w:val="32"/>
          <w:lang w:val="en-US" w:eastAsia="zh-CN"/>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Fonts w:ascii="Adobe 仿宋 Std R" w:hAnsi="Adobe 仿宋 Std R" w:eastAsia="Adobe 仿宋 Std R"/>
          <w:color w:val="000000" w:themeColor="text1"/>
          <w:sz w:val="32"/>
        </w:rPr>
        <w:fldChar w:fldCharType="begin"/>
      </w:r>
      <w:r>
        <w:rPr>
          <w:rFonts w:ascii="Adobe 仿宋 Std R" w:hAnsi="Adobe 仿宋 Std R" w:eastAsia="Adobe 仿宋 Std R"/>
          <w:color w:val="000000" w:themeColor="text1"/>
          <w:sz w:val="32"/>
        </w:rPr>
        <w:instrText xml:space="preserve">MERGEFIELD ${page540426799.ds254512694_REP_JXJC_AGENCY_WZR_NAME}</w:instrText>
      </w:r>
      <w:r>
        <w:rPr>
          <w:rFonts w:ascii="Adobe 仿宋 Std R" w:hAnsi="Adobe 仿宋 Std R" w:eastAsia="Adobe 仿宋 Std R"/>
          <w:color w:val="000000" w:themeColor="text1"/>
          <w:sz w:val="32"/>
        </w:rPr>
        <w:fldChar w:fldCharType="separate"/>
      </w:r>
      <w:r>
        <w:rPr>
          <w:rFonts w:hint="eastAsia" w:ascii="Adobe 仿宋 Std R" w:hAnsi="Adobe 仿宋 Std R" w:eastAsia="Adobe 仿宋 Std R"/>
          <w:color w:val="000000" w:themeColor="text1"/>
          <w:sz w:val="32"/>
          <w:lang w:eastAsia="zh-CN"/>
        </w:rPr>
        <w:t>庐山市第二小学</w:t>
      </w:r>
      <w:r>
        <w:rPr>
          <w:color w:val="000000" w:themeColor="text1"/>
        </w:rPr>
        <w:fldChar w:fldCharType="end"/>
      </w:r>
      <w:r>
        <w:rPr>
          <w:rFonts w:ascii="Adobe 仿宋 Std R" w:hAnsi="Adobe 仿宋 Std R" w:eastAsia="Adobe 仿宋 Std R"/>
          <w:color w:val="000000" w:themeColor="text1"/>
          <w:sz w:val="32"/>
          <w:szCs w:val="32"/>
        </w:rPr>
        <w:t>政府性基金支出预算</w:t>
      </w:r>
      <w:r>
        <w:rPr>
          <w:rFonts w:hint="eastAsia" w:ascii="Adobe 仿宋 Std R" w:hAnsi="Adobe 仿宋 Std R" w:eastAsia="Adobe 仿宋 Std R"/>
          <w:color w:val="000000" w:themeColor="text1"/>
          <w:sz w:val="32"/>
          <w:szCs w:val="32"/>
        </w:rPr>
        <w:t>为</w:t>
      </w:r>
      <w:r>
        <w:rPr>
          <w:rFonts w:hint="eastAsia" w:ascii="Adobe 仿宋 Std R" w:hAnsi="Adobe 仿宋 Std R" w:eastAsia="Adobe 仿宋 Std R"/>
          <w:color w:val="000000" w:themeColor="text1"/>
          <w:sz w:val="32"/>
          <w:szCs w:val="32"/>
          <w:lang w:val="en-US" w:eastAsia="zh-CN"/>
        </w:rPr>
        <w:t>0</w:t>
      </w:r>
    </w:p>
    <w:p w14:paraId="10B5A58D">
      <w:pPr>
        <w:ind w:firstLine="640" w:firstLineChars="200"/>
        <w:rPr>
          <w:rFonts w:ascii="Adobe 仿宋 Std R" w:hAnsi="Adobe 仿宋 Std R" w:eastAsia="Adobe 仿宋 Std R"/>
          <w:color w:val="000000" w:themeColor="text1"/>
        </w:rPr>
      </w:pPr>
      <w:r>
        <w:rPr>
          <w:rStyle w:val="11"/>
          <w:rFonts w:hint="eastAsia" w:ascii="仿宋" w:hAnsi="仿宋" w:eastAsia="仿宋" w:cs="Times New Roman"/>
          <w:color w:val="000000" w:themeColor="text1"/>
          <w:sz w:val="32"/>
          <w:szCs w:val="32"/>
        </w:rPr>
        <w:t>本单位没有使用政府性基金预算拨款安排的支出</w:t>
      </w:r>
      <w:r>
        <w:rPr>
          <w:rStyle w:val="11"/>
          <w:rFonts w:hint="eastAsia" w:ascii="仿宋" w:hAnsi="仿宋" w:eastAsia="仿宋" w:cs="Times New Roman"/>
          <w:color w:val="000000" w:themeColor="text1"/>
          <w:sz w:val="32"/>
          <w:szCs w:val="32"/>
          <w:lang w:eastAsia="zh-CN"/>
        </w:rPr>
        <w:t>。</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${page540426799.ds357974894_REP_BGT_T_HC1100002019_DXQ02DW_S_ZFXJJ}</w:instrText>
      </w:r>
      <w:r>
        <w:rPr>
          <w:rFonts w:ascii="Adobe 仿宋 Std R" w:hAnsi="Adobe 仿宋 Std R" w:eastAsia="Adobe 仿宋 Std R"/>
          <w:color w:val="000000" w:themeColor="text1"/>
          <w:sz w:val="32"/>
          <w:szCs w:val="32"/>
        </w:rPr>
        <w:fldChar w:fldCharType="end"/>
      </w:r>
      <w:r>
        <w:rPr>
          <w:rFonts w:ascii="Adobe 仿宋 Std R" w:hAnsi="Adobe 仿宋 Std R" w:eastAsia="Adobe 仿宋 Std R"/>
          <w:color w:val="000000" w:themeColor="text1"/>
        </w:rPr>
        <w:fldChar w:fldCharType="begin"/>
      </w:r>
      <w:r>
        <w:rPr>
          <w:rFonts w:ascii="Adobe 仿宋 Std R" w:hAnsi="Adobe 仿宋 Std R" w:eastAsia="Adobe 仿宋 Std R"/>
          <w:color w:val="000000" w:themeColor="text1"/>
        </w:rPr>
        <w:instrText xml:space="preserve">MERGEFIELD ${page400644146.ds215660413_REP_BGT_T_HC1100002019_DXQ02_S_ZFXJJ}</w:instrText>
      </w:r>
      <w:r>
        <w:rPr>
          <w:rFonts w:ascii="Adobe 仿宋 Std R" w:hAnsi="Adobe 仿宋 Std R" w:eastAsia="Adobe 仿宋 Std R"/>
          <w:color w:val="000000" w:themeColor="text1"/>
        </w:rPr>
        <w:fldChar w:fldCharType="end"/>
      </w:r>
    </w:p>
    <w:p w14:paraId="19AF044D">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（五）国有资本经营情况</w:t>
      </w:r>
    </w:p>
    <w:p w14:paraId="3577350E">
      <w:pPr>
        <w:widowControl/>
        <w:ind w:firstLine="640" w:firstLineChars="200"/>
        <w:rPr>
          <w:rStyle w:val="11"/>
          <w:rFonts w:hint="eastAsia" w:ascii="Adobe 仿宋 Std R" w:hAnsi="Adobe 仿宋 Std R" w:eastAsia="Adobe 仿宋 Std R"/>
          <w:color w:val="000000" w:themeColor="text1"/>
          <w:sz w:val="32"/>
          <w:szCs w:val="32"/>
          <w:lang w:val="en-US" w:eastAsia="zh-CN"/>
        </w:rPr>
      </w:pPr>
      <w:r>
        <w:rPr>
          <w:rStyle w:val="11"/>
          <w:rFonts w:hint="eastAsia" w:ascii="Adobe 仿宋 Std R" w:hAnsi="Adobe 仿宋 Std R" w:eastAsia="Adobe 仿宋 Std R"/>
          <w:color w:val="000000" w:themeColor="text1"/>
          <w:sz w:val="32"/>
          <w:szCs w:val="32"/>
        </w:rPr>
        <w:t>本单位没有使用国有资本经营预算拨款安排的支出</w:t>
      </w:r>
      <w:r>
        <w:rPr>
          <w:rStyle w:val="11"/>
          <w:rFonts w:hint="eastAsia" w:ascii="Adobe 仿宋 Std R" w:hAnsi="Adobe 仿宋 Std R" w:eastAsia="Adobe 仿宋 Std R"/>
          <w:color w:val="000000" w:themeColor="text1"/>
          <w:sz w:val="32"/>
          <w:szCs w:val="32"/>
          <w:lang w:eastAsia="zh-CN"/>
        </w:rPr>
        <w:t>。</w:t>
      </w:r>
    </w:p>
    <w:p w14:paraId="6F988A20">
      <w:pPr>
        <w:ind w:firstLine="321" w:firstLineChars="100"/>
        <w:rPr>
          <w:rStyle w:val="11"/>
          <w:rFonts w:ascii="Adobe 仿宋 Std R" w:hAnsi="Adobe 仿宋 Std R" w:eastAsia="Adobe 仿宋 Std R"/>
          <w:b/>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Style w:val="11"/>
          <w:rFonts w:hint="eastAsia" w:ascii="Adobe 仿宋 Std R" w:hAnsi="Adobe 仿宋 Std R" w:eastAsia="Adobe 仿宋 Std R"/>
          <w:b/>
          <w:color w:val="000000" w:themeColor="text1"/>
          <w:sz w:val="32"/>
          <w:szCs w:val="32"/>
        </w:rPr>
        <w:t>(六)机关运行经费等重要事项的说明</w:t>
      </w:r>
    </w:p>
    <w:p w14:paraId="7D7F1F96">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本单位非行政参公单位，无机关运行经费</w:t>
      </w:r>
      <w:r>
        <w:rPr>
          <w:rFonts w:hint="eastAsia" w:ascii="Adobe 仿宋 Std R" w:hAnsi="Adobe 仿宋 Std R" w:eastAsia="Adobe 仿宋 Std R"/>
          <w:color w:val="000000" w:themeColor="text1"/>
          <w:sz w:val="32"/>
          <w:szCs w:val="32"/>
          <w:lang w:eastAsia="zh-CN"/>
        </w:rPr>
        <w:t>。</w:t>
      </w:r>
    </w:p>
    <w:p w14:paraId="59FAB199">
      <w:pPr>
        <w:widowControl/>
        <w:spacing w:line="580" w:lineRule="exact"/>
        <w:ind w:firstLine="636"/>
        <w:jc w:val="left"/>
        <w:rPr>
          <w:rFonts w:hint="eastAsia" w:ascii="Adobe 仿宋 Std R" w:hAnsi="Adobe 仿宋 Std R" w:eastAsia="Adobe 仿宋 Std R"/>
          <w:color w:val="000000" w:themeColor="text1"/>
          <w:sz w:val="32"/>
          <w:szCs w:val="32"/>
          <w:lang w:eastAsia="zh-CN"/>
        </w:rPr>
      </w:pPr>
    </w:p>
    <w:p w14:paraId="19964DB6">
      <w:pPr>
        <w:widowControl/>
        <w:spacing w:line="580" w:lineRule="exact"/>
        <w:ind w:firstLine="636"/>
        <w:jc w:val="left"/>
        <w:rPr>
          <w:rFonts w:ascii="Adobe 仿宋 Std R" w:hAnsi="Adobe 仿宋 Std R" w:eastAsia="Adobe 仿宋 Std R"/>
          <w:color w:val="000000" w:themeColor="text1"/>
          <w:sz w:val="32"/>
          <w:szCs w:val="32"/>
        </w:rPr>
      </w:pPr>
    </w:p>
    <w:p w14:paraId="14A83F20">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(七)政府采购情况</w:t>
      </w:r>
    </w:p>
    <w:p w14:paraId="181B2091">
      <w:pPr>
        <w:rPr>
          <w:rFonts w:ascii="Adobe 仿宋 Std R" w:hAnsi="Adobe 仿宋 Std R" w:eastAsia="Adobe 仿宋 Std R"/>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年政府采购总额</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p>
    <w:p w14:paraId="747FAD28">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(八)国有资产占有使用情况</w:t>
      </w:r>
    </w:p>
    <w:p w14:paraId="6BF02C1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截至</w:t>
      </w:r>
      <w:r>
        <w:rPr>
          <w:rFonts w:hint="eastAsia" w:ascii="Adobe 仿宋 Std R" w:hAnsi="Adobe 仿宋 Std R" w:eastAsia="Adobe 仿宋 Std R"/>
          <w:color w:val="000000" w:themeColor="text1"/>
          <w:sz w:val="32"/>
          <w:szCs w:val="32"/>
          <w:lang w:val="en-US" w:eastAsia="zh-CN"/>
        </w:rPr>
        <w:t>2023</w:t>
      </w:r>
      <w:r>
        <w:rPr>
          <w:rFonts w:hint="eastAsia" w:ascii="Adobe 仿宋 Std R" w:hAnsi="Adobe 仿宋 Std R" w:eastAsia="Adobe 仿宋 Std R"/>
          <w:color w:val="000000" w:themeColor="text1"/>
          <w:sz w:val="32"/>
          <w:szCs w:val="32"/>
        </w:rPr>
        <w:t>年</w:t>
      </w:r>
      <w:r>
        <w:rPr>
          <w:rFonts w:hint="eastAsia" w:ascii="Adobe 仿宋 Std R" w:hAnsi="Adobe 仿宋 Std R" w:eastAsia="Adobe 仿宋 Std R"/>
          <w:color w:val="000000" w:themeColor="text1"/>
          <w:sz w:val="32"/>
          <w:szCs w:val="32"/>
          <w:lang w:val="en-US" w:eastAsia="zh-CN"/>
        </w:rPr>
        <w:t>12</w:t>
      </w:r>
      <w:r>
        <w:rPr>
          <w:rFonts w:hint="eastAsia" w:ascii="Adobe 仿宋 Std R" w:hAnsi="Adobe 仿宋 Std R" w:eastAsia="Adobe 仿宋 Std R"/>
          <w:color w:val="000000" w:themeColor="text1"/>
          <w:sz w:val="32"/>
          <w:szCs w:val="32"/>
        </w:rPr>
        <w:t>月</w:t>
      </w:r>
      <w:r>
        <w:rPr>
          <w:rFonts w:hint="eastAsia" w:ascii="Adobe 仿宋 Std R" w:hAnsi="Adobe 仿宋 Std R" w:eastAsia="Adobe 仿宋 Std R"/>
          <w:color w:val="000000" w:themeColor="text1"/>
          <w:sz w:val="32"/>
          <w:szCs w:val="32"/>
          <w:lang w:val="en-US" w:eastAsia="zh-CN"/>
        </w:rPr>
        <w:t>31</w:t>
      </w:r>
      <w:r>
        <w:rPr>
          <w:rFonts w:hint="eastAsia" w:ascii="Adobe 仿宋 Std R" w:hAnsi="Adobe 仿宋 Std R" w:eastAsia="Adobe 仿宋 Std R"/>
          <w:color w:val="000000" w:themeColor="text1"/>
          <w:sz w:val="32"/>
          <w:szCs w:val="32"/>
        </w:rPr>
        <w:t>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${page540426799.ds376136392_REP_JX_BAS_AGENCY_INFO_DXQRSDW_S_CLSYS}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单位共有车辆</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w:t>
      </w:r>
      <w:r>
        <w:rPr>
          <w:color w:val="000000" w:themeColor="text1"/>
        </w:rPr>
        <w:fldChar w:fldCharType="end"/>
      </w:r>
    </w:p>
    <w:p w14:paraId="40F8C1ED">
      <w:pPr>
        <w:ind w:firstLine="642"/>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年单位预算安排购置车辆</w:t>
      </w:r>
      <w:r>
        <w:rPr>
          <w:rFonts w:hint="eastAsia" w:ascii="仿宋_GB2312" w:eastAsia="仿宋_GB2312"/>
          <w:color w:val="000000" w:themeColor="text1"/>
          <w:sz w:val="32"/>
          <w:szCs w:val="30"/>
          <w:u w:val="single"/>
          <w:lang w:val="en-US" w:eastAsia="zh-CN"/>
        </w:rPr>
        <w:t>0</w:t>
      </w:r>
      <w:r>
        <w:rPr>
          <w:rFonts w:hint="eastAsia" w:ascii="Adobe 仿宋 Std R" w:hAnsi="Adobe 仿宋 Std R" w:eastAsia="Adobe 仿宋 Std R"/>
          <w:color w:val="000000" w:themeColor="text1"/>
          <w:sz w:val="32"/>
          <w:szCs w:val="32"/>
        </w:rPr>
        <w:t>辆，安排购置单位价值200万元以上大型设备具体为：</w:t>
      </w:r>
      <w:r>
        <w:rPr>
          <w:rFonts w:hint="eastAsia" w:ascii="仿宋_GB2312" w:eastAsia="仿宋_GB2312"/>
          <w:color w:val="000000" w:themeColor="text1"/>
          <w:sz w:val="32"/>
          <w:szCs w:val="30"/>
          <w:u w:val="single"/>
        </w:rPr>
        <w:t xml:space="preserve">  </w:t>
      </w:r>
      <w:r>
        <w:rPr>
          <w:rFonts w:hint="eastAsia" w:ascii="仿宋_GB2312" w:eastAsia="仿宋_GB2312"/>
          <w:color w:val="000000" w:themeColor="text1"/>
          <w:sz w:val="32"/>
          <w:szCs w:val="30"/>
          <w:u w:val="single"/>
          <w:lang w:val="en-US" w:eastAsia="zh-CN"/>
        </w:rPr>
        <w:t>无</w:t>
      </w:r>
      <w:r>
        <w:rPr>
          <w:rFonts w:hint="eastAsia" w:ascii="仿宋_GB2312" w:eastAsia="仿宋_GB2312"/>
          <w:color w:val="000000" w:themeColor="text1"/>
          <w:sz w:val="32"/>
          <w:szCs w:val="30"/>
          <w:u w:val="single"/>
        </w:rPr>
        <w:t xml:space="preserve">           </w:t>
      </w:r>
      <w:r>
        <w:rPr>
          <w:rFonts w:hint="eastAsia" w:ascii="仿宋_GB2312" w:eastAsia="仿宋_GB2312"/>
          <w:color w:val="000000" w:themeColor="text1"/>
          <w:sz w:val="32"/>
          <w:szCs w:val="30"/>
        </w:rPr>
        <w:t>。</w:t>
      </w:r>
    </w:p>
    <w:p w14:paraId="14D89F13">
      <w:pPr>
        <w:ind w:firstLine="321" w:firstLineChars="100"/>
        <w:rPr>
          <w:rStyle w:val="11"/>
          <w:rFonts w:ascii="Adobe 仿宋 Std R" w:hAnsi="Adobe 仿宋 Std R" w:eastAsia="Adobe 仿宋 Std R"/>
          <w:b/>
          <w:color w:val="000000" w:themeColor="text1"/>
          <w:sz w:val="32"/>
          <w:szCs w:val="32"/>
        </w:rPr>
      </w:pPr>
    </w:p>
    <w:p w14:paraId="13C46009">
      <w:pPr>
        <w:ind w:firstLine="321" w:firstLineChars="100"/>
        <w:rPr>
          <w:rStyle w:val="11"/>
          <w:rFonts w:ascii="Adobe 仿宋 Std R" w:hAnsi="Adobe 仿宋 Std R" w:eastAsia="Adobe 仿宋 Std R"/>
          <w:b/>
          <w:color w:val="000000" w:themeColor="text1"/>
          <w:sz w:val="32"/>
          <w:szCs w:val="32"/>
        </w:rPr>
      </w:pPr>
    </w:p>
    <w:p w14:paraId="2BA4E580">
      <w:pPr>
        <w:ind w:firstLine="321" w:firstLineChars="100"/>
        <w:rPr>
          <w:rStyle w:val="11"/>
          <w:rFonts w:ascii="Adobe 仿宋 Std R" w:hAnsi="Adobe 仿宋 Std R" w:eastAsia="Adobe 仿宋 Std R"/>
          <w:b/>
          <w:color w:val="000000" w:themeColor="text1"/>
          <w:sz w:val="32"/>
          <w:szCs w:val="32"/>
        </w:rPr>
      </w:pPr>
    </w:p>
    <w:p w14:paraId="7B9CA00B">
      <w:pPr>
        <w:ind w:firstLine="321" w:firstLineChars="100"/>
        <w:rPr>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（九）项目情况说明</w:t>
      </w:r>
    </w:p>
    <w:p w14:paraId="59263433">
      <w:pPr>
        <w:widowControl/>
        <w:spacing w:line="580" w:lineRule="exact"/>
        <w:ind w:firstLine="636"/>
        <w:jc w:val="left"/>
        <w:rPr>
          <w:rStyle w:val="11"/>
          <w:rFonts w:hint="default" w:ascii="仿宋" w:hAnsi="仿宋" w:eastAsia="Adobe 仿宋 Std R"/>
          <w:color w:val="000000" w:themeColor="text1"/>
          <w:sz w:val="32"/>
          <w:szCs w:val="32"/>
          <w:lang w:val="en-US" w:eastAsia="zh-CN"/>
        </w:rPr>
      </w:pPr>
      <w:r>
        <w:rPr>
          <w:rFonts w:hint="eastAsia" w:ascii="Adobe 仿宋 Std R" w:hAnsi="Adobe 仿宋 Std R" w:eastAsia="Adobe 仿宋 Std R"/>
          <w:color w:val="000000" w:themeColor="text1"/>
          <w:sz w:val="32"/>
          <w:szCs w:val="32"/>
        </w:rPr>
        <w:t xml:space="preserve">   </w:t>
      </w:r>
      <w:r>
        <w:rPr>
          <w:rFonts w:hint="eastAsia" w:ascii="Adobe 仿宋 Std R" w:hAnsi="Adobe 仿宋 Std R" w:eastAsia="Adobe 仿宋 Std R"/>
          <w:color w:val="000000" w:themeColor="text1"/>
          <w:sz w:val="32"/>
          <w:szCs w:val="32"/>
          <w:lang w:val="en-US" w:eastAsia="zh-CN"/>
        </w:rPr>
        <w:t>本年度未安排项目</w:t>
      </w:r>
    </w:p>
    <w:p w14:paraId="733D6B46">
      <w:pPr>
        <w:widowControl/>
        <w:spacing w:line="580" w:lineRule="exact"/>
        <w:ind w:firstLine="636"/>
        <w:jc w:val="left"/>
        <w:rPr>
          <w:rStyle w:val="11"/>
          <w:rFonts w:hint="eastAsia" w:ascii="仿宋" w:hAnsi="仿宋" w:eastAsia="仿宋"/>
          <w:color w:val="000000" w:themeColor="text1"/>
          <w:sz w:val="32"/>
          <w:szCs w:val="32"/>
        </w:rPr>
      </w:pPr>
    </w:p>
    <w:p w14:paraId="365E2AB2">
      <w:pPr>
        <w:widowControl/>
        <w:spacing w:line="580" w:lineRule="exact"/>
        <w:ind w:firstLine="636"/>
        <w:jc w:val="left"/>
        <w:rPr>
          <w:rFonts w:ascii="Adobe 仿宋 Std R" w:hAnsi="Adobe 仿宋 Std R" w:eastAsia="Adobe 仿宋 Std R"/>
          <w:color w:val="000000" w:themeColor="text1"/>
          <w:sz w:val="32"/>
          <w:szCs w:val="32"/>
        </w:rPr>
      </w:pPr>
    </w:p>
    <w:p w14:paraId="79F943F3">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p>
    <w:p w14:paraId="694071DA">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lang w:val="en-US" w:eastAsia="zh-CN"/>
        </w:rPr>
        <w:t>4</w:t>
      </w:r>
      <w:r>
        <w:rPr>
          <w:rFonts w:hint="eastAsia" w:ascii="仿宋" w:hAnsi="仿宋" w:eastAsia="仿宋"/>
          <w:bCs/>
          <w:color w:val="000000" w:themeColor="text1"/>
          <w:sz w:val="32"/>
          <w:szCs w:val="32"/>
        </w:rPr>
        <w:t>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${page540426799.ds254512694_REP_JXJC_AGENCY_WZR_NAME}</w:instrText>
      </w:r>
      <w:r>
        <w:rPr>
          <w:rFonts w:ascii="仿宋" w:hAnsi="仿宋" w:eastAsia="仿宋"/>
          <w:bCs/>
          <w:color w:val="000000" w:themeColor="text1"/>
          <w:sz w:val="32"/>
          <w:szCs w:val="32"/>
        </w:rPr>
        <w:fldChar w:fldCharType="separate"/>
      </w:r>
      <w:r>
        <w:rPr>
          <w:rFonts w:hint="eastAsia" w:ascii="仿宋" w:hAnsi="仿宋" w:eastAsia="仿宋"/>
          <w:bCs/>
          <w:color w:val="000000" w:themeColor="text1"/>
          <w:sz w:val="32"/>
          <w:szCs w:val="32"/>
          <w:lang w:eastAsia="zh-CN"/>
        </w:rPr>
        <w:t>庐山市第二小学</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w:t>
      </w:r>
      <w:r>
        <w:rPr>
          <w:rFonts w:hint="eastAsia" w:ascii="仿宋" w:hAnsi="仿宋" w:eastAsia="仿宋"/>
          <w:bCs/>
          <w:color w:val="000000" w:themeColor="text1"/>
          <w:sz w:val="32"/>
          <w:szCs w:val="32"/>
          <w:lang w:val="en-US" w:eastAsia="zh-CN"/>
        </w:rPr>
        <w:t>0</w:t>
      </w:r>
      <w:r>
        <w:rPr>
          <w:rFonts w:hint="eastAsia" w:ascii="仿宋" w:hAnsi="仿宋" w:eastAsia="仿宋"/>
          <w:bCs/>
          <w:color w:val="000000" w:themeColor="text1"/>
          <w:sz w:val="32"/>
          <w:szCs w:val="32"/>
        </w:rPr>
        <w:t>万元，其中：</w:t>
      </w:r>
    </w:p>
    <w:p w14:paraId="1A3E3ADA">
      <w:pPr>
        <w:ind w:firstLine="640" w:firstLineChars="200"/>
        <w:jc w:val="left"/>
        <w:rPr>
          <w:rFonts w:hint="eastAsia" w:ascii="仿宋" w:hAnsi="仿宋" w:eastAsia="仿宋"/>
          <w:bCs/>
          <w:color w:val="000000" w:themeColor="text1"/>
          <w:sz w:val="32"/>
          <w:szCs w:val="32"/>
          <w:lang w:eastAsia="zh-CN"/>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w:t>
      </w:r>
      <w:r>
        <w:rPr>
          <w:rFonts w:hint="eastAsia" w:ascii="仿宋" w:hAnsi="仿宋" w:eastAsia="仿宋"/>
          <w:bCs/>
          <w:color w:val="000000" w:themeColor="text1"/>
          <w:sz w:val="32"/>
          <w:szCs w:val="32"/>
          <w:lang w:eastAsia="zh-CN"/>
        </w:rPr>
        <w:t>。</w:t>
      </w:r>
      <w:r>
        <w:rPr>
          <w:rFonts w:hint="eastAsia" w:ascii="仿宋" w:hAnsi="仿宋" w:eastAsia="仿宋"/>
          <w:bCs/>
          <w:color w:val="000000" w:themeColor="text1"/>
          <w:sz w:val="32"/>
          <w:szCs w:val="32"/>
        </w:rPr>
        <w:t>与上年安排保持一致</w:t>
      </w:r>
      <w:r>
        <w:rPr>
          <w:rFonts w:hint="eastAsia" w:ascii="仿宋" w:hAnsi="仿宋" w:eastAsia="仿宋"/>
          <w:bCs/>
          <w:color w:val="000000" w:themeColor="text1"/>
          <w:sz w:val="32"/>
          <w:szCs w:val="32"/>
          <w:lang w:eastAsia="zh-CN"/>
        </w:rPr>
        <w:t>。</w:t>
      </w:r>
    </w:p>
    <w:p w14:paraId="5CB1FB27">
      <w:pPr>
        <w:ind w:firstLine="640" w:firstLineChars="200"/>
        <w:jc w:val="left"/>
        <w:rPr>
          <w:rFonts w:hint="eastAsia" w:ascii="仿宋" w:hAnsi="仿宋" w:eastAsia="仿宋"/>
          <w:bCs/>
          <w:color w:val="000000" w:themeColor="text1"/>
          <w:sz w:val="32"/>
          <w:szCs w:val="32"/>
          <w:lang w:eastAsia="zh-CN"/>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w:t>
      </w:r>
      <w:r>
        <w:rPr>
          <w:rFonts w:hint="eastAsia" w:ascii="仿宋" w:hAnsi="仿宋" w:eastAsia="仿宋"/>
          <w:bCs/>
          <w:color w:val="000000" w:themeColor="text1"/>
          <w:sz w:val="32"/>
          <w:szCs w:val="32"/>
          <w:lang w:eastAsia="zh-CN"/>
        </w:rPr>
        <w:t>。</w:t>
      </w:r>
      <w:r>
        <w:rPr>
          <w:rFonts w:hint="eastAsia" w:ascii="仿宋" w:hAnsi="仿宋" w:eastAsia="仿宋"/>
          <w:bCs/>
          <w:color w:val="000000" w:themeColor="text1"/>
          <w:sz w:val="32"/>
          <w:szCs w:val="32"/>
        </w:rPr>
        <w:t>无公务接待预算支出。</w:t>
      </w:r>
      <w:r>
        <w:rPr>
          <w:rFonts w:ascii="仿宋" w:hAnsi="仿宋" w:eastAsia="仿宋"/>
          <w:bCs/>
          <w:color w:val="000000" w:themeColor="text1"/>
          <w:sz w:val="32"/>
          <w:szCs w:val="32"/>
        </w:rPr>
        <w:t>主要原因是：</w:t>
      </w:r>
      <w:r>
        <w:rPr>
          <w:rFonts w:hint="eastAsia" w:ascii="仿宋" w:hAnsi="仿宋" w:eastAsia="仿宋"/>
          <w:bCs/>
          <w:color w:val="000000" w:themeColor="text1"/>
          <w:sz w:val="32"/>
          <w:szCs w:val="32"/>
        </w:rPr>
        <w:t>与上年安排保持一致</w:t>
      </w:r>
      <w:r>
        <w:rPr>
          <w:rFonts w:hint="eastAsia" w:ascii="仿宋" w:hAnsi="仿宋" w:eastAsia="仿宋"/>
          <w:bCs/>
          <w:color w:val="000000" w:themeColor="text1"/>
          <w:sz w:val="32"/>
          <w:szCs w:val="32"/>
          <w:lang w:eastAsia="zh-CN"/>
        </w:rPr>
        <w:t>。</w:t>
      </w:r>
    </w:p>
    <w:p w14:paraId="7DB46A00">
      <w:pPr>
        <w:ind w:firstLine="640" w:firstLineChars="200"/>
        <w:jc w:val="left"/>
        <w:rPr>
          <w:rFonts w:hint="eastAsia" w:ascii="仿宋" w:hAnsi="仿宋" w:eastAsia="仿宋"/>
          <w:bCs/>
          <w:color w:val="000000" w:themeColor="text1"/>
          <w:sz w:val="32"/>
          <w:szCs w:val="32"/>
          <w:lang w:eastAsia="zh-CN"/>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w:t>
      </w:r>
      <w:r>
        <w:rPr>
          <w:rFonts w:hint="eastAsia" w:ascii="仿宋" w:hAnsi="仿宋" w:eastAsia="仿宋"/>
          <w:bCs/>
          <w:color w:val="000000" w:themeColor="text1"/>
          <w:sz w:val="32"/>
          <w:szCs w:val="32"/>
        </w:rPr>
        <w:t>与上年安排保持一致</w:t>
      </w:r>
      <w:r>
        <w:rPr>
          <w:rFonts w:hint="eastAsia" w:ascii="仿宋" w:hAnsi="仿宋" w:eastAsia="仿宋"/>
          <w:bCs/>
          <w:color w:val="000000" w:themeColor="text1"/>
          <w:sz w:val="32"/>
          <w:szCs w:val="32"/>
          <w:lang w:eastAsia="zh-CN"/>
        </w:rPr>
        <w:t>。</w:t>
      </w:r>
    </w:p>
    <w:p w14:paraId="099CB97B">
      <w:pPr>
        <w:ind w:firstLine="640" w:firstLineChars="200"/>
        <w:jc w:val="left"/>
        <w:rPr>
          <w:rFonts w:hint="eastAsia" w:ascii="仿宋" w:hAnsi="仿宋" w:eastAsia="仿宋"/>
          <w:bCs/>
          <w:color w:val="000000" w:themeColor="text1"/>
          <w:sz w:val="32"/>
          <w:szCs w:val="32"/>
          <w:lang w:eastAsia="zh-CN"/>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w:t>
      </w:r>
      <w:r>
        <w:rPr>
          <w:rFonts w:hint="eastAsia" w:ascii="仿宋" w:hAnsi="仿宋" w:eastAsia="仿宋"/>
          <w:bCs/>
          <w:color w:val="000000" w:themeColor="text1"/>
          <w:sz w:val="32"/>
          <w:szCs w:val="32"/>
        </w:rPr>
        <w:t>与上年安排保持一致</w:t>
      </w:r>
      <w:r>
        <w:rPr>
          <w:rFonts w:hint="eastAsia" w:ascii="仿宋" w:hAnsi="仿宋" w:eastAsia="仿宋"/>
          <w:bCs/>
          <w:color w:val="000000" w:themeColor="text1"/>
          <w:sz w:val="32"/>
          <w:szCs w:val="32"/>
          <w:lang w:eastAsia="zh-CN"/>
        </w:rPr>
        <w:t>。</w:t>
      </w:r>
    </w:p>
    <w:p w14:paraId="67E19975">
      <w:pPr>
        <w:ind w:firstLine="640" w:firstLineChars="200"/>
        <w:jc w:val="left"/>
        <w:rPr>
          <w:rFonts w:hint="eastAsia" w:ascii="仿宋" w:hAnsi="仿宋" w:eastAsia="仿宋"/>
          <w:bCs/>
          <w:color w:val="000000" w:themeColor="text1"/>
          <w:sz w:val="32"/>
          <w:szCs w:val="32"/>
        </w:rPr>
      </w:pPr>
    </w:p>
    <w:p w14:paraId="22981F69">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14:paraId="67D4304F">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一、收入科目</w:t>
      </w:r>
    </w:p>
    <w:p w14:paraId="7FE546A7">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财政拨款：指</w:t>
      </w:r>
      <w:r>
        <w:rPr>
          <w:rFonts w:hint="eastAsia" w:ascii="仿宋_GB2312" w:hAnsi="Times New Roman" w:eastAsia="仿宋_GB2312" w:cs="Times New Roman"/>
          <w:color w:val="000000" w:themeColor="text1"/>
          <w:sz w:val="32"/>
          <w:szCs w:val="30"/>
          <w:lang w:val="en-US" w:eastAsia="zh-CN"/>
        </w:rPr>
        <w:t>市</w:t>
      </w:r>
      <w:r>
        <w:rPr>
          <w:rFonts w:hint="eastAsia" w:ascii="仿宋_GB2312" w:hAnsi="Times New Roman" w:eastAsia="仿宋_GB2312" w:cs="Times New Roman"/>
          <w:color w:val="000000" w:themeColor="text1"/>
          <w:sz w:val="32"/>
          <w:szCs w:val="30"/>
        </w:rPr>
        <w:t>级财政当年拨付的资金。</w:t>
      </w:r>
    </w:p>
    <w:p w14:paraId="2A26AB77">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教育收费资金收入：反映实行专项管理的高中以上学费、住宿费，高校委托培养费，函大、电大、夜大及短训班培训费等教育收费取得的收入。</w:t>
      </w:r>
    </w:p>
    <w:p w14:paraId="4182555B">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（三）</w:t>
      </w:r>
      <w:r>
        <w:rPr>
          <w:rFonts w:hint="eastAsia" w:ascii="仿宋_GB2312" w:eastAsia="仿宋_GB2312"/>
          <w:color w:val="000000" w:themeColor="text1"/>
          <w:sz w:val="32"/>
          <w:szCs w:val="30"/>
        </w:rPr>
        <w:t>事业收入：指事业单位开展专业业务活动及辅助活动取得的收入。</w:t>
      </w:r>
    </w:p>
    <w:p w14:paraId="6C5DEE00">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（四）</w:t>
      </w:r>
      <w:r>
        <w:rPr>
          <w:rFonts w:hint="eastAsia" w:ascii="仿宋_GB2312" w:eastAsia="仿宋_GB2312"/>
          <w:color w:val="000000" w:themeColor="text1"/>
          <w:sz w:val="32"/>
          <w:szCs w:val="30"/>
        </w:rPr>
        <w:t>事业单位经营收入：指事业单位在专业业务活动及辅助活动之外开展非独立核算经营活动取得的收入。</w:t>
      </w:r>
    </w:p>
    <w:p w14:paraId="22F66A9D">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仿宋_GB2312" w:eastAsia="仿宋_GB2312"/>
          <w:color w:val="000000" w:themeColor="text1"/>
          <w:sz w:val="32"/>
          <w:szCs w:val="30"/>
        </w:rPr>
        <w:t>（</w:t>
      </w:r>
      <w:r>
        <w:rPr>
          <w:rFonts w:hint="eastAsia" w:ascii="Adobe 仿宋 Std R" w:hAnsi="Adobe 仿宋 Std R" w:eastAsia="Adobe 仿宋 Std R"/>
          <w:color w:val="000000" w:themeColor="text1"/>
          <w:sz w:val="32"/>
          <w:szCs w:val="32"/>
        </w:rPr>
        <w:t>五）</w:t>
      </w:r>
      <w:r>
        <w:rPr>
          <w:rFonts w:hint="eastAsia" w:ascii="仿宋_GB2312" w:eastAsia="仿宋_GB2312"/>
          <w:color w:val="000000" w:themeColor="text1"/>
          <w:sz w:val="32"/>
          <w:szCs w:val="30"/>
        </w:rPr>
        <w:t>附属单位上缴收入：反映事业单位附属的独立核算单位按规定标准或比例缴纳的各项收入。包括附属的事业单位上缴的收入和附属的企业上缴的利润等。</w:t>
      </w:r>
    </w:p>
    <w:p w14:paraId="78A9B377">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（六）</w:t>
      </w:r>
      <w:r>
        <w:rPr>
          <w:rFonts w:hint="eastAsia" w:ascii="仿宋_GB2312" w:eastAsia="仿宋_GB2312"/>
          <w:color w:val="000000" w:themeColor="text1"/>
          <w:sz w:val="32"/>
          <w:szCs w:val="30"/>
        </w:rPr>
        <w:t>上级补助收入：反映事业单位从主管部门和上级单位取得的非财政补助收入。</w:t>
      </w:r>
    </w:p>
    <w:p w14:paraId="17504645">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（七）</w:t>
      </w:r>
      <w:r>
        <w:rPr>
          <w:rFonts w:hint="eastAsia" w:ascii="仿宋_GB2312" w:eastAsia="仿宋_GB2312"/>
          <w:color w:val="000000" w:themeColor="text1"/>
          <w:sz w:val="32"/>
          <w:szCs w:val="30"/>
        </w:rPr>
        <w:t>其他收入：指除财政拨款、事业收入、事业单位经营收入等以外的各项收入。</w:t>
      </w:r>
    </w:p>
    <w:p w14:paraId="3200CE87">
      <w:pPr>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（八）</w:t>
      </w:r>
      <w:r>
        <w:rPr>
          <w:rFonts w:hint="eastAsia" w:ascii="仿宋_GB2312" w:eastAsia="仿宋_GB2312"/>
          <w:color w:val="000000" w:themeColor="text1"/>
          <w:sz w:val="32"/>
          <w:szCs w:val="30"/>
        </w:rPr>
        <w:t>使用非财政拨款结余：填列历年滚存的非限定用途的非统计财政拨款结余弥补202</w:t>
      </w:r>
      <w:r>
        <w:rPr>
          <w:rFonts w:hint="eastAsia" w:ascii="仿宋_GB2312" w:eastAsia="仿宋_GB2312"/>
          <w:color w:val="000000" w:themeColor="text1"/>
          <w:sz w:val="32"/>
          <w:szCs w:val="30"/>
          <w:lang w:val="en-US" w:eastAsia="zh-CN"/>
        </w:rPr>
        <w:t>4</w:t>
      </w:r>
      <w:r>
        <w:rPr>
          <w:rFonts w:hint="eastAsia" w:ascii="仿宋_GB2312" w:eastAsia="仿宋_GB2312"/>
          <w:color w:val="000000" w:themeColor="text1"/>
          <w:sz w:val="32"/>
          <w:szCs w:val="30"/>
        </w:rPr>
        <w:t>年收支差额的数额。</w:t>
      </w:r>
    </w:p>
    <w:p w14:paraId="4FD0294B">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（九）</w:t>
      </w:r>
      <w:r>
        <w:rPr>
          <w:rFonts w:hint="eastAsia" w:ascii="仿宋_GB2312" w:eastAsia="仿宋_GB2312"/>
          <w:color w:val="000000" w:themeColor="text1"/>
          <w:sz w:val="32"/>
          <w:szCs w:val="30"/>
        </w:rPr>
        <w:t>上年结转和结余：填列202</w:t>
      </w:r>
      <w:r>
        <w:rPr>
          <w:rFonts w:hint="eastAsia" w:ascii="仿宋_GB2312" w:eastAsia="仿宋_GB2312"/>
          <w:color w:val="000000" w:themeColor="text1"/>
          <w:sz w:val="32"/>
          <w:szCs w:val="30"/>
          <w:lang w:val="en-US" w:eastAsia="zh-CN"/>
        </w:rPr>
        <w:t>3</w:t>
      </w:r>
      <w:r>
        <w:rPr>
          <w:rFonts w:hint="eastAsia" w:ascii="仿宋_GB2312" w:eastAsia="仿宋_GB2312"/>
          <w:color w:val="000000" w:themeColor="text1"/>
          <w:sz w:val="32"/>
          <w:szCs w:val="30"/>
        </w:rPr>
        <w:t>年全部结转和结余的资金数，包括当年结转结余资金和历年滚存结转结余资金。</w:t>
      </w:r>
    </w:p>
    <w:p w14:paraId="1776FF82">
      <w:pPr>
        <w:ind w:firstLine="640" w:firstLineChars="200"/>
        <w:rPr>
          <w:rFonts w:ascii="Adobe 仿宋 Std R" w:hAnsi="Adobe 仿宋 Std R" w:eastAsia="Adobe 仿宋 Std R"/>
          <w:color w:val="000000" w:themeColor="text1"/>
          <w:sz w:val="32"/>
          <w:szCs w:val="32"/>
        </w:rPr>
      </w:pPr>
    </w:p>
    <w:p w14:paraId="641CDCA1">
      <w:pPr>
        <w:ind w:firstLine="640" w:firstLineChars="200"/>
        <w:rPr>
          <w:rFonts w:ascii="Adobe 仿宋 Std R" w:hAnsi="Adobe 仿宋 Std R" w:eastAsia="Adobe 仿宋 Std R"/>
          <w:color w:val="000000" w:themeColor="text1"/>
          <w:sz w:val="32"/>
          <w:szCs w:val="32"/>
        </w:rPr>
      </w:pPr>
    </w:p>
    <w:p w14:paraId="1DDE3BF6">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二、支出科目</w:t>
      </w:r>
    </w:p>
    <w:p w14:paraId="1200CC1C">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一</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6E38092">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二</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项目支出：指在基本支出之外为完成特定行政任务和事业发展目标所发生的支出。</w:t>
      </w:r>
    </w:p>
    <w:p w14:paraId="19429074">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三</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经营支出：指事业单位在专业业务活动及其辅助活动之外开展非独立核算经营活动发生的支出。</w:t>
      </w:r>
    </w:p>
    <w:p w14:paraId="54D25919">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四</w:t>
      </w:r>
      <w:r>
        <w:rPr>
          <w:rFonts w:hint="eastAsia" w:ascii="仿宋_GB2312" w:hAnsi="仿宋_GB2312" w:eastAsia="仿宋_GB2312" w:cs="仿宋_GB2312"/>
          <w:color w:val="000000" w:themeColor="text1"/>
          <w:sz w:val="32"/>
          <w:szCs w:val="32"/>
          <w:lang w:eastAsia="zh-CN"/>
        </w:rPr>
        <w:t>）工资福利支出（支出经济分类科目类级）：反映单位开支的在职职工和编制外长期聘用人员的各类劳动报酬，以及为上述人员缴纳的各项社会保险费等。</w:t>
      </w:r>
    </w:p>
    <w:p w14:paraId="2ADAA2FA">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五</w:t>
      </w:r>
      <w:r>
        <w:rPr>
          <w:rFonts w:hint="eastAsia" w:ascii="仿宋_GB2312" w:hAnsi="仿宋_GB2312" w:eastAsia="仿宋_GB2312" w:cs="仿宋_GB2312"/>
          <w:color w:val="000000" w:themeColor="text1"/>
          <w:sz w:val="32"/>
          <w:szCs w:val="32"/>
          <w:lang w:eastAsia="zh-CN"/>
        </w:rPr>
        <w:t>）商品和服务支出（支出经济分类科目类级）：反映单位购买商品和服务的支出（不包括用于购置固定资产的支出、战略性和应急储备支出）。</w:t>
      </w:r>
    </w:p>
    <w:p w14:paraId="7AECBB85">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六</w:t>
      </w:r>
      <w:r>
        <w:rPr>
          <w:rFonts w:hint="eastAsia" w:ascii="仿宋_GB2312" w:hAnsi="仿宋_GB2312" w:eastAsia="仿宋_GB2312" w:cs="仿宋_GB2312"/>
          <w:color w:val="000000" w:themeColor="text1"/>
          <w:sz w:val="32"/>
          <w:szCs w:val="32"/>
          <w:lang w:eastAsia="zh-CN"/>
        </w:rPr>
        <w:t>）对个人和家庭的补助（支出经济分类科目类级）：反映用于对个人和家庭的补助支出。</w:t>
      </w:r>
    </w:p>
    <w:p w14:paraId="6E258289">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七</w:t>
      </w:r>
      <w:r>
        <w:rPr>
          <w:rFonts w:hint="eastAsia" w:ascii="仿宋_GB2312" w:hAnsi="仿宋_GB2312" w:eastAsia="仿宋_GB2312" w:cs="仿宋_GB2312"/>
          <w:color w:val="000000" w:themeColor="text1"/>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CB38362">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三、相关专业名词</w:t>
      </w:r>
    </w:p>
    <w:p w14:paraId="70757F11">
      <w:pPr>
        <w:widowControl/>
        <w:spacing w:line="600" w:lineRule="exact"/>
        <w:ind w:firstLine="640" w:firstLineChars="200"/>
        <w:jc w:val="left"/>
        <w:rPr>
          <w:rFonts w:ascii="仿宋_GB2312" w:eastAsia="仿宋_GB2312"/>
          <w:color w:val="000000" w:themeColor="text1"/>
          <w:sz w:val="32"/>
          <w:szCs w:val="30"/>
        </w:rPr>
      </w:pPr>
      <w:r>
        <w:rPr>
          <w:rFonts w:hint="eastAsia" w:ascii="仿宋_GB2312" w:eastAsia="仿宋_GB2312"/>
          <w:color w:val="000000" w:themeColor="text1"/>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4439AC3">
      <w:pPr>
        <w:widowControl/>
        <w:spacing w:line="600" w:lineRule="exact"/>
        <w:ind w:firstLine="640" w:firstLineChars="200"/>
        <w:jc w:val="left"/>
        <w:rPr>
          <w:rFonts w:hint="eastAsia" w:ascii="仿宋_GB2312" w:eastAsia="仿宋_GB2312"/>
          <w:color w:val="000000" w:themeColor="text1"/>
          <w:sz w:val="32"/>
          <w:szCs w:val="30"/>
        </w:rPr>
      </w:pPr>
      <w:r>
        <w:rPr>
          <w:rFonts w:hint="eastAsia" w:ascii="仿宋_GB2312" w:eastAsia="仿宋_GB2312"/>
          <w:color w:val="000000" w:themeColor="text1"/>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5DD158B">
      <w:pPr>
        <w:widowControl/>
        <w:spacing w:line="600" w:lineRule="exact"/>
        <w:ind w:firstLine="640" w:firstLineChars="200"/>
        <w:jc w:val="left"/>
        <w:rPr>
          <w:rFonts w:hint="default" w:ascii="仿宋_GB2312" w:eastAsia="仿宋_GB2312"/>
          <w:color w:val="000000" w:themeColor="text1"/>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770C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ZmYzc4Zjg4OGZiNzc0ZjZiMzQzNWZjNTVlY2VmYzEifQ=="/>
    <w:docVar w:name="KSO_WPS_MARK_KEY" w:val="31823d80-66c0-400b-b284-ddbf5fcba3ab"/>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22C11BA"/>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2240C42"/>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1198</Words>
  <Characters>1229</Characters>
  <Lines>53</Lines>
  <Paragraphs>15</Paragraphs>
  <TotalTime>0</TotalTime>
  <ScaleCrop>false</ScaleCrop>
  <LinksUpToDate>false</LinksUpToDate>
  <CharactersWithSpaces>1250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qwes</cp:lastModifiedBy>
  <dcterms:modified xsi:type="dcterms:W3CDTF">2025-08-28T01:46:59Z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eyJoZGlkIjoiYzZmYzc4Zjg4OGZiNzc0ZjZiMzQzNWZjNTVlY2VmYzEifQ==</vt:lpwstr>
  </property>
</Properties>
</file>