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5EAB4">
      <w:pPr>
        <w:widowControl/>
        <w:spacing w:line="520" w:lineRule="atLeast"/>
        <w:ind w:firstLine="880"/>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庐山市东牯山林场</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7551DA4D">
      <w:pPr>
        <w:pStyle w:val="11"/>
        <w:spacing w:line="600" w:lineRule="atLeast"/>
        <w:jc w:val="center"/>
        <w:rPr>
          <w:rFonts w:ascii="黑体" w:hAnsi="黑体" w:eastAsia="黑体"/>
          <w:color w:val="auto"/>
          <w:sz w:val="32"/>
          <w:szCs w:val="32"/>
        </w:rPr>
      </w:pPr>
    </w:p>
    <w:p w14:paraId="34E0E5ED">
      <w:pPr>
        <w:pStyle w:val="11"/>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13E60CC5">
      <w:pPr>
        <w:pStyle w:val="11"/>
        <w:rPr>
          <w:rFonts w:ascii="宋体" w:hAnsi="宋体"/>
          <w:color w:val="auto"/>
        </w:rPr>
      </w:pPr>
    </w:p>
    <w:p w14:paraId="6E7D8DF6">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庐山市东牯山林场</w:t>
      </w:r>
      <w:r>
        <w:rPr>
          <w:color w:val="auto"/>
        </w:rPr>
        <w:fldChar w:fldCharType="end"/>
      </w:r>
      <w:r>
        <w:rPr>
          <w:rFonts w:hint="eastAsia" w:ascii="仿宋_GB2312" w:eastAsia="仿宋_GB2312"/>
          <w:b/>
          <w:bCs/>
          <w:color w:val="auto"/>
          <w:sz w:val="32"/>
          <w:szCs w:val="32"/>
        </w:rPr>
        <w:t>概</w:t>
      </w:r>
      <w:r>
        <w:rPr>
          <w:rFonts w:hint="eastAsia" w:ascii="仿宋_GB2312" w:eastAsia="仿宋_GB2312"/>
          <w:b/>
          <w:bCs/>
          <w:color w:val="000000"/>
          <w:sz w:val="32"/>
          <w:szCs w:val="32"/>
        </w:rPr>
        <w:t>况</w:t>
      </w:r>
      <w:r>
        <w:rPr>
          <w:rFonts w:ascii="仿宋_GB2312" w:eastAsia="仿宋_GB2312"/>
          <w:b/>
          <w:bCs/>
          <w:color w:val="000000"/>
          <w:sz w:val="32"/>
          <w:szCs w:val="32"/>
        </w:rPr>
        <w:tab/>
      </w:r>
    </w:p>
    <w:p w14:paraId="1027C2E5">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5E8C82F2">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29DE816">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auto"/>
          <w:sz w:val="32"/>
          <w:szCs w:val="32"/>
        </w:rPr>
        <w:t xml:space="preserve">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庐山市东牯山林场</w:t>
      </w:r>
      <w:r>
        <w:rPr>
          <w:color w:val="auto"/>
        </w:rPr>
        <w:fldChar w:fldCharType="end"/>
      </w:r>
      <w:r>
        <w:rPr>
          <w:rFonts w:hint="eastAsia" w:ascii="仿宋_GB2312" w:eastAsia="仿宋_GB2312"/>
          <w:b/>
          <w:bCs/>
          <w:color w:val="auto"/>
          <w:sz w:val="32"/>
          <w:szCs w:val="32"/>
        </w:rPr>
        <w:t>2</w:t>
      </w:r>
      <w:r>
        <w:rPr>
          <w:rFonts w:hint="eastAsia" w:ascii="仿宋_GB2312" w:eastAsia="仿宋_GB2312"/>
          <w:b/>
          <w:bCs/>
          <w:color w:val="000000"/>
          <w:sz w:val="32"/>
          <w:szCs w:val="32"/>
        </w:rPr>
        <w:t>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14:paraId="12C36D2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F9BF97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51A0529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7071CAB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EBA475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16EDD3D">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263699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8F44E58">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2EA0D04F">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C17F7FE">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51119FAE">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E8377E4">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庐山市东牯山林场</w:t>
      </w:r>
      <w:r>
        <w:rPr>
          <w:color w:val="auto"/>
        </w:rPr>
        <w:fldChar w:fldCharType="end"/>
      </w:r>
      <w:r>
        <w:rPr>
          <w:rFonts w:hint="eastAsia" w:ascii="仿宋_GB2312" w:eastAsia="仿宋_GB2312"/>
          <w:b/>
          <w:bCs/>
          <w:color w:val="auto"/>
          <w:sz w:val="32"/>
          <w:szCs w:val="32"/>
        </w:rPr>
        <w:t xml:space="preserve"> 20</w:t>
      </w:r>
      <w:r>
        <w:rPr>
          <w:rFonts w:hint="eastAsia" w:ascii="仿宋_GB2312" w:eastAsia="仿宋_GB2312"/>
          <w:b/>
          <w:bCs/>
          <w:color w:val="000000"/>
          <w:sz w:val="32"/>
          <w:szCs w:val="32"/>
        </w:rPr>
        <w:t>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14:paraId="5AF1859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14:paraId="5D9A79C4">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12286125">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12E8B4DA">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1933E416">
      <w:pPr>
        <w:widowControl/>
        <w:spacing w:line="580" w:lineRule="exact"/>
        <w:jc w:val="center"/>
        <w:rPr>
          <w:rFonts w:ascii="仿宋_GB2312" w:eastAsia="仿宋_GB2312"/>
          <w:b/>
          <w:sz w:val="32"/>
          <w:szCs w:val="30"/>
        </w:rPr>
      </w:pPr>
    </w:p>
    <w:p w14:paraId="74FC34CC">
      <w:pPr>
        <w:widowControl/>
        <w:spacing w:line="580" w:lineRule="exact"/>
        <w:jc w:val="center"/>
        <w:rPr>
          <w:rFonts w:ascii="仿宋_GB2312" w:eastAsia="仿宋_GB2312"/>
          <w:b/>
          <w:sz w:val="32"/>
          <w:szCs w:val="30"/>
        </w:rPr>
      </w:pPr>
    </w:p>
    <w:p w14:paraId="117866B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庐山市东牯山林场</w:t>
      </w:r>
      <w:r>
        <w:rPr>
          <w:color w:val="auto"/>
        </w:rPr>
        <w:fldChar w:fldCharType="end"/>
      </w:r>
      <w:r>
        <w:rPr>
          <w:rFonts w:hint="eastAsia" w:ascii="仿宋_GB2312" w:eastAsia="仿宋_GB2312"/>
          <w:b/>
          <w:color w:val="auto"/>
          <w:sz w:val="32"/>
          <w:szCs w:val="30"/>
        </w:rPr>
        <w:t>概况</w:t>
      </w:r>
    </w:p>
    <w:p w14:paraId="05DE2C96">
      <w:pPr>
        <w:widowControl/>
        <w:spacing w:line="580" w:lineRule="exact"/>
        <w:jc w:val="left"/>
        <w:rPr>
          <w:rFonts w:asciiTheme="minorEastAsia" w:hAnsiTheme="minorEastAsia"/>
          <w:b/>
          <w:sz w:val="36"/>
          <w:szCs w:val="36"/>
        </w:rPr>
      </w:pPr>
    </w:p>
    <w:p w14:paraId="236C5FD2">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530CF02E">
      <w:pPr>
        <w:keepNext w:val="0"/>
        <w:keepLines w:val="0"/>
        <w:pageBreakBefore w:val="0"/>
        <w:kinsoku/>
        <w:wordWrap/>
        <w:overflowPunct/>
        <w:topLinePunct w:val="0"/>
        <w:autoSpaceDE/>
        <w:autoSpaceDN/>
        <w:bidi w:val="0"/>
        <w:adjustRightInd/>
        <w:snapToGrid/>
        <w:spacing w:before="32" w:beforeLines="10" w:after="32" w:afterLines="1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东牯山林场</w:t>
      </w:r>
      <w:r>
        <w:rPr>
          <w:rFonts w:hint="eastAsia" w:ascii="仿宋" w:hAnsi="仿宋" w:eastAsia="仿宋" w:cs="仿宋"/>
          <w:sz w:val="32"/>
          <w:szCs w:val="32"/>
        </w:rPr>
        <w:t>是主管</w:t>
      </w:r>
      <w:r>
        <w:rPr>
          <w:rFonts w:hint="eastAsia" w:ascii="仿宋" w:hAnsi="仿宋" w:eastAsia="仿宋" w:cs="仿宋"/>
          <w:sz w:val="32"/>
          <w:szCs w:val="32"/>
          <w:lang w:eastAsia="zh-CN"/>
        </w:rPr>
        <w:t>东牯山林场</w:t>
      </w:r>
      <w:r>
        <w:rPr>
          <w:rFonts w:hint="eastAsia" w:ascii="仿宋" w:hAnsi="仿宋" w:eastAsia="仿宋" w:cs="仿宋"/>
          <w:sz w:val="32"/>
          <w:szCs w:val="32"/>
        </w:rPr>
        <w:t>工作的市政府组成部门，主要职责是：</w:t>
      </w:r>
    </w:p>
    <w:p w14:paraId="418B5B5B">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（一）贯彻执行国家林业方针、政策、法律、法规。研究全市森林生态环境建设、森林资源保护和国土绿化的规定、办法。</w:t>
      </w:r>
    </w:p>
    <w:p w14:paraId="1664F40D">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二）组织开展植树造林、封山育林工作，组织指导以植树种草等生物措施防治水土流失和防沙、治沙工作；组织管理实施国家、省林业重点生态工程的建设；指导各类森林（包括用材林、防护林、经济林、薪炭林、特别用途林、竹林）的培育和发展；指导、监督林木种苗和森林病虫害防治、检疫工作。</w:t>
      </w:r>
    </w:p>
    <w:p w14:paraId="59C244E1">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三）组织、指导森林资源的保护管理工作；组织全市森林资源调查、动态监测和统计；审核并监督森林资源的使用；管理森林资源的有偿流转，组织编制森林采伐限额，经市政府批准后监督执行；监督木材的凭证采伐和运输；组织、指导林地征用、占用的初审。负责办理调处山林权属争议的具体工作。</w:t>
      </w:r>
    </w:p>
    <w:p w14:paraId="2268148C">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（四）指导管理林业基本建设、多种经营和技术改造工作；组织申报重点林业建设项目；监督管理国有林业资产、负责市级林业资金的筹集和管理。</w:t>
      </w:r>
    </w:p>
    <w:p w14:paraId="6B3D144C">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（五）指导森林公安工作；组织、协调和督促重大森林案件的查处。</w:t>
      </w:r>
    </w:p>
    <w:p w14:paraId="26A7022E">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（六）承办市绿化委员会具体工作；指导、协调和督促公民义务植树和绿化工作。</w:t>
      </w:r>
    </w:p>
    <w:p w14:paraId="1B731EC4">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（七）承办市森林防火指挥部的具体工作，指导森林防火工作。</w:t>
      </w:r>
    </w:p>
    <w:p w14:paraId="432735BB">
      <w:pPr>
        <w:widowControl/>
        <w:spacing w:line="580" w:lineRule="exact"/>
        <w:ind w:firstLine="640"/>
        <w:jc w:val="left"/>
        <w:rPr>
          <w:rFonts w:hint="eastAsia" w:ascii="仿宋" w:hAnsi="仿宋" w:eastAsia="仿宋" w:cs="仿宋"/>
          <w:color w:val="FFFFFF" w:themeColor="background1"/>
          <w:sz w:val="32"/>
          <w:szCs w:val="32"/>
          <w14:textFill>
            <w14:solidFill>
              <w14:schemeClr w14:val="bg1"/>
            </w14:solidFill>
          </w14:textFill>
        </w:rPr>
      </w:pPr>
      <w:r>
        <w:rPr>
          <w:rFonts w:hint="eastAsia" w:ascii="仿宋" w:hAnsi="仿宋" w:eastAsia="仿宋" w:cs="仿宋"/>
          <w:sz w:val="32"/>
          <w:szCs w:val="32"/>
        </w:rPr>
        <w:t>（八）承办市政府交办的其他工作。</w:t>
      </w:r>
    </w:p>
    <w:p w14:paraId="06FFE03B">
      <w:pPr>
        <w:rPr>
          <w:b/>
          <w:sz w:val="36"/>
          <w:szCs w:val="36"/>
        </w:rPr>
      </w:pPr>
      <w:r>
        <w:rPr>
          <w:rFonts w:hint="eastAsia"/>
          <w:b/>
          <w:sz w:val="36"/>
          <w:szCs w:val="36"/>
        </w:rPr>
        <w:t>二、机构设置及人员情况</w:t>
      </w:r>
    </w:p>
    <w:p w14:paraId="5469967F">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庐山市东牯山林场</w:t>
      </w:r>
      <w:r>
        <w:rPr>
          <w:color w:val="auto"/>
        </w:rPr>
        <w:fldChar w:fldCharType="end"/>
      </w:r>
      <w:r>
        <w:rPr>
          <w:rFonts w:hint="eastAsia" w:ascii="仿宋" w:hAnsi="仿宋" w:eastAsia="仿宋"/>
          <w:color w:val="000000" w:themeColor="text1"/>
          <w:sz w:val="32"/>
          <w:szCs w:val="32"/>
          <w14:textFill>
            <w14:solidFill>
              <w14:schemeClr w14:val="tx1"/>
            </w14:solidFill>
          </w14:textFill>
        </w:rPr>
        <w:t>共有预算单位</w:t>
      </w:r>
      <w:r>
        <w:rPr>
          <w:rFonts w:hint="eastAsia" w:ascii="仿宋" w:hAnsi="仿宋" w:eastAsia="仿宋"/>
          <w:color w:val="000000" w:themeColor="text1"/>
          <w:sz w:val="32"/>
          <w:szCs w:val="32"/>
          <w:lang w:val="en-US" w:eastAsia="zh-CN"/>
          <w14:textFill>
            <w14:solidFill>
              <w14:schemeClr w14:val="tx1"/>
            </w14:solidFill>
          </w14:textFill>
        </w:rPr>
        <w:t>1</w:t>
      </w:r>
      <w:r>
        <w:rPr>
          <w:rFonts w:ascii="仿宋" w:hAnsi="仿宋" w:eastAsia="仿宋"/>
          <w:color w:val="000000" w:themeColor="text1"/>
          <w:sz w:val="32"/>
          <w:szCs w:val="32"/>
          <w14:textFill>
            <w14:solidFill>
              <w14:schemeClr w14:val="tx1"/>
            </w14:solidFill>
          </w14:textFill>
        </w:rPr>
        <w:t>个，</w:t>
      </w:r>
      <w:r>
        <w:rPr>
          <w:rFonts w:hint="eastAsia" w:ascii="仿宋" w:hAnsi="仿宋" w:eastAsia="仿宋"/>
          <w:color w:val="000000" w:themeColor="text1"/>
          <w:sz w:val="32"/>
          <w:szCs w:val="32"/>
          <w:lang w:eastAsia="zh-CN"/>
          <w14:textFill>
            <w14:solidFill>
              <w14:schemeClr w14:val="tx1"/>
            </w14:solidFill>
          </w14:textFill>
        </w:rPr>
        <w:t>无</w:t>
      </w:r>
      <w:r>
        <w:rPr>
          <w:rFonts w:hint="eastAsia" w:ascii="仿宋" w:hAnsi="仿宋" w:eastAsia="仿宋"/>
          <w:color w:val="000000" w:themeColor="text1"/>
          <w:sz w:val="32"/>
          <w:szCs w:val="32"/>
          <w14:textFill>
            <w14:solidFill>
              <w14:schemeClr w14:val="tx1"/>
            </w14:solidFill>
          </w14:textFill>
        </w:rPr>
        <w:t>二级预算单位具体</w:t>
      </w:r>
      <w:r>
        <w:rPr>
          <w:rFonts w:hint="eastAsia" w:ascii="仿宋" w:hAnsi="仿宋" w:eastAsia="仿宋"/>
          <w:color w:val="000000" w:themeColor="text1"/>
          <w:sz w:val="32"/>
          <w:szCs w:val="32"/>
          <w:lang w:eastAsia="zh-CN"/>
          <w14:textFill>
            <w14:solidFill>
              <w14:schemeClr w14:val="tx1"/>
            </w14:solidFill>
          </w14:textFill>
        </w:rPr>
        <w:t>。</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51</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人,全部补助事业编制人数</w:t>
      </w:r>
      <w:r>
        <w:rPr>
          <w:rFonts w:hint="eastAsia" w:ascii="仿宋" w:hAnsi="仿宋" w:eastAsia="仿宋"/>
          <w:sz w:val="32"/>
          <w:szCs w:val="32"/>
          <w:lang w:val="en-US" w:eastAsia="zh-CN"/>
        </w:rPr>
        <w:t>13</w:t>
      </w:r>
      <w:r>
        <w:rPr>
          <w:rFonts w:ascii="仿宋" w:hAnsi="仿宋" w:eastAsia="仿宋"/>
          <w:sz w:val="32"/>
          <w:szCs w:val="32"/>
        </w:rPr>
        <w:t>人,部分补助事业编制人数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人,全部补助事业在职人数</w:t>
      </w:r>
      <w:r>
        <w:rPr>
          <w:rFonts w:hint="eastAsia" w:ascii="仿宋" w:hAnsi="仿宋" w:eastAsia="仿宋"/>
          <w:sz w:val="32"/>
          <w:szCs w:val="32"/>
          <w:lang w:val="en-US" w:eastAsia="zh-CN"/>
        </w:rPr>
        <w:t>13</w:t>
      </w:r>
      <w:r>
        <w:rPr>
          <w:rFonts w:ascii="仿宋" w:hAnsi="仿宋" w:eastAsia="仿宋"/>
          <w:sz w:val="32"/>
          <w:szCs w:val="32"/>
        </w:rPr>
        <w:t>人,部分补助事业在职人数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4</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0659F15A">
      <w:pPr>
        <w:ind w:firstLine="640" w:firstLineChars="200"/>
        <w:rPr>
          <w:rFonts w:hint="eastAsia" w:ascii="仿宋" w:hAnsi="仿宋" w:eastAsia="仿宋"/>
          <w:sz w:val="32"/>
          <w:szCs w:val="32"/>
        </w:rPr>
      </w:pPr>
    </w:p>
    <w:p w14:paraId="60D87B7E">
      <w:pPr>
        <w:ind w:firstLine="640" w:firstLineChars="200"/>
        <w:rPr>
          <w:rFonts w:ascii="仿宋" w:hAnsi="仿宋" w:eastAsia="仿宋"/>
          <w:sz w:val="32"/>
          <w:szCs w:val="32"/>
        </w:rPr>
      </w:pPr>
    </w:p>
    <w:p w14:paraId="27F1D4B8">
      <w:pPr>
        <w:widowControl/>
        <w:spacing w:line="580" w:lineRule="exact"/>
        <w:jc w:val="center"/>
        <w:rPr>
          <w:rFonts w:ascii="仿宋_GB2312" w:eastAsia="仿宋_GB2312"/>
          <w:b/>
          <w:szCs w:val="30"/>
        </w:rPr>
      </w:pPr>
    </w:p>
    <w:p w14:paraId="28AB7B0A">
      <w:pPr>
        <w:widowControl/>
        <w:spacing w:line="580" w:lineRule="exact"/>
        <w:ind w:firstLine="321" w:firstLineChars="100"/>
        <w:jc w:val="both"/>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庐山市东牯山林场</w:t>
      </w:r>
      <w:r>
        <w:rPr>
          <w:color w:val="auto"/>
        </w:rPr>
        <w:fldChar w:fldCharType="end"/>
      </w:r>
      <w:r>
        <w:rPr>
          <w:rFonts w:hint="eastAsia" w:ascii="仿宋_GB2312" w:eastAsia="仿宋_GB2312"/>
          <w:b/>
          <w:color w:val="auto"/>
          <w:sz w:val="32"/>
          <w:szCs w:val="30"/>
        </w:rPr>
        <w:t>20</w:t>
      </w:r>
      <w:r>
        <w:rPr>
          <w:rFonts w:hint="eastAsia" w:ascii="仿宋_GB2312" w:eastAsia="仿宋_GB2312"/>
          <w:b/>
          <w:sz w:val="32"/>
          <w:szCs w:val="30"/>
        </w:rPr>
        <w:t>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14:paraId="172C3C3B">
      <w:pPr>
        <w:ind w:firstLine="2560" w:firstLineChars="800"/>
        <w:jc w:val="left"/>
      </w:pPr>
      <w:r>
        <w:rPr>
          <w:rFonts w:hint="eastAsia" w:ascii="仿宋" w:hAnsi="仿宋" w:eastAsia="仿宋"/>
          <w:bCs/>
          <w:sz w:val="32"/>
          <w:szCs w:val="32"/>
        </w:rPr>
        <w:t>（详见附表）</w:t>
      </w:r>
    </w:p>
    <w:p w14:paraId="16AA647D">
      <w:pPr>
        <w:ind w:firstLine="420" w:firstLineChars="200"/>
        <w:jc w:val="left"/>
      </w:pPr>
    </w:p>
    <w:p w14:paraId="1BDAB512">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庐山市东牯山林场</w:t>
      </w:r>
      <w:r>
        <w:rPr>
          <w:color w:val="auto"/>
        </w:rPr>
        <w:fldChar w:fldCharType="end"/>
      </w:r>
      <w:r>
        <w:rPr>
          <w:rFonts w:hint="eastAsia" w:ascii="仿宋_GB2312" w:eastAsia="仿宋_GB2312"/>
          <w:b/>
          <w:color w:val="auto"/>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14:paraId="1EAFF2C2">
      <w:pPr>
        <w:widowControl/>
        <w:spacing w:line="580" w:lineRule="exact"/>
        <w:jc w:val="center"/>
        <w:rPr>
          <w:rFonts w:ascii="仿宋_GB2312" w:eastAsia="仿宋_GB2312"/>
          <w:b/>
          <w:sz w:val="32"/>
          <w:szCs w:val="30"/>
        </w:rPr>
      </w:pPr>
    </w:p>
    <w:p w14:paraId="0143A8AB">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0FE5B54C">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41332B20">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庐山市东牯山林场</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558.24</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113.68</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458.35</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160.17</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增加变化原因为增加了事业单位改革收入。</w:t>
      </w:r>
    </w:p>
    <w:p w14:paraId="1A641451">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751E6E58">
      <w:pPr>
        <w:widowControl/>
        <w:ind w:firstLine="640" w:firstLineChars="200"/>
        <w:rPr>
          <w:rFonts w:hint="default" w:ascii="仿宋" w:hAnsi="仿宋" w:cs="Times New Roman" w:eastAsiaTheme="minorEastAsia"/>
          <w:color w:val="auto"/>
          <w:kern w:val="0"/>
          <w:sz w:val="32"/>
          <w:szCs w:val="32"/>
          <w:lang w:val="en-US"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庐山市东牯山林场</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${page540426799.ds357974894_REP_BGT_T_HC1100002019_DXQ02DW_S_ZJ}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支出预算总额为</w:t>
      </w:r>
      <w:r>
        <w:rPr>
          <w:rStyle w:val="10"/>
          <w:rFonts w:hint="eastAsia" w:ascii="仿宋" w:hAnsi="仿宋" w:eastAsia="仿宋"/>
          <w:color w:val="auto"/>
          <w:sz w:val="32"/>
          <w:szCs w:val="32"/>
          <w:lang w:val="en-US" w:eastAsia="zh-CN"/>
        </w:rPr>
        <w:t>565.65</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121.09</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增加变化原因为增加了事业单位改革支出。</w:t>
      </w:r>
    </w:p>
    <w:p w14:paraId="008D289E">
      <w:pPr>
        <w:widowControl/>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其中：按支出项目类别划分：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236.08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43.9</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218.04</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18</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0.04</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329.57</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164.99</w:t>
      </w:r>
      <w:r>
        <w:rPr>
          <w:rStyle w:val="10"/>
          <w:rFonts w:ascii="仿宋" w:hAnsi="仿宋" w:eastAsia="仿宋"/>
          <w:color w:val="auto"/>
          <w:sz w:val="32"/>
          <w:szCs w:val="32"/>
        </w:rPr>
        <w:t>万元;其中：商品和服务支出</w:t>
      </w:r>
      <w:r>
        <w:rPr>
          <w:rStyle w:val="10"/>
          <w:rFonts w:hint="eastAsia" w:ascii="仿宋" w:hAnsi="仿宋" w:eastAsia="仿宋"/>
          <w:color w:val="auto"/>
          <w:sz w:val="32"/>
          <w:szCs w:val="32"/>
          <w:lang w:val="en-US" w:eastAsia="zh-CN"/>
        </w:rPr>
        <w:t>329.57</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w:t>
      </w:r>
      <w:r>
        <w:rPr>
          <w:color w:val="auto"/>
        </w:rPr>
        <w:fldChar w:fldCharType="end"/>
      </w:r>
    </w:p>
    <w:p w14:paraId="1718D0AF">
      <w:pPr>
        <w:ind w:firstLine="640" w:firstLineChars="200"/>
        <w:rPr>
          <w:rStyle w:val="10"/>
          <w:rFonts w:ascii="仿宋" w:hAnsi="仿宋" w:eastAsia="仿宋"/>
          <w:b/>
          <w:sz w:val="20"/>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${page540426799.ds197859873_REP_BGT_T_HC1100002019DXQ01DW_GNZJMX}</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val="en-US" w:eastAsia="zh-CN"/>
        </w:rPr>
        <w:t>农林水支</w:t>
      </w:r>
      <w:r>
        <w:rPr>
          <w:rStyle w:val="10"/>
          <w:rFonts w:ascii="仿宋" w:hAnsi="仿宋" w:eastAsia="仿宋"/>
          <w:color w:val="auto"/>
          <w:sz w:val="32"/>
          <w:szCs w:val="32"/>
        </w:rPr>
        <w:t>出</w:t>
      </w:r>
      <w:r>
        <w:rPr>
          <w:rStyle w:val="10"/>
          <w:rFonts w:hint="eastAsia" w:ascii="仿宋" w:hAnsi="仿宋" w:eastAsia="仿宋"/>
          <w:color w:val="auto"/>
          <w:sz w:val="32"/>
          <w:szCs w:val="32"/>
          <w:lang w:val="en-US" w:eastAsia="zh-CN"/>
        </w:rPr>
        <w:t>456.01</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77.86</w:t>
      </w:r>
      <w:r>
        <w:rPr>
          <w:rStyle w:val="10"/>
          <w:rFonts w:ascii="仿宋" w:hAnsi="仿宋" w:eastAsia="仿宋"/>
          <w:color w:val="auto"/>
          <w:sz w:val="32"/>
          <w:szCs w:val="32"/>
        </w:rPr>
        <w:t>万元;社会保障和就业支出</w:t>
      </w:r>
      <w:r>
        <w:rPr>
          <w:rStyle w:val="10"/>
          <w:rFonts w:hint="eastAsia" w:ascii="仿宋" w:hAnsi="仿宋" w:eastAsia="仿宋"/>
          <w:color w:val="auto"/>
          <w:sz w:val="32"/>
          <w:szCs w:val="32"/>
          <w:lang w:val="en-US" w:eastAsia="zh-CN"/>
        </w:rPr>
        <w:t>31.55</w:t>
      </w:r>
      <w:r>
        <w:rPr>
          <w:rStyle w:val="10"/>
          <w:rFonts w:ascii="仿宋" w:hAnsi="仿宋" w:eastAsia="仿宋"/>
          <w:color w:val="auto"/>
          <w:sz w:val="32"/>
          <w:szCs w:val="32"/>
        </w:rPr>
        <w:t>万元,较上年预算安</w:t>
      </w:r>
      <w:r>
        <w:rPr>
          <w:rStyle w:val="10"/>
          <w:rFonts w:hint="eastAsia" w:ascii="仿宋" w:hAnsi="仿宋" w:eastAsia="仿宋"/>
          <w:color w:val="auto"/>
          <w:sz w:val="32"/>
          <w:szCs w:val="32"/>
          <w:lang w:val="en-US" w:eastAsia="zh-CN"/>
        </w:rPr>
        <w:t>排减少3.22</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lang w:val="en-US" w:eastAsia="zh-CN"/>
        </w:rPr>
        <w:t>10.67</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0.67</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lang w:val="en-US" w:eastAsia="zh-CN"/>
        </w:rPr>
        <w:t>17.41</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4.23</w:t>
      </w:r>
      <w:r>
        <w:rPr>
          <w:rStyle w:val="10"/>
          <w:rFonts w:ascii="仿宋" w:hAnsi="仿宋" w:eastAsia="仿宋"/>
          <w:color w:val="auto"/>
          <w:sz w:val="32"/>
          <w:szCs w:val="32"/>
        </w:rPr>
        <w:t>万元。</w:t>
      </w:r>
      <w:r>
        <w:rPr>
          <w:color w:val="auto"/>
        </w:rPr>
        <w:fldChar w:fldCharType="end"/>
      </w:r>
    </w:p>
    <w:p w14:paraId="525B4F88">
      <w:pPr>
        <w:ind w:firstLine="640" w:firstLineChars="200"/>
      </w:pPr>
      <w:r>
        <w:rPr>
          <w:rStyle w:val="10"/>
          <w:rFonts w:hint="eastAsia" w:ascii="仿宋" w:hAnsi="仿宋" w:eastAsia="仿宋"/>
          <w:sz w:val="32"/>
          <w:szCs w:val="32"/>
        </w:rPr>
        <w:t>按</w:t>
      </w:r>
      <w:r>
        <w:rPr>
          <w:rStyle w:val="10"/>
          <w:rFonts w:hint="eastAsia" w:ascii="仿宋" w:hAnsi="仿宋" w:eastAsia="仿宋"/>
          <w:color w:val="auto"/>
          <w:sz w:val="32"/>
          <w:szCs w:val="32"/>
        </w:rPr>
        <w:t>支出经济分类</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218.04</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39.21</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347.57</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增加</w:t>
      </w:r>
      <w:r>
        <w:rPr>
          <w:rStyle w:val="10"/>
          <w:rFonts w:hint="eastAsia" w:ascii="仿宋" w:hAnsi="仿宋" w:eastAsia="仿宋"/>
          <w:sz w:val="32"/>
          <w:szCs w:val="32"/>
          <w:lang w:val="en-US" w:eastAsia="zh-CN"/>
        </w:rPr>
        <w:t>160.26</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0.04</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0.04</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0</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0</w:t>
      </w:r>
      <w:r>
        <w:rPr>
          <w:rStyle w:val="10"/>
          <w:rFonts w:ascii="仿宋" w:hAnsi="仿宋" w:eastAsia="仿宋"/>
          <w:sz w:val="32"/>
          <w:szCs w:val="32"/>
        </w:rPr>
        <w:t>万元。</w:t>
      </w:r>
      <w:r>
        <w:fldChar w:fldCharType="end"/>
      </w:r>
    </w:p>
    <w:p w14:paraId="404F00D6">
      <w:pPr>
        <w:ind w:firstLine="321" w:firstLineChars="100"/>
        <w:rPr>
          <w:rStyle w:val="10"/>
          <w:rFonts w:hint="eastAsia" w:ascii="Adobe 仿宋 Std R" w:hAnsi="Adobe 仿宋 Std R" w:eastAsia="Adobe 仿宋 Std R"/>
          <w:b/>
          <w:sz w:val="32"/>
          <w:szCs w:val="32"/>
          <w:lang w:eastAsia="zh-CN"/>
        </w:rPr>
      </w:pPr>
      <w:r>
        <w:rPr>
          <w:rStyle w:val="10"/>
          <w:rFonts w:hint="eastAsia" w:ascii="Adobe 仿宋 Std R" w:hAnsi="Adobe 仿宋 Std R" w:eastAsia="Adobe 仿宋 Std R"/>
          <w:b/>
          <w:sz w:val="32"/>
          <w:szCs w:val="32"/>
        </w:rPr>
        <w:t xml:space="preserve"> (三)财政拨款支出情况</w:t>
      </w:r>
      <w:bookmarkStart w:id="0" w:name="_GoBack"/>
      <w:bookmarkEnd w:id="0"/>
    </w:p>
    <w:p w14:paraId="195F6F04">
      <w:pPr>
        <w:widowControl/>
        <w:ind w:firstLine="640" w:firstLineChars="200"/>
        <w:rPr>
          <w:rFonts w:hint="default" w:ascii="仿宋" w:hAnsi="仿宋" w:cs="Times New Roman" w:eastAsiaTheme="minorEastAsia"/>
          <w:color w:val="auto"/>
          <w:kern w:val="0"/>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庐山市东牯山林场</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${page540426799.ds357974894_REP_BGT_T_HC1100002019_DXQ02DW_S_CBXJ}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财政拨款支出预算总额</w:t>
      </w:r>
      <w:r>
        <w:rPr>
          <w:rStyle w:val="10"/>
          <w:rFonts w:hint="eastAsia" w:ascii="仿宋" w:hAnsi="仿宋" w:eastAsia="仿宋"/>
          <w:color w:val="auto"/>
          <w:sz w:val="32"/>
          <w:szCs w:val="32"/>
          <w:lang w:val="en-US" w:eastAsia="zh-CN"/>
        </w:rPr>
        <w:t>458.35</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160.17</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增加变化原因为本单位事业机构改革，增加支出。</w:t>
      </w:r>
    </w:p>
    <w:p w14:paraId="75E9F7D0">
      <w:pPr>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val="en-US" w:eastAsia="zh-CN"/>
        </w:rPr>
        <w:t>农林水</w:t>
      </w:r>
      <w:r>
        <w:rPr>
          <w:rStyle w:val="10"/>
          <w:rFonts w:ascii="仿宋" w:hAnsi="仿宋" w:eastAsia="仿宋"/>
          <w:color w:val="auto"/>
          <w:sz w:val="32"/>
          <w:szCs w:val="32"/>
        </w:rPr>
        <w:t>支出</w:t>
      </w:r>
      <w:r>
        <w:rPr>
          <w:rStyle w:val="10"/>
          <w:rFonts w:hint="eastAsia" w:ascii="仿宋" w:hAnsi="仿宋" w:eastAsia="仿宋"/>
          <w:color w:val="auto"/>
          <w:sz w:val="32"/>
          <w:szCs w:val="32"/>
          <w:lang w:val="en-US" w:eastAsia="zh-CN"/>
        </w:rPr>
        <w:t>348.72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50.54</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社会保障和就业支出</w:t>
      </w:r>
      <w:r>
        <w:rPr>
          <w:rStyle w:val="10"/>
          <w:rFonts w:hint="eastAsia" w:ascii="仿宋" w:hAnsi="仿宋" w:eastAsia="仿宋"/>
          <w:color w:val="auto"/>
          <w:sz w:val="32"/>
          <w:szCs w:val="32"/>
          <w:lang w:val="en-US" w:eastAsia="zh-CN"/>
        </w:rPr>
        <w:t>31.55</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3.22</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卫生健康支出</w:t>
      </w:r>
      <w:r>
        <w:rPr>
          <w:rStyle w:val="10"/>
          <w:rFonts w:hint="eastAsia" w:ascii="仿宋" w:hAnsi="仿宋" w:eastAsia="仿宋"/>
          <w:color w:val="auto"/>
          <w:sz w:val="32"/>
          <w:szCs w:val="32"/>
          <w:lang w:val="en-US" w:eastAsia="zh-CN"/>
        </w:rPr>
        <w:t>10.67</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0.67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住房保障支出</w:t>
      </w:r>
      <w:r>
        <w:rPr>
          <w:rStyle w:val="10"/>
          <w:rFonts w:hint="eastAsia" w:ascii="仿宋" w:hAnsi="仿宋" w:eastAsia="仿宋"/>
          <w:color w:val="auto"/>
          <w:sz w:val="32"/>
          <w:szCs w:val="32"/>
          <w:lang w:val="en-US" w:eastAsia="zh-CN"/>
        </w:rPr>
        <w:t>17.41</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较上年预算安排减少</w:t>
      </w:r>
      <w:r>
        <w:rPr>
          <w:rStyle w:val="10"/>
          <w:rFonts w:hint="eastAsia" w:ascii="仿宋" w:hAnsi="仿宋" w:eastAsia="仿宋"/>
          <w:color w:val="auto"/>
          <w:sz w:val="32"/>
          <w:szCs w:val="32"/>
          <w:lang w:val="en-US" w:eastAsia="zh-CN"/>
        </w:rPr>
        <w:t>4.23</w:t>
      </w:r>
      <w:r>
        <w:rPr>
          <w:rStyle w:val="10"/>
          <w:rFonts w:ascii="仿宋" w:hAnsi="仿宋" w:eastAsia="仿宋"/>
          <w:color w:val="auto"/>
          <w:sz w:val="32"/>
          <w:szCs w:val="32"/>
        </w:rPr>
        <w:t>万元。</w:t>
      </w:r>
      <w:r>
        <w:rPr>
          <w:color w:val="auto"/>
        </w:rPr>
        <w:fldChar w:fldCharType="end"/>
      </w:r>
    </w:p>
    <w:p w14:paraId="7B0D7C8A">
      <w:pPr>
        <w:ind w:firstLine="640" w:firstLineChars="200"/>
      </w:pP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${page540426799.ds357974894_REP_BGT_T_HC1100002019_DXQ02DW_JBZCQKCB}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236.08_</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43.9</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218.08</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18</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0.04</w:t>
      </w:r>
      <w:r>
        <w:rPr>
          <w:rStyle w:val="10"/>
          <w:rFonts w:ascii="仿宋" w:hAnsi="仿宋" w:eastAsia="仿宋"/>
          <w:color w:val="auto"/>
          <w:sz w:val="32"/>
          <w:szCs w:val="32"/>
        </w:rPr>
        <w:t>万元。</w:t>
      </w:r>
      <w:r>
        <w:rPr>
          <w:color w:val="auto"/>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${page540426799.ds357974894_REP_BGT_T_HC1100002019_DXQ02DW_XMZCQKCB}</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0</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0</w:t>
      </w:r>
      <w:r>
        <w:rPr>
          <w:rStyle w:val="10"/>
          <w:rFonts w:ascii="仿宋" w:hAnsi="仿宋" w:eastAsia="仿宋"/>
          <w:sz w:val="32"/>
          <w:szCs w:val="32"/>
        </w:rPr>
        <w:t>万元;其中：商品和服务支出</w:t>
      </w:r>
      <w:r>
        <w:rPr>
          <w:rStyle w:val="10"/>
          <w:rFonts w:hint="eastAsia" w:ascii="仿宋" w:hAnsi="仿宋" w:eastAsia="仿宋"/>
          <w:sz w:val="32"/>
          <w:szCs w:val="32"/>
          <w:lang w:val="en-US" w:eastAsia="zh-CN"/>
        </w:rPr>
        <w:t>0</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0</w:t>
      </w:r>
      <w:r>
        <w:rPr>
          <w:rStyle w:val="10"/>
          <w:rFonts w:ascii="仿宋" w:hAnsi="仿宋" w:eastAsia="仿宋"/>
          <w:sz w:val="32"/>
          <w:szCs w:val="32"/>
        </w:rPr>
        <w:t>万元。</w:t>
      </w:r>
      <w:r>
        <w:fldChar w:fldCharType="end"/>
      </w:r>
    </w:p>
    <w:p w14:paraId="2AEDF1AB">
      <w:pPr>
        <w:ind w:firstLine="420" w:firstLineChars="200"/>
      </w:pPr>
    </w:p>
    <w:p w14:paraId="1F947059">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1E9677AE">
      <w:pPr>
        <w:ind w:firstLine="640" w:firstLineChars="200"/>
        <w:rPr>
          <w:rFonts w:ascii="Adobe 仿宋 Std R" w:hAnsi="Adobe 仿宋 Std R" w:eastAsia="Adobe 仿宋 Std R"/>
        </w:rPr>
      </w:pPr>
      <w:r>
        <w:rPr>
          <w:rFonts w:hint="eastAsia" w:ascii="Adobe 仿宋 Std R" w:hAnsi="Adobe 仿宋 Std R" w:eastAsia="Adobe 仿宋 Std R"/>
          <w:sz w:val="32"/>
          <w:szCs w:val="32"/>
          <w:lang w:val="en-US" w:eastAsia="zh-CN"/>
        </w:rPr>
        <w:t>本部门没有使用政府性基金预算拨款安排的支出。</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4D9425B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1E9B35D8">
      <w:pPr>
        <w:widowControl/>
        <w:ind w:firstLine="640" w:firstLineChars="200"/>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w:t>
      </w:r>
      <w:r>
        <w:rPr>
          <w:rStyle w:val="10"/>
          <w:rFonts w:hint="eastAsia" w:ascii="Adobe 仿宋 Std R" w:hAnsi="Adobe 仿宋 Std R" w:eastAsia="Adobe 仿宋 Std R"/>
          <w:sz w:val="32"/>
          <w:szCs w:val="32"/>
          <w:lang w:eastAsia="zh-CN"/>
        </w:rPr>
        <w:t>部门</w:t>
      </w:r>
      <w:r>
        <w:rPr>
          <w:rStyle w:val="10"/>
          <w:rFonts w:hint="eastAsia" w:ascii="Adobe 仿宋 Std R" w:hAnsi="Adobe 仿宋 Std R" w:eastAsia="Adobe 仿宋 Std R"/>
          <w:sz w:val="32"/>
          <w:szCs w:val="32"/>
        </w:rPr>
        <w:t>没有使用国有资本经营预算拨款安排的支出</w:t>
      </w:r>
      <w:r>
        <w:rPr>
          <w:rStyle w:val="10"/>
          <w:rFonts w:hint="eastAsia" w:ascii="Adobe 仿宋 Std R" w:hAnsi="Adobe 仿宋 Std R" w:eastAsia="Adobe 仿宋 Std R"/>
          <w:sz w:val="32"/>
          <w:szCs w:val="32"/>
          <w:lang w:eastAsia="zh-CN"/>
        </w:rPr>
        <w:t>。</w:t>
      </w:r>
    </w:p>
    <w:p w14:paraId="141C98B6">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7D54B9BA">
      <w:pPr>
        <w:widowControl/>
        <w:spacing w:line="580" w:lineRule="exact"/>
        <w:ind w:firstLine="636"/>
        <w:jc w:val="left"/>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lang w:val="en-US" w:eastAsia="zh-CN"/>
        </w:rPr>
        <w:t>本部门非行政参公单位，无机关运行经费。</w:t>
      </w:r>
    </w:p>
    <w:p w14:paraId="5188AA7E">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17C0426C">
      <w:pPr>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698A1C90">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666A639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执法车辆1辆</w:t>
      </w:r>
      <w:r>
        <w:rPr>
          <w:rFonts w:ascii="Adobe 仿宋 Std R" w:hAnsi="Adobe 仿宋 Std R" w:eastAsia="Adobe 仿宋 Std R"/>
          <w:sz w:val="32"/>
          <w:szCs w:val="32"/>
        </w:rPr>
        <w:t>。</w:t>
      </w:r>
      <w:r>
        <w:fldChar w:fldCharType="end"/>
      </w:r>
    </w:p>
    <w:p w14:paraId="59BD4B32">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0</w:t>
      </w:r>
      <w:r>
        <w:rPr>
          <w:rFonts w:hint="eastAsia" w:ascii="仿宋_GB2312" w:eastAsia="仿宋_GB2312"/>
          <w:sz w:val="32"/>
          <w:szCs w:val="30"/>
        </w:rPr>
        <w:t>。</w:t>
      </w:r>
    </w:p>
    <w:p w14:paraId="4968D01F">
      <w:pPr>
        <w:ind w:firstLine="321" w:firstLineChars="100"/>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（九）项目情况说明</w:t>
      </w:r>
    </w:p>
    <w:p w14:paraId="5D05EA4F">
      <w:pPr>
        <w:rPr>
          <w:rFonts w:ascii="Adobe 仿宋 Std R" w:hAnsi="Adobe 仿宋 Std R" w:eastAsia="Adobe 仿宋 Std R"/>
          <w:sz w:val="32"/>
          <w:szCs w:val="32"/>
        </w:rPr>
      </w:pPr>
      <w:r>
        <w:rPr>
          <w:rFonts w:hint="default" w:ascii="Adobe 仿宋 Std R" w:hAnsi="Adobe 仿宋 Std R" w:eastAsia="Adobe 仿宋 Std R"/>
          <w:sz w:val="32"/>
          <w:szCs w:val="32"/>
          <w:lang w:val="en-US"/>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default" w:ascii="Adobe 仿宋 Std R" w:hAnsi="Adobe 仿宋 Std R" w:eastAsia="Adobe 仿宋 Std R"/>
          <w:sz w:val="32"/>
          <w:szCs w:val="32"/>
          <w:lang w:val="en-US"/>
        </w:rPr>
        <w:t>:</w:t>
      </w:r>
      <w:r>
        <w:rPr>
          <w:rFonts w:hint="eastAsia" w:ascii="Adobe 仿宋 Std R" w:hAnsi="Adobe 仿宋 Std R" w:eastAsia="Adobe 仿宋 Std R"/>
          <w:sz w:val="32"/>
          <w:szCs w:val="32"/>
        </w:rPr>
        <w:t>保障单位基本运转</w:t>
      </w:r>
    </w:p>
    <w:p w14:paraId="5CC70036">
      <w:pPr>
        <w:ind w:firstLine="1136" w:firstLineChars="355"/>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default" w:ascii="Adobe 仿宋 Std R" w:hAnsi="Adobe 仿宋 Std R" w:eastAsia="Adobe 仿宋 Std R"/>
          <w:sz w:val="32"/>
          <w:szCs w:val="32"/>
          <w:lang w:val="en-US"/>
        </w:rPr>
        <w:t>:</w:t>
      </w:r>
      <w:r>
        <w:rPr>
          <w:rFonts w:hint="eastAsia" w:ascii="Adobe 仿宋 Std R" w:hAnsi="Adobe 仿宋 Std R" w:eastAsia="Adobe 仿宋 Std R"/>
          <w:sz w:val="32"/>
          <w:szCs w:val="32"/>
          <w:lang w:val="en-US" w:eastAsia="zh-CN"/>
        </w:rPr>
        <w:t>申请报告</w:t>
      </w:r>
    </w:p>
    <w:p w14:paraId="5ACD2F3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庐山市东牯山林场</w:t>
      </w:r>
    </w:p>
    <w:p w14:paraId="01E09A4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全面保障林场基本运转</w:t>
      </w:r>
    </w:p>
    <w:p w14:paraId="66F1C48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2024全年</w:t>
      </w:r>
    </w:p>
    <w:p w14:paraId="5F15873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75.56万元</w:t>
      </w:r>
    </w:p>
    <w:p w14:paraId="0BC220F6">
      <w:pPr>
        <w:rPr>
          <w:rFonts w:hint="eastAsia"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rPr>
        <w:t xml:space="preserve"> </w:t>
      </w:r>
      <w:r>
        <w:rPr>
          <w:rFonts w:hint="eastAsia" w:ascii="Adobe 仿宋 Std R" w:hAnsi="Adobe 仿宋 Std R" w:eastAsia="Adobe 仿宋 Std R"/>
          <w:sz w:val="32"/>
          <w:szCs w:val="32"/>
          <w:lang w:val="en-US" w:eastAsia="zh-CN"/>
        </w:rPr>
        <w:t xml:space="preserve">     </w:t>
      </w:r>
    </w:p>
    <w:p w14:paraId="6DA823FD">
      <w:pPr>
        <w:ind w:left="1598" w:leftChars="456" w:hanging="640" w:hangingChars="200"/>
        <w:rPr>
          <w:rFonts w:hint="default"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rPr>
        <w:t xml:space="preserve"> </w:t>
      </w:r>
      <w:r>
        <w:rPr>
          <w:rFonts w:hint="eastAsia" w:ascii="Adobe 仿宋 Std R" w:hAnsi="Adobe 仿宋 Std R" w:eastAsia="Adobe 仿宋 Std R"/>
          <w:sz w:val="32"/>
          <w:szCs w:val="32"/>
        </w:rPr>
        <w:t>1）项目概述</w:t>
      </w:r>
      <w:r>
        <w:rPr>
          <w:rFonts w:hint="default" w:ascii="Adobe 仿宋 Std R" w:hAnsi="Adobe 仿宋 Std R" w:eastAsia="Adobe 仿宋 Std R"/>
          <w:sz w:val="32"/>
          <w:szCs w:val="32"/>
          <w:lang w:val="en-US"/>
        </w:rPr>
        <w:t>:</w:t>
      </w:r>
      <w:r>
        <w:rPr>
          <w:rFonts w:hint="eastAsia" w:ascii="Adobe 仿宋 Std R" w:hAnsi="Adobe 仿宋 Std R" w:eastAsia="Adobe 仿宋 Std R"/>
          <w:sz w:val="32"/>
          <w:szCs w:val="32"/>
          <w:lang w:val="en-US" w:eastAsia="zh-CN"/>
        </w:rPr>
        <w:t>保障东牯山林场基本运转、保障返聘职工养老医疗、按时发放公益性岗位补贴</w:t>
      </w:r>
    </w:p>
    <w:p w14:paraId="2B98BCF9">
      <w:pPr>
        <w:ind w:firstLine="1136" w:firstLineChars="355"/>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default" w:ascii="Adobe 仿宋 Std R" w:hAnsi="Adobe 仿宋 Std R" w:eastAsia="Adobe 仿宋 Std R"/>
          <w:sz w:val="32"/>
          <w:szCs w:val="32"/>
          <w:lang w:val="en-US"/>
        </w:rPr>
        <w:t>:</w:t>
      </w:r>
      <w:r>
        <w:rPr>
          <w:rFonts w:hint="eastAsia" w:ascii="Adobe 仿宋 Std R" w:hAnsi="Adobe 仿宋 Std R" w:eastAsia="Adobe 仿宋 Std R"/>
          <w:sz w:val="32"/>
          <w:szCs w:val="32"/>
          <w:lang w:val="en-US" w:eastAsia="zh-CN"/>
        </w:rPr>
        <w:t>非税测算表</w:t>
      </w:r>
    </w:p>
    <w:p w14:paraId="3866265C">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庐山市东牯山林场</w:t>
      </w:r>
    </w:p>
    <w:p w14:paraId="5954476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全面保障林场基本运转</w:t>
      </w:r>
    </w:p>
    <w:p w14:paraId="4C67F14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2024全年</w:t>
      </w:r>
    </w:p>
    <w:p w14:paraId="5DF0C88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99.89万元</w:t>
      </w:r>
    </w:p>
    <w:p w14:paraId="48ED7D1A">
      <w:pPr>
        <w:widowControl/>
        <w:spacing w:line="580" w:lineRule="exact"/>
        <w:ind w:firstLine="636"/>
        <w:jc w:val="left"/>
        <w:rPr>
          <w:rStyle w:val="10"/>
          <w:rFonts w:hint="eastAsia" w:ascii="仿宋" w:hAnsi="仿宋" w:eastAsia="仿宋"/>
          <w:sz w:val="32"/>
          <w:szCs w:val="32"/>
        </w:rPr>
      </w:pPr>
    </w:p>
    <w:p w14:paraId="3322DAE7">
      <w:pPr>
        <w:ind w:firstLine="642"/>
        <w:rPr>
          <w:rFonts w:ascii="Adobe 仿宋 Std R" w:hAnsi="Adobe 仿宋 Std R" w:eastAsia="Adobe 仿宋 Std R"/>
          <w:sz w:val="32"/>
          <w:szCs w:val="32"/>
        </w:rPr>
      </w:pPr>
    </w:p>
    <w:p w14:paraId="76DE82E5">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93C782B">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庐山市东牯山林场</w:t>
      </w:r>
      <w:r>
        <w:rPr>
          <w:color w:val="auto"/>
        </w:rPr>
        <w:fldChar w:fldCharType="end"/>
      </w:r>
      <w:r>
        <w:rPr>
          <w:rFonts w:ascii="仿宋" w:hAnsi="仿宋" w:eastAsia="仿宋"/>
          <w:bCs/>
          <w:color w:val="auto"/>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1.25</w:t>
      </w:r>
      <w:r>
        <w:rPr>
          <w:rFonts w:hint="eastAsia" w:ascii="仿宋" w:hAnsi="仿宋" w:eastAsia="仿宋"/>
          <w:bCs/>
          <w:sz w:val="32"/>
          <w:szCs w:val="32"/>
        </w:rPr>
        <w:t>万元，其中：</w:t>
      </w:r>
    </w:p>
    <w:p w14:paraId="7DE43AB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1706CE3B">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0.08</w:t>
      </w:r>
      <w:r>
        <w:rPr>
          <w:rFonts w:ascii="仿宋" w:hAnsi="仿宋" w:eastAsia="仿宋"/>
          <w:bCs/>
          <w:sz w:val="32"/>
          <w:szCs w:val="32"/>
        </w:rPr>
        <w:t>万元,比上年减</w:t>
      </w:r>
      <w:r>
        <w:rPr>
          <w:rFonts w:hint="eastAsia" w:ascii="仿宋" w:hAnsi="仿宋" w:eastAsia="仿宋"/>
          <w:bCs/>
          <w:sz w:val="32"/>
          <w:szCs w:val="32"/>
          <w:lang w:val="en-US" w:eastAsia="zh-CN"/>
        </w:rPr>
        <w:t>0.01</w:t>
      </w:r>
      <w:r>
        <w:rPr>
          <w:rFonts w:ascii="仿宋" w:hAnsi="仿宋" w:eastAsia="仿宋"/>
          <w:bCs/>
          <w:sz w:val="32"/>
          <w:szCs w:val="32"/>
        </w:rPr>
        <w:t>万元，主要原因是：</w:t>
      </w:r>
      <w:r>
        <w:rPr>
          <w:rFonts w:hint="eastAsia" w:ascii="仿宋" w:hAnsi="仿宋" w:eastAsia="仿宋"/>
          <w:bCs/>
          <w:sz w:val="32"/>
          <w:szCs w:val="32"/>
          <w:lang w:val="en-US" w:eastAsia="zh-CN"/>
        </w:rPr>
        <w:t>减少公务活动安排</w:t>
      </w:r>
      <w:r>
        <w:rPr>
          <w:rFonts w:ascii="仿宋" w:hAnsi="仿宋" w:eastAsia="仿宋"/>
          <w:bCs/>
          <w:sz w:val="32"/>
          <w:szCs w:val="32"/>
        </w:rPr>
        <w:t>。</w:t>
      </w:r>
    </w:p>
    <w:p w14:paraId="0623DC41">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1.17</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0778E0E0">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5D417105">
      <w:pPr>
        <w:widowControl/>
        <w:shd w:val="clear" w:color="auto" w:fill="FFFFFF"/>
        <w:spacing w:line="640" w:lineRule="atLeast"/>
        <w:jc w:val="both"/>
        <w:rPr>
          <w:rFonts w:hint="eastAsia" w:ascii="仿宋_GB2312" w:eastAsia="仿宋_GB2312"/>
          <w:b/>
          <w:sz w:val="32"/>
          <w:szCs w:val="30"/>
        </w:rPr>
      </w:pPr>
    </w:p>
    <w:p w14:paraId="50FCB759">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9AF3731">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1C7F400">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FA98CE4">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17915420">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5D7DE2D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049ACF55">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78A4482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5C0E943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C294482">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7E424108">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3AF50CFF">
      <w:pPr>
        <w:ind w:firstLine="640" w:firstLineChars="200"/>
        <w:rPr>
          <w:rFonts w:ascii="Adobe 仿宋 Std R" w:hAnsi="Adobe 仿宋 Std R" w:eastAsia="Adobe 仿宋 Std R"/>
          <w:sz w:val="32"/>
          <w:szCs w:val="32"/>
        </w:rPr>
      </w:pPr>
    </w:p>
    <w:p w14:paraId="4DFCCDA6">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03C2221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C2C2E1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693BB69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717A992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4637955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060E6C6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10FF1AF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797148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5EAD6B5">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F98D7C7">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0147DAB">
      <w:pPr>
        <w:widowControl/>
        <w:spacing w:line="600" w:lineRule="exact"/>
        <w:ind w:firstLine="640" w:firstLineChars="200"/>
        <w:jc w:val="left"/>
        <w:rPr>
          <w:rFonts w:ascii="仿宋_GB2312" w:eastAsia="仿宋_GB2312"/>
          <w:color w:val="000000"/>
          <w:sz w:val="32"/>
          <w:szCs w:val="30"/>
        </w:rPr>
      </w:pPr>
    </w:p>
    <w:p w14:paraId="442CD29C">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FF78E">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1MTcxYzRlYjNmYzZiMzZmNmFkNzI3MzhkMTFlYzkifQ=="/>
    <w:docVar w:name="KSO_WPS_MARK_KEY" w:val="401e8b8d-afe7-4201-98e7-04c970a22e87"/>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12F16284"/>
    <w:rsid w:val="135943E8"/>
    <w:rsid w:val="138A29AA"/>
    <w:rsid w:val="15827B15"/>
    <w:rsid w:val="16D31053"/>
    <w:rsid w:val="18F94A09"/>
    <w:rsid w:val="206D0602"/>
    <w:rsid w:val="212C5238"/>
    <w:rsid w:val="22430342"/>
    <w:rsid w:val="25B931E9"/>
    <w:rsid w:val="2828673B"/>
    <w:rsid w:val="2C57797E"/>
    <w:rsid w:val="32213853"/>
    <w:rsid w:val="32404E62"/>
    <w:rsid w:val="3328400E"/>
    <w:rsid w:val="358A2912"/>
    <w:rsid w:val="36031C0A"/>
    <w:rsid w:val="39797BFF"/>
    <w:rsid w:val="3A841EE9"/>
    <w:rsid w:val="3A9F1A72"/>
    <w:rsid w:val="3B7D1841"/>
    <w:rsid w:val="3D2909BB"/>
    <w:rsid w:val="3DF13D37"/>
    <w:rsid w:val="3F383632"/>
    <w:rsid w:val="4052753A"/>
    <w:rsid w:val="431E0911"/>
    <w:rsid w:val="48A83B8E"/>
    <w:rsid w:val="502E68D6"/>
    <w:rsid w:val="53516268"/>
    <w:rsid w:val="565526B4"/>
    <w:rsid w:val="56C47F55"/>
    <w:rsid w:val="57CB2345"/>
    <w:rsid w:val="61E0552E"/>
    <w:rsid w:val="62D6302D"/>
    <w:rsid w:val="63306EE5"/>
    <w:rsid w:val="633916A0"/>
    <w:rsid w:val="63E33020"/>
    <w:rsid w:val="6464197D"/>
    <w:rsid w:val="64EB571C"/>
    <w:rsid w:val="656A2922"/>
    <w:rsid w:val="65810156"/>
    <w:rsid w:val="65A5311F"/>
    <w:rsid w:val="67FE65DF"/>
    <w:rsid w:val="6BE248E5"/>
    <w:rsid w:val="6E8C6DC2"/>
    <w:rsid w:val="6EDB6140"/>
    <w:rsid w:val="71996B2B"/>
    <w:rsid w:val="71E21F50"/>
    <w:rsid w:val="722021E3"/>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3706</Words>
  <Characters>3967</Characters>
  <Lines>51</Lines>
  <Paragraphs>14</Paragraphs>
  <TotalTime>1</TotalTime>
  <ScaleCrop>false</ScaleCrop>
  <LinksUpToDate>false</LinksUpToDate>
  <CharactersWithSpaces>4046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风起时想你</cp:lastModifiedBy>
  <dcterms:modified xsi:type="dcterms:W3CDTF">2025-08-29T07:25:56Z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EAE2519157504E9FABFD6C1DB42D78C0_13</vt:lpwstr>
  </property>
  <property fmtid="{D5CDD505-2E9C-101B-9397-08002B2CF9AE}" pid="4" name="KSOTemplateDocerSaveRecord">
    <vt:lpwstr>eyJoZGlkIjoiZDdlOGVmZjYwMTRjNjIzNzA5YTEwNDA3MTZmZWMyNWEiLCJ1c2VySWQiOiI3MDUzMjUwNzQifQ==</vt:lpwstr>
  </property>
</Properties>
</file>