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6756F">
      <w:pPr>
        <w:widowControl/>
        <w:spacing w:line="520" w:lineRule="atLeast"/>
        <w:ind w:firstLine="442" w:firstLineChars="100"/>
        <w:rPr>
          <w:rFonts w:ascii="黑体" w:hAnsi="黑体" w:eastAsia="黑体" w:cs="Times New Roman"/>
          <w:b/>
          <w:bCs/>
          <w:color w:val="000000" w:themeColor="text1"/>
          <w:kern w:val="0"/>
          <w:sz w:val="44"/>
          <w:szCs w:val="44"/>
          <w14:textFill>
            <w14:solidFill>
              <w14:schemeClr w14:val="tx1"/>
            </w14:solidFill>
          </w14:textFill>
        </w:rPr>
      </w:pPr>
      <w:r>
        <w:rPr>
          <w:rFonts w:hint="eastAsia" w:ascii="黑体" w:hAnsi="黑体" w:eastAsia="黑体" w:cs="Times New Roman"/>
          <w:b/>
          <w:bCs/>
          <w:color w:val="000000" w:themeColor="text1"/>
          <w:kern w:val="0"/>
          <w:sz w:val="44"/>
          <w:szCs w:val="44"/>
          <w14:textFill>
            <w14:solidFill>
              <w14:schemeClr w14:val="tx1"/>
            </w14:solidFill>
          </w14:textFill>
        </w:rPr>
        <w:t>庐山市牯岭镇人民政府2024年部门预算</w:t>
      </w:r>
    </w:p>
    <w:p w14:paraId="112A92EC">
      <w:pPr>
        <w:pStyle w:val="11"/>
        <w:spacing w:line="600" w:lineRule="atLeast"/>
        <w:ind w:firstLine="3840" w:firstLineChars="1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    录</w:t>
      </w:r>
    </w:p>
    <w:p w14:paraId="295322C8">
      <w:pPr>
        <w:pStyle w:val="11"/>
        <w:rPr>
          <w:rFonts w:ascii="宋体" w:hAnsi="宋体"/>
          <w:color w:val="000000" w:themeColor="text1"/>
          <w14:textFill>
            <w14:solidFill>
              <w14:schemeClr w14:val="tx1"/>
            </w14:solidFill>
          </w14:textFill>
        </w:rPr>
      </w:pPr>
    </w:p>
    <w:p w14:paraId="756A0B39">
      <w:pPr>
        <w:pStyle w:val="11"/>
        <w:tabs>
          <w:tab w:val="right" w:pos="8306"/>
        </w:tabs>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第一部分  庐山市牯岭镇人民政府概况</w:t>
      </w:r>
      <w:r>
        <w:rPr>
          <w:rFonts w:ascii="仿宋_GB2312" w:eastAsia="仿宋_GB2312"/>
          <w:b/>
          <w:bCs/>
          <w:color w:val="000000" w:themeColor="text1"/>
          <w:sz w:val="32"/>
          <w:szCs w:val="32"/>
          <w14:textFill>
            <w14:solidFill>
              <w14:schemeClr w14:val="tx1"/>
            </w14:solidFill>
          </w14:textFill>
        </w:rPr>
        <w:tab/>
      </w:r>
    </w:p>
    <w:p w14:paraId="003D8F3C">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14:textFill>
            <w14:solidFill>
              <w14:schemeClr w14:val="tx1"/>
            </w14:solidFill>
          </w14:textFill>
        </w:rPr>
        <w:t>一、部门主要职责</w:t>
      </w:r>
    </w:p>
    <w:p w14:paraId="54AC9848">
      <w:pPr>
        <w:pStyle w:val="11"/>
        <w:spacing w:line="600" w:lineRule="atLeast"/>
        <w:ind w:firstLine="1280" w:firstLineChars="40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14:paraId="7C5AF7CB">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第二部分  庐山市牯岭镇人民政府2024年部门预算表</w:t>
      </w:r>
    </w:p>
    <w:p w14:paraId="48E115B7">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14:paraId="7E0AE7C4">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二、《部门收入总表》</w:t>
      </w:r>
    </w:p>
    <w:p w14:paraId="036A45B0">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三、《部门支出总表》</w:t>
      </w:r>
    </w:p>
    <w:p w14:paraId="1F00319A">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14:paraId="657BB16B">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14:paraId="555232DB">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14:paraId="4D75E55B">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14:paraId="3EECC02E">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14:paraId="1B9582AC">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14:paraId="51C2D1C8">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部门整体支出绩效目标表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39F6C291">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十一、</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4A931782">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第三部分 庐山市牯岭镇人民政府2024年部门预算情况说明</w:t>
      </w:r>
    </w:p>
    <w:p w14:paraId="07F9A01C">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年部门预算收支情况说明</w:t>
      </w:r>
    </w:p>
    <w:p w14:paraId="0E800966">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 xml:space="preserve"> 二、202</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年“三公”经费预算情况说明</w:t>
      </w:r>
    </w:p>
    <w:p w14:paraId="3B1F38BE">
      <w:pPr>
        <w:pStyle w:val="11"/>
        <w:spacing w:line="600" w:lineRule="atLeast"/>
        <w:ind w:firstLine="643" w:firstLineChars="20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  名词解释</w:t>
      </w:r>
    </w:p>
    <w:p w14:paraId="5C48C5AB">
      <w:pPr>
        <w:widowControl/>
        <w:spacing w:line="580" w:lineRule="exact"/>
        <w:rPr>
          <w:rFonts w:ascii="仿宋_GB2312" w:eastAsia="仿宋_GB2312"/>
          <w:b/>
          <w:color w:val="000000" w:themeColor="text1"/>
          <w:sz w:val="32"/>
          <w:szCs w:val="30"/>
          <w14:textFill>
            <w14:solidFill>
              <w14:schemeClr w14:val="tx1"/>
            </w14:solidFill>
          </w14:textFill>
        </w:rPr>
      </w:pPr>
    </w:p>
    <w:p w14:paraId="6ED42901">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第一部分  </w:t>
      </w:r>
      <w:r>
        <w:rPr>
          <w:rFonts w:hint="eastAsia" w:ascii="仿宋_GB2312" w:eastAsia="仿宋_GB2312"/>
          <w:b/>
          <w:bCs/>
          <w:color w:val="000000" w:themeColor="text1"/>
          <w:sz w:val="32"/>
          <w:szCs w:val="32"/>
          <w14:textFill>
            <w14:solidFill>
              <w14:schemeClr w14:val="tx1"/>
            </w14:solidFill>
          </w14:textFill>
        </w:rPr>
        <w:t>庐山市牯岭镇人民政府</w:t>
      </w:r>
      <w:r>
        <w:rPr>
          <w:rFonts w:hint="eastAsia" w:ascii="仿宋_GB2312" w:eastAsia="仿宋_GB2312"/>
          <w:b/>
          <w:color w:val="000000" w:themeColor="text1"/>
          <w:sz w:val="32"/>
          <w:szCs w:val="30"/>
          <w14:textFill>
            <w14:solidFill>
              <w14:schemeClr w14:val="tx1"/>
            </w14:solidFill>
          </w14:textFill>
        </w:rPr>
        <w:t>概况</w:t>
      </w:r>
    </w:p>
    <w:p w14:paraId="5C35FD2E">
      <w:pPr>
        <w:widowControl/>
        <w:spacing w:line="580" w:lineRule="exact"/>
        <w:jc w:val="left"/>
        <w:rPr>
          <w:rFonts w:asciiTheme="minorEastAsia" w:hAnsiTheme="minorEastAsia"/>
          <w:b/>
          <w:color w:val="000000" w:themeColor="text1"/>
          <w:sz w:val="36"/>
          <w:szCs w:val="36"/>
          <w14:textFill>
            <w14:solidFill>
              <w14:schemeClr w14:val="tx1"/>
            </w14:solidFill>
          </w14:textFill>
        </w:rPr>
      </w:pPr>
    </w:p>
    <w:p w14:paraId="1E3EA441">
      <w:pPr>
        <w:widowControl/>
        <w:spacing w:line="580" w:lineRule="exact"/>
        <w:jc w:val="left"/>
        <w:rPr>
          <w:rFonts w:asciiTheme="minorEastAsia" w:hAnsiTheme="minorEastAsia"/>
          <w:b/>
          <w:color w:val="000000" w:themeColor="text1"/>
          <w:sz w:val="36"/>
          <w:szCs w:val="36"/>
          <w14:textFill>
            <w14:solidFill>
              <w14:schemeClr w14:val="tx1"/>
            </w14:solidFill>
          </w14:textFill>
        </w:rPr>
      </w:pPr>
      <w:r>
        <w:rPr>
          <w:rFonts w:hint="eastAsia" w:asciiTheme="minorEastAsia" w:hAnsiTheme="minorEastAsia"/>
          <w:b/>
          <w:color w:val="000000" w:themeColor="text1"/>
          <w:sz w:val="36"/>
          <w:szCs w:val="36"/>
          <w14:textFill>
            <w14:solidFill>
              <w14:schemeClr w14:val="tx1"/>
            </w14:solidFill>
          </w14:textFill>
        </w:rPr>
        <w:t>一、部门主要职责</w:t>
      </w:r>
    </w:p>
    <w:p w14:paraId="64302395">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庐山市牯岭镇人民政府是国家最基层的行政机关，依法行使政府管理和服务职能。</w:t>
      </w:r>
    </w:p>
    <w:p w14:paraId="25D20065">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一）加强党的建设。落实基层党建工作责任制，严格基层党组织“三化”建设，深入推进“两学一做”常态化工作，实现党的组织和工作全覆盖，提高党建工作的有效性。落实全面从严治党政治责任，推进全面从严治党，强化“两个责任”，抓好党风廉政建设和反腐败工作，强化纪律监督。落实意识形态工作责任，负责辖区宣传思想和精神文明建设，加强思想政治引领，构建意识形态大格局。充分发挥党在农村的政治领导力、思想引领力、群众组织力、社会号召力，确保党的路线方针政策在基层得到全面贯彻落实。</w:t>
      </w:r>
    </w:p>
    <w:p w14:paraId="0465E070">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二）推进区域发展。全面实施乡村振兴战略，统筹落实辖区发展的重大决策和建设规划，编制和执行经济发展规划，因地制宜发展区域特色经济。深化农村改革，加强农村土地承包合同管理，大力发展农村经济，推进农业农村现代化和城乡融合发展。加强辖区基础设施建设、农田水利建设和各项公益事业建设。指导辖区经济结构调整和推进经济增长方式转变，落实强农惠农措施，为经济主体提供示范引导和政策服务，引导和促进新型农村专业合作经济组织发展，维护经济秩序，营造公平、公正的发展环境，提高经济发展的质量和水平，努力增加农民收入。</w:t>
      </w:r>
    </w:p>
    <w:p w14:paraId="535FCF93">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三）加强公共服务。建立和完善镇级“三农”服务体系，组织实施与群众生活密切相关的各项公共服务，贯彻落实教育体育、民政、卫生健康、财政、科技、文化、旅游、人力资源和社会保障、医疗保障、扶贫移民、土地流转、村财代理、统计、退役军人事务管理等领域相关政策。拓宽服务渠道，改进服务方式，建立健全群众办事一次办结机制。推进镇村两级便民服务平台标准化建设，实施“一站式服务”“一站式办理”，提升群众获得感和幸福感。</w:t>
      </w:r>
    </w:p>
    <w:p w14:paraId="1DAB1EA9">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四）加强公共管理。实施综合管理，落实辖区内集镇管理、人口管理、社会管理、生态环境保护、文明创建等区域性、综合性社会管理工作，协助市场监管、综合执法等工作，承担组织领导、推进实施、综合协调等职责。落实辖区内相关行政事务的常态化管理，统筹协调区域内相关力量，做好监督检查等事中事后监管工作，组织开展群众监督和社会监督。</w:t>
      </w:r>
    </w:p>
    <w:p w14:paraId="48C3EE38">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五）加强公共安全。承担辖区平安建设和社会治安综合治理工作，全面加强网格化建设，落实社会矛盾纠纷排查调处机制，健全多元纠纷解决机制，综合发挥人民调解、行政调解和司法调解的作用，及时化解辖区社会矛盾，确保社会稳定。负责辖区公共安全及安全生产监管，构建公共安全防控体系，建立应对突发紧急事件的处理预案，做好安全生产、防汛、防火、防疫、气象灾害防御、减灾救灾、食品药品安全等应急管理工作。</w:t>
      </w:r>
    </w:p>
    <w:p w14:paraId="1F96B65C">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六）领导基层自治。领导村（居）民委员会建设，健全自治平台，推进村（居）民委员会自治；组织村（居）民和单位参与村（社区）建设和管理，健全完善自治、法治、德治相结合的基层治理体系。动员辖区内各类单位、社会组织和村（居）民等社会力量参与村（社区）治理，引导辖区单位履行社会责任，整合区域内各种社会力量为乡村发展服务。</w:t>
      </w:r>
    </w:p>
    <w:p w14:paraId="73DE9CFE">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（七）监督专业管理。协助开展辖区综合行政执法，并组织开展群众监督和社会监督。</w:t>
      </w:r>
    </w:p>
    <w:p w14:paraId="3E39B79B">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（八）做好国防教育和兵役工作。</w:t>
      </w:r>
    </w:p>
    <w:p w14:paraId="47458E8C">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（九）贯彻执行法律、法规、规章规定的其他事项，完成市委、市政府交办的其他任务。</w:t>
      </w:r>
    </w:p>
    <w:p w14:paraId="527A7783">
      <w:pPr>
        <w:rPr>
          <w:rFonts w:ascii="仿宋" w:hAnsi="仿宋" w:eastAsia="仿宋"/>
          <w:color w:val="000000" w:themeColor="text1"/>
          <w:sz w:val="32"/>
          <w:szCs w:val="32"/>
          <w14:textFill>
            <w14:solidFill>
              <w14:schemeClr w14:val="tx1"/>
            </w14:solidFill>
          </w14:textFill>
        </w:rPr>
      </w:pPr>
    </w:p>
    <w:p w14:paraId="3F47B096">
      <w:pP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二、机构设置及人员情况</w:t>
      </w:r>
    </w:p>
    <w:p w14:paraId="3C4E35B9">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w:t>
      </w:r>
      <w:r>
        <w:rPr>
          <w:rFonts w:hint="eastAsia" w:ascii="仿宋" w:hAnsi="仿宋" w:eastAsia="仿宋"/>
          <w:color w:val="000000" w:themeColor="text1"/>
          <w:sz w:val="32"/>
          <w:szCs w:val="32"/>
          <w14:textFill>
            <w14:solidFill>
              <w14:schemeClr w14:val="tx1"/>
            </w14:solidFill>
          </w14:textFill>
        </w:rPr>
        <w:t>4年庐山市牯岭镇人民政府共有预算单位2</w:t>
      </w:r>
      <w:r>
        <w:rPr>
          <w:rFonts w:ascii="仿宋" w:hAnsi="仿宋" w:eastAsia="仿宋"/>
          <w:color w:val="000000" w:themeColor="text1"/>
          <w:sz w:val="32"/>
          <w:szCs w:val="32"/>
          <w14:textFill>
            <w14:solidFill>
              <w14:schemeClr w14:val="tx1"/>
            </w14:solidFill>
          </w14:textFill>
        </w:rPr>
        <w:t>个，包括</w:t>
      </w:r>
      <w:r>
        <w:rPr>
          <w:rFonts w:hint="eastAsia" w:ascii="仿宋" w:hAnsi="仿宋" w:eastAsia="仿宋"/>
          <w:color w:val="000000" w:themeColor="text1"/>
          <w:sz w:val="32"/>
          <w:szCs w:val="32"/>
          <w14:textFill>
            <w14:solidFill>
              <w14:schemeClr w14:val="tx1"/>
            </w14:solidFill>
          </w14:textFill>
        </w:rPr>
        <w:t>牯岭镇人民政府</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${page400644146.ds204012617_BMQKZDY_DIVNUMQK}</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和</w:t>
      </w:r>
      <w:r>
        <w:rPr>
          <w:rFonts w:hint="eastAsia" w:ascii="仿宋" w:hAnsi="仿宋" w:eastAsia="仿宋"/>
          <w:color w:val="000000" w:themeColor="text1"/>
          <w:sz w:val="32"/>
          <w:szCs w:val="32"/>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t>个二级预算单位</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二级预算单位具体包括：牯岭镇人民政府（本级）。</w:t>
      </w:r>
    </w:p>
    <w:p w14:paraId="1F6FBBC6">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${page400644146.ds532982397_REP_JX_BAS_AGENCY_INFO_ZYFRS_S_BZRSXJ}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编制人数小计</w:t>
      </w:r>
      <w:r>
        <w:rPr>
          <w:rFonts w:hint="eastAsia" w:ascii="仿宋" w:hAnsi="仿宋" w:eastAsia="仿宋"/>
          <w:color w:val="000000" w:themeColor="text1"/>
          <w:sz w:val="32"/>
          <w:szCs w:val="32"/>
          <w14:textFill>
            <w14:solidFill>
              <w14:schemeClr w14:val="tx1"/>
            </w14:solidFill>
          </w14:textFill>
        </w:rPr>
        <w:t>77</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${page400644146.ds532982397_REP_JX_BAS_AGENCY_INFO_ZYFRS_S_BZRSMX}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行政编制人数</w:t>
      </w:r>
      <w:r>
        <w:rPr>
          <w:rFonts w:hint="eastAsia" w:ascii="仿宋" w:hAnsi="仿宋" w:eastAsia="仿宋"/>
          <w:color w:val="000000" w:themeColor="text1"/>
          <w:sz w:val="32"/>
          <w:szCs w:val="32"/>
          <w14:textFill>
            <w14:solidFill>
              <w14:schemeClr w14:val="tx1"/>
            </w14:solidFill>
          </w14:textFill>
        </w:rPr>
        <w:t>23</w:t>
      </w:r>
      <w:r>
        <w:rPr>
          <w:rFonts w:ascii="仿宋" w:hAnsi="仿宋" w:eastAsia="仿宋"/>
          <w:color w:val="000000" w:themeColor="text1"/>
          <w:sz w:val="32"/>
          <w:szCs w:val="32"/>
          <w14:textFill>
            <w14:solidFill>
              <w14:schemeClr w14:val="tx1"/>
            </w14:solidFill>
          </w14:textFill>
        </w:rPr>
        <w:t>人,全部补</w:t>
      </w:r>
      <w:bookmarkStart w:id="0" w:name="_GoBack"/>
      <w:bookmarkEnd w:id="0"/>
      <w:r>
        <w:rPr>
          <w:rFonts w:ascii="仿宋" w:hAnsi="仿宋" w:eastAsia="仿宋"/>
          <w:color w:val="000000" w:themeColor="text1"/>
          <w:sz w:val="32"/>
          <w:szCs w:val="32"/>
          <w14:textFill>
            <w14:solidFill>
              <w14:schemeClr w14:val="tx1"/>
            </w14:solidFill>
          </w14:textFill>
        </w:rPr>
        <w:t>助事业编制人数</w:t>
      </w:r>
      <w:r>
        <w:rPr>
          <w:rFonts w:hint="eastAsia" w:ascii="仿宋" w:hAnsi="仿宋" w:eastAsia="仿宋"/>
          <w:color w:val="000000" w:themeColor="text1"/>
          <w:sz w:val="32"/>
          <w:szCs w:val="32"/>
          <w14:textFill>
            <w14:solidFill>
              <w14:schemeClr w14:val="tx1"/>
            </w14:solidFill>
          </w14:textFill>
        </w:rPr>
        <w:t>54</w:t>
      </w:r>
      <w:r>
        <w:rPr>
          <w:rFonts w:ascii="仿宋" w:hAnsi="仿宋" w:eastAsia="仿宋"/>
          <w:color w:val="000000" w:themeColor="text1"/>
          <w:sz w:val="32"/>
          <w:szCs w:val="32"/>
          <w14:textFill>
            <w14:solidFill>
              <w14:schemeClr w14:val="tx1"/>
            </w14:solidFill>
          </w14:textFill>
        </w:rPr>
        <w:t>人,部分补助事业编制人数</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${page400644146.ds532982397_REP_JX_BAS_AGENCY_INFO_ZYFRS_S_SYRSXJ}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实有人数小计</w:t>
      </w:r>
      <w:r>
        <w:rPr>
          <w:rFonts w:hint="eastAsia" w:ascii="仿宋" w:hAnsi="仿宋" w:eastAsia="仿宋"/>
          <w:color w:val="000000" w:themeColor="text1"/>
          <w:sz w:val="32"/>
          <w:szCs w:val="32"/>
          <w:lang w:val="en-US" w:eastAsia="zh-CN"/>
          <w14:textFill>
            <w14:solidFill>
              <w14:schemeClr w14:val="tx1"/>
            </w14:solidFill>
          </w14:textFill>
        </w:rPr>
        <w:t>101</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在职人数小计101人,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行政在职人数</w:t>
      </w:r>
      <w:r>
        <w:rPr>
          <w:rFonts w:hint="eastAsia" w:ascii="仿宋" w:hAnsi="仿宋" w:eastAsia="仿宋"/>
          <w:color w:val="000000" w:themeColor="text1"/>
          <w:sz w:val="32"/>
          <w:szCs w:val="32"/>
          <w14:textFill>
            <w14:solidFill>
              <w14:schemeClr w14:val="tx1"/>
            </w14:solidFill>
          </w14:textFill>
        </w:rPr>
        <w:t>24</w:t>
      </w:r>
      <w:r>
        <w:rPr>
          <w:rFonts w:ascii="仿宋" w:hAnsi="仿宋" w:eastAsia="仿宋"/>
          <w:color w:val="000000" w:themeColor="text1"/>
          <w:sz w:val="32"/>
          <w:szCs w:val="32"/>
          <w14:textFill>
            <w14:solidFill>
              <w14:schemeClr w14:val="tx1"/>
            </w14:solidFill>
          </w14:textFill>
        </w:rPr>
        <w:t>人,全部补助事业在职人数</w:t>
      </w:r>
      <w:r>
        <w:rPr>
          <w:rFonts w:hint="eastAsia" w:ascii="仿宋" w:hAnsi="仿宋" w:eastAsia="仿宋"/>
          <w:color w:val="000000" w:themeColor="text1"/>
          <w:sz w:val="32"/>
          <w:szCs w:val="32"/>
          <w14:textFill>
            <w14:solidFill>
              <w14:schemeClr w14:val="tx1"/>
            </w14:solidFill>
          </w14:textFill>
        </w:rPr>
        <w:t>52</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14:textFill>
            <w14:solidFill>
              <w14:schemeClr w14:val="tx1"/>
            </w14:solidFill>
          </w14:textFill>
        </w:rPr>
        <w:t>，归口管理全额补助事业在职16人、自收自支事业在职人数9人</w:t>
      </w:r>
      <w:r>
        <w:rPr>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${page400644146.ds532982397_REP_JX_BAS_AGENCY_INFO_ZYFRS_S_QTRSMX}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离休人数小计</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人,退休人数小计</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14:textFill>
            <w14:solidFill>
              <w14:schemeClr w14:val="tx1"/>
            </w14:solidFill>
          </w14:textFill>
        </w:rPr>
        <w:t>（由社保部门发放退休费人数5</w:t>
      </w:r>
      <w:r>
        <w:rPr>
          <w:rFonts w:ascii="仿宋" w:hAnsi="仿宋" w:eastAsia="仿宋"/>
          <w:color w:val="000000" w:themeColor="text1"/>
          <w:sz w:val="32"/>
          <w:szCs w:val="32"/>
          <w14:textFill>
            <w14:solidFill>
              <w14:schemeClr w14:val="tx1"/>
            </w14:solidFill>
          </w14:textFill>
        </w:rPr>
        <w:t>9</w:t>
      </w:r>
      <w:r>
        <w:rPr>
          <w:rFonts w:hint="eastAsia" w:ascii="仿宋" w:hAnsi="仿宋" w:eastAsia="仿宋"/>
          <w:color w:val="000000" w:themeColor="text1"/>
          <w:sz w:val="32"/>
          <w:szCs w:val="32"/>
          <w14:textFill>
            <w14:solidFill>
              <w14:schemeClr w14:val="tx1"/>
            </w14:solidFill>
          </w14:textFill>
        </w:rPr>
        <w:t>人）</w:t>
      </w:r>
      <w:r>
        <w:rPr>
          <w:rFonts w:ascii="仿宋" w:hAnsi="仿宋" w:eastAsia="仿宋"/>
          <w:color w:val="000000" w:themeColor="text1"/>
          <w:sz w:val="32"/>
          <w:szCs w:val="32"/>
          <w14:textFill>
            <w14:solidFill>
              <w14:schemeClr w14:val="tx1"/>
            </w14:solidFill>
          </w14:textFill>
        </w:rPr>
        <w:t>,遗属人数</w:t>
      </w:r>
      <w:r>
        <w:rPr>
          <w:rFonts w:hint="eastAsia" w:ascii="仿宋" w:hAnsi="仿宋" w:eastAsia="仿宋"/>
          <w:color w:val="000000" w:themeColor="text1"/>
          <w:sz w:val="32"/>
          <w:szCs w:val="32"/>
          <w14:textFill>
            <w14:solidFill>
              <w14:schemeClr w14:val="tx1"/>
            </w14:solidFill>
          </w14:textFill>
        </w:rPr>
        <w:t>3</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p>
    <w:p w14:paraId="1C834BEF">
      <w:pPr>
        <w:ind w:firstLine="640" w:firstLineChars="200"/>
        <w:rPr>
          <w:rFonts w:ascii="仿宋" w:hAnsi="仿宋" w:eastAsia="仿宋"/>
          <w:color w:val="000000" w:themeColor="text1"/>
          <w:sz w:val="32"/>
          <w:szCs w:val="32"/>
          <w14:textFill>
            <w14:solidFill>
              <w14:schemeClr w14:val="tx1"/>
            </w14:solidFill>
          </w14:textFill>
        </w:rPr>
      </w:pPr>
    </w:p>
    <w:p w14:paraId="7404E1B8">
      <w:pPr>
        <w:ind w:firstLine="640" w:firstLineChars="200"/>
        <w:rPr>
          <w:rFonts w:ascii="仿宋" w:hAnsi="仿宋" w:eastAsia="仿宋"/>
          <w:color w:val="000000" w:themeColor="text1"/>
          <w:sz w:val="32"/>
          <w:szCs w:val="32"/>
          <w14:textFill>
            <w14:solidFill>
              <w14:schemeClr w14:val="tx1"/>
            </w14:solidFill>
          </w14:textFill>
        </w:rPr>
      </w:pPr>
    </w:p>
    <w:p w14:paraId="7A543E23">
      <w:pPr>
        <w:widowControl/>
        <w:spacing w:line="580" w:lineRule="exact"/>
        <w:jc w:val="center"/>
        <w:rPr>
          <w:rFonts w:ascii="仿宋_GB2312" w:eastAsia="仿宋_GB2312"/>
          <w:b/>
          <w:color w:val="000000" w:themeColor="text1"/>
          <w:szCs w:val="30"/>
          <w14:textFill>
            <w14:solidFill>
              <w14:schemeClr w14:val="tx1"/>
            </w14:solidFill>
          </w14:textFill>
        </w:rPr>
      </w:pPr>
    </w:p>
    <w:p w14:paraId="0CE0ACF2">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第二部分  庐山市牯岭镇人民政府2024年部门预算表</w:t>
      </w:r>
    </w:p>
    <w:p w14:paraId="22576681">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（详见附表）</w:t>
      </w:r>
    </w:p>
    <w:p w14:paraId="0E042B3F">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50FBD532">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682EB9AD">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63960BDF">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0E5244AE">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05217273">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6F3051D5">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2BC05117">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69EEBFD2">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0177C604">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33D0CD4D">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5C0C5D56">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0BF3AAD0">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hAnsi="Calibri" w:eastAsia="仿宋_GB2312" w:cs="宋体"/>
          <w:b/>
          <w:color w:val="000000" w:themeColor="text1"/>
          <w:kern w:val="0"/>
          <w:sz w:val="32"/>
          <w:szCs w:val="32"/>
          <w14:textFill>
            <w14:solidFill>
              <w14:schemeClr w14:val="tx1"/>
            </w14:solidFill>
          </w14:textFill>
        </w:rPr>
        <w:t xml:space="preserve">第三部分 </w:t>
      </w:r>
      <w:r>
        <w:rPr>
          <w:rFonts w:hint="eastAsia" w:ascii="仿宋_GB2312" w:eastAsia="仿宋_GB2312"/>
          <w:b/>
          <w:color w:val="000000" w:themeColor="text1"/>
          <w:sz w:val="32"/>
          <w:szCs w:val="30"/>
          <w14:textFill>
            <w14:solidFill>
              <w14:schemeClr w14:val="tx1"/>
            </w14:solidFill>
          </w14:textFill>
        </w:rPr>
        <w:t xml:space="preserve"> 庐山市牯岭镇人民政府2024年部门预算情况</w:t>
      </w:r>
    </w:p>
    <w:p w14:paraId="1DEC9DAB">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说明</w:t>
      </w:r>
    </w:p>
    <w:p w14:paraId="19697421">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7D98C2A4">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一、2024年部门预算收支情况说明</w:t>
      </w:r>
    </w:p>
    <w:p w14:paraId="687017AB">
      <w:pPr>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(一)收入预算情况</w:t>
      </w:r>
    </w:p>
    <w:p w14:paraId="2F48F255">
      <w:pPr>
        <w:widowControl/>
        <w:ind w:firstLine="640" w:firstLineChars="200"/>
        <w:rPr>
          <w:rFonts w:ascii="仿宋" w:hAnsi="仿宋" w:eastAsia="仿宋" w:cs="Times New Roman"/>
          <w:color w:val="000000" w:themeColor="text1"/>
          <w:kern w:val="0"/>
          <w:sz w:val="32"/>
          <w14:textFill>
            <w14:solidFill>
              <w14:schemeClr w14:val="tx1"/>
            </w14:solidFill>
          </w14:textFill>
        </w:rPr>
      </w:pPr>
      <w:r>
        <w:rPr>
          <w:rFonts w:ascii="仿宋" w:hAnsi="仿宋" w:eastAsia="仿宋" w:cs="Times New Roman"/>
          <w:color w:val="000000" w:themeColor="text1"/>
          <w:kern w:val="0"/>
          <w:sz w:val="32"/>
          <w:szCs w:val="32"/>
          <w14:textFill>
            <w14:solidFill>
              <w14:schemeClr w14:val="tx1"/>
            </w14:solidFill>
          </w14:textFill>
        </w:rPr>
        <w:t>202</w:t>
      </w:r>
      <w:r>
        <w:rPr>
          <w:rFonts w:hint="eastAsia" w:ascii="仿宋" w:hAnsi="仿宋" w:eastAsia="仿宋" w:cs="Times New Roman"/>
          <w:color w:val="000000" w:themeColor="text1"/>
          <w:kern w:val="0"/>
          <w:sz w:val="32"/>
          <w:szCs w:val="32"/>
          <w14:textFill>
            <w14:solidFill>
              <w14:schemeClr w14:val="tx1"/>
            </w14:solidFill>
          </w14:textFill>
        </w:rPr>
        <w:t>4年</w:t>
      </w:r>
      <w:r>
        <w:rPr>
          <w:rFonts w:hint="eastAsia" w:ascii="仿宋_GB2312" w:eastAsia="仿宋_GB2312"/>
          <w:b/>
          <w:color w:val="000000" w:themeColor="text1"/>
          <w:sz w:val="32"/>
          <w:szCs w:val="30"/>
          <w14:textFill>
            <w14:solidFill>
              <w14:schemeClr w14:val="tx1"/>
            </w14:solidFill>
          </w14:textFill>
        </w:rPr>
        <w:t>庐山市牯岭镇人民政府</w:t>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${page400644146.ds509943833_V_BGT_DEP_INCOME_DXQ01_ZJ}</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收入预算总额为</w:t>
      </w:r>
      <w:r>
        <w:rPr>
          <w:rFonts w:hint="eastAsia" w:ascii="仿宋" w:hAnsi="仿宋" w:eastAsia="仿宋" w:cs="Times New Roman"/>
          <w:color w:val="000000" w:themeColor="text1"/>
          <w:kern w:val="0"/>
          <w:sz w:val="32"/>
          <w:szCs w:val="32"/>
          <w14:textFill>
            <w14:solidFill>
              <w14:schemeClr w14:val="tx1"/>
            </w14:solidFill>
          </w14:textFill>
        </w:rPr>
        <w:t>3365.88</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14:textFill>
            <w14:solidFill>
              <w14:schemeClr w14:val="tx1"/>
            </w14:solidFill>
          </w14:textFill>
        </w:rPr>
        <w:t>1582.96</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${page400644146.ds509943833_V_BGT_DEP_INCOME_DXQ01_SRXMMX}</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财政拨款收入</w:t>
      </w:r>
      <w:r>
        <w:rPr>
          <w:rFonts w:hint="eastAsia" w:ascii="仿宋" w:hAnsi="仿宋" w:eastAsia="仿宋" w:cs="Times New Roman"/>
          <w:color w:val="000000" w:themeColor="text1"/>
          <w:kern w:val="0"/>
          <w:sz w:val="32"/>
          <w:szCs w:val="32"/>
          <w14:textFill>
            <w14:solidFill>
              <w14:schemeClr w14:val="tx1"/>
            </w14:solidFill>
          </w14:textFill>
        </w:rPr>
        <w:t>2853.18</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14:textFill>
            <w14:solidFill>
              <w14:schemeClr w14:val="tx1"/>
            </w14:solidFill>
          </w14:textFill>
        </w:rPr>
        <w:t>1144.93</w:t>
      </w:r>
      <w:r>
        <w:rPr>
          <w:rFonts w:ascii="仿宋" w:hAnsi="仿宋" w:eastAsia="仿宋" w:cs="Times New Roman"/>
          <w:color w:val="000000" w:themeColor="text1"/>
          <w:kern w:val="0"/>
          <w:sz w:val="32"/>
          <w:szCs w:val="32"/>
          <w14:textFill>
            <w14:solidFill>
              <w14:schemeClr w14:val="tx1"/>
            </w14:solidFill>
          </w14:textFill>
        </w:rPr>
        <w:t>万元;事业单位经营收入</w:t>
      </w:r>
      <w:r>
        <w:rPr>
          <w:rFonts w:hint="eastAsia" w:ascii="仿宋" w:hAnsi="仿宋" w:eastAsia="仿宋" w:cs="Times New Roman"/>
          <w:color w:val="000000" w:themeColor="text1"/>
          <w:kern w:val="0"/>
          <w:sz w:val="32"/>
          <w:szCs w:val="32"/>
          <w14:textFill>
            <w14:solidFill>
              <w14:schemeClr w14:val="tx1"/>
            </w14:solidFill>
          </w14:textFill>
        </w:rPr>
        <w:t>461</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14:textFill>
            <w14:solidFill>
              <w14:schemeClr w14:val="tx1"/>
            </w14:solidFill>
          </w14:textFill>
        </w:rPr>
        <w:t>461</w:t>
      </w:r>
      <w:r>
        <w:rPr>
          <w:rFonts w:ascii="仿宋" w:hAnsi="仿宋" w:eastAsia="仿宋" w:cs="Times New Roman"/>
          <w:color w:val="000000" w:themeColor="text1"/>
          <w:kern w:val="0"/>
          <w:sz w:val="32"/>
          <w:szCs w:val="32"/>
          <w14:textFill>
            <w14:solidFill>
              <w14:schemeClr w14:val="tx1"/>
            </w14:solidFill>
          </w14:textFill>
        </w:rPr>
        <w:t>万</w:t>
      </w:r>
      <w:r>
        <w:rPr>
          <w:rFonts w:hint="eastAsia" w:ascii="仿宋" w:hAnsi="仿宋" w:eastAsia="仿宋" w:cs="Times New Roman"/>
          <w:color w:val="000000" w:themeColor="text1"/>
          <w:kern w:val="0"/>
          <w:sz w:val="32"/>
          <w:szCs w:val="32"/>
          <w14:textFill>
            <w14:solidFill>
              <w14:schemeClr w14:val="tx1"/>
            </w14:solidFill>
          </w14:textFill>
        </w:rPr>
        <w:t>元；上年结转5</w:t>
      </w:r>
      <w:r>
        <w:rPr>
          <w:rFonts w:ascii="仿宋" w:hAnsi="仿宋" w:eastAsia="仿宋" w:cs="Times New Roman"/>
          <w:color w:val="000000" w:themeColor="text1"/>
          <w:kern w:val="0"/>
          <w:sz w:val="32"/>
          <w:szCs w:val="32"/>
          <w14:textFill>
            <w14:solidFill>
              <w14:schemeClr w14:val="tx1"/>
            </w14:solidFill>
          </w14:textFill>
        </w:rPr>
        <w:t>1.7</w:t>
      </w:r>
      <w:r>
        <w:rPr>
          <w:rFonts w:hint="eastAsia" w:ascii="仿宋" w:hAnsi="仿宋" w:eastAsia="仿宋" w:cs="Times New Roman"/>
          <w:color w:val="000000" w:themeColor="text1"/>
          <w:kern w:val="0"/>
          <w:sz w:val="32"/>
          <w:szCs w:val="32"/>
          <w14:textFill>
            <w14:solidFill>
              <w14:schemeClr w14:val="tx1"/>
            </w14:solidFill>
          </w14:textFill>
        </w:rPr>
        <w:t>万元，较上年预算安排增加5</w:t>
      </w:r>
      <w:r>
        <w:rPr>
          <w:rFonts w:ascii="仿宋" w:hAnsi="仿宋" w:eastAsia="仿宋" w:cs="Times New Roman"/>
          <w:color w:val="000000" w:themeColor="text1"/>
          <w:kern w:val="0"/>
          <w:sz w:val="32"/>
          <w:szCs w:val="32"/>
          <w14:textFill>
            <w14:solidFill>
              <w14:schemeClr w14:val="tx1"/>
            </w14:solidFill>
          </w14:textFill>
        </w:rPr>
        <w:t>1.7</w:t>
      </w:r>
      <w:r>
        <w:rPr>
          <w:rFonts w:hint="eastAsia" w:ascii="仿宋" w:hAnsi="仿宋" w:eastAsia="仿宋" w:cs="Times New Roman"/>
          <w:color w:val="000000" w:themeColor="text1"/>
          <w:kern w:val="0"/>
          <w:sz w:val="32"/>
          <w:szCs w:val="32"/>
          <w14:textFill>
            <w14:solidFill>
              <w14:schemeClr w14:val="tx1"/>
            </w14:solidFill>
          </w14:textFill>
        </w:rPr>
        <w:t>万元</w:t>
      </w:r>
      <w:r>
        <w:rPr>
          <w:rFonts w:ascii="仿宋" w:hAnsi="仿宋" w:eastAsia="仿宋" w:cs="Times New Roman"/>
          <w:color w:val="000000" w:themeColor="text1"/>
          <w:kern w:val="0"/>
          <w:sz w:val="32"/>
          <w:szCs w:val="32"/>
          <w14:textFill>
            <w14:solidFill>
              <w14:schemeClr w14:val="tx1"/>
            </w14:solidFill>
          </w14:textFill>
        </w:rPr>
        <w:t>。</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14:textFill>
            <w14:solidFill>
              <w14:schemeClr w14:val="tx1"/>
            </w14:solidFill>
          </w14:textFill>
        </w:rPr>
        <w:t>增加变化原因为部门职能拓展、人员增加及两个自收自支事业单位事业经营收入纳入年初预算。</w:t>
      </w:r>
    </w:p>
    <w:p w14:paraId="1C858059">
      <w:pPr>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(二)支出预算情况</w:t>
      </w:r>
    </w:p>
    <w:p w14:paraId="48998529">
      <w:pPr>
        <w:widowControl/>
        <w:ind w:firstLine="640" w:firstLineChars="200"/>
        <w:rPr>
          <w:rFonts w:ascii="仿宋" w:hAnsi="仿宋" w:eastAsia="仿宋" w:cs="Times New Roman"/>
          <w:color w:val="000000" w:themeColor="text1"/>
          <w:kern w:val="0"/>
          <w:sz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2</w:t>
      </w:r>
      <w:r>
        <w:rPr>
          <w:rStyle w:val="10"/>
          <w:rFonts w:ascii="仿宋" w:hAnsi="仿宋" w:eastAsia="仿宋"/>
          <w:color w:val="000000" w:themeColor="text1"/>
          <w:sz w:val="32"/>
          <w:szCs w:val="32"/>
          <w14:textFill>
            <w14:solidFill>
              <w14:schemeClr w14:val="tx1"/>
            </w14:solidFill>
          </w14:textFill>
        </w:rPr>
        <w:t>02</w:t>
      </w:r>
      <w:r>
        <w:rPr>
          <w:rStyle w:val="10"/>
          <w:rFonts w:hint="eastAsia" w:ascii="仿宋" w:hAnsi="仿宋" w:eastAsia="仿宋"/>
          <w:color w:val="000000" w:themeColor="text1"/>
          <w:sz w:val="32"/>
          <w:szCs w:val="32"/>
          <w14:textFill>
            <w14:solidFill>
              <w14:schemeClr w14:val="tx1"/>
            </w14:solidFill>
          </w14:textFill>
        </w:rPr>
        <w:t>4年</w:t>
      </w:r>
      <w:r>
        <w:rPr>
          <w:rFonts w:hint="eastAsia" w:ascii="仿宋_GB2312" w:eastAsia="仿宋_GB2312"/>
          <w:b/>
          <w:color w:val="000000" w:themeColor="text1"/>
          <w:sz w:val="32"/>
          <w:szCs w:val="30"/>
          <w14:textFill>
            <w14:solidFill>
              <w14:schemeClr w14:val="tx1"/>
            </w14:solidFill>
          </w14:textFill>
        </w:rPr>
        <w:t>庐山市牯岭镇人民政府</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${page400644146.ds215660413_REP_BGT_T_HC1100002019_DXQ02_S_ZJ}</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支出预算总额为</w:t>
      </w:r>
      <w:r>
        <w:rPr>
          <w:rStyle w:val="10"/>
          <w:rFonts w:hint="eastAsia" w:ascii="仿宋" w:hAnsi="仿宋" w:eastAsia="仿宋"/>
          <w:color w:val="000000" w:themeColor="text1"/>
          <w:sz w:val="32"/>
          <w:szCs w:val="32"/>
          <w14:textFill>
            <w14:solidFill>
              <w14:schemeClr w14:val="tx1"/>
            </w14:solidFill>
          </w14:textFill>
        </w:rPr>
        <w:t>3365.88</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1582.96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14:textFill>
            <w14:solidFill>
              <w14:schemeClr w14:val="tx1"/>
            </w14:solidFill>
          </w14:textFill>
        </w:rPr>
        <w:t>增加变化原因为单位职能拓展、人员增加及两个自收自支事业单位事业经营收入纳入年初预算。</w:t>
      </w:r>
    </w:p>
    <w:p w14:paraId="449663E4">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其中：按支出项目类别划分：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基本支出</w:t>
      </w:r>
      <w:r>
        <w:rPr>
          <w:rStyle w:val="10"/>
          <w:rFonts w:hint="eastAsia" w:ascii="仿宋" w:hAnsi="仿宋" w:eastAsia="仿宋"/>
          <w:color w:val="000000" w:themeColor="text1"/>
          <w:sz w:val="32"/>
          <w:szCs w:val="32"/>
          <w14:textFill>
            <w14:solidFill>
              <w14:schemeClr w14:val="tx1"/>
            </w14:solidFill>
          </w14:textFill>
        </w:rPr>
        <w:t>1619.56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411.31</w:t>
      </w:r>
      <w:r>
        <w:rPr>
          <w:rStyle w:val="10"/>
          <w:rFonts w:ascii="仿宋" w:hAnsi="仿宋" w:eastAsia="仿宋"/>
          <w:color w:val="000000" w:themeColor="text1"/>
          <w:sz w:val="32"/>
          <w:szCs w:val="32"/>
          <w14:textFill>
            <w14:solidFill>
              <w14:schemeClr w14:val="tx1"/>
            </w14:solidFill>
          </w14:textFill>
        </w:rPr>
        <w:t>万元;其中：工资福利支出</w:t>
      </w:r>
      <w:r>
        <w:rPr>
          <w:rStyle w:val="10"/>
          <w:rFonts w:hint="eastAsia" w:ascii="仿宋" w:hAnsi="仿宋" w:eastAsia="仿宋"/>
          <w:color w:val="000000" w:themeColor="text1"/>
          <w:sz w:val="32"/>
          <w:szCs w:val="32"/>
          <w14:textFill>
            <w14:solidFill>
              <w14:schemeClr w14:val="tx1"/>
            </w14:solidFill>
          </w14:textFill>
        </w:rPr>
        <w:t>1432.35</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14:textFill>
            <w14:solidFill>
              <w14:schemeClr w14:val="tx1"/>
            </w14:solidFill>
          </w14:textFill>
        </w:rPr>
        <w:t>184</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14:textFill>
            <w14:solidFill>
              <w14:schemeClr w14:val="tx1"/>
            </w14:solidFill>
          </w14:textFill>
        </w:rPr>
        <w:t>3.21</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项目支出</w:t>
      </w:r>
      <w:r>
        <w:rPr>
          <w:rStyle w:val="10"/>
          <w:rFonts w:hint="eastAsia" w:ascii="仿宋" w:hAnsi="仿宋" w:eastAsia="仿宋"/>
          <w:color w:val="000000" w:themeColor="text1"/>
          <w:sz w:val="32"/>
          <w:szCs w:val="32"/>
          <w14:textFill>
            <w14:solidFill>
              <w14:schemeClr w14:val="tx1"/>
            </w14:solidFill>
          </w14:textFill>
        </w:rPr>
        <w:t>1746.32</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1171.65</w:t>
      </w:r>
      <w:r>
        <w:rPr>
          <w:rStyle w:val="10"/>
          <w:rFonts w:ascii="仿宋" w:hAnsi="仿宋" w:eastAsia="仿宋"/>
          <w:color w:val="000000" w:themeColor="text1"/>
          <w:sz w:val="32"/>
          <w:szCs w:val="32"/>
          <w14:textFill>
            <w14:solidFill>
              <w14:schemeClr w14:val="tx1"/>
            </w14:solidFill>
          </w14:textFill>
        </w:rPr>
        <w:t>万元;其中：商品和服务支出</w:t>
      </w:r>
      <w:r>
        <w:rPr>
          <w:rStyle w:val="10"/>
          <w:rFonts w:hint="eastAsia" w:ascii="仿宋" w:hAnsi="仿宋" w:eastAsia="仿宋"/>
          <w:color w:val="000000" w:themeColor="text1"/>
          <w:sz w:val="32"/>
          <w:szCs w:val="32"/>
          <w14:textFill>
            <w14:solidFill>
              <w14:schemeClr w14:val="tx1"/>
            </w14:solidFill>
          </w14:textFill>
        </w:rPr>
        <w:t>1746.32</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5882EE2E">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按支出功能科目划分：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${page400644146.ds247441498_REP_BGT_T_HC1100002019DXQ01_GNZJMX}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14:textFill>
            <w14:solidFill>
              <w14:schemeClr w14:val="tx1"/>
            </w14:solidFill>
          </w14:textFill>
        </w:rPr>
        <w:t>2176.43</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1141.04</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社会保障和就业支出177.77万元，较上年预算安排增加47.69万元；</w:t>
      </w:r>
      <w:r>
        <w:rPr>
          <w:rStyle w:val="10"/>
          <w:rFonts w:ascii="仿宋" w:hAnsi="仿宋" w:eastAsia="仿宋"/>
          <w:color w:val="000000" w:themeColor="text1"/>
          <w:sz w:val="32"/>
          <w:szCs w:val="32"/>
          <w14:textFill>
            <w14:solidFill>
              <w14:schemeClr w14:val="tx1"/>
            </w14:solidFill>
          </w14:textFill>
        </w:rPr>
        <w:t>卫生健康支出</w:t>
      </w:r>
      <w:r>
        <w:rPr>
          <w:rStyle w:val="10"/>
          <w:rFonts w:hint="eastAsia" w:ascii="仿宋" w:hAnsi="仿宋" w:eastAsia="仿宋"/>
          <w:color w:val="000000" w:themeColor="text1"/>
          <w:sz w:val="32"/>
          <w:szCs w:val="32"/>
          <w14:textFill>
            <w14:solidFill>
              <w14:schemeClr w14:val="tx1"/>
            </w14:solidFill>
          </w14:textFill>
        </w:rPr>
        <w:t>68.96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32.91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农林水支出751.7万元，较上年预算安排增加751.7万元；灾害防治及应急管理支出80.57万元，较上年预算安排增加80.57万元；</w:t>
      </w:r>
      <w:r>
        <w:rPr>
          <w:rStyle w:val="10"/>
          <w:rFonts w:ascii="仿宋" w:hAnsi="仿宋" w:eastAsia="仿宋"/>
          <w:color w:val="000000" w:themeColor="text1"/>
          <w:sz w:val="32"/>
          <w:szCs w:val="32"/>
          <w14:textFill>
            <w14:solidFill>
              <w14:schemeClr w14:val="tx1"/>
            </w14:solidFill>
          </w14:textFill>
        </w:rPr>
        <w:t>住房保障支出</w:t>
      </w:r>
      <w:r>
        <w:rPr>
          <w:rStyle w:val="10"/>
          <w:rFonts w:hint="eastAsia" w:ascii="仿宋" w:hAnsi="仿宋" w:eastAsia="仿宋"/>
          <w:color w:val="000000" w:themeColor="text1"/>
          <w:sz w:val="32"/>
          <w:szCs w:val="32"/>
          <w14:textFill>
            <w14:solidFill>
              <w14:schemeClr w14:val="tx1"/>
            </w14:solidFill>
          </w14:textFill>
        </w:rPr>
        <w:t>110.46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29.06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31F83813">
      <w:pPr>
        <w:ind w:firstLine="640" w:firstLineChars="200"/>
        <w:rPr>
          <w:color w:val="000000" w:themeColor="text1"/>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按支出经济分类划分：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${page400644146.ds247441498_REP_BGT_T_HC1100002019DXQ01_JJMX}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工资福利支出</w:t>
      </w:r>
      <w:r>
        <w:rPr>
          <w:rStyle w:val="10"/>
          <w:rFonts w:hint="eastAsia" w:ascii="仿宋" w:hAnsi="仿宋" w:eastAsia="仿宋"/>
          <w:color w:val="000000" w:themeColor="text1"/>
          <w:sz w:val="32"/>
          <w:szCs w:val="32"/>
          <w14:textFill>
            <w14:solidFill>
              <w14:schemeClr w14:val="tx1"/>
            </w14:solidFill>
          </w14:textFill>
        </w:rPr>
        <w:t>1432.35</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337.84</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14:textFill>
            <w14:solidFill>
              <w14:schemeClr w14:val="tx1"/>
            </w14:solidFill>
          </w14:textFill>
        </w:rPr>
        <w:t>1925.32</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1350.65</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14:textFill>
            <w14:solidFill>
              <w14:schemeClr w14:val="tx1"/>
            </w14:solidFill>
          </w14:textFill>
        </w:rPr>
        <w:t>3.21</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14:textFill>
            <w14:solidFill>
              <w14:schemeClr w14:val="tx1"/>
            </w14:solidFill>
          </w14:textFill>
        </w:rPr>
        <w:t>12.96</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5</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5</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1A8BF0D2">
      <w:pPr>
        <w:ind w:firstLine="420" w:firstLineChars="200"/>
        <w:rPr>
          <w:color w:val="000000" w:themeColor="text1"/>
          <w14:textFill>
            <w14:solidFill>
              <w14:schemeClr w14:val="tx1"/>
            </w14:solidFill>
          </w14:textFill>
        </w:rPr>
      </w:pPr>
    </w:p>
    <w:p w14:paraId="05A25972">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(三)财政拨款支出情况</w:t>
      </w:r>
    </w:p>
    <w:p w14:paraId="404E23E2">
      <w:pPr>
        <w:widowControl/>
        <w:ind w:firstLine="640" w:firstLineChars="200"/>
        <w:rPr>
          <w:rFonts w:ascii="仿宋" w:hAnsi="仿宋" w:cs="Times New Roman"/>
          <w:color w:val="000000" w:themeColor="text1"/>
          <w:kern w:val="0"/>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2</w:t>
      </w:r>
      <w:r>
        <w:rPr>
          <w:rStyle w:val="10"/>
          <w:rFonts w:ascii="仿宋" w:hAnsi="仿宋" w:eastAsia="仿宋"/>
          <w:color w:val="000000" w:themeColor="text1"/>
          <w:sz w:val="32"/>
          <w:szCs w:val="32"/>
          <w14:textFill>
            <w14:solidFill>
              <w14:schemeClr w14:val="tx1"/>
            </w14:solidFill>
          </w14:textFill>
        </w:rPr>
        <w:t>02</w:t>
      </w:r>
      <w:r>
        <w:rPr>
          <w:rStyle w:val="10"/>
          <w:rFonts w:hint="eastAsia" w:ascii="仿宋" w:hAnsi="仿宋" w:eastAsia="仿宋"/>
          <w:color w:val="000000" w:themeColor="text1"/>
          <w:sz w:val="32"/>
          <w:szCs w:val="32"/>
          <w14:textFill>
            <w14:solidFill>
              <w14:schemeClr w14:val="tx1"/>
            </w14:solidFill>
          </w14:textFill>
        </w:rPr>
        <w:t>4年庐山市牯岭镇人民政府</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${page400644146.ds215660413_REP_BGT_T_HC1100002019_DXQ02_S_CBXJ}</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财政拨款支出预算总额</w:t>
      </w:r>
      <w:r>
        <w:rPr>
          <w:rStyle w:val="10"/>
          <w:rFonts w:hint="eastAsia" w:ascii="仿宋" w:hAnsi="仿宋" w:eastAsia="仿宋"/>
          <w:color w:val="000000" w:themeColor="text1"/>
          <w:sz w:val="32"/>
          <w:szCs w:val="32"/>
          <w14:textFill>
            <w14:solidFill>
              <w14:schemeClr w14:val="tx1"/>
            </w14:solidFill>
          </w14:textFill>
        </w:rPr>
        <w:t>2853.18</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1144.93</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14:textFill>
            <w14:solidFill>
              <w14:schemeClr w14:val="tx1"/>
            </w14:solidFill>
          </w14:textFill>
        </w:rPr>
        <w:t>增加变化原因为部门职能进一步拓展，人员增加。</w:t>
      </w:r>
    </w:p>
    <w:p w14:paraId="10C37B28">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按支出功能科目划分：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${page400644146.ds247441498_REP_BGT_T_HC1100002019DXQ01_GNCBMX}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14:textFill>
            <w14:solidFill>
              <w14:schemeClr w14:val="tx1"/>
            </w14:solidFill>
          </w14:textFill>
        </w:rPr>
        <w:t>1715.43</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754.71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社会保障和就业支出</w:t>
      </w:r>
      <w:r>
        <w:rPr>
          <w:rStyle w:val="10"/>
          <w:rFonts w:hint="eastAsia" w:ascii="仿宋" w:hAnsi="仿宋" w:eastAsia="仿宋"/>
          <w:color w:val="000000" w:themeColor="text1"/>
          <w:sz w:val="32"/>
          <w:szCs w:val="32"/>
          <w14:textFill>
            <w14:solidFill>
              <w14:schemeClr w14:val="tx1"/>
            </w14:solidFill>
          </w14:textFill>
        </w:rPr>
        <w:t>177.77</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47.69</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卫生健康支出</w:t>
      </w:r>
      <w:r>
        <w:rPr>
          <w:rStyle w:val="10"/>
          <w:rFonts w:hint="eastAsia" w:ascii="仿宋" w:hAnsi="仿宋" w:eastAsia="仿宋"/>
          <w:color w:val="000000" w:themeColor="text1"/>
          <w:sz w:val="32"/>
          <w:szCs w:val="32"/>
          <w14:textFill>
            <w14:solidFill>
              <w14:schemeClr w14:val="tx1"/>
            </w14:solidFill>
          </w14:textFill>
        </w:rPr>
        <w:t>68.96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32.91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；农林水支出700万元，</w:t>
      </w:r>
      <w:r>
        <w:rPr>
          <w:rStyle w:val="10"/>
          <w:rFonts w:ascii="仿宋" w:hAnsi="仿宋" w:eastAsia="仿宋"/>
          <w:color w:val="000000" w:themeColor="text1"/>
          <w:sz w:val="32"/>
          <w:szCs w:val="32"/>
          <w14:textFill>
            <w14:solidFill>
              <w14:schemeClr w14:val="tx1"/>
            </w14:solidFill>
          </w14:textFill>
        </w:rPr>
        <w:t>较上年预算安排增加</w:t>
      </w:r>
      <w:r>
        <w:rPr>
          <w:rStyle w:val="10"/>
          <w:rFonts w:hint="eastAsia" w:ascii="仿宋" w:hAnsi="仿宋" w:eastAsia="仿宋"/>
          <w:color w:val="000000" w:themeColor="text1"/>
          <w:sz w:val="32"/>
          <w:szCs w:val="32"/>
          <w14:textFill>
            <w14:solidFill>
              <w14:schemeClr w14:val="tx1"/>
            </w14:solidFill>
          </w14:textFill>
        </w:rPr>
        <w:t>700</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住房保障支出</w:t>
      </w:r>
      <w:r>
        <w:rPr>
          <w:rStyle w:val="10"/>
          <w:rFonts w:hint="eastAsia" w:ascii="仿宋" w:hAnsi="仿宋" w:eastAsia="仿宋"/>
          <w:color w:val="000000" w:themeColor="text1"/>
          <w:sz w:val="32"/>
          <w:szCs w:val="32"/>
          <w14:textFill>
            <w14:solidFill>
              <w14:schemeClr w14:val="tx1"/>
            </w14:solidFill>
          </w14:textFill>
        </w:rPr>
        <w:t>110.46</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较上年预算安排增加</w:t>
      </w:r>
      <w:r>
        <w:rPr>
          <w:rStyle w:val="10"/>
          <w:rFonts w:hint="eastAsia" w:ascii="仿宋" w:hAnsi="仿宋" w:eastAsia="仿宋"/>
          <w:color w:val="000000" w:themeColor="text1"/>
          <w:sz w:val="32"/>
          <w:szCs w:val="32"/>
          <w14:textFill>
            <w14:solidFill>
              <w14:schemeClr w14:val="tx1"/>
            </w14:solidFill>
          </w14:textFill>
        </w:rPr>
        <w:t>29.06</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；灾害防治及应急管理支出80.57万元，较上年预算安排增加80.57万元</w:t>
      </w:r>
      <w:r>
        <w:rPr>
          <w:rStyle w:val="10"/>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p>
    <w:p w14:paraId="36587025">
      <w:pPr>
        <w:ind w:firstLine="640" w:firstLineChars="200"/>
        <w:rPr>
          <w:color w:val="000000" w:themeColor="text1"/>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按支出项目类别划分：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基本支出</w:t>
      </w:r>
      <w:r>
        <w:rPr>
          <w:rStyle w:val="10"/>
          <w:rFonts w:hint="eastAsia" w:ascii="仿宋" w:hAnsi="仿宋" w:eastAsia="仿宋"/>
          <w:color w:val="000000" w:themeColor="text1"/>
          <w:sz w:val="32"/>
          <w:szCs w:val="32"/>
          <w14:textFill>
            <w14:solidFill>
              <w14:schemeClr w14:val="tx1"/>
            </w14:solidFill>
          </w14:textFill>
        </w:rPr>
        <w:t>1619.56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411.31</w:t>
      </w:r>
      <w:r>
        <w:rPr>
          <w:rStyle w:val="10"/>
          <w:rFonts w:ascii="仿宋" w:hAnsi="仿宋" w:eastAsia="仿宋"/>
          <w:color w:val="000000" w:themeColor="text1"/>
          <w:sz w:val="32"/>
          <w:szCs w:val="32"/>
          <w14:textFill>
            <w14:solidFill>
              <w14:schemeClr w14:val="tx1"/>
            </w14:solidFill>
          </w14:textFill>
        </w:rPr>
        <w:t>万元;其中：工资福利支出</w:t>
      </w:r>
      <w:r>
        <w:rPr>
          <w:rStyle w:val="10"/>
          <w:rFonts w:hint="eastAsia" w:ascii="仿宋" w:hAnsi="仿宋" w:eastAsia="仿宋"/>
          <w:color w:val="000000" w:themeColor="text1"/>
          <w:sz w:val="32"/>
          <w:szCs w:val="32"/>
          <w14:textFill>
            <w14:solidFill>
              <w14:schemeClr w14:val="tx1"/>
            </w14:solidFill>
          </w14:textFill>
        </w:rPr>
        <w:t>1432.35</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14:textFill>
            <w14:solidFill>
              <w14:schemeClr w14:val="tx1"/>
            </w14:solidFill>
          </w14:textFill>
        </w:rPr>
        <w:t>179</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14:textFill>
            <w14:solidFill>
              <w14:schemeClr w14:val="tx1"/>
            </w14:solidFill>
          </w14:textFill>
        </w:rPr>
        <w:t>3.21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，资本性支出5万元</w:t>
      </w:r>
      <w:r>
        <w:rPr>
          <w:rStyle w:val="10"/>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项目支出</w:t>
      </w:r>
      <w:r>
        <w:rPr>
          <w:rStyle w:val="10"/>
          <w:rFonts w:hint="eastAsia" w:ascii="仿宋" w:hAnsi="仿宋" w:eastAsia="仿宋"/>
          <w:color w:val="000000" w:themeColor="text1"/>
          <w:sz w:val="32"/>
          <w:szCs w:val="32"/>
          <w14:textFill>
            <w14:solidFill>
              <w14:schemeClr w14:val="tx1"/>
            </w14:solidFill>
          </w14:textFill>
        </w:rPr>
        <w:t>1233.62</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733.62</w:t>
      </w:r>
      <w:r>
        <w:rPr>
          <w:rStyle w:val="10"/>
          <w:rFonts w:ascii="仿宋" w:hAnsi="仿宋" w:eastAsia="仿宋"/>
          <w:color w:val="000000" w:themeColor="text1"/>
          <w:sz w:val="32"/>
          <w:szCs w:val="32"/>
          <w14:textFill>
            <w14:solidFill>
              <w14:schemeClr w14:val="tx1"/>
            </w14:solidFill>
          </w14:textFill>
        </w:rPr>
        <w:t>万元;其中：商品和服务支出</w:t>
      </w:r>
      <w:r>
        <w:rPr>
          <w:rStyle w:val="10"/>
          <w:rFonts w:hint="eastAsia" w:ascii="仿宋" w:hAnsi="仿宋" w:eastAsia="仿宋"/>
          <w:color w:val="000000" w:themeColor="text1"/>
          <w:sz w:val="32"/>
          <w:szCs w:val="32"/>
          <w14:textFill>
            <w14:solidFill>
              <w14:schemeClr w14:val="tx1"/>
            </w14:solidFill>
          </w14:textFill>
        </w:rPr>
        <w:t>1233.62</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79D30145">
      <w:pPr>
        <w:ind w:firstLine="420" w:firstLineChars="200"/>
        <w:rPr>
          <w:color w:val="000000" w:themeColor="text1"/>
          <w14:textFill>
            <w14:solidFill>
              <w14:schemeClr w14:val="tx1"/>
            </w14:solidFill>
          </w14:textFill>
        </w:rPr>
      </w:pPr>
    </w:p>
    <w:p w14:paraId="2EE4BF5C">
      <w:pPr>
        <w:ind w:firstLine="420" w:firstLineChars="200"/>
        <w:rPr>
          <w:color w:val="000000" w:themeColor="text1"/>
          <w14:textFill>
            <w14:solidFill>
              <w14:schemeClr w14:val="tx1"/>
            </w14:solidFill>
          </w14:textFill>
        </w:rPr>
      </w:pPr>
    </w:p>
    <w:p w14:paraId="188DF9AD">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(四)政府性基金情况</w:t>
      </w:r>
    </w:p>
    <w:p w14:paraId="19B01FBE">
      <w:pPr>
        <w:ind w:firstLine="643"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b/>
          <w:color w:val="000000" w:themeColor="text1"/>
          <w:sz w:val="32"/>
          <w:szCs w:val="32"/>
          <w14:textFill>
            <w14:solidFill>
              <w14:schemeClr w14:val="tx1"/>
            </w14:solidFill>
          </w14:textFill>
        </w:rPr>
        <w:t>2</w:t>
      </w:r>
      <w:r>
        <w:rPr>
          <w:rStyle w:val="10"/>
          <w:rFonts w:ascii="仿宋" w:hAnsi="仿宋" w:eastAsia="仿宋"/>
          <w:b/>
          <w:color w:val="000000" w:themeColor="text1"/>
          <w:sz w:val="32"/>
          <w:szCs w:val="32"/>
          <w14:textFill>
            <w14:solidFill>
              <w14:schemeClr w14:val="tx1"/>
            </w14:solidFill>
          </w14:textFill>
        </w:rPr>
        <w:t>024</w:t>
      </w:r>
      <w:r>
        <w:rPr>
          <w:rStyle w:val="10"/>
          <w:rFonts w:hint="eastAsia" w:ascii="仿宋" w:hAnsi="仿宋" w:eastAsia="仿宋"/>
          <w:b/>
          <w:color w:val="000000" w:themeColor="text1"/>
          <w:sz w:val="32"/>
          <w:szCs w:val="32"/>
          <w14:textFill>
            <w14:solidFill>
              <w14:schemeClr w14:val="tx1"/>
            </w14:solidFill>
          </w14:textFill>
        </w:rPr>
        <w:t>年本部门没有使用政府性基金预算拨款安排的支出。</w:t>
      </w:r>
    </w:p>
    <w:p w14:paraId="14BE70DA">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（五）国有资本经营情况</w:t>
      </w:r>
    </w:p>
    <w:p w14:paraId="68FC10D8">
      <w:pPr>
        <w:widowControl/>
        <w:ind w:firstLine="640" w:firstLineChars="200"/>
        <w:rPr>
          <w:rStyle w:val="10"/>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本部门没有使用国有资本经营预算拨款安排的支出。</w:t>
      </w:r>
    </w:p>
    <w:p w14:paraId="291F0A68">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Theme="majorEastAsia" w:hAnsiTheme="majorEastAsia" w:eastAsiaTheme="majorEastAsia"/>
          <w:b/>
          <w:color w:val="000000" w:themeColor="text1"/>
          <w:sz w:val="32"/>
          <w:szCs w:val="32"/>
          <w14:textFill>
            <w14:solidFill>
              <w14:schemeClr w14:val="tx1"/>
            </w14:solidFill>
          </w14:textFill>
        </w:rPr>
        <w:t xml:space="preserve"> </w:t>
      </w:r>
      <w:r>
        <w:rPr>
          <w:rStyle w:val="10"/>
          <w:rFonts w:hint="eastAsia" w:ascii="Adobe 仿宋 Std R" w:hAnsi="Adobe 仿宋 Std R" w:eastAsia="Adobe 仿宋 Std R"/>
          <w:b/>
          <w:color w:val="000000" w:themeColor="text1"/>
          <w:sz w:val="32"/>
          <w:szCs w:val="32"/>
          <w14:textFill>
            <w14:solidFill>
              <w14:schemeClr w14:val="tx1"/>
            </w14:solidFill>
          </w14:textFill>
        </w:rPr>
        <w:t>(六)机关运行经费等重要事项的说明</w:t>
      </w:r>
    </w:p>
    <w:p w14:paraId="26DF0CC0">
      <w:pPr>
        <w:widowControl/>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2024年</w:t>
      </w:r>
      <w:r>
        <w:rPr>
          <w:rFonts w:hint="eastAsia" w:ascii="Adobe 仿宋 Std R" w:hAnsi="Adobe 仿宋 Std R" w:eastAsia="Adobe 仿宋 Std R"/>
          <w:color w:val="000000" w:themeColor="text1"/>
          <w:sz w:val="32"/>
          <w:szCs w:val="32"/>
          <w14:textFill>
            <w14:solidFill>
              <w14:schemeClr w14:val="tx1"/>
            </w14:solidFill>
          </w14:textFill>
        </w:rPr>
        <w:t>单位机关运行费预算184万元，比2023年预算增加86.44万元，增长88.6%。</w:t>
      </w:r>
      <w:r>
        <w:rPr>
          <w:rFonts w:hint="eastAsia" w:ascii="仿宋" w:hAnsi="仿宋" w:eastAsia="仿宋" w:cs="Times New Roman"/>
          <w:color w:val="000000" w:themeColor="text1"/>
          <w:kern w:val="0"/>
          <w:sz w:val="32"/>
          <w:szCs w:val="32"/>
          <w14:textFill>
            <w14:solidFill>
              <w14:schemeClr w14:val="tx1"/>
            </w14:solidFill>
          </w14:textFill>
        </w:rPr>
        <w:t>增长变化原因为部门职能拓展、人员增加。</w:t>
      </w:r>
    </w:p>
    <w:p w14:paraId="55F8FAD7">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按照财政部《地方预决算公开操作规程》明确的口径，机关运行费指各部门的公用经费，包括办公及印刷费17万元、邮电费5万元、差旅费1万元、会议及培训费0.5万元、福利费 0万元、日常维修费5万元、专用材料及一般设备购置费5万元、办公用房水电费10万元、办公用房取暖费0万元、办公用房物业管理费0万元、公务用车运行维护费33.36万元、公务接待费12.28万元、其他交通费用37万元、其他商品服务支出52.76万元、办公设备购置5万元。</w:t>
      </w:r>
    </w:p>
    <w:p w14:paraId="4BBBE2D2">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(七)政府采购情况</w:t>
      </w:r>
    </w:p>
    <w:p w14:paraId="01F96E88">
      <w:pPr>
        <w:rPr>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Theme="majorEastAsia" w:hAnsiTheme="majorEastAsia" w:eastAsiaTheme="majorEastAsia"/>
          <w:b/>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2024年部门所属各单位政府采购总额5万元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其中</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政府采购货物预算5万元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政府采购工程预算0万元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政府采购服务预算0万元。</w:t>
      </w:r>
    </w:p>
    <w:p w14:paraId="5911FB85">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color w:val="000000" w:themeColor="text1"/>
          <w:sz w:val="32"/>
          <w14:textFill>
            <w14:solidFill>
              <w14:schemeClr w14:val="tx1"/>
            </w14:solidFill>
          </w14:textFill>
        </w:rPr>
        <w:t xml:space="preserve"> </w:t>
      </w:r>
    </w:p>
    <w:p w14:paraId="21EB0C4A">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(八)国有资产占有使用情况</w:t>
      </w:r>
    </w:p>
    <w:p w14:paraId="51433DBC">
      <w:pPr>
        <w:ind w:firstLine="642"/>
        <w:rPr>
          <w:rFonts w:ascii="Adobe 仿宋 Std R" w:hAnsi="Adobe 仿宋 Std R" w:eastAsia="Adobe 仿宋 Std R"/>
          <w:b/>
          <w:color w:val="000000" w:themeColor="text1"/>
          <w:sz w:val="2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截至2023年12月31日,</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${page400644146.ds532982397_REP_JX_BAS_AGENCY_INFO_ZYFRS_S_CLSYS}</w:instrText>
      </w:r>
      <w:r>
        <w:rPr>
          <w:rFonts w:ascii="Adobe 仿宋 Std R" w:hAnsi="Adobe 仿宋 Std R" w:eastAsia="Adobe 仿宋 Std R"/>
          <w:color w:val="000000" w:themeColor="text1"/>
          <w:sz w:val="32"/>
          <w:szCs w:val="32"/>
          <w14:textFill>
            <w14:solidFill>
              <w14:schemeClr w14:val="tx1"/>
            </w14:solidFill>
          </w14:textFill>
        </w:rPr>
        <w:fldChar w:fldCharType="separate"/>
      </w:r>
      <w:r>
        <w:rPr>
          <w:rFonts w:ascii="Adobe 仿宋 Std R" w:hAnsi="Adobe 仿宋 Std R" w:eastAsia="Adobe 仿宋 Std R"/>
          <w:color w:val="000000" w:themeColor="text1"/>
          <w:sz w:val="32"/>
          <w:szCs w:val="32"/>
          <w14:textFill>
            <w14:solidFill>
              <w14:schemeClr w14:val="tx1"/>
            </w14:solidFill>
          </w14:textFill>
        </w:rPr>
        <w:t>部门共有车辆</w:t>
      </w:r>
      <w:r>
        <w:rPr>
          <w:rFonts w:hint="eastAsia" w:ascii="Adobe 仿宋 Std R" w:hAnsi="Adobe 仿宋 Std R" w:eastAsia="Adobe 仿宋 Std R"/>
          <w:color w:val="000000" w:themeColor="text1"/>
          <w:sz w:val="32"/>
          <w:szCs w:val="32"/>
          <w14:textFill>
            <w14:solidFill>
              <w14:schemeClr w14:val="tx1"/>
            </w14:solidFill>
          </w14:textFill>
        </w:rPr>
        <w:t>4</w:t>
      </w:r>
      <w:r>
        <w:rPr>
          <w:rFonts w:ascii="Adobe 仿宋 Std R" w:hAnsi="Adobe 仿宋 Std R" w:eastAsia="Adobe 仿宋 Std R"/>
          <w:color w:val="000000" w:themeColor="text1"/>
          <w:sz w:val="32"/>
          <w:szCs w:val="32"/>
          <w14:textFill>
            <w14:solidFill>
              <w14:schemeClr w14:val="tx1"/>
            </w14:solidFill>
          </w14:textFill>
        </w:rPr>
        <w:t>辆,其中：一般公务用车实有数</w:t>
      </w:r>
      <w:r>
        <w:rPr>
          <w:rFonts w:hint="eastAsia" w:ascii="Adobe 仿宋 Std R" w:hAnsi="Adobe 仿宋 Std R" w:eastAsia="Adobe 仿宋 Std R"/>
          <w:color w:val="000000" w:themeColor="text1"/>
          <w:sz w:val="32"/>
          <w:szCs w:val="32"/>
          <w14:textFill>
            <w14:solidFill>
              <w14:schemeClr w14:val="tx1"/>
            </w14:solidFill>
          </w14:textFill>
        </w:rPr>
        <w:t>4</w:t>
      </w:r>
      <w:r>
        <w:rPr>
          <w:rFonts w:ascii="Adobe 仿宋 Std R" w:hAnsi="Adobe 仿宋 Std R" w:eastAsia="Adobe 仿宋 Std R"/>
          <w:color w:val="000000" w:themeColor="text1"/>
          <w:sz w:val="32"/>
          <w:szCs w:val="32"/>
          <w14:textFill>
            <w14:solidFill>
              <w14:schemeClr w14:val="tx1"/>
            </w14:solidFill>
          </w14:textFill>
        </w:rPr>
        <w:t>辆。</w:t>
      </w:r>
      <w:r>
        <w:rPr>
          <w:color w:val="000000" w:themeColor="text1"/>
          <w14:textFill>
            <w14:solidFill>
              <w14:schemeClr w14:val="tx1"/>
            </w14:solidFill>
          </w14:textFill>
        </w:rPr>
        <w:fldChar w:fldCharType="end"/>
      </w:r>
    </w:p>
    <w:p w14:paraId="1BA440BF">
      <w:pPr>
        <w:ind w:firstLine="642"/>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2024年部门预算安排购置车辆0辆，安排购置单位价值200万元以上大型设备具体为：未安排采购单位价值200万元以上设备</w:t>
      </w:r>
      <w:r>
        <w:rPr>
          <w:rFonts w:hint="eastAsia" w:ascii="仿宋_GB2312" w:eastAsia="仿宋_GB2312"/>
          <w:color w:val="000000" w:themeColor="text1"/>
          <w:sz w:val="32"/>
          <w:szCs w:val="30"/>
          <w14:textFill>
            <w14:solidFill>
              <w14:schemeClr w14:val="tx1"/>
            </w14:solidFill>
          </w14:textFill>
        </w:rPr>
        <w:t>。</w:t>
      </w:r>
    </w:p>
    <w:p w14:paraId="0754A500">
      <w:pPr>
        <w:ind w:firstLine="321" w:firstLineChars="1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（九）1、扶持企业发展项目情况说明</w:t>
      </w:r>
    </w:p>
    <w:p w14:paraId="554A9AA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扶持中小企业，促进镇域经济发展</w:t>
      </w:r>
    </w:p>
    <w:p w14:paraId="2A1C1EE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13DB92F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69A2B76B">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对中小企业实施税收优惠政策</w:t>
      </w:r>
    </w:p>
    <w:p w14:paraId="226376F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5CD7953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700万元</w:t>
      </w:r>
    </w:p>
    <w:p w14:paraId="5583E3ED">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2、供销公司待岗人员生活补助项目情况说明</w:t>
      </w:r>
    </w:p>
    <w:p w14:paraId="3FCBD47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对供销公司待岗人员发放生活补贴</w:t>
      </w:r>
    </w:p>
    <w:p w14:paraId="09A38DA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627D71F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018A031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按月对供销公司待岗人员发放生活补贴</w:t>
      </w:r>
    </w:p>
    <w:p w14:paraId="26A4AA6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162AC5C2">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141.41万元</w:t>
      </w:r>
    </w:p>
    <w:p w14:paraId="01F15E43">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3、职工冬季取暖补贴项目情况说明</w:t>
      </w:r>
    </w:p>
    <w:p w14:paraId="23B9E3B5">
      <w:pPr>
        <w:ind w:firstLine="642"/>
        <w:rPr>
          <w:rFonts w:ascii="Adobe 仿宋 Std R" w:hAnsi="Adobe 仿宋 Std R" w:eastAsia="Adobe 仿宋 Std R"/>
          <w:bCs/>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向</w:t>
      </w:r>
      <w:r>
        <w:rPr>
          <w:rStyle w:val="10"/>
          <w:rFonts w:hint="eastAsia" w:ascii="Adobe 仿宋 Std R" w:hAnsi="Adobe 仿宋 Std R" w:eastAsia="Adobe 仿宋 Std R"/>
          <w:bCs/>
          <w:color w:val="000000" w:themeColor="text1"/>
          <w:sz w:val="32"/>
          <w:szCs w:val="32"/>
          <w14:textFill>
            <w14:solidFill>
              <w14:schemeClr w14:val="tx1"/>
            </w14:solidFill>
          </w14:textFill>
        </w:rPr>
        <w:t>镇本级职工发放冬季取暖补贴</w:t>
      </w:r>
    </w:p>
    <w:p w14:paraId="2D614AC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087F312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128CF6AE">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向</w:t>
      </w:r>
      <w:r>
        <w:rPr>
          <w:rStyle w:val="10"/>
          <w:rFonts w:hint="eastAsia" w:ascii="Adobe 仿宋 Std R" w:hAnsi="Adobe 仿宋 Std R" w:eastAsia="Adobe 仿宋 Std R"/>
          <w:bCs/>
          <w:color w:val="000000" w:themeColor="text1"/>
          <w:sz w:val="32"/>
          <w:szCs w:val="32"/>
          <w14:textFill>
            <w14:solidFill>
              <w14:schemeClr w14:val="tx1"/>
            </w14:solidFill>
          </w14:textFill>
        </w:rPr>
        <w:t>镇本级职工发放冬季取暖补贴</w:t>
      </w:r>
    </w:p>
    <w:p w14:paraId="44E01CB5">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64BA236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61.32万元</w:t>
      </w:r>
    </w:p>
    <w:p w14:paraId="53EC3DAB">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4、供销公司职工冬季取暖补贴项目情况说明</w:t>
      </w:r>
    </w:p>
    <w:p w14:paraId="2906A582">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向</w:t>
      </w:r>
      <w:r>
        <w:rPr>
          <w:rStyle w:val="10"/>
          <w:rFonts w:hint="eastAsia" w:ascii="Adobe 仿宋 Std R" w:hAnsi="Adobe 仿宋 Std R" w:eastAsia="Adobe 仿宋 Std R"/>
          <w:bCs/>
          <w:color w:val="000000" w:themeColor="text1"/>
          <w:sz w:val="32"/>
          <w:szCs w:val="32"/>
          <w14:textFill>
            <w14:solidFill>
              <w14:schemeClr w14:val="tx1"/>
            </w14:solidFill>
          </w14:textFill>
        </w:rPr>
        <w:t>供销公司职工发放冬季取暖补贴</w:t>
      </w:r>
    </w:p>
    <w:p w14:paraId="7F0844A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7B3E2E4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1B83416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向</w:t>
      </w:r>
      <w:r>
        <w:rPr>
          <w:rStyle w:val="10"/>
          <w:rFonts w:hint="eastAsia" w:ascii="Adobe 仿宋 Std R" w:hAnsi="Adobe 仿宋 Std R" w:eastAsia="Adobe 仿宋 Std R"/>
          <w:bCs/>
          <w:color w:val="000000" w:themeColor="text1"/>
          <w:sz w:val="32"/>
          <w:szCs w:val="32"/>
          <w14:textFill>
            <w14:solidFill>
              <w14:schemeClr w14:val="tx1"/>
            </w14:solidFill>
          </w14:textFill>
        </w:rPr>
        <w:t>供销公司职工发放冬季取暖补贴</w:t>
      </w:r>
    </w:p>
    <w:p w14:paraId="156FCE0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7D3FA75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12.32万元</w:t>
      </w:r>
    </w:p>
    <w:p w14:paraId="0E03119E">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5、镇本级非税收入安排的支出项目情况说明</w:t>
      </w:r>
    </w:p>
    <w:p w14:paraId="26C7949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以非税收入弥补经费不足 </w:t>
      </w:r>
    </w:p>
    <w:p w14:paraId="519D506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财政部门安排</w:t>
      </w:r>
    </w:p>
    <w:p w14:paraId="1B228BE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175E333A">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以非税收入弥补聘用人员经费不足</w:t>
      </w:r>
    </w:p>
    <w:p w14:paraId="13DFF9C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127E52F6">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78万元</w:t>
      </w:r>
    </w:p>
    <w:p w14:paraId="13417106">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6、供销公司非税收入安排的支出项目情况说明</w:t>
      </w:r>
    </w:p>
    <w:p w14:paraId="5099BBD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以非税收入弥补经费不足</w:t>
      </w:r>
    </w:p>
    <w:p w14:paraId="34C8C81B">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财政部门安排</w:t>
      </w:r>
    </w:p>
    <w:p w14:paraId="15B17DD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5535664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非税收入安排自收自支单位经费</w:t>
      </w:r>
    </w:p>
    <w:p w14:paraId="7CA10B4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493A950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241万元</w:t>
      </w:r>
    </w:p>
    <w:p w14:paraId="67753A70">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7、市场建设中心非税收入安排的支出项目情况说明</w:t>
      </w:r>
    </w:p>
    <w:p w14:paraId="174FBA4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以非税收入弥补经费不足</w:t>
      </w:r>
    </w:p>
    <w:p w14:paraId="68AAC6C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财政部门安排</w:t>
      </w:r>
    </w:p>
    <w:p w14:paraId="7A97CF7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2CFE59DA">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非税收入安排自收自支单位经费</w:t>
      </w:r>
    </w:p>
    <w:p w14:paraId="34C9C96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3C4039A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220万元</w:t>
      </w:r>
    </w:p>
    <w:p w14:paraId="06F08F38">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8、基层组织运转保障经费项目情况说明</w:t>
      </w:r>
    </w:p>
    <w:p w14:paraId="55B2F8C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上级安排保障镇机关正常运行的经费</w:t>
      </w:r>
    </w:p>
    <w:p w14:paraId="4DFE2B2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市委市政府安排</w:t>
      </w:r>
    </w:p>
    <w:p w14:paraId="0B5F00D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56AFE23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弥补公用经费不足</w:t>
      </w:r>
    </w:p>
    <w:p w14:paraId="348634F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1BAAD18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160万元</w:t>
      </w:r>
    </w:p>
    <w:p w14:paraId="0335142B">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9、森林防火三中队保障经费项目情况说明</w:t>
      </w:r>
    </w:p>
    <w:p w14:paraId="26536D3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保障森林防火三中队正常人员、公用支出</w:t>
      </w:r>
    </w:p>
    <w:p w14:paraId="6991CEA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市委市政府安排</w:t>
      </w:r>
    </w:p>
    <w:p w14:paraId="19B15D7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445C848A">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保障森林防火三中队正常人员、公用支出</w:t>
      </w:r>
    </w:p>
    <w:p w14:paraId="2C556CD6">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643D2B4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80.57万元</w:t>
      </w:r>
    </w:p>
    <w:p w14:paraId="19B12A77">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10、普惠金融发展项目情况说明</w:t>
      </w:r>
    </w:p>
    <w:p w14:paraId="3CB6E68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提供小额贷款，促进公共就业创业</w:t>
      </w:r>
    </w:p>
    <w:p w14:paraId="4FB5C372">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市委市政府安排</w:t>
      </w:r>
    </w:p>
    <w:p w14:paraId="0B17CB6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2AE3D45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向小微企业和个体工商户发放小额贷款，促进公共就业创业</w:t>
      </w:r>
    </w:p>
    <w:p w14:paraId="0156BD5E">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77AB80D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51.7万元</w:t>
      </w:r>
    </w:p>
    <w:p w14:paraId="097B5D3B">
      <w:pPr>
        <w:widowControl/>
        <w:spacing w:line="580" w:lineRule="exact"/>
        <w:ind w:firstLine="636"/>
        <w:jc w:val="left"/>
        <w:rPr>
          <w:rStyle w:val="10"/>
          <w:rFonts w:ascii="仿宋" w:hAnsi="仿宋" w:eastAsia="仿宋"/>
          <w:color w:val="000000" w:themeColor="text1"/>
          <w:sz w:val="32"/>
          <w:szCs w:val="32"/>
          <w14:textFill>
            <w14:solidFill>
              <w14:schemeClr w14:val="tx1"/>
            </w14:solidFill>
          </w14:textFill>
        </w:rPr>
      </w:pPr>
    </w:p>
    <w:p w14:paraId="5CB44F43">
      <w:pPr>
        <w:ind w:firstLine="642"/>
        <w:rPr>
          <w:rFonts w:ascii="Adobe 仿宋 Std R" w:hAnsi="Adobe 仿宋 Std R" w:eastAsia="Adobe 仿宋 Std R"/>
          <w:color w:val="000000" w:themeColor="text1"/>
          <w:sz w:val="32"/>
          <w:szCs w:val="32"/>
          <w14:textFill>
            <w14:solidFill>
              <w14:schemeClr w14:val="tx1"/>
            </w14:solidFill>
          </w14:textFill>
        </w:rPr>
      </w:pPr>
    </w:p>
    <w:p w14:paraId="0C51AB57">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hAnsi="Calibri" w:eastAsia="楷体_GB2312" w:cs="宋体"/>
          <w:b/>
          <w:color w:val="000000" w:themeColor="text1"/>
          <w:kern w:val="0"/>
          <w:sz w:val="32"/>
          <w:szCs w:val="32"/>
          <w14:textFill>
            <w14:solidFill>
              <w14:schemeClr w14:val="tx1"/>
            </w14:solidFill>
          </w14:textFill>
        </w:rPr>
        <w:t>二、</w:t>
      </w:r>
      <w:r>
        <w:rPr>
          <w:rFonts w:hint="eastAsia" w:ascii="楷体_GB2312" w:eastAsia="楷体_GB2312"/>
          <w:b/>
          <w:color w:val="000000" w:themeColor="text1"/>
          <w:sz w:val="32"/>
          <w:szCs w:val="30"/>
          <w14:textFill>
            <w14:solidFill>
              <w14:schemeClr w14:val="tx1"/>
            </w14:solidFill>
          </w14:textFill>
        </w:rPr>
        <w:t>2024年“三公</w:t>
      </w:r>
      <w:r>
        <w:rPr>
          <w:rFonts w:ascii="楷体_GB2312" w:eastAsia="楷体_GB2312"/>
          <w:b/>
          <w:color w:val="000000" w:themeColor="text1"/>
          <w:sz w:val="32"/>
          <w:szCs w:val="30"/>
          <w14:textFill>
            <w14:solidFill>
              <w14:schemeClr w14:val="tx1"/>
            </w14:solidFill>
          </w14:textFill>
        </w:rPr>
        <w:t>”</w:t>
      </w:r>
      <w:r>
        <w:rPr>
          <w:rFonts w:hint="eastAsia" w:ascii="楷体_GB2312" w:eastAsia="楷体_GB2312"/>
          <w:b/>
          <w:color w:val="000000" w:themeColor="text1"/>
          <w:sz w:val="32"/>
          <w:szCs w:val="30"/>
          <w14:textFill>
            <w14:solidFill>
              <w14:schemeClr w14:val="tx1"/>
            </w14:solidFill>
          </w14:textFill>
        </w:rPr>
        <w:t>经费预算情况说明</w:t>
      </w:r>
    </w:p>
    <w:p w14:paraId="3426CE98">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2</w:t>
      </w:r>
      <w:r>
        <w:rPr>
          <w:rFonts w:ascii="仿宋" w:hAnsi="仿宋" w:eastAsia="仿宋"/>
          <w:bCs/>
          <w:color w:val="000000" w:themeColor="text1"/>
          <w:sz w:val="32"/>
          <w:szCs w:val="32"/>
          <w14:textFill>
            <w14:solidFill>
              <w14:schemeClr w14:val="tx1"/>
            </w14:solidFill>
          </w14:textFill>
        </w:rPr>
        <w:t>02</w:t>
      </w:r>
      <w:r>
        <w:rPr>
          <w:rFonts w:hint="eastAsia" w:ascii="仿宋" w:hAnsi="仿宋" w:eastAsia="仿宋"/>
          <w:bCs/>
          <w:color w:val="000000" w:themeColor="text1"/>
          <w:sz w:val="32"/>
          <w:szCs w:val="32"/>
          <w14:textFill>
            <w14:solidFill>
              <w14:schemeClr w14:val="tx1"/>
            </w14:solidFill>
          </w14:textFill>
        </w:rPr>
        <w:t>4年庐山市牯岭镇人民政府</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三公</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经费财政拨款安排45.64万元，其中：</w:t>
      </w:r>
    </w:p>
    <w:p w14:paraId="4FD07A94">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因公出国</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未安排因公出国活动</w:t>
      </w:r>
      <w:r>
        <w:rPr>
          <w:rFonts w:ascii="仿宋" w:hAnsi="仿宋" w:eastAsia="仿宋"/>
          <w:bCs/>
          <w:color w:val="000000" w:themeColor="text1"/>
          <w:sz w:val="32"/>
          <w:szCs w:val="32"/>
          <w14:textFill>
            <w14:solidFill>
              <w14:schemeClr w14:val="tx1"/>
            </w14:solidFill>
          </w14:textFill>
        </w:rPr>
        <w:t>。</w:t>
      </w:r>
    </w:p>
    <w:p w14:paraId="0BFB660C">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公务接待</w:t>
      </w:r>
      <w:r>
        <w:rPr>
          <w:rFonts w:hint="eastAsia" w:ascii="仿宋" w:hAnsi="仿宋" w:eastAsia="仿宋"/>
          <w:bCs/>
          <w:color w:val="000000" w:themeColor="text1"/>
          <w:sz w:val="32"/>
          <w:szCs w:val="32"/>
          <w14:textFill>
            <w14:solidFill>
              <w14:schemeClr w14:val="tx1"/>
            </w14:solidFill>
          </w14:textFill>
        </w:rPr>
        <w:t>12.28</w:t>
      </w:r>
      <w:r>
        <w:rPr>
          <w:rFonts w:ascii="仿宋" w:hAnsi="仿宋" w:eastAsia="仿宋"/>
          <w:bCs/>
          <w:color w:val="000000" w:themeColor="text1"/>
          <w:sz w:val="32"/>
          <w:szCs w:val="32"/>
          <w14:textFill>
            <w14:solidFill>
              <w14:schemeClr w14:val="tx1"/>
            </w14:solidFill>
          </w14:textFill>
        </w:rPr>
        <w:t>万元,比上年减</w:t>
      </w:r>
      <w:r>
        <w:rPr>
          <w:rFonts w:hint="eastAsia" w:ascii="仿宋" w:hAnsi="仿宋" w:eastAsia="仿宋"/>
          <w:bCs/>
          <w:color w:val="000000" w:themeColor="text1"/>
          <w:sz w:val="32"/>
          <w:szCs w:val="32"/>
          <w14:textFill>
            <w14:solidFill>
              <w14:schemeClr w14:val="tx1"/>
            </w14:solidFill>
          </w14:textFill>
        </w:rPr>
        <w:t>少3.01</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落实“党政机关带头过紧日子”的要求，严格控制公务接待活动</w:t>
      </w:r>
      <w:r>
        <w:rPr>
          <w:rFonts w:ascii="仿宋" w:hAnsi="仿宋" w:eastAsia="仿宋"/>
          <w:bCs/>
          <w:color w:val="000000" w:themeColor="text1"/>
          <w:sz w:val="32"/>
          <w:szCs w:val="32"/>
          <w14:textFill>
            <w14:solidFill>
              <w14:schemeClr w14:val="tx1"/>
            </w14:solidFill>
          </w14:textFill>
        </w:rPr>
        <w:t>。</w:t>
      </w:r>
    </w:p>
    <w:p w14:paraId="46868B83">
      <w:pPr>
        <w:widowControl/>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公务用车运行</w:t>
      </w:r>
      <w:r>
        <w:rPr>
          <w:rFonts w:hint="eastAsia" w:ascii="仿宋" w:hAnsi="仿宋" w:eastAsia="仿宋"/>
          <w:bCs/>
          <w:color w:val="000000" w:themeColor="text1"/>
          <w:sz w:val="32"/>
          <w:szCs w:val="32"/>
          <w14:textFill>
            <w14:solidFill>
              <w14:schemeClr w14:val="tx1"/>
            </w14:solidFill>
          </w14:textFill>
        </w:rPr>
        <w:t>33.36</w:t>
      </w:r>
      <w:r>
        <w:rPr>
          <w:rFonts w:ascii="仿宋" w:hAnsi="仿宋" w:eastAsia="仿宋"/>
          <w:bCs/>
          <w:color w:val="000000" w:themeColor="text1"/>
          <w:sz w:val="32"/>
          <w:szCs w:val="32"/>
          <w14:textFill>
            <w14:solidFill>
              <w14:schemeClr w14:val="tx1"/>
            </w14:solidFill>
          </w14:textFill>
        </w:rPr>
        <w:t>万元,比上年增</w:t>
      </w:r>
      <w:r>
        <w:rPr>
          <w:rFonts w:hint="eastAsia" w:ascii="仿宋" w:hAnsi="仿宋" w:eastAsia="仿宋"/>
          <w:bCs/>
          <w:color w:val="000000" w:themeColor="text1"/>
          <w:sz w:val="32"/>
          <w:szCs w:val="32"/>
          <w14:textFill>
            <w14:solidFill>
              <w14:schemeClr w14:val="tx1"/>
            </w14:solidFill>
          </w14:textFill>
        </w:rPr>
        <w:t>加24</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cs="Times New Roman"/>
          <w:color w:val="000000" w:themeColor="text1"/>
          <w:kern w:val="0"/>
          <w:sz w:val="32"/>
          <w:szCs w:val="32"/>
          <w14:textFill>
            <w14:solidFill>
              <w14:schemeClr w14:val="tx1"/>
            </w14:solidFill>
          </w14:textFill>
        </w:rPr>
        <w:t>部门职能拓展、人员增加。</w:t>
      </w:r>
    </w:p>
    <w:p w14:paraId="32A3006D">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公务用车购置</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暂未安排购置公务用车</w:t>
      </w:r>
      <w:r>
        <w:rPr>
          <w:rFonts w:ascii="仿宋" w:hAnsi="仿宋" w:eastAsia="仿宋"/>
          <w:bCs/>
          <w:color w:val="000000" w:themeColor="text1"/>
          <w:sz w:val="32"/>
          <w:szCs w:val="32"/>
          <w14:textFill>
            <w14:solidFill>
              <w14:schemeClr w14:val="tx1"/>
            </w14:solidFill>
          </w14:textFill>
        </w:rPr>
        <w:t>。</w:t>
      </w:r>
    </w:p>
    <w:p w14:paraId="3254154A">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5EC17A7E">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3F851FF8">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71285205">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32DF7D5B">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2DDFE09F">
      <w:pPr>
        <w:widowControl/>
        <w:shd w:val="clear" w:color="auto" w:fill="FFFFFF"/>
        <w:spacing w:line="640" w:lineRule="atLeast"/>
        <w:ind w:firstLine="2409" w:firstLineChars="750"/>
        <w:rPr>
          <w:rFonts w:ascii="仿宋_GB2312" w:eastAsia="仿宋_GB2312"/>
          <w:b/>
          <w:color w:val="000000" w:themeColor="text1"/>
          <w:sz w:val="32"/>
          <w:szCs w:val="30"/>
          <w14:textFill>
            <w14:solidFill>
              <w14:schemeClr w14:val="tx1"/>
            </w14:solidFill>
          </w14:textFill>
        </w:rPr>
      </w:pPr>
    </w:p>
    <w:p w14:paraId="447E3E85">
      <w:pPr>
        <w:widowControl/>
        <w:shd w:val="clear" w:color="auto" w:fill="FFFFFF"/>
        <w:spacing w:line="640" w:lineRule="atLeast"/>
        <w:ind w:firstLine="2409" w:firstLineChars="750"/>
        <w:rPr>
          <w:rFonts w:ascii="Arial" w:hAnsi="Arial" w:cs="Arial"/>
          <w:color w:val="000000" w:themeColor="text1"/>
          <w:sz w:val="14"/>
          <w:szCs w:val="14"/>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第四部分   名词解释</w:t>
      </w:r>
    </w:p>
    <w:p w14:paraId="3A314311">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一、收入科目</w:t>
      </w:r>
    </w:p>
    <w:p w14:paraId="0EE6B959">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财政拨款：指市级财政当年拨付的资金。</w:t>
      </w:r>
    </w:p>
    <w:p w14:paraId="44613A76">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教育收费资金收入：反映实行专项管理的高中以上学费、住宿费，高校委托培养费，函大、电大、夜大及短训班培训费等教育收费取得的收入。</w:t>
      </w:r>
    </w:p>
    <w:p w14:paraId="610CA45F">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w:t>
      </w:r>
      <w:r>
        <w:rPr>
          <w:rFonts w:hint="eastAsia" w:ascii="仿宋_GB2312" w:eastAsia="仿宋_GB2312"/>
          <w:color w:val="000000" w:themeColor="text1"/>
          <w:sz w:val="32"/>
          <w:szCs w:val="30"/>
          <w14:textFill>
            <w14:solidFill>
              <w14:schemeClr w14:val="tx1"/>
            </w14:solidFill>
          </w14:textFill>
        </w:rPr>
        <w:t>事业收入：指事业单位开展专业业务活动及辅助活动取得的收入。</w:t>
      </w:r>
    </w:p>
    <w:p w14:paraId="3D0AB2BE">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（四）</w:t>
      </w:r>
      <w:r>
        <w:rPr>
          <w:rFonts w:hint="eastAsia" w:ascii="仿宋_GB2312" w:eastAsia="仿宋_GB2312"/>
          <w:color w:val="000000" w:themeColor="text1"/>
          <w:sz w:val="32"/>
          <w:szCs w:val="30"/>
          <w14:textFill>
            <w14:solidFill>
              <w14:schemeClr w14:val="tx1"/>
            </w14:solidFill>
          </w14:textFill>
        </w:rPr>
        <w:t>事业单位经营收入：指事业单位在专业业务活动及辅助活动之外开展非独立核算经营活动取得的收入。</w:t>
      </w:r>
    </w:p>
    <w:p w14:paraId="5E7801E2">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五）</w:t>
      </w:r>
      <w:r>
        <w:rPr>
          <w:rFonts w:hint="eastAsia" w:ascii="仿宋_GB2312" w:eastAsia="仿宋_GB2312"/>
          <w:color w:val="000000" w:themeColor="text1"/>
          <w:sz w:val="32"/>
          <w:szCs w:val="30"/>
          <w14:textFill>
            <w14:solidFill>
              <w14:schemeClr w14:val="tx1"/>
            </w14:solidFill>
          </w14:textFill>
        </w:rPr>
        <w:t>附属单位上缴收入：反映事业单位附属的独立核算单位按规定标准或比例缴纳的各项收入。包括附属的事业单位上缴的收入和附属的企业上缴的利润等。</w:t>
      </w:r>
    </w:p>
    <w:p w14:paraId="3CED134B">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（六）</w:t>
      </w:r>
      <w:r>
        <w:rPr>
          <w:rFonts w:hint="eastAsia" w:ascii="仿宋_GB2312" w:eastAsia="仿宋_GB2312"/>
          <w:color w:val="000000" w:themeColor="text1"/>
          <w:sz w:val="32"/>
          <w:szCs w:val="30"/>
          <w14:textFill>
            <w14:solidFill>
              <w14:schemeClr w14:val="tx1"/>
            </w14:solidFill>
          </w14:textFill>
        </w:rPr>
        <w:t>上级补助收入：反映事业单位从主管部门和上级单位取得的非财政补助收入。</w:t>
      </w:r>
    </w:p>
    <w:p w14:paraId="6E09F611">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（七）</w:t>
      </w:r>
      <w:r>
        <w:rPr>
          <w:rFonts w:hint="eastAsia" w:ascii="仿宋_GB2312" w:eastAsia="仿宋_GB2312"/>
          <w:color w:val="000000" w:themeColor="text1"/>
          <w:sz w:val="32"/>
          <w:szCs w:val="30"/>
          <w14:textFill>
            <w14:solidFill>
              <w14:schemeClr w14:val="tx1"/>
            </w14:solidFill>
          </w14:textFill>
        </w:rPr>
        <w:t>其他收入：指除财政拨款、事业收入、事业单位经营收入等以外的各项收入。</w:t>
      </w:r>
    </w:p>
    <w:p w14:paraId="0F31D181">
      <w:pPr>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（八）</w:t>
      </w:r>
      <w:r>
        <w:rPr>
          <w:rFonts w:hint="eastAsia" w:ascii="仿宋_GB2312" w:eastAsia="仿宋_GB2312"/>
          <w:color w:val="000000" w:themeColor="text1"/>
          <w:sz w:val="32"/>
          <w:szCs w:val="30"/>
          <w14:textFill>
            <w14:solidFill>
              <w14:schemeClr w14:val="tx1"/>
            </w14:solidFill>
          </w14:textFill>
        </w:rPr>
        <w:t>使用非财政拨款结余：填列历年滚存的非限定用途的非统计财政拨款结余弥补2024年收支差额的数额。</w:t>
      </w:r>
    </w:p>
    <w:p w14:paraId="053F07ED">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（九）</w:t>
      </w:r>
      <w:r>
        <w:rPr>
          <w:rFonts w:hint="eastAsia" w:ascii="仿宋_GB2312" w:eastAsia="仿宋_GB2312"/>
          <w:color w:val="000000" w:themeColor="text1"/>
          <w:sz w:val="32"/>
          <w:szCs w:val="30"/>
          <w14:textFill>
            <w14:solidFill>
              <w14:schemeClr w14:val="tx1"/>
            </w14:solidFill>
          </w14:textFill>
        </w:rPr>
        <w:t>上年结转和结余：填列2023年全部结转和结余的资金数，包括当年结转结余资金和历年滚存结转结余资金。</w:t>
      </w:r>
    </w:p>
    <w:p w14:paraId="5E1FBC34">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0283FE12">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二、支出科目</w:t>
      </w:r>
    </w:p>
    <w:p w14:paraId="1CB6B097">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7A13F3E">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（二）项目支出：指在基本支出之外为完成特定行政任务和事业发展目标所发生的支出。</w:t>
      </w:r>
    </w:p>
    <w:p w14:paraId="7003E258">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（三）经营支出：指事业单位在专业业务活动及其辅助活动之外开展非独立核算经营活动发生的支出。</w:t>
      </w:r>
    </w:p>
    <w:p w14:paraId="600F4C58">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（四）工资福利支出（支出经济分类科目类级）：反映单位开支的在职职工和编制外长期聘用人员的各类劳动报酬，以及为上述人员缴纳的各项社会保险费等。</w:t>
      </w:r>
    </w:p>
    <w:p w14:paraId="45F0A7E8">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（五）商品和服务支出（支出经济分类科目类级）：反映单位购买商品和服务的支出（不包括用于购置固定资产的支出、战略性和应急储备支出）。</w:t>
      </w:r>
    </w:p>
    <w:p w14:paraId="3C664440">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（六）对个人和家庭的补助（支出经济分类科目类级）：反映用于对个人和家庭的补助支出。</w:t>
      </w:r>
    </w:p>
    <w:p w14:paraId="3A552457">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F5FF651">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三、相关专业名词</w:t>
      </w:r>
    </w:p>
    <w:p w14:paraId="4F798406">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5DE4DA9">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345FB">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iOGMwMDQ1ZmU1Y2UxZTdhYjQyMzY1OWQ1ZWZiYjMifQ=="/>
  </w:docVars>
  <w:rsids>
    <w:rsidRoot w:val="00DF43D8"/>
    <w:rsid w:val="000001B2"/>
    <w:rsid w:val="00014049"/>
    <w:rsid w:val="000140DD"/>
    <w:rsid w:val="0001648A"/>
    <w:rsid w:val="00022CB3"/>
    <w:rsid w:val="00031749"/>
    <w:rsid w:val="00041EAA"/>
    <w:rsid w:val="000501C3"/>
    <w:rsid w:val="00052A0E"/>
    <w:rsid w:val="00055F20"/>
    <w:rsid w:val="000630BE"/>
    <w:rsid w:val="0006515E"/>
    <w:rsid w:val="00085227"/>
    <w:rsid w:val="0009034E"/>
    <w:rsid w:val="000927A9"/>
    <w:rsid w:val="000963CD"/>
    <w:rsid w:val="000A2066"/>
    <w:rsid w:val="000B313A"/>
    <w:rsid w:val="000B4D02"/>
    <w:rsid w:val="000B4F9E"/>
    <w:rsid w:val="000B6CD8"/>
    <w:rsid w:val="000C6AF7"/>
    <w:rsid w:val="000E1BC2"/>
    <w:rsid w:val="000E6313"/>
    <w:rsid w:val="000F227D"/>
    <w:rsid w:val="000F2E5F"/>
    <w:rsid w:val="000F5645"/>
    <w:rsid w:val="00104F58"/>
    <w:rsid w:val="00117D8C"/>
    <w:rsid w:val="00131F78"/>
    <w:rsid w:val="00136E37"/>
    <w:rsid w:val="00170EE3"/>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3A9"/>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A1697"/>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E66AE"/>
    <w:rsid w:val="005F090C"/>
    <w:rsid w:val="005F35BD"/>
    <w:rsid w:val="005F69D4"/>
    <w:rsid w:val="00601E70"/>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B6CA4"/>
    <w:rsid w:val="006C08EA"/>
    <w:rsid w:val="006C185B"/>
    <w:rsid w:val="006C3868"/>
    <w:rsid w:val="006F20BD"/>
    <w:rsid w:val="00704CAB"/>
    <w:rsid w:val="00724A5D"/>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106BC"/>
    <w:rsid w:val="00823697"/>
    <w:rsid w:val="00825440"/>
    <w:rsid w:val="00846526"/>
    <w:rsid w:val="008506D9"/>
    <w:rsid w:val="00856DC0"/>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B509F"/>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20E4"/>
    <w:rsid w:val="00B0337F"/>
    <w:rsid w:val="00B128C8"/>
    <w:rsid w:val="00B169A7"/>
    <w:rsid w:val="00B348A8"/>
    <w:rsid w:val="00B619F8"/>
    <w:rsid w:val="00B6242B"/>
    <w:rsid w:val="00B71EBE"/>
    <w:rsid w:val="00B739A0"/>
    <w:rsid w:val="00B82840"/>
    <w:rsid w:val="00B96CEB"/>
    <w:rsid w:val="00BA572C"/>
    <w:rsid w:val="00BC5D0B"/>
    <w:rsid w:val="00BF0316"/>
    <w:rsid w:val="00C03AFB"/>
    <w:rsid w:val="00C35830"/>
    <w:rsid w:val="00C4059E"/>
    <w:rsid w:val="00C474E4"/>
    <w:rsid w:val="00C61B8F"/>
    <w:rsid w:val="00C644A7"/>
    <w:rsid w:val="00C75256"/>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251C"/>
    <w:rsid w:val="00D14B5F"/>
    <w:rsid w:val="00D17D0A"/>
    <w:rsid w:val="00D20C6C"/>
    <w:rsid w:val="00D23489"/>
    <w:rsid w:val="00D3381E"/>
    <w:rsid w:val="00D36173"/>
    <w:rsid w:val="00D41219"/>
    <w:rsid w:val="00D524EE"/>
    <w:rsid w:val="00D666BC"/>
    <w:rsid w:val="00D678E3"/>
    <w:rsid w:val="00D826D7"/>
    <w:rsid w:val="00D86F52"/>
    <w:rsid w:val="00DA2C85"/>
    <w:rsid w:val="00DB0580"/>
    <w:rsid w:val="00DD15FE"/>
    <w:rsid w:val="00DE2065"/>
    <w:rsid w:val="00DE20E0"/>
    <w:rsid w:val="00DE5904"/>
    <w:rsid w:val="00DE6773"/>
    <w:rsid w:val="00DF2E83"/>
    <w:rsid w:val="00DF43D8"/>
    <w:rsid w:val="00E04E74"/>
    <w:rsid w:val="00E11187"/>
    <w:rsid w:val="00E17B11"/>
    <w:rsid w:val="00E34083"/>
    <w:rsid w:val="00E365F2"/>
    <w:rsid w:val="00E36DA7"/>
    <w:rsid w:val="00E503CC"/>
    <w:rsid w:val="00E5794A"/>
    <w:rsid w:val="00E60E90"/>
    <w:rsid w:val="00E66E9C"/>
    <w:rsid w:val="00E83029"/>
    <w:rsid w:val="00E9293D"/>
    <w:rsid w:val="00E92A8B"/>
    <w:rsid w:val="00E97D8C"/>
    <w:rsid w:val="00EA3654"/>
    <w:rsid w:val="00EA36FC"/>
    <w:rsid w:val="00EB5768"/>
    <w:rsid w:val="00EB5EA6"/>
    <w:rsid w:val="00EB656D"/>
    <w:rsid w:val="00EB6777"/>
    <w:rsid w:val="00EC3DDF"/>
    <w:rsid w:val="00ED0D2B"/>
    <w:rsid w:val="00EE5DE1"/>
    <w:rsid w:val="00EE6568"/>
    <w:rsid w:val="00F01B58"/>
    <w:rsid w:val="00F11FE4"/>
    <w:rsid w:val="00F132AE"/>
    <w:rsid w:val="00F2583E"/>
    <w:rsid w:val="00F32E83"/>
    <w:rsid w:val="00F823EA"/>
    <w:rsid w:val="00F91FB8"/>
    <w:rsid w:val="00F95E5A"/>
    <w:rsid w:val="00F975EB"/>
    <w:rsid w:val="00FA278B"/>
    <w:rsid w:val="00FA354D"/>
    <w:rsid w:val="00FA3B89"/>
    <w:rsid w:val="00FD29E0"/>
    <w:rsid w:val="00FE0E90"/>
    <w:rsid w:val="00FE32CC"/>
    <w:rsid w:val="00FE7CCF"/>
    <w:rsid w:val="00FF60EC"/>
    <w:rsid w:val="00FF6368"/>
    <w:rsid w:val="014D4677"/>
    <w:rsid w:val="03EA3071"/>
    <w:rsid w:val="0491132A"/>
    <w:rsid w:val="054B5371"/>
    <w:rsid w:val="056621AB"/>
    <w:rsid w:val="06532730"/>
    <w:rsid w:val="06543E82"/>
    <w:rsid w:val="067A6028"/>
    <w:rsid w:val="0BE5207C"/>
    <w:rsid w:val="0C97247A"/>
    <w:rsid w:val="0DB3098E"/>
    <w:rsid w:val="0E3050F3"/>
    <w:rsid w:val="11D64215"/>
    <w:rsid w:val="12C50511"/>
    <w:rsid w:val="138A29AA"/>
    <w:rsid w:val="15827B15"/>
    <w:rsid w:val="160F7CF5"/>
    <w:rsid w:val="1B974A15"/>
    <w:rsid w:val="1E316AEA"/>
    <w:rsid w:val="206D0602"/>
    <w:rsid w:val="20A200E4"/>
    <w:rsid w:val="21262AC3"/>
    <w:rsid w:val="212C5238"/>
    <w:rsid w:val="22430342"/>
    <w:rsid w:val="248A5117"/>
    <w:rsid w:val="250D7AF6"/>
    <w:rsid w:val="25B931E9"/>
    <w:rsid w:val="26C863CA"/>
    <w:rsid w:val="2828673B"/>
    <w:rsid w:val="2C57797E"/>
    <w:rsid w:val="2D0A14EA"/>
    <w:rsid w:val="2D4841D0"/>
    <w:rsid w:val="32213853"/>
    <w:rsid w:val="3328400E"/>
    <w:rsid w:val="341C1B03"/>
    <w:rsid w:val="36031C0A"/>
    <w:rsid w:val="3A841EE9"/>
    <w:rsid w:val="3A9F1A72"/>
    <w:rsid w:val="3AD273C0"/>
    <w:rsid w:val="3B7D1841"/>
    <w:rsid w:val="3D2909BB"/>
    <w:rsid w:val="3DF13D37"/>
    <w:rsid w:val="3F383632"/>
    <w:rsid w:val="3F6E5909"/>
    <w:rsid w:val="4052753A"/>
    <w:rsid w:val="42EE0B0F"/>
    <w:rsid w:val="4456696C"/>
    <w:rsid w:val="446077EA"/>
    <w:rsid w:val="459C4852"/>
    <w:rsid w:val="48A83B8E"/>
    <w:rsid w:val="49D071C0"/>
    <w:rsid w:val="49EC3FFA"/>
    <w:rsid w:val="4BA34B8C"/>
    <w:rsid w:val="4EF5542D"/>
    <w:rsid w:val="502E68D6"/>
    <w:rsid w:val="51A53B23"/>
    <w:rsid w:val="523E73BD"/>
    <w:rsid w:val="53516268"/>
    <w:rsid w:val="565526B4"/>
    <w:rsid w:val="56B845E8"/>
    <w:rsid w:val="56C47F55"/>
    <w:rsid w:val="57CB2345"/>
    <w:rsid w:val="5AE83531"/>
    <w:rsid w:val="61E0552E"/>
    <w:rsid w:val="62D6302D"/>
    <w:rsid w:val="63306EE5"/>
    <w:rsid w:val="633916A0"/>
    <w:rsid w:val="63B53257"/>
    <w:rsid w:val="63E33020"/>
    <w:rsid w:val="6464197D"/>
    <w:rsid w:val="64EB571C"/>
    <w:rsid w:val="656A2922"/>
    <w:rsid w:val="65736F26"/>
    <w:rsid w:val="65810156"/>
    <w:rsid w:val="6AB946DD"/>
    <w:rsid w:val="6BE248E5"/>
    <w:rsid w:val="6EDB6140"/>
    <w:rsid w:val="71996B2B"/>
    <w:rsid w:val="71EC42E8"/>
    <w:rsid w:val="73A85115"/>
    <w:rsid w:val="74DD260E"/>
    <w:rsid w:val="7755292F"/>
    <w:rsid w:val="7878516F"/>
    <w:rsid w:val="795E480A"/>
    <w:rsid w:val="7B374E23"/>
    <w:rsid w:val="7C7575D0"/>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5922</Words>
  <Characters>6348</Characters>
  <Lines>59</Lines>
  <Paragraphs>16</Paragraphs>
  <TotalTime>303</TotalTime>
  <ScaleCrop>false</ScaleCrop>
  <LinksUpToDate>false</LinksUpToDate>
  <CharactersWithSpaces>6688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2025-08-28T09:48:14Z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FBE9298AA00D49DF954AB9E24ABDEBC0_13</vt:lpwstr>
  </property>
  <property fmtid="{D5CDD505-2E9C-101B-9397-08002B2CF9AE}" pid="4" name="KSOTemplateDocerSaveRecord">
    <vt:lpwstr>eyJoZGlkIjoiMGE0ZDBjZGY3YWNhNWM3MDYwYmM5MGNjYTM4NWY3YjAiLCJ1c2VySWQiOiIzMTI0NDAxNDYifQ==</vt:lpwstr>
  </property>
</Properties>
</file>